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E1E63" w14:textId="0AEB65B3" w:rsidR="006F587A" w:rsidRDefault="007B2B61">
      <w:pPr>
        <w:jc w:val="center"/>
        <w:rPr>
          <w:rFonts w:ascii="Times New Roman" w:hAnsi="Times New Roman"/>
          <w:sz w:val="32"/>
          <w:szCs w:val="32"/>
        </w:rPr>
      </w:pPr>
      <w:r>
        <w:rPr>
          <w:rFonts w:ascii="Times New Roman" w:hAnsi="Times New Roman"/>
          <w:sz w:val="32"/>
          <w:szCs w:val="32"/>
        </w:rPr>
        <w:t xml:space="preserve"> </w:t>
      </w:r>
    </w:p>
    <w:p w14:paraId="4ACE1E64" w14:textId="77777777" w:rsidR="006F587A" w:rsidRDefault="007B2B61">
      <w:pPr>
        <w:jc w:val="center"/>
        <w:rPr>
          <w:rFonts w:ascii="Times New Roman" w:hAnsi="Times New Roman"/>
          <w:sz w:val="32"/>
          <w:szCs w:val="32"/>
        </w:rPr>
      </w:pPr>
      <w:r>
        <w:rPr>
          <w:rFonts w:ascii="Arial" w:eastAsia="宋体" w:hAnsi="Arial" w:cs="Arial"/>
          <w:b/>
          <w:bCs/>
          <w:color w:val="333333"/>
          <w:sz w:val="32"/>
          <w:szCs w:val="32"/>
        </w:rPr>
        <w:t>UNITED STATES SECURITIES AND EXCHANGE COMMISSION</w:t>
      </w:r>
    </w:p>
    <w:p w14:paraId="4ACE1E65" w14:textId="77777777" w:rsidR="006F587A" w:rsidRDefault="007B2B61">
      <w:pPr>
        <w:jc w:val="center"/>
        <w:rPr>
          <w:rFonts w:ascii="Times New Roman" w:hAnsi="Times New Roman"/>
          <w:sz w:val="22"/>
          <w:szCs w:val="22"/>
        </w:rPr>
      </w:pPr>
      <w:r>
        <w:rPr>
          <w:rFonts w:ascii="Arial" w:eastAsia="宋体" w:hAnsi="Arial" w:cs="Arial"/>
          <w:b/>
          <w:bCs/>
          <w:color w:val="333333"/>
          <w:sz w:val="22"/>
          <w:szCs w:val="22"/>
        </w:rPr>
        <w:t>Washington, D.C. 20549</w:t>
      </w:r>
    </w:p>
    <w:tbl>
      <w:tblPr>
        <w:tblW w:w="1821" w:type="pct"/>
        <w:jc w:val="center"/>
        <w:tblCellMar>
          <w:left w:w="0" w:type="dxa"/>
          <w:right w:w="0" w:type="dxa"/>
        </w:tblCellMar>
        <w:tblLook w:val="04A0" w:firstRow="1" w:lastRow="0" w:firstColumn="1" w:lastColumn="0" w:noHBand="0" w:noVBand="1"/>
      </w:tblPr>
      <w:tblGrid>
        <w:gridCol w:w="3025"/>
      </w:tblGrid>
      <w:tr w:rsidR="006F587A" w14:paraId="4ACE1E67" w14:textId="77777777">
        <w:trPr>
          <w:jc w:val="center"/>
        </w:trPr>
        <w:tc>
          <w:tcPr>
            <w:tcW w:w="0" w:type="auto"/>
            <w:shd w:val="clear" w:color="auto" w:fill="auto"/>
            <w:vAlign w:val="center"/>
          </w:tcPr>
          <w:p w14:paraId="4ACE1E66" w14:textId="77777777" w:rsidR="006F587A" w:rsidRDefault="006F587A">
            <w:pPr>
              <w:rPr>
                <w:rFonts w:ascii="Times New Roman" w:hAnsi="Times New Roman"/>
                <w:sz w:val="20"/>
                <w:szCs w:val="20"/>
              </w:rPr>
            </w:pPr>
          </w:p>
        </w:tc>
      </w:tr>
      <w:tr w:rsidR="006F587A" w14:paraId="4ACE1E69" w14:textId="77777777">
        <w:trPr>
          <w:jc w:val="center"/>
        </w:trPr>
        <w:tc>
          <w:tcPr>
            <w:tcW w:w="5000" w:type="pct"/>
            <w:shd w:val="clear" w:color="auto" w:fill="auto"/>
            <w:vAlign w:val="center"/>
          </w:tcPr>
          <w:p w14:paraId="4ACE1E68" w14:textId="77777777" w:rsidR="006F587A" w:rsidRDefault="006F587A">
            <w:pPr>
              <w:rPr>
                <w:rFonts w:ascii="Times New Roman" w:hAnsi="Times New Roman"/>
                <w:sz w:val="20"/>
                <w:szCs w:val="20"/>
              </w:rPr>
            </w:pPr>
          </w:p>
        </w:tc>
      </w:tr>
      <w:tr w:rsidR="006F587A" w14:paraId="4ACE1E6B" w14:textId="77777777">
        <w:trPr>
          <w:jc w:val="center"/>
        </w:trPr>
        <w:tc>
          <w:tcPr>
            <w:tcW w:w="0" w:type="auto"/>
            <w:tcBorders>
              <w:top w:val="single" w:sz="8" w:space="0" w:color="333333"/>
            </w:tcBorders>
            <w:shd w:val="clear" w:color="auto" w:fill="auto"/>
            <w:tcMar>
              <w:top w:w="40" w:type="dxa"/>
              <w:left w:w="40" w:type="dxa"/>
              <w:bottom w:w="40" w:type="dxa"/>
              <w:right w:w="40" w:type="dxa"/>
            </w:tcMar>
            <w:vAlign w:val="bottom"/>
          </w:tcPr>
          <w:p w14:paraId="4ACE1E6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bl>
    <w:p w14:paraId="4ACE1E6C" w14:textId="77777777" w:rsidR="006F587A" w:rsidRDefault="007B2B61">
      <w:pPr>
        <w:jc w:val="center"/>
        <w:rPr>
          <w:rFonts w:ascii="Times New Roman" w:hAnsi="Times New Roman"/>
          <w:sz w:val="32"/>
          <w:szCs w:val="32"/>
        </w:rPr>
      </w:pPr>
      <w:r>
        <w:rPr>
          <w:rFonts w:ascii="Arial" w:eastAsia="宋体" w:hAnsi="Arial" w:cs="Arial"/>
          <w:b/>
          <w:bCs/>
          <w:color w:val="333333"/>
          <w:sz w:val="32"/>
          <w:szCs w:val="32"/>
        </w:rPr>
        <w:t xml:space="preserve">FORM 10-K </w:t>
      </w:r>
    </w:p>
    <w:p w14:paraId="4ACE1E6D" w14:textId="77777777" w:rsidR="006F587A" w:rsidRDefault="007B2B61">
      <w:pPr>
        <w:rPr>
          <w:rFonts w:ascii="Times New Roman" w:hAnsi="Times New Roman"/>
          <w:sz w:val="18"/>
          <w:szCs w:val="18"/>
        </w:rPr>
      </w:pPr>
      <w:r>
        <w:rPr>
          <w:rFonts w:ascii="Arial" w:eastAsia="宋体" w:hAnsi="Arial" w:cs="Arial"/>
          <w:b/>
          <w:bCs/>
          <w:color w:val="333333"/>
          <w:sz w:val="18"/>
          <w:szCs w:val="18"/>
        </w:rPr>
        <w:t>(Mark One)</w:t>
      </w:r>
    </w:p>
    <w:tbl>
      <w:tblPr>
        <w:tblW w:w="5000" w:type="pct"/>
        <w:tblCellMar>
          <w:left w:w="0" w:type="dxa"/>
          <w:right w:w="0" w:type="dxa"/>
        </w:tblCellMar>
        <w:tblLook w:val="04A0" w:firstRow="1" w:lastRow="0" w:firstColumn="1" w:lastColumn="0" w:noHBand="0" w:noVBand="1"/>
      </w:tblPr>
      <w:tblGrid>
        <w:gridCol w:w="415"/>
        <w:gridCol w:w="7891"/>
      </w:tblGrid>
      <w:tr w:rsidR="006F587A" w14:paraId="4ACE1E6F" w14:textId="77777777">
        <w:tc>
          <w:tcPr>
            <w:tcW w:w="0" w:type="auto"/>
            <w:gridSpan w:val="2"/>
            <w:shd w:val="clear" w:color="auto" w:fill="auto"/>
            <w:vAlign w:val="center"/>
          </w:tcPr>
          <w:p w14:paraId="4ACE1E6E" w14:textId="77777777" w:rsidR="006F587A" w:rsidRDefault="006F587A">
            <w:pPr>
              <w:rPr>
                <w:rFonts w:ascii="Times New Roman" w:hAnsi="Times New Roman"/>
                <w:sz w:val="20"/>
                <w:szCs w:val="20"/>
              </w:rPr>
            </w:pPr>
          </w:p>
        </w:tc>
      </w:tr>
      <w:tr w:rsidR="006F587A" w14:paraId="4ACE1E72" w14:textId="77777777">
        <w:tc>
          <w:tcPr>
            <w:tcW w:w="250" w:type="pct"/>
            <w:shd w:val="clear" w:color="auto" w:fill="auto"/>
            <w:vAlign w:val="center"/>
          </w:tcPr>
          <w:p w14:paraId="4ACE1E70" w14:textId="77777777" w:rsidR="006F587A" w:rsidRDefault="006F587A">
            <w:pPr>
              <w:rPr>
                <w:rFonts w:ascii="Times New Roman" w:hAnsi="Times New Roman"/>
                <w:sz w:val="20"/>
                <w:szCs w:val="20"/>
              </w:rPr>
            </w:pPr>
          </w:p>
        </w:tc>
        <w:tc>
          <w:tcPr>
            <w:tcW w:w="4750" w:type="pct"/>
            <w:shd w:val="clear" w:color="auto" w:fill="auto"/>
            <w:vAlign w:val="center"/>
          </w:tcPr>
          <w:p w14:paraId="4ACE1E71" w14:textId="77777777" w:rsidR="006F587A" w:rsidRDefault="006F587A">
            <w:pPr>
              <w:rPr>
                <w:rFonts w:ascii="Times New Roman" w:hAnsi="Times New Roman"/>
                <w:sz w:val="20"/>
                <w:szCs w:val="20"/>
              </w:rPr>
            </w:pPr>
          </w:p>
        </w:tc>
      </w:tr>
      <w:tr w:rsidR="006F587A" w14:paraId="4ACE1E75" w14:textId="77777777">
        <w:tc>
          <w:tcPr>
            <w:tcW w:w="0" w:type="auto"/>
            <w:shd w:val="clear" w:color="auto" w:fill="auto"/>
            <w:tcMar>
              <w:top w:w="40" w:type="dxa"/>
              <w:left w:w="40" w:type="dxa"/>
              <w:bottom w:w="40" w:type="dxa"/>
              <w:right w:w="40" w:type="dxa"/>
            </w:tcMar>
            <w:vAlign w:val="bottom"/>
          </w:tcPr>
          <w:p w14:paraId="4ACE1E73" w14:textId="77777777" w:rsidR="006F587A" w:rsidRDefault="007B2B61">
            <w:pPr>
              <w:jc w:val="center"/>
              <w:textAlignment w:val="bottom"/>
              <w:rPr>
                <w:rFonts w:ascii="Times New Roman" w:hAnsi="Times New Roman"/>
              </w:rPr>
            </w:pPr>
            <w:r>
              <w:rPr>
                <w:rFonts w:ascii="Arial Unicode MS" w:eastAsia="Arial Unicode MS" w:hAnsi="Arial Unicode MS" w:cs="Arial Unicode MS"/>
                <w:color w:val="333333"/>
              </w:rPr>
              <w:t>☑</w:t>
            </w:r>
          </w:p>
        </w:tc>
        <w:tc>
          <w:tcPr>
            <w:tcW w:w="0" w:type="auto"/>
            <w:shd w:val="clear" w:color="auto" w:fill="auto"/>
            <w:tcMar>
              <w:top w:w="40" w:type="dxa"/>
              <w:left w:w="40" w:type="dxa"/>
              <w:bottom w:w="40" w:type="dxa"/>
              <w:right w:w="40" w:type="dxa"/>
            </w:tcMar>
            <w:vAlign w:val="bottom"/>
          </w:tcPr>
          <w:p w14:paraId="4ACE1E74" w14:textId="77777777" w:rsidR="006F587A" w:rsidRDefault="007B2B61">
            <w:pPr>
              <w:textAlignment w:val="bottom"/>
              <w:rPr>
                <w:rFonts w:ascii="Times New Roman" w:hAnsi="Times New Roman"/>
                <w:sz w:val="16"/>
                <w:szCs w:val="16"/>
              </w:rPr>
            </w:pPr>
            <w:r>
              <w:rPr>
                <w:rFonts w:ascii="Arial" w:eastAsia="宋体" w:hAnsi="Arial" w:cs="Arial"/>
                <w:b/>
                <w:bCs/>
                <w:color w:val="333333"/>
                <w:sz w:val="16"/>
                <w:szCs w:val="16"/>
              </w:rPr>
              <w:t>ANNUAL REPORT PURSUANT TO SECTION 13 OR 15(d) OF THE SECURITIES EXCHANGE ACT OF 1934</w:t>
            </w:r>
          </w:p>
        </w:tc>
      </w:tr>
      <w:tr w:rsidR="006F587A" w14:paraId="4ACE1E78" w14:textId="77777777">
        <w:tc>
          <w:tcPr>
            <w:tcW w:w="0" w:type="auto"/>
            <w:shd w:val="clear" w:color="auto" w:fill="auto"/>
            <w:tcMar>
              <w:top w:w="40" w:type="dxa"/>
              <w:left w:w="40" w:type="dxa"/>
              <w:bottom w:w="40" w:type="dxa"/>
              <w:right w:w="40" w:type="dxa"/>
            </w:tcMar>
            <w:vAlign w:val="bottom"/>
          </w:tcPr>
          <w:p w14:paraId="4ACE1E7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E77" w14:textId="77777777" w:rsidR="006F587A" w:rsidRDefault="007B2B61">
            <w:pPr>
              <w:textAlignment w:val="bottom"/>
              <w:rPr>
                <w:rFonts w:ascii="Times New Roman" w:hAnsi="Times New Roman"/>
                <w:sz w:val="16"/>
                <w:szCs w:val="16"/>
              </w:rPr>
            </w:pPr>
            <w:r>
              <w:rPr>
                <w:rFonts w:ascii="Arial" w:eastAsia="宋体" w:hAnsi="Arial" w:cs="Arial"/>
                <w:color w:val="333333"/>
                <w:sz w:val="16"/>
                <w:szCs w:val="16"/>
              </w:rPr>
              <w:t>For the fiscal year ended December 28, 2019.</w:t>
            </w:r>
          </w:p>
        </w:tc>
      </w:tr>
      <w:tr w:rsidR="006F587A" w14:paraId="4ACE1E7B" w14:textId="77777777">
        <w:tc>
          <w:tcPr>
            <w:tcW w:w="0" w:type="auto"/>
            <w:shd w:val="clear" w:color="auto" w:fill="auto"/>
            <w:tcMar>
              <w:top w:w="40" w:type="dxa"/>
              <w:left w:w="40" w:type="dxa"/>
              <w:bottom w:w="40" w:type="dxa"/>
              <w:right w:w="40" w:type="dxa"/>
            </w:tcMar>
            <w:vAlign w:val="bottom"/>
          </w:tcPr>
          <w:p w14:paraId="4ACE1E7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E7A" w14:textId="77777777" w:rsidR="006F587A" w:rsidRDefault="007B2B61">
            <w:pPr>
              <w:textAlignment w:val="bottom"/>
              <w:rPr>
                <w:rFonts w:ascii="Times New Roman" w:hAnsi="Times New Roman"/>
                <w:sz w:val="16"/>
                <w:szCs w:val="16"/>
              </w:rPr>
            </w:pPr>
            <w:r>
              <w:rPr>
                <w:rFonts w:ascii="Arial" w:eastAsia="宋体" w:hAnsi="Arial" w:cs="Arial"/>
                <w:color w:val="333333"/>
                <w:sz w:val="16"/>
                <w:szCs w:val="16"/>
              </w:rPr>
              <w:t>or</w:t>
            </w:r>
          </w:p>
        </w:tc>
      </w:tr>
      <w:tr w:rsidR="006F587A" w14:paraId="4ACE1E7E" w14:textId="77777777">
        <w:tc>
          <w:tcPr>
            <w:tcW w:w="0" w:type="auto"/>
            <w:shd w:val="clear" w:color="auto" w:fill="auto"/>
            <w:tcMar>
              <w:top w:w="40" w:type="dxa"/>
              <w:left w:w="40" w:type="dxa"/>
              <w:bottom w:w="40" w:type="dxa"/>
              <w:right w:w="40" w:type="dxa"/>
            </w:tcMar>
          </w:tcPr>
          <w:p w14:paraId="4ACE1E7C" w14:textId="77777777" w:rsidR="006F587A" w:rsidRDefault="007B2B61">
            <w:pPr>
              <w:jc w:val="center"/>
              <w:textAlignment w:val="top"/>
              <w:rPr>
                <w:rFonts w:ascii="Times New Roman" w:hAnsi="Times New Roman"/>
              </w:rPr>
            </w:pPr>
            <w:r>
              <w:rPr>
                <w:rFonts w:ascii="Arial Unicode MS" w:eastAsia="Arial Unicode MS" w:hAnsi="Arial Unicode MS" w:cs="Arial Unicode MS" w:hint="eastAsia"/>
                <w:color w:val="333333"/>
              </w:rPr>
              <w:t>☐</w:t>
            </w:r>
          </w:p>
        </w:tc>
        <w:tc>
          <w:tcPr>
            <w:tcW w:w="0" w:type="auto"/>
            <w:shd w:val="clear" w:color="auto" w:fill="auto"/>
            <w:tcMar>
              <w:top w:w="40" w:type="dxa"/>
              <w:left w:w="40" w:type="dxa"/>
              <w:bottom w:w="40" w:type="dxa"/>
              <w:right w:w="40" w:type="dxa"/>
            </w:tcMar>
            <w:vAlign w:val="bottom"/>
          </w:tcPr>
          <w:p w14:paraId="4ACE1E7D" w14:textId="77777777" w:rsidR="006F587A" w:rsidRDefault="007B2B61">
            <w:pPr>
              <w:textAlignment w:val="bottom"/>
              <w:rPr>
                <w:rFonts w:ascii="Times New Roman" w:hAnsi="Times New Roman"/>
                <w:sz w:val="16"/>
                <w:szCs w:val="16"/>
              </w:rPr>
            </w:pPr>
            <w:r>
              <w:rPr>
                <w:rFonts w:ascii="Arial" w:eastAsia="宋体" w:hAnsi="Arial" w:cs="Arial"/>
                <w:b/>
                <w:bCs/>
                <w:color w:val="333333"/>
                <w:sz w:val="16"/>
                <w:szCs w:val="16"/>
              </w:rPr>
              <w:t>TRANSITION REPORT PURSUANT TO SECTION 13 OR 15(d) OF THE SECURITIES EXCHANGE ACT OF 1934</w:t>
            </w:r>
          </w:p>
        </w:tc>
      </w:tr>
      <w:tr w:rsidR="006F587A" w14:paraId="4ACE1E81" w14:textId="77777777">
        <w:tc>
          <w:tcPr>
            <w:tcW w:w="0" w:type="auto"/>
            <w:shd w:val="clear" w:color="auto" w:fill="auto"/>
            <w:tcMar>
              <w:top w:w="40" w:type="dxa"/>
              <w:left w:w="40" w:type="dxa"/>
              <w:bottom w:w="40" w:type="dxa"/>
              <w:right w:w="40" w:type="dxa"/>
            </w:tcMar>
            <w:vAlign w:val="bottom"/>
          </w:tcPr>
          <w:p w14:paraId="4ACE1E7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E80" w14:textId="77777777" w:rsidR="006F587A" w:rsidRDefault="007B2B61">
            <w:pPr>
              <w:textAlignment w:val="bottom"/>
              <w:rPr>
                <w:rFonts w:ascii="Times New Roman" w:hAnsi="Times New Roman"/>
                <w:sz w:val="16"/>
                <w:szCs w:val="16"/>
              </w:rPr>
            </w:pPr>
            <w:r>
              <w:rPr>
                <w:rFonts w:ascii="Arial" w:eastAsia="宋体" w:hAnsi="Arial" w:cs="Arial"/>
                <w:color w:val="333333"/>
                <w:sz w:val="16"/>
                <w:szCs w:val="16"/>
              </w:rPr>
              <w:t xml:space="preserve">For the transition period from </w:t>
            </w:r>
            <w:r>
              <w:rPr>
                <w:rFonts w:ascii="Arial" w:eastAsia="宋体" w:hAnsi="Arial" w:cs="Arial"/>
                <w:color w:val="333333"/>
                <w:sz w:val="16"/>
                <w:szCs w:val="16"/>
                <w:u w:val="single"/>
              </w:rPr>
              <w:t>                    </w:t>
            </w:r>
            <w:r>
              <w:rPr>
                <w:rFonts w:ascii="Arial" w:eastAsia="宋体" w:hAnsi="Arial" w:cs="Arial"/>
                <w:color w:val="333333"/>
                <w:sz w:val="16"/>
                <w:szCs w:val="16"/>
              </w:rPr>
              <w:t> to</w:t>
            </w:r>
            <w:r>
              <w:rPr>
                <w:rFonts w:ascii="Arial" w:eastAsia="宋体" w:hAnsi="Arial" w:cs="Arial"/>
                <w:color w:val="333333"/>
                <w:sz w:val="16"/>
                <w:szCs w:val="16"/>
                <w:u w:val="single"/>
              </w:rPr>
              <w:t>                    </w:t>
            </w:r>
            <w:r>
              <w:rPr>
                <w:rFonts w:ascii="Arial" w:eastAsia="宋体" w:hAnsi="Arial" w:cs="Arial"/>
                <w:color w:val="333333"/>
                <w:sz w:val="16"/>
                <w:szCs w:val="16"/>
              </w:rPr>
              <w:t>.</w:t>
            </w:r>
          </w:p>
        </w:tc>
      </w:tr>
    </w:tbl>
    <w:p w14:paraId="4ACE1E82" w14:textId="77777777" w:rsidR="006F587A" w:rsidRDefault="007B2B61">
      <w:pPr>
        <w:jc w:val="center"/>
        <w:rPr>
          <w:rFonts w:ascii="Times New Roman" w:hAnsi="Times New Roman"/>
          <w:sz w:val="18"/>
          <w:szCs w:val="18"/>
        </w:rPr>
      </w:pPr>
      <w:r>
        <w:rPr>
          <w:rFonts w:ascii="Arial" w:eastAsia="宋体" w:hAnsi="Arial" w:cs="Arial"/>
          <w:b/>
          <w:bCs/>
          <w:color w:val="333333"/>
          <w:sz w:val="18"/>
          <w:szCs w:val="18"/>
        </w:rPr>
        <w:t xml:space="preserve">Commission File Number 000-06217 </w:t>
      </w:r>
    </w:p>
    <w:tbl>
      <w:tblPr>
        <w:tblW w:w="1821" w:type="pct"/>
        <w:jc w:val="center"/>
        <w:tblCellMar>
          <w:left w:w="0" w:type="dxa"/>
          <w:right w:w="0" w:type="dxa"/>
        </w:tblCellMar>
        <w:tblLook w:val="04A0" w:firstRow="1" w:lastRow="0" w:firstColumn="1" w:lastColumn="0" w:noHBand="0" w:noVBand="1"/>
      </w:tblPr>
      <w:tblGrid>
        <w:gridCol w:w="3025"/>
      </w:tblGrid>
      <w:tr w:rsidR="006F587A" w14:paraId="4ACE1E84" w14:textId="77777777">
        <w:trPr>
          <w:jc w:val="center"/>
        </w:trPr>
        <w:tc>
          <w:tcPr>
            <w:tcW w:w="0" w:type="auto"/>
            <w:shd w:val="clear" w:color="auto" w:fill="auto"/>
            <w:vAlign w:val="center"/>
          </w:tcPr>
          <w:p w14:paraId="4ACE1E83" w14:textId="77777777" w:rsidR="006F587A" w:rsidRDefault="006F587A">
            <w:pPr>
              <w:rPr>
                <w:rFonts w:ascii="Times New Roman" w:hAnsi="Times New Roman"/>
                <w:sz w:val="20"/>
                <w:szCs w:val="20"/>
              </w:rPr>
            </w:pPr>
          </w:p>
        </w:tc>
      </w:tr>
      <w:tr w:rsidR="006F587A" w14:paraId="4ACE1E86" w14:textId="77777777">
        <w:trPr>
          <w:jc w:val="center"/>
        </w:trPr>
        <w:tc>
          <w:tcPr>
            <w:tcW w:w="5000" w:type="pct"/>
            <w:shd w:val="clear" w:color="auto" w:fill="auto"/>
            <w:vAlign w:val="center"/>
          </w:tcPr>
          <w:p w14:paraId="4ACE1E85" w14:textId="77777777" w:rsidR="006F587A" w:rsidRDefault="006F587A">
            <w:pPr>
              <w:rPr>
                <w:rFonts w:ascii="Times New Roman" w:hAnsi="Times New Roman"/>
                <w:sz w:val="20"/>
                <w:szCs w:val="20"/>
              </w:rPr>
            </w:pPr>
          </w:p>
        </w:tc>
      </w:tr>
      <w:tr w:rsidR="006F587A" w14:paraId="4ACE1E88" w14:textId="77777777">
        <w:trPr>
          <w:jc w:val="center"/>
        </w:trPr>
        <w:tc>
          <w:tcPr>
            <w:tcW w:w="0" w:type="auto"/>
            <w:tcBorders>
              <w:top w:val="single" w:sz="8" w:space="0" w:color="333333"/>
            </w:tcBorders>
            <w:shd w:val="clear" w:color="auto" w:fill="auto"/>
            <w:tcMar>
              <w:top w:w="40" w:type="dxa"/>
              <w:left w:w="40" w:type="dxa"/>
              <w:bottom w:w="40" w:type="dxa"/>
              <w:right w:w="40" w:type="dxa"/>
            </w:tcMar>
            <w:vAlign w:val="bottom"/>
          </w:tcPr>
          <w:p w14:paraId="4ACE1E8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bl>
    <w:p w14:paraId="4ACE1E89" w14:textId="77777777" w:rsidR="006F587A" w:rsidRDefault="007B2B61">
      <w:pPr>
        <w:jc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Viewer12_files/a001intellogo_coverfooter.jpg"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19" wp14:editId="4ACE6C1A">
            <wp:extent cx="304800" cy="304800"/>
            <wp:effectExtent l="0" t="0" r="0" b="0"/>
            <wp:docPr id="9" name="图片 34"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4"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4ACE1E8A" w14:textId="77777777" w:rsidR="006F587A" w:rsidRDefault="007B2B61">
      <w:pPr>
        <w:jc w:val="center"/>
        <w:rPr>
          <w:rFonts w:ascii="Times New Roman" w:hAnsi="Times New Roman"/>
          <w:sz w:val="44"/>
          <w:szCs w:val="44"/>
        </w:rPr>
      </w:pPr>
      <w:r>
        <w:rPr>
          <w:rFonts w:ascii="Arial" w:eastAsia="宋体" w:hAnsi="Arial" w:cs="Arial"/>
          <w:b/>
          <w:bCs/>
          <w:color w:val="333333"/>
          <w:sz w:val="44"/>
          <w:szCs w:val="44"/>
        </w:rPr>
        <w:t xml:space="preserve">INTEL CORPORATION </w:t>
      </w:r>
    </w:p>
    <w:p w14:paraId="4ACE1E8B" w14:textId="77777777" w:rsidR="006F587A" w:rsidRDefault="007B2B61">
      <w:pPr>
        <w:jc w:val="center"/>
        <w:rPr>
          <w:rFonts w:ascii="Times New Roman" w:hAnsi="Times New Roman"/>
          <w:sz w:val="16"/>
          <w:szCs w:val="16"/>
        </w:rPr>
      </w:pPr>
      <w:r>
        <w:rPr>
          <w:rFonts w:ascii="Arial" w:eastAsia="宋体" w:hAnsi="Arial" w:cs="Arial"/>
          <w:color w:val="333333"/>
          <w:sz w:val="16"/>
          <w:szCs w:val="16"/>
        </w:rPr>
        <w:t>(Exact name of registrant as specified in its charter)</w:t>
      </w:r>
    </w:p>
    <w:tbl>
      <w:tblPr>
        <w:tblW w:w="11640" w:type="dxa"/>
        <w:jc w:val="center"/>
        <w:tblCellMar>
          <w:left w:w="0" w:type="dxa"/>
          <w:right w:w="0" w:type="dxa"/>
        </w:tblCellMar>
        <w:tblLook w:val="04A0" w:firstRow="1" w:lastRow="0" w:firstColumn="1" w:lastColumn="0" w:noHBand="0" w:noVBand="1"/>
      </w:tblPr>
      <w:tblGrid>
        <w:gridCol w:w="4276"/>
        <w:gridCol w:w="1599"/>
        <w:gridCol w:w="1299"/>
        <w:gridCol w:w="130"/>
        <w:gridCol w:w="4336"/>
      </w:tblGrid>
      <w:tr w:rsidR="006F587A" w14:paraId="4ACE1E8D" w14:textId="77777777">
        <w:trPr>
          <w:jc w:val="center"/>
        </w:trPr>
        <w:tc>
          <w:tcPr>
            <w:tcW w:w="0" w:type="auto"/>
            <w:gridSpan w:val="5"/>
            <w:shd w:val="clear" w:color="auto" w:fill="auto"/>
            <w:vAlign w:val="center"/>
          </w:tcPr>
          <w:p w14:paraId="4ACE1E8C" w14:textId="77777777" w:rsidR="006F587A" w:rsidRDefault="006F587A">
            <w:pPr>
              <w:rPr>
                <w:rFonts w:ascii="Times New Roman" w:hAnsi="Times New Roman"/>
                <w:sz w:val="20"/>
                <w:szCs w:val="20"/>
              </w:rPr>
            </w:pPr>
          </w:p>
        </w:tc>
      </w:tr>
      <w:tr w:rsidR="006F587A" w14:paraId="4ACE1E93" w14:textId="77777777">
        <w:trPr>
          <w:jc w:val="center"/>
        </w:trPr>
        <w:tc>
          <w:tcPr>
            <w:tcW w:w="4280" w:type="dxa"/>
            <w:shd w:val="clear" w:color="auto" w:fill="auto"/>
            <w:vAlign w:val="center"/>
          </w:tcPr>
          <w:p w14:paraId="4ACE1E8E" w14:textId="77777777" w:rsidR="006F587A" w:rsidRDefault="006F587A">
            <w:pPr>
              <w:rPr>
                <w:rFonts w:ascii="Times New Roman" w:hAnsi="Times New Roman"/>
                <w:sz w:val="20"/>
                <w:szCs w:val="20"/>
              </w:rPr>
            </w:pPr>
          </w:p>
        </w:tc>
        <w:tc>
          <w:tcPr>
            <w:tcW w:w="1600" w:type="dxa"/>
            <w:shd w:val="clear" w:color="auto" w:fill="auto"/>
            <w:vAlign w:val="center"/>
          </w:tcPr>
          <w:p w14:paraId="4ACE1E8F" w14:textId="77777777" w:rsidR="006F587A" w:rsidRDefault="006F587A">
            <w:pPr>
              <w:rPr>
                <w:rFonts w:ascii="Times New Roman" w:hAnsi="Times New Roman"/>
                <w:sz w:val="20"/>
                <w:szCs w:val="20"/>
              </w:rPr>
            </w:pPr>
          </w:p>
        </w:tc>
        <w:tc>
          <w:tcPr>
            <w:tcW w:w="1300" w:type="dxa"/>
            <w:shd w:val="clear" w:color="auto" w:fill="auto"/>
            <w:vAlign w:val="center"/>
          </w:tcPr>
          <w:p w14:paraId="4ACE1E90" w14:textId="77777777" w:rsidR="006F587A" w:rsidRDefault="006F587A">
            <w:pPr>
              <w:rPr>
                <w:rFonts w:ascii="Times New Roman" w:hAnsi="Times New Roman"/>
                <w:sz w:val="20"/>
                <w:szCs w:val="20"/>
              </w:rPr>
            </w:pPr>
          </w:p>
        </w:tc>
        <w:tc>
          <w:tcPr>
            <w:tcW w:w="100" w:type="dxa"/>
            <w:shd w:val="clear" w:color="auto" w:fill="auto"/>
            <w:vAlign w:val="center"/>
          </w:tcPr>
          <w:p w14:paraId="4ACE1E91" w14:textId="77777777" w:rsidR="006F587A" w:rsidRDefault="006F587A">
            <w:pPr>
              <w:rPr>
                <w:rFonts w:ascii="Times New Roman" w:hAnsi="Times New Roman"/>
                <w:sz w:val="20"/>
                <w:szCs w:val="20"/>
              </w:rPr>
            </w:pPr>
          </w:p>
        </w:tc>
        <w:tc>
          <w:tcPr>
            <w:tcW w:w="4340" w:type="dxa"/>
            <w:shd w:val="clear" w:color="auto" w:fill="auto"/>
            <w:vAlign w:val="center"/>
          </w:tcPr>
          <w:p w14:paraId="4ACE1E92" w14:textId="77777777" w:rsidR="006F587A" w:rsidRDefault="006F587A">
            <w:pPr>
              <w:rPr>
                <w:rFonts w:ascii="Times New Roman" w:hAnsi="Times New Roman"/>
                <w:sz w:val="20"/>
                <w:szCs w:val="20"/>
              </w:rPr>
            </w:pPr>
          </w:p>
        </w:tc>
      </w:tr>
      <w:tr w:rsidR="006F587A" w14:paraId="4ACE1E99" w14:textId="77777777">
        <w:trPr>
          <w:jc w:val="center"/>
        </w:trPr>
        <w:tc>
          <w:tcPr>
            <w:tcW w:w="0" w:type="auto"/>
            <w:shd w:val="clear" w:color="auto" w:fill="auto"/>
            <w:tcMar>
              <w:top w:w="40" w:type="dxa"/>
              <w:left w:w="40" w:type="dxa"/>
              <w:bottom w:w="40" w:type="dxa"/>
              <w:right w:w="40" w:type="dxa"/>
            </w:tcMar>
            <w:vAlign w:val="bottom"/>
          </w:tcPr>
          <w:p w14:paraId="4ACE1E9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1E95" w14:textId="77777777" w:rsidR="006F587A" w:rsidRDefault="007B2B61">
            <w:pPr>
              <w:jc w:val="center"/>
              <w:textAlignment w:val="top"/>
              <w:rPr>
                <w:rFonts w:ascii="Times New Roman" w:hAnsi="Times New Roman"/>
                <w:sz w:val="18"/>
                <w:szCs w:val="18"/>
              </w:rPr>
            </w:pPr>
            <w:r>
              <w:rPr>
                <w:rFonts w:ascii="Arial" w:eastAsia="宋体" w:hAnsi="Arial" w:cs="Arial"/>
                <w:b/>
                <w:bCs/>
                <w:color w:val="333333"/>
                <w:sz w:val="18"/>
                <w:szCs w:val="18"/>
              </w:rPr>
              <w:t>Delaware</w:t>
            </w:r>
          </w:p>
        </w:tc>
        <w:tc>
          <w:tcPr>
            <w:tcW w:w="0" w:type="auto"/>
            <w:shd w:val="clear" w:color="auto" w:fill="auto"/>
            <w:tcMar>
              <w:top w:w="40" w:type="dxa"/>
              <w:left w:w="40" w:type="dxa"/>
              <w:bottom w:w="40" w:type="dxa"/>
              <w:right w:w="40" w:type="dxa"/>
            </w:tcMar>
            <w:vAlign w:val="bottom"/>
          </w:tcPr>
          <w:p w14:paraId="4ACE1E9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E9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1E98" w14:textId="77777777" w:rsidR="006F587A" w:rsidRDefault="007B2B61">
            <w:pPr>
              <w:jc w:val="center"/>
              <w:textAlignment w:val="top"/>
              <w:rPr>
                <w:rFonts w:ascii="Times New Roman" w:hAnsi="Times New Roman"/>
                <w:sz w:val="18"/>
                <w:szCs w:val="18"/>
              </w:rPr>
            </w:pPr>
            <w:r>
              <w:rPr>
                <w:rFonts w:ascii="Arial" w:eastAsia="宋体" w:hAnsi="Arial" w:cs="Arial"/>
                <w:b/>
                <w:bCs/>
                <w:color w:val="333333"/>
                <w:sz w:val="18"/>
                <w:szCs w:val="18"/>
              </w:rPr>
              <w:t>94-1672743</w:t>
            </w:r>
          </w:p>
        </w:tc>
      </w:tr>
      <w:tr w:rsidR="006F587A" w14:paraId="4ACE1E9D" w14:textId="77777777">
        <w:trPr>
          <w:jc w:val="center"/>
        </w:trPr>
        <w:tc>
          <w:tcPr>
            <w:tcW w:w="0" w:type="auto"/>
            <w:gridSpan w:val="3"/>
            <w:shd w:val="clear" w:color="auto" w:fill="auto"/>
            <w:tcMar>
              <w:top w:w="40" w:type="dxa"/>
              <w:left w:w="40" w:type="dxa"/>
              <w:bottom w:w="40" w:type="dxa"/>
              <w:right w:w="40" w:type="dxa"/>
            </w:tcMar>
            <w:vAlign w:val="bottom"/>
          </w:tcPr>
          <w:p w14:paraId="4ACE1E9A" w14:textId="77777777" w:rsidR="006F587A" w:rsidRDefault="007B2B61">
            <w:pPr>
              <w:jc w:val="center"/>
              <w:textAlignment w:val="bottom"/>
              <w:rPr>
                <w:rFonts w:ascii="Times New Roman" w:hAnsi="Times New Roman"/>
                <w:sz w:val="16"/>
                <w:szCs w:val="16"/>
              </w:rPr>
            </w:pPr>
            <w:r>
              <w:rPr>
                <w:rFonts w:ascii="Arial" w:eastAsia="宋体" w:hAnsi="Arial" w:cs="Arial"/>
                <w:color w:val="333333"/>
                <w:sz w:val="16"/>
                <w:szCs w:val="16"/>
              </w:rPr>
              <w:t>(State or other jurisdiction of incorporation or organization)</w:t>
            </w:r>
          </w:p>
        </w:tc>
        <w:tc>
          <w:tcPr>
            <w:tcW w:w="0" w:type="auto"/>
            <w:shd w:val="clear" w:color="auto" w:fill="auto"/>
            <w:tcMar>
              <w:top w:w="40" w:type="dxa"/>
              <w:left w:w="40" w:type="dxa"/>
              <w:bottom w:w="40" w:type="dxa"/>
              <w:right w:w="40" w:type="dxa"/>
            </w:tcMar>
            <w:vAlign w:val="bottom"/>
          </w:tcPr>
          <w:p w14:paraId="4ACE1E9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E9C" w14:textId="77777777" w:rsidR="006F587A" w:rsidRDefault="007B2B61">
            <w:pPr>
              <w:jc w:val="center"/>
              <w:textAlignment w:val="bottom"/>
              <w:rPr>
                <w:rFonts w:ascii="Times New Roman" w:hAnsi="Times New Roman"/>
                <w:sz w:val="16"/>
                <w:szCs w:val="16"/>
              </w:rPr>
            </w:pPr>
            <w:r>
              <w:rPr>
                <w:rFonts w:ascii="Arial" w:eastAsia="宋体" w:hAnsi="Arial" w:cs="Arial"/>
                <w:color w:val="333333"/>
                <w:sz w:val="16"/>
                <w:szCs w:val="16"/>
              </w:rPr>
              <w:t>(I.R.S. Employer Identification No.)</w:t>
            </w:r>
          </w:p>
        </w:tc>
      </w:tr>
      <w:tr w:rsidR="006F587A" w14:paraId="4ACE1EA3" w14:textId="77777777">
        <w:trPr>
          <w:jc w:val="center"/>
        </w:trPr>
        <w:tc>
          <w:tcPr>
            <w:tcW w:w="0" w:type="auto"/>
            <w:shd w:val="clear" w:color="auto" w:fill="auto"/>
            <w:tcMar>
              <w:top w:w="40" w:type="dxa"/>
              <w:left w:w="40" w:type="dxa"/>
              <w:bottom w:w="40" w:type="dxa"/>
              <w:right w:w="40" w:type="dxa"/>
            </w:tcMar>
            <w:vAlign w:val="bottom"/>
          </w:tcPr>
          <w:p w14:paraId="4ACE1E9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E9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EA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EA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EA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1EA9" w14:textId="77777777">
        <w:trPr>
          <w:jc w:val="center"/>
        </w:trPr>
        <w:tc>
          <w:tcPr>
            <w:tcW w:w="0" w:type="auto"/>
            <w:shd w:val="clear" w:color="auto" w:fill="auto"/>
            <w:tcMar>
              <w:top w:w="40" w:type="dxa"/>
              <w:left w:w="40" w:type="dxa"/>
              <w:bottom w:w="40" w:type="dxa"/>
              <w:right w:w="40" w:type="dxa"/>
            </w:tcMar>
          </w:tcPr>
          <w:p w14:paraId="4ACE1EA4" w14:textId="77777777" w:rsidR="006F587A" w:rsidRDefault="007B2B61">
            <w:pPr>
              <w:jc w:val="center"/>
              <w:textAlignment w:val="top"/>
              <w:rPr>
                <w:rFonts w:ascii="Times New Roman" w:hAnsi="Times New Roman"/>
                <w:sz w:val="18"/>
                <w:szCs w:val="18"/>
              </w:rPr>
            </w:pPr>
            <w:r>
              <w:rPr>
                <w:rFonts w:ascii="Arial" w:eastAsia="宋体" w:hAnsi="Arial" w:cs="Arial"/>
                <w:b/>
                <w:bCs/>
                <w:color w:val="333333"/>
                <w:sz w:val="18"/>
                <w:szCs w:val="18"/>
              </w:rPr>
              <w:t xml:space="preserve">2200 Mission College Boulevard, </w:t>
            </w:r>
          </w:p>
        </w:tc>
        <w:tc>
          <w:tcPr>
            <w:tcW w:w="0" w:type="auto"/>
            <w:shd w:val="clear" w:color="auto" w:fill="auto"/>
            <w:tcMar>
              <w:top w:w="40" w:type="dxa"/>
              <w:left w:w="40" w:type="dxa"/>
              <w:bottom w:w="40" w:type="dxa"/>
              <w:right w:w="40" w:type="dxa"/>
            </w:tcMar>
          </w:tcPr>
          <w:p w14:paraId="4ACE1EA5" w14:textId="77777777" w:rsidR="006F587A" w:rsidRDefault="007B2B61">
            <w:pPr>
              <w:jc w:val="center"/>
              <w:textAlignment w:val="top"/>
              <w:rPr>
                <w:rFonts w:ascii="Times New Roman" w:hAnsi="Times New Roman"/>
                <w:sz w:val="18"/>
                <w:szCs w:val="18"/>
              </w:rPr>
            </w:pPr>
            <w:r>
              <w:rPr>
                <w:rFonts w:ascii="Arial" w:eastAsia="宋体" w:hAnsi="Arial" w:cs="Arial"/>
                <w:b/>
                <w:bCs/>
                <w:color w:val="333333"/>
                <w:sz w:val="18"/>
                <w:szCs w:val="18"/>
              </w:rPr>
              <w:t xml:space="preserve">Santa Clara, </w:t>
            </w:r>
          </w:p>
        </w:tc>
        <w:tc>
          <w:tcPr>
            <w:tcW w:w="0" w:type="auto"/>
            <w:shd w:val="clear" w:color="auto" w:fill="auto"/>
            <w:tcMar>
              <w:top w:w="40" w:type="dxa"/>
              <w:left w:w="40" w:type="dxa"/>
              <w:bottom w:w="40" w:type="dxa"/>
              <w:right w:w="40" w:type="dxa"/>
            </w:tcMar>
          </w:tcPr>
          <w:p w14:paraId="4ACE1EA6" w14:textId="77777777" w:rsidR="006F587A" w:rsidRDefault="007B2B61">
            <w:pPr>
              <w:jc w:val="center"/>
              <w:textAlignment w:val="top"/>
              <w:rPr>
                <w:rFonts w:ascii="Times New Roman" w:hAnsi="Times New Roman"/>
                <w:sz w:val="18"/>
                <w:szCs w:val="18"/>
              </w:rPr>
            </w:pPr>
            <w:r>
              <w:rPr>
                <w:rFonts w:ascii="Arial" w:eastAsia="宋体" w:hAnsi="Arial" w:cs="Arial"/>
                <w:b/>
                <w:bCs/>
                <w:color w:val="333333"/>
                <w:sz w:val="18"/>
                <w:szCs w:val="18"/>
              </w:rPr>
              <w:t>California</w:t>
            </w:r>
          </w:p>
        </w:tc>
        <w:tc>
          <w:tcPr>
            <w:tcW w:w="0" w:type="auto"/>
            <w:shd w:val="clear" w:color="auto" w:fill="auto"/>
            <w:tcMar>
              <w:top w:w="40" w:type="dxa"/>
              <w:left w:w="40" w:type="dxa"/>
              <w:bottom w:w="40" w:type="dxa"/>
              <w:right w:w="40" w:type="dxa"/>
            </w:tcMar>
            <w:vAlign w:val="bottom"/>
          </w:tcPr>
          <w:p w14:paraId="4ACE1EA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1EA8" w14:textId="77777777" w:rsidR="006F587A" w:rsidRDefault="007B2B61">
            <w:pPr>
              <w:jc w:val="center"/>
              <w:textAlignment w:val="top"/>
              <w:rPr>
                <w:rFonts w:ascii="Times New Roman" w:hAnsi="Times New Roman"/>
                <w:sz w:val="18"/>
                <w:szCs w:val="18"/>
              </w:rPr>
            </w:pPr>
            <w:r>
              <w:rPr>
                <w:rFonts w:ascii="Arial" w:eastAsia="宋体" w:hAnsi="Arial" w:cs="Arial"/>
                <w:b/>
                <w:bCs/>
                <w:color w:val="333333"/>
                <w:sz w:val="18"/>
                <w:szCs w:val="18"/>
              </w:rPr>
              <w:t>95054-1549</w:t>
            </w:r>
          </w:p>
        </w:tc>
      </w:tr>
      <w:tr w:rsidR="006F587A" w14:paraId="4ACE1EAD" w14:textId="77777777">
        <w:trPr>
          <w:jc w:val="center"/>
        </w:trPr>
        <w:tc>
          <w:tcPr>
            <w:tcW w:w="0" w:type="auto"/>
            <w:gridSpan w:val="3"/>
            <w:shd w:val="clear" w:color="auto" w:fill="auto"/>
            <w:tcMar>
              <w:top w:w="40" w:type="dxa"/>
              <w:left w:w="40" w:type="dxa"/>
              <w:bottom w:w="40" w:type="dxa"/>
              <w:right w:w="40" w:type="dxa"/>
            </w:tcMar>
          </w:tcPr>
          <w:p w14:paraId="4ACE1EAA" w14:textId="77777777" w:rsidR="006F587A" w:rsidRDefault="007B2B61">
            <w:pPr>
              <w:jc w:val="center"/>
              <w:textAlignment w:val="top"/>
              <w:rPr>
                <w:rFonts w:ascii="Times New Roman" w:hAnsi="Times New Roman"/>
                <w:sz w:val="16"/>
                <w:szCs w:val="16"/>
              </w:rPr>
            </w:pPr>
            <w:r>
              <w:rPr>
                <w:rFonts w:ascii="Arial" w:eastAsia="宋体" w:hAnsi="Arial" w:cs="Arial"/>
                <w:color w:val="333333"/>
                <w:sz w:val="16"/>
                <w:szCs w:val="16"/>
              </w:rPr>
              <w:t>(Address of principal executive offices)</w:t>
            </w:r>
          </w:p>
        </w:tc>
        <w:tc>
          <w:tcPr>
            <w:tcW w:w="0" w:type="auto"/>
            <w:shd w:val="clear" w:color="auto" w:fill="auto"/>
            <w:tcMar>
              <w:top w:w="40" w:type="dxa"/>
              <w:left w:w="40" w:type="dxa"/>
              <w:bottom w:w="40" w:type="dxa"/>
              <w:right w:w="40" w:type="dxa"/>
            </w:tcMar>
            <w:vAlign w:val="bottom"/>
          </w:tcPr>
          <w:p w14:paraId="4ACE1EA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1EAC" w14:textId="77777777" w:rsidR="006F587A" w:rsidRDefault="007B2B61">
            <w:pPr>
              <w:jc w:val="center"/>
              <w:textAlignment w:val="top"/>
              <w:rPr>
                <w:rFonts w:ascii="Times New Roman" w:hAnsi="Times New Roman"/>
                <w:sz w:val="16"/>
                <w:szCs w:val="16"/>
              </w:rPr>
            </w:pPr>
            <w:r>
              <w:rPr>
                <w:rFonts w:ascii="Arial" w:eastAsia="宋体" w:hAnsi="Arial" w:cs="Arial"/>
                <w:color w:val="333333"/>
                <w:sz w:val="16"/>
                <w:szCs w:val="16"/>
              </w:rPr>
              <w:t>(Zip Code)</w:t>
            </w:r>
          </w:p>
        </w:tc>
      </w:tr>
    </w:tbl>
    <w:p w14:paraId="4ACE1EAE" w14:textId="77777777" w:rsidR="006F587A" w:rsidRDefault="007B2B61">
      <w:pPr>
        <w:spacing w:line="288" w:lineRule="auto"/>
        <w:jc w:val="center"/>
        <w:rPr>
          <w:rFonts w:ascii="Times New Roman" w:hAnsi="Times New Roman"/>
          <w:sz w:val="16"/>
          <w:szCs w:val="16"/>
        </w:rPr>
      </w:pPr>
      <w:r>
        <w:rPr>
          <w:rFonts w:ascii="Arial" w:eastAsia="宋体" w:hAnsi="Arial" w:cs="Arial"/>
          <w:color w:val="333333"/>
          <w:sz w:val="16"/>
          <w:szCs w:val="16"/>
        </w:rPr>
        <w:t xml:space="preserve">Registrant’s telephone number, including area code </w:t>
      </w:r>
      <w:r>
        <w:rPr>
          <w:rFonts w:ascii="Arial" w:eastAsia="宋体" w:hAnsi="Arial" w:cs="Arial"/>
          <w:b/>
          <w:bCs/>
          <w:color w:val="333333"/>
          <w:sz w:val="16"/>
          <w:szCs w:val="16"/>
        </w:rPr>
        <w:t xml:space="preserve">(408) 765-8080 </w:t>
      </w:r>
    </w:p>
    <w:p w14:paraId="4ACE1EAF" w14:textId="77777777" w:rsidR="006F587A" w:rsidRDefault="007B2B61">
      <w:pPr>
        <w:spacing w:line="288" w:lineRule="auto"/>
        <w:jc w:val="center"/>
        <w:rPr>
          <w:rFonts w:ascii="Times New Roman" w:hAnsi="Times New Roman"/>
          <w:sz w:val="16"/>
          <w:szCs w:val="16"/>
        </w:rPr>
      </w:pPr>
      <w:r>
        <w:rPr>
          <w:rFonts w:ascii="Arial" w:eastAsia="宋体" w:hAnsi="Arial" w:cs="Arial"/>
          <w:color w:val="333333"/>
          <w:sz w:val="16"/>
          <w:szCs w:val="16"/>
        </w:rPr>
        <w:t>Securities registered pursuant to Section 12(b) of the Act:</w:t>
      </w:r>
    </w:p>
    <w:tbl>
      <w:tblPr>
        <w:tblW w:w="5000" w:type="pct"/>
        <w:tblCellMar>
          <w:left w:w="0" w:type="dxa"/>
          <w:right w:w="0" w:type="dxa"/>
        </w:tblCellMar>
        <w:tblLook w:val="04A0" w:firstRow="1" w:lastRow="0" w:firstColumn="1" w:lastColumn="0" w:noHBand="0" w:noVBand="1"/>
      </w:tblPr>
      <w:tblGrid>
        <w:gridCol w:w="2792"/>
        <w:gridCol w:w="130"/>
        <w:gridCol w:w="2046"/>
        <w:gridCol w:w="130"/>
        <w:gridCol w:w="3208"/>
      </w:tblGrid>
      <w:tr w:rsidR="006F587A" w14:paraId="4ACE1EB1" w14:textId="77777777">
        <w:tc>
          <w:tcPr>
            <w:tcW w:w="0" w:type="auto"/>
            <w:gridSpan w:val="5"/>
            <w:shd w:val="clear" w:color="auto" w:fill="auto"/>
            <w:vAlign w:val="center"/>
          </w:tcPr>
          <w:p w14:paraId="4ACE1EB0" w14:textId="77777777" w:rsidR="006F587A" w:rsidRDefault="006F587A">
            <w:pPr>
              <w:rPr>
                <w:rFonts w:ascii="Times New Roman" w:hAnsi="Times New Roman"/>
                <w:sz w:val="20"/>
                <w:szCs w:val="20"/>
              </w:rPr>
            </w:pPr>
          </w:p>
        </w:tc>
      </w:tr>
      <w:tr w:rsidR="006F587A" w14:paraId="4ACE1EB7" w14:textId="77777777">
        <w:tc>
          <w:tcPr>
            <w:tcW w:w="1700" w:type="pct"/>
            <w:shd w:val="clear" w:color="auto" w:fill="auto"/>
            <w:vAlign w:val="center"/>
          </w:tcPr>
          <w:p w14:paraId="4ACE1EB2" w14:textId="77777777" w:rsidR="006F587A" w:rsidRDefault="006F587A">
            <w:pPr>
              <w:rPr>
                <w:rFonts w:ascii="Times New Roman" w:hAnsi="Times New Roman"/>
                <w:sz w:val="20"/>
                <w:szCs w:val="20"/>
              </w:rPr>
            </w:pPr>
          </w:p>
        </w:tc>
        <w:tc>
          <w:tcPr>
            <w:tcW w:w="50" w:type="pct"/>
            <w:shd w:val="clear" w:color="auto" w:fill="auto"/>
            <w:vAlign w:val="center"/>
          </w:tcPr>
          <w:p w14:paraId="4ACE1EB3" w14:textId="77777777" w:rsidR="006F587A" w:rsidRDefault="006F587A">
            <w:pPr>
              <w:rPr>
                <w:rFonts w:ascii="Times New Roman" w:hAnsi="Times New Roman"/>
                <w:sz w:val="20"/>
                <w:szCs w:val="20"/>
              </w:rPr>
            </w:pPr>
          </w:p>
        </w:tc>
        <w:tc>
          <w:tcPr>
            <w:tcW w:w="1250" w:type="pct"/>
            <w:shd w:val="clear" w:color="auto" w:fill="auto"/>
            <w:vAlign w:val="center"/>
          </w:tcPr>
          <w:p w14:paraId="4ACE1EB4" w14:textId="77777777" w:rsidR="006F587A" w:rsidRDefault="006F587A">
            <w:pPr>
              <w:rPr>
                <w:rFonts w:ascii="Times New Roman" w:hAnsi="Times New Roman"/>
                <w:sz w:val="20"/>
                <w:szCs w:val="20"/>
              </w:rPr>
            </w:pPr>
          </w:p>
        </w:tc>
        <w:tc>
          <w:tcPr>
            <w:tcW w:w="50" w:type="pct"/>
            <w:shd w:val="clear" w:color="auto" w:fill="auto"/>
            <w:vAlign w:val="center"/>
          </w:tcPr>
          <w:p w14:paraId="4ACE1EB5" w14:textId="77777777" w:rsidR="006F587A" w:rsidRDefault="006F587A">
            <w:pPr>
              <w:rPr>
                <w:rFonts w:ascii="Times New Roman" w:hAnsi="Times New Roman"/>
                <w:sz w:val="20"/>
                <w:szCs w:val="20"/>
              </w:rPr>
            </w:pPr>
          </w:p>
        </w:tc>
        <w:tc>
          <w:tcPr>
            <w:tcW w:w="1950" w:type="pct"/>
            <w:shd w:val="clear" w:color="auto" w:fill="auto"/>
            <w:vAlign w:val="center"/>
          </w:tcPr>
          <w:p w14:paraId="4ACE1EB6" w14:textId="77777777" w:rsidR="006F587A" w:rsidRDefault="006F587A">
            <w:pPr>
              <w:rPr>
                <w:rFonts w:ascii="Times New Roman" w:hAnsi="Times New Roman"/>
                <w:sz w:val="20"/>
                <w:szCs w:val="20"/>
              </w:rPr>
            </w:pPr>
          </w:p>
        </w:tc>
      </w:tr>
      <w:tr w:rsidR="006F587A" w14:paraId="4ACE1EBD" w14:textId="77777777">
        <w:tc>
          <w:tcPr>
            <w:tcW w:w="0" w:type="auto"/>
            <w:shd w:val="clear" w:color="auto" w:fill="auto"/>
            <w:tcMar>
              <w:top w:w="40" w:type="dxa"/>
              <w:left w:w="40" w:type="dxa"/>
              <w:bottom w:w="40" w:type="dxa"/>
              <w:right w:w="40" w:type="dxa"/>
            </w:tcMar>
            <w:vAlign w:val="bottom"/>
          </w:tcPr>
          <w:p w14:paraId="4ACE1EB8" w14:textId="77777777" w:rsidR="006F587A" w:rsidRDefault="007B2B61">
            <w:pPr>
              <w:jc w:val="center"/>
              <w:textAlignment w:val="bottom"/>
              <w:rPr>
                <w:rFonts w:ascii="Times New Roman" w:hAnsi="Times New Roman"/>
                <w:sz w:val="16"/>
                <w:szCs w:val="16"/>
              </w:rPr>
            </w:pPr>
            <w:r>
              <w:rPr>
                <w:rFonts w:ascii="Arial" w:eastAsia="宋体" w:hAnsi="Arial" w:cs="Arial"/>
                <w:b/>
                <w:bCs/>
                <w:color w:val="333333"/>
                <w:sz w:val="16"/>
                <w:szCs w:val="16"/>
                <w:u w:val="single"/>
              </w:rPr>
              <w:t>Title of each class</w:t>
            </w:r>
          </w:p>
        </w:tc>
        <w:tc>
          <w:tcPr>
            <w:tcW w:w="0" w:type="auto"/>
            <w:shd w:val="clear" w:color="auto" w:fill="auto"/>
            <w:tcMar>
              <w:top w:w="40" w:type="dxa"/>
              <w:left w:w="40" w:type="dxa"/>
              <w:bottom w:w="40" w:type="dxa"/>
              <w:right w:w="40" w:type="dxa"/>
            </w:tcMar>
            <w:vAlign w:val="bottom"/>
          </w:tcPr>
          <w:p w14:paraId="4ACE1EB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EBA" w14:textId="77777777" w:rsidR="006F587A" w:rsidRDefault="007B2B61">
            <w:pPr>
              <w:jc w:val="center"/>
              <w:textAlignment w:val="bottom"/>
              <w:rPr>
                <w:rFonts w:ascii="Times New Roman" w:hAnsi="Times New Roman"/>
                <w:sz w:val="16"/>
                <w:szCs w:val="16"/>
              </w:rPr>
            </w:pPr>
            <w:r>
              <w:rPr>
                <w:rFonts w:ascii="Arial" w:eastAsia="宋体" w:hAnsi="Arial" w:cs="Arial"/>
                <w:b/>
                <w:bCs/>
                <w:color w:val="333333"/>
                <w:sz w:val="16"/>
                <w:szCs w:val="16"/>
                <w:u w:val="single"/>
              </w:rPr>
              <w:t>Trading symbol</w:t>
            </w:r>
          </w:p>
        </w:tc>
        <w:tc>
          <w:tcPr>
            <w:tcW w:w="0" w:type="auto"/>
            <w:shd w:val="clear" w:color="auto" w:fill="auto"/>
            <w:tcMar>
              <w:top w:w="40" w:type="dxa"/>
              <w:left w:w="40" w:type="dxa"/>
              <w:bottom w:w="40" w:type="dxa"/>
              <w:right w:w="40" w:type="dxa"/>
            </w:tcMar>
            <w:vAlign w:val="bottom"/>
          </w:tcPr>
          <w:p w14:paraId="4ACE1EB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EBC" w14:textId="77777777" w:rsidR="006F587A" w:rsidRDefault="007B2B61">
            <w:pPr>
              <w:jc w:val="center"/>
              <w:textAlignment w:val="bottom"/>
              <w:rPr>
                <w:rFonts w:ascii="Times New Roman" w:hAnsi="Times New Roman"/>
                <w:sz w:val="16"/>
                <w:szCs w:val="16"/>
              </w:rPr>
            </w:pPr>
            <w:r>
              <w:rPr>
                <w:rFonts w:ascii="Arial" w:eastAsia="宋体" w:hAnsi="Arial" w:cs="Arial"/>
                <w:b/>
                <w:bCs/>
                <w:color w:val="333333"/>
                <w:sz w:val="16"/>
                <w:szCs w:val="16"/>
                <w:u w:val="single"/>
              </w:rPr>
              <w:t>Name of each exchange on which registered</w:t>
            </w:r>
          </w:p>
        </w:tc>
      </w:tr>
      <w:tr w:rsidR="006F587A" w14:paraId="4ACE1EC3" w14:textId="77777777">
        <w:tc>
          <w:tcPr>
            <w:tcW w:w="0" w:type="auto"/>
            <w:shd w:val="clear" w:color="auto" w:fill="auto"/>
            <w:tcMar>
              <w:top w:w="40" w:type="dxa"/>
              <w:left w:w="40" w:type="dxa"/>
              <w:bottom w:w="40" w:type="dxa"/>
              <w:right w:w="40" w:type="dxa"/>
            </w:tcMar>
          </w:tcPr>
          <w:p w14:paraId="4ACE1EBE" w14:textId="77777777" w:rsidR="006F587A" w:rsidRDefault="007B2B61">
            <w:pPr>
              <w:jc w:val="center"/>
              <w:textAlignment w:val="top"/>
              <w:rPr>
                <w:rFonts w:ascii="Times New Roman" w:hAnsi="Times New Roman"/>
                <w:sz w:val="16"/>
                <w:szCs w:val="16"/>
              </w:rPr>
            </w:pPr>
            <w:r>
              <w:rPr>
                <w:rFonts w:ascii="Arial" w:eastAsia="宋体" w:hAnsi="Arial" w:cs="Arial"/>
                <w:color w:val="333333"/>
                <w:sz w:val="16"/>
                <w:szCs w:val="16"/>
              </w:rPr>
              <w:t>Common stock, $0.001 par value</w:t>
            </w:r>
          </w:p>
        </w:tc>
        <w:tc>
          <w:tcPr>
            <w:tcW w:w="0" w:type="auto"/>
            <w:shd w:val="clear" w:color="auto" w:fill="auto"/>
            <w:tcMar>
              <w:top w:w="40" w:type="dxa"/>
              <w:left w:w="40" w:type="dxa"/>
              <w:bottom w:w="40" w:type="dxa"/>
              <w:right w:w="40" w:type="dxa"/>
            </w:tcMar>
            <w:vAlign w:val="bottom"/>
          </w:tcPr>
          <w:p w14:paraId="4ACE1EB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1EC0" w14:textId="77777777" w:rsidR="006F587A" w:rsidRDefault="007B2B61">
            <w:pPr>
              <w:jc w:val="center"/>
              <w:textAlignment w:val="top"/>
              <w:rPr>
                <w:rFonts w:ascii="Times New Roman" w:hAnsi="Times New Roman"/>
                <w:sz w:val="16"/>
                <w:szCs w:val="16"/>
              </w:rPr>
            </w:pPr>
            <w:r>
              <w:rPr>
                <w:rFonts w:ascii="Arial" w:eastAsia="宋体" w:hAnsi="Arial" w:cs="Arial"/>
                <w:color w:val="333333"/>
                <w:sz w:val="16"/>
                <w:szCs w:val="16"/>
              </w:rPr>
              <w:t>INTC</w:t>
            </w:r>
          </w:p>
        </w:tc>
        <w:tc>
          <w:tcPr>
            <w:tcW w:w="0" w:type="auto"/>
            <w:shd w:val="clear" w:color="auto" w:fill="auto"/>
            <w:tcMar>
              <w:top w:w="40" w:type="dxa"/>
              <w:left w:w="40" w:type="dxa"/>
              <w:bottom w:w="40" w:type="dxa"/>
              <w:right w:w="40" w:type="dxa"/>
            </w:tcMar>
            <w:vAlign w:val="bottom"/>
          </w:tcPr>
          <w:p w14:paraId="4ACE1EC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1EC2" w14:textId="77777777" w:rsidR="006F587A" w:rsidRDefault="007B2B61">
            <w:pPr>
              <w:jc w:val="center"/>
              <w:textAlignment w:val="top"/>
              <w:rPr>
                <w:rFonts w:ascii="Times New Roman" w:hAnsi="Times New Roman"/>
                <w:sz w:val="16"/>
                <w:szCs w:val="16"/>
              </w:rPr>
            </w:pPr>
            <w:r>
              <w:rPr>
                <w:rFonts w:ascii="Arial" w:eastAsia="宋体" w:hAnsi="Arial" w:cs="Arial"/>
                <w:color w:val="333333"/>
                <w:sz w:val="16"/>
                <w:szCs w:val="16"/>
              </w:rPr>
              <w:t>Nasdaq Global Select Market</w:t>
            </w:r>
          </w:p>
        </w:tc>
      </w:tr>
    </w:tbl>
    <w:p w14:paraId="4ACE1EC4" w14:textId="77777777" w:rsidR="006F587A" w:rsidRDefault="007B2B61">
      <w:pPr>
        <w:jc w:val="center"/>
        <w:rPr>
          <w:rFonts w:ascii="Times New Roman" w:hAnsi="Times New Roman"/>
          <w:sz w:val="16"/>
          <w:szCs w:val="16"/>
        </w:rPr>
      </w:pPr>
      <w:r>
        <w:rPr>
          <w:rFonts w:ascii="Arial" w:eastAsia="宋体" w:hAnsi="Arial" w:cs="Arial"/>
          <w:color w:val="333333"/>
          <w:sz w:val="16"/>
          <w:szCs w:val="16"/>
        </w:rPr>
        <w:t>Securities registered pursuant to Section 12(g) of the Act:</w:t>
      </w:r>
    </w:p>
    <w:p w14:paraId="4ACE1EC5" w14:textId="77777777" w:rsidR="006F587A" w:rsidRDefault="007B2B61">
      <w:pPr>
        <w:spacing w:line="288" w:lineRule="auto"/>
        <w:jc w:val="center"/>
        <w:rPr>
          <w:rFonts w:ascii="Times New Roman" w:hAnsi="Times New Roman"/>
          <w:sz w:val="16"/>
          <w:szCs w:val="16"/>
        </w:rPr>
      </w:pPr>
      <w:r>
        <w:rPr>
          <w:rFonts w:ascii="Arial" w:eastAsia="宋体" w:hAnsi="Arial" w:cs="Arial"/>
          <w:color w:val="333333"/>
          <w:sz w:val="16"/>
          <w:szCs w:val="16"/>
        </w:rPr>
        <w:t>None</w:t>
      </w:r>
    </w:p>
    <w:tbl>
      <w:tblPr>
        <w:tblW w:w="1821" w:type="pct"/>
        <w:jc w:val="center"/>
        <w:tblCellMar>
          <w:left w:w="0" w:type="dxa"/>
          <w:right w:w="0" w:type="dxa"/>
        </w:tblCellMar>
        <w:tblLook w:val="04A0" w:firstRow="1" w:lastRow="0" w:firstColumn="1" w:lastColumn="0" w:noHBand="0" w:noVBand="1"/>
      </w:tblPr>
      <w:tblGrid>
        <w:gridCol w:w="3025"/>
      </w:tblGrid>
      <w:tr w:rsidR="006F587A" w14:paraId="4ACE1EC7" w14:textId="77777777">
        <w:trPr>
          <w:jc w:val="center"/>
        </w:trPr>
        <w:tc>
          <w:tcPr>
            <w:tcW w:w="0" w:type="auto"/>
            <w:shd w:val="clear" w:color="auto" w:fill="auto"/>
            <w:vAlign w:val="center"/>
          </w:tcPr>
          <w:p w14:paraId="4ACE1EC6" w14:textId="77777777" w:rsidR="006F587A" w:rsidRDefault="006F587A">
            <w:pPr>
              <w:rPr>
                <w:rFonts w:ascii="Times New Roman" w:hAnsi="Times New Roman"/>
                <w:sz w:val="20"/>
                <w:szCs w:val="20"/>
              </w:rPr>
            </w:pPr>
          </w:p>
        </w:tc>
      </w:tr>
      <w:tr w:rsidR="006F587A" w14:paraId="4ACE1EC9" w14:textId="77777777">
        <w:trPr>
          <w:jc w:val="center"/>
        </w:trPr>
        <w:tc>
          <w:tcPr>
            <w:tcW w:w="5000" w:type="pct"/>
            <w:shd w:val="clear" w:color="auto" w:fill="auto"/>
            <w:vAlign w:val="center"/>
          </w:tcPr>
          <w:p w14:paraId="4ACE1EC8" w14:textId="77777777" w:rsidR="006F587A" w:rsidRDefault="006F587A">
            <w:pPr>
              <w:rPr>
                <w:rFonts w:ascii="Times New Roman" w:hAnsi="Times New Roman"/>
                <w:sz w:val="20"/>
                <w:szCs w:val="20"/>
              </w:rPr>
            </w:pPr>
          </w:p>
        </w:tc>
      </w:tr>
      <w:tr w:rsidR="006F587A" w14:paraId="4ACE1ECB" w14:textId="77777777">
        <w:trPr>
          <w:jc w:val="center"/>
        </w:trPr>
        <w:tc>
          <w:tcPr>
            <w:tcW w:w="0" w:type="auto"/>
            <w:tcBorders>
              <w:top w:val="single" w:sz="8" w:space="0" w:color="000000"/>
            </w:tcBorders>
            <w:shd w:val="clear" w:color="auto" w:fill="auto"/>
            <w:tcMar>
              <w:top w:w="40" w:type="dxa"/>
              <w:left w:w="40" w:type="dxa"/>
              <w:bottom w:w="40" w:type="dxa"/>
              <w:right w:w="40" w:type="dxa"/>
            </w:tcMar>
            <w:vAlign w:val="bottom"/>
          </w:tcPr>
          <w:p w14:paraId="4ACE1EC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bl>
    <w:p w14:paraId="4ACE1ECC" w14:textId="77777777" w:rsidR="006F587A" w:rsidRDefault="007B2B61">
      <w:pPr>
        <w:spacing w:line="288" w:lineRule="auto"/>
        <w:rPr>
          <w:rFonts w:ascii="Times New Roman" w:hAnsi="Times New Roman"/>
          <w:sz w:val="18"/>
          <w:szCs w:val="18"/>
        </w:rPr>
      </w:pPr>
      <w:r>
        <w:rPr>
          <w:rFonts w:ascii="Arial" w:eastAsia="宋体" w:hAnsi="Arial" w:cs="Arial"/>
          <w:color w:val="333333"/>
          <w:sz w:val="16"/>
          <w:szCs w:val="16"/>
        </w:rPr>
        <w:t>Indicate by check mark if the registrant is a well-known seasoned issuer, as defined in Rule 405 of the Securities Act.    Yes </w:t>
      </w:r>
      <w:r>
        <w:rPr>
          <w:rFonts w:ascii="Arial Unicode MS" w:eastAsia="Arial Unicode MS" w:hAnsi="Arial Unicode MS" w:cs="Arial Unicode MS" w:hint="eastAsia"/>
          <w:color w:val="333333"/>
          <w:sz w:val="18"/>
          <w:szCs w:val="18"/>
        </w:rPr>
        <w:t>☑</w:t>
      </w:r>
      <w:r>
        <w:rPr>
          <w:rFonts w:ascii="Arial" w:eastAsia="宋体" w:hAnsi="Arial" w:cs="Arial"/>
          <w:color w:val="333333"/>
          <w:sz w:val="16"/>
          <w:szCs w:val="16"/>
        </w:rPr>
        <w:t>  No </w:t>
      </w:r>
      <w:r>
        <w:rPr>
          <w:rFonts w:ascii="Arial Unicode MS" w:eastAsia="Arial Unicode MS" w:hAnsi="Arial Unicode MS" w:cs="Arial Unicode MS" w:hint="eastAsia"/>
          <w:color w:val="333333"/>
          <w:sz w:val="18"/>
          <w:szCs w:val="18"/>
        </w:rPr>
        <w:t>☐</w:t>
      </w:r>
    </w:p>
    <w:p w14:paraId="4ACE1ECD" w14:textId="77777777" w:rsidR="006F587A" w:rsidRDefault="007B2B61">
      <w:pPr>
        <w:spacing w:line="288" w:lineRule="auto"/>
        <w:rPr>
          <w:rFonts w:ascii="Times New Roman" w:hAnsi="Times New Roman"/>
          <w:sz w:val="18"/>
          <w:szCs w:val="18"/>
        </w:rPr>
      </w:pPr>
      <w:r>
        <w:rPr>
          <w:rFonts w:ascii="Arial" w:eastAsia="宋体" w:hAnsi="Arial" w:cs="Arial"/>
          <w:color w:val="333333"/>
          <w:sz w:val="16"/>
          <w:szCs w:val="16"/>
        </w:rPr>
        <w:t>Indicate by check mark if the registrant is not required to file reports pursuant to Section 13 or Section 15(d) of the Act.    Yes </w:t>
      </w:r>
      <w:r>
        <w:rPr>
          <w:rFonts w:ascii="Arial Unicode MS" w:eastAsia="Arial Unicode MS" w:hAnsi="Arial Unicode MS" w:cs="Arial Unicode MS" w:hint="eastAsia"/>
          <w:color w:val="333333"/>
          <w:sz w:val="18"/>
          <w:szCs w:val="18"/>
        </w:rPr>
        <w:t>☐</w:t>
      </w:r>
      <w:r>
        <w:rPr>
          <w:rFonts w:ascii="Arial" w:eastAsia="宋体" w:hAnsi="Arial" w:cs="Arial"/>
          <w:color w:val="333333"/>
          <w:sz w:val="16"/>
          <w:szCs w:val="16"/>
        </w:rPr>
        <w:t>  No </w:t>
      </w:r>
      <w:r>
        <w:rPr>
          <w:rFonts w:ascii="Arial Unicode MS" w:eastAsia="Arial Unicode MS" w:hAnsi="Arial Unicode MS" w:cs="Arial Unicode MS" w:hint="eastAsia"/>
          <w:color w:val="333333"/>
          <w:sz w:val="18"/>
          <w:szCs w:val="18"/>
        </w:rPr>
        <w:t>☑</w:t>
      </w:r>
    </w:p>
    <w:p w14:paraId="4ACE1ECE" w14:textId="77777777" w:rsidR="006F587A" w:rsidRDefault="007B2B61">
      <w:pPr>
        <w:spacing w:line="288" w:lineRule="auto"/>
        <w:rPr>
          <w:rFonts w:ascii="Times New Roman" w:hAnsi="Times New Roman"/>
          <w:sz w:val="18"/>
          <w:szCs w:val="18"/>
        </w:rPr>
      </w:pPr>
      <w:r>
        <w:rPr>
          <w:rFonts w:ascii="Arial" w:eastAsia="宋体" w:hAnsi="Arial" w:cs="Arial"/>
          <w:color w:val="333333"/>
          <w:sz w:val="16"/>
          <w:szCs w:val="16"/>
        </w:rPr>
        <w:t xml:space="preserve">Indicate by check mark whether the registrant (1) has filed all reports required to be filed by Section 13 or 15(d) </w:t>
      </w:r>
      <w:r>
        <w:rPr>
          <w:rFonts w:ascii="Arial" w:eastAsia="宋体" w:hAnsi="Arial" w:cs="Arial"/>
          <w:color w:val="333333"/>
          <w:sz w:val="16"/>
          <w:szCs w:val="16"/>
        </w:rPr>
        <w:t xml:space="preserve">of the Securities Exchange Act of 1934 during the preceding 12 months (or for such shorter period that the registrant was required to file such reports), and (2) has been subject to such filing requirements for the past 90 days.    Yes </w:t>
      </w:r>
      <w:r>
        <w:rPr>
          <w:rFonts w:ascii="Arial Unicode MS" w:eastAsia="Arial Unicode MS" w:hAnsi="Arial Unicode MS" w:cs="Arial Unicode MS" w:hint="eastAsia"/>
          <w:color w:val="333333"/>
          <w:sz w:val="18"/>
          <w:szCs w:val="18"/>
        </w:rPr>
        <w:t>☑</w:t>
      </w:r>
      <w:r>
        <w:rPr>
          <w:rFonts w:ascii="Arial" w:eastAsia="宋体" w:hAnsi="Arial" w:cs="Arial"/>
          <w:color w:val="333333"/>
          <w:sz w:val="16"/>
          <w:szCs w:val="16"/>
        </w:rPr>
        <w:t>  No </w:t>
      </w:r>
      <w:r>
        <w:rPr>
          <w:rFonts w:ascii="Arial Unicode MS" w:eastAsia="Arial Unicode MS" w:hAnsi="Arial Unicode MS" w:cs="Arial Unicode MS" w:hint="eastAsia"/>
          <w:color w:val="333333"/>
          <w:sz w:val="18"/>
          <w:szCs w:val="18"/>
        </w:rPr>
        <w:t>☐</w:t>
      </w:r>
    </w:p>
    <w:p w14:paraId="4ACE1ECF" w14:textId="77777777" w:rsidR="006F587A" w:rsidRDefault="007B2B61">
      <w:pPr>
        <w:spacing w:line="288" w:lineRule="auto"/>
        <w:rPr>
          <w:rFonts w:ascii="Times New Roman" w:hAnsi="Times New Roman"/>
          <w:sz w:val="18"/>
          <w:szCs w:val="18"/>
        </w:rPr>
      </w:pPr>
      <w:r>
        <w:rPr>
          <w:rFonts w:ascii="Arial" w:eastAsia="宋体" w:hAnsi="Arial" w:cs="Arial"/>
          <w:color w:val="333333"/>
          <w:sz w:val="16"/>
          <w:szCs w:val="16"/>
        </w:rPr>
        <w:lastRenderedPageBreak/>
        <w:t xml:space="preserve">Indicate by </w:t>
      </w:r>
      <w:r>
        <w:rPr>
          <w:rFonts w:ascii="Arial" w:eastAsia="宋体" w:hAnsi="Arial" w:cs="Arial"/>
          <w:color w:val="333333"/>
          <w:sz w:val="16"/>
          <w:szCs w:val="16"/>
        </w:rPr>
        <w:t>check mark whether the registrant has submitted electronically every interactive data file required to be submitted pursuant to Rule 405 of Regulation S-T (§ 232.405 of this chapter) during the preceding 12 months (or for such shorter period that the regis</w:t>
      </w:r>
      <w:r>
        <w:rPr>
          <w:rFonts w:ascii="Arial" w:eastAsia="宋体" w:hAnsi="Arial" w:cs="Arial"/>
          <w:color w:val="333333"/>
          <w:sz w:val="16"/>
          <w:szCs w:val="16"/>
        </w:rPr>
        <w:t xml:space="preserve">trant was required to submit such files).    Yes </w:t>
      </w:r>
      <w:r>
        <w:rPr>
          <w:rFonts w:ascii="Arial Unicode MS" w:eastAsia="Arial Unicode MS" w:hAnsi="Arial Unicode MS" w:cs="Arial Unicode MS" w:hint="eastAsia"/>
          <w:color w:val="333333"/>
          <w:sz w:val="18"/>
          <w:szCs w:val="18"/>
        </w:rPr>
        <w:t>☑</w:t>
      </w:r>
      <w:r>
        <w:rPr>
          <w:rFonts w:ascii="Arial" w:eastAsia="宋体" w:hAnsi="Arial" w:cs="Arial"/>
          <w:color w:val="333333"/>
          <w:sz w:val="16"/>
          <w:szCs w:val="16"/>
        </w:rPr>
        <w:t>  No </w:t>
      </w:r>
      <w:r>
        <w:rPr>
          <w:rFonts w:ascii="Arial Unicode MS" w:eastAsia="Arial Unicode MS" w:hAnsi="Arial Unicode MS" w:cs="Arial Unicode MS" w:hint="eastAsia"/>
          <w:color w:val="333333"/>
          <w:sz w:val="18"/>
          <w:szCs w:val="18"/>
        </w:rPr>
        <w:t>☐</w:t>
      </w:r>
    </w:p>
    <w:p w14:paraId="4ACE1ED0" w14:textId="77777777" w:rsidR="006F587A" w:rsidRDefault="007B2B61">
      <w:pPr>
        <w:spacing w:line="288" w:lineRule="auto"/>
        <w:rPr>
          <w:rFonts w:ascii="Times New Roman" w:hAnsi="Times New Roman"/>
          <w:sz w:val="16"/>
          <w:szCs w:val="16"/>
        </w:rPr>
      </w:pPr>
      <w:r>
        <w:rPr>
          <w:rFonts w:ascii="Arial" w:eastAsia="宋体" w:hAnsi="Arial" w:cs="Arial"/>
          <w:color w:val="333333"/>
          <w:sz w:val="16"/>
          <w:szCs w:val="16"/>
        </w:rPr>
        <w:t xml:space="preserve">Indicate by check mark whether the registrant is a large accelerated filer, an accelerated filer, a non-accelerated filer, a smaller reporting company, or an emerging growth company. See the </w:t>
      </w:r>
      <w:r>
        <w:rPr>
          <w:rFonts w:ascii="Arial" w:eastAsia="宋体" w:hAnsi="Arial" w:cs="Arial"/>
          <w:color w:val="333333"/>
          <w:sz w:val="16"/>
          <w:szCs w:val="16"/>
        </w:rPr>
        <w:t>definitions of "large accelerated filer," "accelerated filer," "smaller reporting company," and "emerging growth company" in Rule 12b-2 of the Exchange Act.</w:t>
      </w:r>
    </w:p>
    <w:tbl>
      <w:tblPr>
        <w:tblW w:w="5000" w:type="pct"/>
        <w:tblCellMar>
          <w:left w:w="0" w:type="dxa"/>
          <w:right w:w="0" w:type="dxa"/>
        </w:tblCellMar>
        <w:tblLook w:val="04A0" w:firstRow="1" w:lastRow="0" w:firstColumn="1" w:lastColumn="0" w:noHBand="0" w:noVBand="1"/>
      </w:tblPr>
      <w:tblGrid>
        <w:gridCol w:w="1354"/>
        <w:gridCol w:w="1370"/>
        <w:gridCol w:w="1717"/>
        <w:gridCol w:w="2179"/>
        <w:gridCol w:w="1686"/>
      </w:tblGrid>
      <w:tr w:rsidR="006F587A" w14:paraId="4ACE1ED2" w14:textId="77777777">
        <w:tc>
          <w:tcPr>
            <w:tcW w:w="0" w:type="auto"/>
            <w:gridSpan w:val="5"/>
            <w:shd w:val="clear" w:color="auto" w:fill="auto"/>
            <w:vAlign w:val="center"/>
          </w:tcPr>
          <w:p w14:paraId="4ACE1ED1" w14:textId="77777777" w:rsidR="006F587A" w:rsidRDefault="006F587A">
            <w:pPr>
              <w:rPr>
                <w:rFonts w:ascii="Times New Roman" w:hAnsi="Times New Roman"/>
                <w:sz w:val="20"/>
                <w:szCs w:val="20"/>
              </w:rPr>
            </w:pPr>
          </w:p>
        </w:tc>
      </w:tr>
      <w:tr w:rsidR="006F587A" w14:paraId="4ACE1ED8" w14:textId="77777777">
        <w:tc>
          <w:tcPr>
            <w:tcW w:w="950" w:type="pct"/>
            <w:shd w:val="clear" w:color="auto" w:fill="auto"/>
            <w:vAlign w:val="center"/>
          </w:tcPr>
          <w:p w14:paraId="4ACE1ED3" w14:textId="77777777" w:rsidR="006F587A" w:rsidRDefault="006F587A">
            <w:pPr>
              <w:rPr>
                <w:rFonts w:ascii="Times New Roman" w:hAnsi="Times New Roman"/>
                <w:sz w:val="20"/>
                <w:szCs w:val="20"/>
              </w:rPr>
            </w:pPr>
          </w:p>
        </w:tc>
        <w:tc>
          <w:tcPr>
            <w:tcW w:w="800" w:type="pct"/>
            <w:shd w:val="clear" w:color="auto" w:fill="auto"/>
            <w:vAlign w:val="center"/>
          </w:tcPr>
          <w:p w14:paraId="4ACE1ED4" w14:textId="77777777" w:rsidR="006F587A" w:rsidRDefault="006F587A">
            <w:pPr>
              <w:rPr>
                <w:rFonts w:ascii="Times New Roman" w:hAnsi="Times New Roman"/>
                <w:sz w:val="20"/>
                <w:szCs w:val="20"/>
              </w:rPr>
            </w:pPr>
          </w:p>
        </w:tc>
        <w:tc>
          <w:tcPr>
            <w:tcW w:w="950" w:type="pct"/>
            <w:shd w:val="clear" w:color="auto" w:fill="auto"/>
            <w:vAlign w:val="center"/>
          </w:tcPr>
          <w:p w14:paraId="4ACE1ED5" w14:textId="77777777" w:rsidR="006F587A" w:rsidRDefault="006F587A">
            <w:pPr>
              <w:rPr>
                <w:rFonts w:ascii="Times New Roman" w:hAnsi="Times New Roman"/>
                <w:sz w:val="20"/>
                <w:szCs w:val="20"/>
              </w:rPr>
            </w:pPr>
          </w:p>
        </w:tc>
        <w:tc>
          <w:tcPr>
            <w:tcW w:w="1150" w:type="pct"/>
            <w:shd w:val="clear" w:color="auto" w:fill="auto"/>
            <w:vAlign w:val="center"/>
          </w:tcPr>
          <w:p w14:paraId="4ACE1ED6" w14:textId="77777777" w:rsidR="006F587A" w:rsidRDefault="006F587A">
            <w:pPr>
              <w:rPr>
                <w:rFonts w:ascii="Times New Roman" w:hAnsi="Times New Roman"/>
                <w:sz w:val="20"/>
                <w:szCs w:val="20"/>
              </w:rPr>
            </w:pPr>
          </w:p>
        </w:tc>
        <w:tc>
          <w:tcPr>
            <w:tcW w:w="1150" w:type="pct"/>
            <w:shd w:val="clear" w:color="auto" w:fill="auto"/>
            <w:vAlign w:val="center"/>
          </w:tcPr>
          <w:p w14:paraId="4ACE1ED7" w14:textId="77777777" w:rsidR="006F587A" w:rsidRDefault="006F587A">
            <w:pPr>
              <w:rPr>
                <w:rFonts w:ascii="Times New Roman" w:hAnsi="Times New Roman"/>
                <w:sz w:val="20"/>
                <w:szCs w:val="20"/>
              </w:rPr>
            </w:pPr>
          </w:p>
        </w:tc>
      </w:tr>
      <w:tr w:rsidR="006F587A" w14:paraId="4ACE1EDE" w14:textId="77777777">
        <w:tc>
          <w:tcPr>
            <w:tcW w:w="0" w:type="auto"/>
            <w:shd w:val="clear" w:color="auto" w:fill="auto"/>
            <w:tcMar>
              <w:top w:w="40" w:type="dxa"/>
              <w:left w:w="40" w:type="dxa"/>
              <w:bottom w:w="40" w:type="dxa"/>
              <w:right w:w="40" w:type="dxa"/>
            </w:tcMar>
            <w:vAlign w:val="bottom"/>
          </w:tcPr>
          <w:p w14:paraId="4ACE1ED9" w14:textId="77777777" w:rsidR="006F587A" w:rsidRDefault="007B2B61">
            <w:pPr>
              <w:jc w:val="center"/>
              <w:textAlignment w:val="bottom"/>
              <w:rPr>
                <w:rFonts w:ascii="Times New Roman" w:hAnsi="Times New Roman"/>
                <w:sz w:val="18"/>
                <w:szCs w:val="18"/>
              </w:rPr>
            </w:pPr>
            <w:r>
              <w:rPr>
                <w:rFonts w:ascii="Arial" w:eastAsia="宋体" w:hAnsi="Arial" w:cs="Arial"/>
                <w:color w:val="333333"/>
                <w:sz w:val="18"/>
                <w:szCs w:val="18"/>
              </w:rPr>
              <w:t>Large Accelerated Filer</w:t>
            </w:r>
          </w:p>
        </w:tc>
        <w:tc>
          <w:tcPr>
            <w:tcW w:w="0" w:type="auto"/>
            <w:shd w:val="clear" w:color="auto" w:fill="auto"/>
            <w:tcMar>
              <w:top w:w="40" w:type="dxa"/>
              <w:left w:w="40" w:type="dxa"/>
              <w:bottom w:w="40" w:type="dxa"/>
              <w:right w:w="40" w:type="dxa"/>
            </w:tcMar>
            <w:vAlign w:val="bottom"/>
          </w:tcPr>
          <w:p w14:paraId="4ACE1EDA"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Accelerated Filer  </w:t>
            </w:r>
          </w:p>
        </w:tc>
        <w:tc>
          <w:tcPr>
            <w:tcW w:w="0" w:type="auto"/>
            <w:shd w:val="clear" w:color="auto" w:fill="auto"/>
            <w:tcMar>
              <w:top w:w="40" w:type="dxa"/>
              <w:left w:w="40" w:type="dxa"/>
              <w:bottom w:w="40" w:type="dxa"/>
              <w:right w:w="40" w:type="dxa"/>
            </w:tcMar>
            <w:vAlign w:val="bottom"/>
          </w:tcPr>
          <w:p w14:paraId="4ACE1EDB"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Non-Accelerated Filer  </w:t>
            </w:r>
          </w:p>
        </w:tc>
        <w:tc>
          <w:tcPr>
            <w:tcW w:w="0" w:type="auto"/>
            <w:shd w:val="clear" w:color="auto" w:fill="auto"/>
            <w:tcMar>
              <w:top w:w="40" w:type="dxa"/>
              <w:left w:w="40" w:type="dxa"/>
              <w:bottom w:w="40" w:type="dxa"/>
              <w:right w:w="40" w:type="dxa"/>
            </w:tcMar>
            <w:vAlign w:val="bottom"/>
          </w:tcPr>
          <w:p w14:paraId="4ACE1EDC"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Smaller Reporting Company  </w:t>
            </w:r>
          </w:p>
        </w:tc>
        <w:tc>
          <w:tcPr>
            <w:tcW w:w="0" w:type="auto"/>
            <w:shd w:val="clear" w:color="auto" w:fill="auto"/>
            <w:tcMar>
              <w:top w:w="40" w:type="dxa"/>
              <w:left w:w="40" w:type="dxa"/>
              <w:bottom w:w="40" w:type="dxa"/>
              <w:right w:w="40" w:type="dxa"/>
            </w:tcMar>
            <w:vAlign w:val="bottom"/>
          </w:tcPr>
          <w:p w14:paraId="4ACE1EDD"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Emerging Growth Company  </w:t>
            </w:r>
          </w:p>
        </w:tc>
      </w:tr>
      <w:tr w:rsidR="006F587A" w14:paraId="4ACE1EE4" w14:textId="77777777">
        <w:tc>
          <w:tcPr>
            <w:tcW w:w="0" w:type="auto"/>
            <w:shd w:val="clear" w:color="auto" w:fill="auto"/>
            <w:tcMar>
              <w:top w:w="40" w:type="dxa"/>
              <w:left w:w="40" w:type="dxa"/>
              <w:bottom w:w="40" w:type="dxa"/>
              <w:right w:w="40" w:type="dxa"/>
            </w:tcMar>
            <w:vAlign w:val="bottom"/>
          </w:tcPr>
          <w:p w14:paraId="4ACE1EDF"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4ACE1EE0" w14:textId="77777777" w:rsidR="006F587A" w:rsidRDefault="007B2B61">
            <w:pPr>
              <w:jc w:val="right"/>
              <w:textAlignment w:val="bottom"/>
              <w:rPr>
                <w:rFonts w:ascii="Times New Roman" w:hAnsi="Times New Roman"/>
                <w:sz w:val="18"/>
                <w:szCs w:val="18"/>
              </w:rPr>
            </w:pPr>
            <w:r>
              <w:rPr>
                <w:rFonts w:ascii="Arial Unicode MS" w:eastAsia="Arial Unicode MS" w:hAnsi="Arial Unicode MS" w:cs="Arial Unicode MS" w:hint="eastAsia"/>
                <w:color w:val="333333"/>
                <w:sz w:val="18"/>
                <w:szCs w:val="18"/>
              </w:rPr>
              <w:t>☐</w:t>
            </w:r>
          </w:p>
        </w:tc>
        <w:tc>
          <w:tcPr>
            <w:tcW w:w="0" w:type="auto"/>
            <w:shd w:val="clear" w:color="auto" w:fill="auto"/>
            <w:tcMar>
              <w:top w:w="40" w:type="dxa"/>
              <w:left w:w="40" w:type="dxa"/>
              <w:bottom w:w="40" w:type="dxa"/>
              <w:right w:w="40" w:type="dxa"/>
            </w:tcMar>
            <w:vAlign w:val="bottom"/>
          </w:tcPr>
          <w:p w14:paraId="4ACE1EE1" w14:textId="77777777" w:rsidR="006F587A" w:rsidRDefault="007B2B61">
            <w:pPr>
              <w:jc w:val="right"/>
              <w:textAlignment w:val="bottom"/>
              <w:rPr>
                <w:rFonts w:ascii="Times New Roman" w:hAnsi="Times New Roman"/>
                <w:sz w:val="18"/>
                <w:szCs w:val="18"/>
              </w:rPr>
            </w:pPr>
            <w:r>
              <w:rPr>
                <w:rFonts w:ascii="Arial Unicode MS" w:eastAsia="Arial Unicode MS" w:hAnsi="Arial Unicode MS" w:cs="Arial Unicode MS" w:hint="eastAsia"/>
                <w:color w:val="333333"/>
                <w:sz w:val="18"/>
                <w:szCs w:val="18"/>
              </w:rPr>
              <w:t>☐</w:t>
            </w:r>
          </w:p>
        </w:tc>
        <w:tc>
          <w:tcPr>
            <w:tcW w:w="0" w:type="auto"/>
            <w:shd w:val="clear" w:color="auto" w:fill="auto"/>
            <w:tcMar>
              <w:top w:w="40" w:type="dxa"/>
              <w:left w:w="40" w:type="dxa"/>
              <w:bottom w:w="40" w:type="dxa"/>
              <w:right w:w="40" w:type="dxa"/>
            </w:tcMar>
            <w:vAlign w:val="bottom"/>
          </w:tcPr>
          <w:p w14:paraId="4ACE1EE2" w14:textId="77777777" w:rsidR="006F587A" w:rsidRDefault="007B2B61">
            <w:pPr>
              <w:jc w:val="center"/>
              <w:textAlignment w:val="bottom"/>
              <w:rPr>
                <w:rFonts w:ascii="Times New Roman" w:hAnsi="Times New Roman"/>
                <w:sz w:val="18"/>
                <w:szCs w:val="18"/>
              </w:rPr>
            </w:pPr>
            <w:r>
              <w:rPr>
                <w:rFonts w:ascii="Arial Unicode MS" w:eastAsia="Arial Unicode MS" w:hAnsi="Arial Unicode MS" w:cs="Arial Unicode MS" w:hint="eastAsia"/>
                <w:color w:val="333333"/>
                <w:sz w:val="18"/>
                <w:szCs w:val="18"/>
              </w:rPr>
              <w:t>☐</w:t>
            </w:r>
          </w:p>
        </w:tc>
        <w:tc>
          <w:tcPr>
            <w:tcW w:w="0" w:type="auto"/>
            <w:shd w:val="clear" w:color="auto" w:fill="auto"/>
            <w:tcMar>
              <w:top w:w="40" w:type="dxa"/>
              <w:left w:w="40" w:type="dxa"/>
              <w:bottom w:w="40" w:type="dxa"/>
              <w:right w:w="40" w:type="dxa"/>
            </w:tcMar>
          </w:tcPr>
          <w:p w14:paraId="4ACE1EE3" w14:textId="77777777" w:rsidR="006F587A" w:rsidRDefault="007B2B61">
            <w:pPr>
              <w:jc w:val="center"/>
              <w:textAlignment w:val="top"/>
              <w:rPr>
                <w:rFonts w:ascii="Times New Roman" w:hAnsi="Times New Roman"/>
                <w:sz w:val="18"/>
                <w:szCs w:val="18"/>
              </w:rPr>
            </w:pPr>
            <w:r>
              <w:rPr>
                <w:rFonts w:ascii="Arial Unicode MS" w:eastAsia="Arial Unicode MS" w:hAnsi="Arial Unicode MS" w:cs="Arial Unicode MS" w:hint="eastAsia"/>
                <w:color w:val="333333"/>
                <w:sz w:val="18"/>
                <w:szCs w:val="18"/>
              </w:rPr>
              <w:t>☐</w:t>
            </w:r>
          </w:p>
        </w:tc>
      </w:tr>
    </w:tbl>
    <w:p w14:paraId="4ACE1EE5" w14:textId="77777777" w:rsidR="006F587A" w:rsidRDefault="007B2B61">
      <w:pPr>
        <w:spacing w:line="288" w:lineRule="auto"/>
        <w:rPr>
          <w:rFonts w:ascii="Times New Roman" w:hAnsi="Times New Roman"/>
          <w:sz w:val="18"/>
          <w:szCs w:val="18"/>
        </w:rPr>
      </w:pPr>
      <w:r>
        <w:rPr>
          <w:rFonts w:ascii="Arial" w:eastAsia="宋体" w:hAnsi="Arial" w:cs="Arial"/>
          <w:color w:val="333333"/>
          <w:sz w:val="16"/>
          <w:szCs w:val="16"/>
        </w:rPr>
        <w:t xml:space="preserve">If an emerging growth company, indicate by check mark if the registrant has elected not to use the extended transition period for complying with any new or revised financial </w:t>
      </w:r>
      <w:r>
        <w:rPr>
          <w:rFonts w:ascii="Arial" w:eastAsia="宋体" w:hAnsi="Arial" w:cs="Arial"/>
          <w:color w:val="333333"/>
          <w:sz w:val="16"/>
          <w:szCs w:val="16"/>
        </w:rPr>
        <w:t>accounting standards provided pursuant to Section 13(a) of the Exchange Act.  </w:t>
      </w:r>
      <w:r>
        <w:rPr>
          <w:rFonts w:ascii="Arial Unicode MS" w:eastAsia="Arial Unicode MS" w:hAnsi="Arial Unicode MS" w:cs="Arial Unicode MS" w:hint="eastAsia"/>
          <w:color w:val="333333"/>
          <w:sz w:val="18"/>
          <w:szCs w:val="18"/>
        </w:rPr>
        <w:t>☐</w:t>
      </w:r>
    </w:p>
    <w:p w14:paraId="4ACE1EE6" w14:textId="77777777" w:rsidR="006F587A" w:rsidRDefault="007B2B61">
      <w:pPr>
        <w:spacing w:line="288" w:lineRule="auto"/>
        <w:rPr>
          <w:rFonts w:ascii="Times New Roman" w:hAnsi="Times New Roman"/>
          <w:sz w:val="18"/>
          <w:szCs w:val="18"/>
        </w:rPr>
      </w:pPr>
      <w:r>
        <w:rPr>
          <w:rFonts w:ascii="Arial" w:eastAsia="宋体" w:hAnsi="Arial" w:cs="Arial"/>
          <w:color w:val="333333"/>
          <w:sz w:val="16"/>
          <w:szCs w:val="16"/>
        </w:rPr>
        <w:t>Indicate by check mark whether the registrant is a shell company (as defined in Rule 12b-2 of the Act).    Yes </w:t>
      </w:r>
      <w:r>
        <w:rPr>
          <w:rFonts w:ascii="Arial Unicode MS" w:eastAsia="Arial Unicode MS" w:hAnsi="Arial Unicode MS" w:cs="Arial Unicode MS" w:hint="eastAsia"/>
          <w:color w:val="333333"/>
          <w:sz w:val="18"/>
          <w:szCs w:val="18"/>
        </w:rPr>
        <w:t>☐</w:t>
      </w:r>
      <w:r>
        <w:rPr>
          <w:rFonts w:ascii="Arial" w:eastAsia="宋体" w:hAnsi="Arial" w:cs="Arial"/>
          <w:color w:val="333333"/>
          <w:sz w:val="16"/>
          <w:szCs w:val="16"/>
        </w:rPr>
        <w:t>  No </w:t>
      </w:r>
      <w:r>
        <w:rPr>
          <w:rFonts w:ascii="Arial Unicode MS" w:eastAsia="Arial Unicode MS" w:hAnsi="Arial Unicode MS" w:cs="Arial Unicode MS" w:hint="eastAsia"/>
          <w:color w:val="333333"/>
          <w:sz w:val="18"/>
          <w:szCs w:val="18"/>
        </w:rPr>
        <w:t>☑</w:t>
      </w:r>
    </w:p>
    <w:p w14:paraId="4ACE1EE7" w14:textId="77777777" w:rsidR="006F587A" w:rsidRDefault="007B2B61">
      <w:pPr>
        <w:spacing w:line="288" w:lineRule="auto"/>
        <w:rPr>
          <w:rFonts w:ascii="Times New Roman" w:hAnsi="Times New Roman"/>
          <w:sz w:val="16"/>
          <w:szCs w:val="16"/>
        </w:rPr>
      </w:pPr>
      <w:r>
        <w:rPr>
          <w:rFonts w:ascii="Arial" w:eastAsia="宋体" w:hAnsi="Arial" w:cs="Arial"/>
          <w:color w:val="333333"/>
          <w:sz w:val="16"/>
          <w:szCs w:val="16"/>
        </w:rPr>
        <w:t>Aggregate market value of voting and non-voting common eq</w:t>
      </w:r>
      <w:r>
        <w:rPr>
          <w:rFonts w:ascii="Arial" w:eastAsia="宋体" w:hAnsi="Arial" w:cs="Arial"/>
          <w:color w:val="333333"/>
          <w:sz w:val="16"/>
          <w:szCs w:val="16"/>
        </w:rPr>
        <w:t>uity held by non-affiliates of the registrant as of June 28, 2019, based upon the closing price of the common stock as reported by the Nasdaq Global Select Market on such date, was $212.0 billion. 4,277 million shares of common stock were outstanding as of</w:t>
      </w:r>
      <w:r>
        <w:rPr>
          <w:rFonts w:ascii="Arial" w:eastAsia="宋体" w:hAnsi="Arial" w:cs="Arial"/>
          <w:color w:val="333333"/>
          <w:sz w:val="16"/>
          <w:szCs w:val="16"/>
        </w:rPr>
        <w:t xml:space="preserve"> January 17, 2020. </w:t>
      </w:r>
    </w:p>
    <w:p w14:paraId="4ACE1EE8" w14:textId="77777777" w:rsidR="006F587A" w:rsidRDefault="007B2B61">
      <w:pPr>
        <w:spacing w:line="288" w:lineRule="auto"/>
        <w:jc w:val="center"/>
        <w:rPr>
          <w:rFonts w:ascii="Times New Roman" w:hAnsi="Times New Roman"/>
          <w:sz w:val="17"/>
          <w:szCs w:val="17"/>
        </w:rPr>
      </w:pPr>
      <w:r>
        <w:rPr>
          <w:rFonts w:ascii="Arial" w:eastAsia="宋体" w:hAnsi="Arial" w:cs="Arial"/>
          <w:b/>
          <w:bCs/>
          <w:color w:val="333333"/>
          <w:sz w:val="17"/>
          <w:szCs w:val="17"/>
        </w:rPr>
        <w:t xml:space="preserve">DOCUMENTS INCORPORATED BY REFERENCE </w:t>
      </w:r>
    </w:p>
    <w:p w14:paraId="4ACE1EE9" w14:textId="77777777" w:rsidR="006F587A" w:rsidRDefault="007B2B61">
      <w:pPr>
        <w:spacing w:line="288" w:lineRule="auto"/>
        <w:rPr>
          <w:rFonts w:ascii="Times New Roman" w:hAnsi="Times New Roman"/>
          <w:sz w:val="16"/>
          <w:szCs w:val="16"/>
        </w:rPr>
      </w:pPr>
      <w:r>
        <w:rPr>
          <w:rFonts w:ascii="Arial" w:eastAsia="宋体" w:hAnsi="Arial" w:cs="Arial"/>
          <w:color w:val="333333"/>
          <w:sz w:val="16"/>
          <w:szCs w:val="16"/>
        </w:rPr>
        <w:t>Portions of the registrant’s proxy statement related to its 2020 Annual Stockholders’ Meeting to be filed subsequently are incorporated by reference into Part III of this Annual Report on Form 10-K. Except as expressly incorporated by reference, the regist</w:t>
      </w:r>
      <w:r>
        <w:rPr>
          <w:rFonts w:ascii="Arial" w:eastAsia="宋体" w:hAnsi="Arial" w:cs="Arial"/>
          <w:color w:val="333333"/>
          <w:sz w:val="16"/>
          <w:szCs w:val="16"/>
        </w:rPr>
        <w:t xml:space="preserve">rant’s proxy statement shall not be deemed to be part of this report. </w:t>
      </w:r>
    </w:p>
    <w:p w14:paraId="4ACE1EEA" w14:textId="77777777" w:rsidR="006F587A" w:rsidRDefault="006F587A">
      <w:pPr>
        <w:rPr>
          <w:rFonts w:ascii="Times New Roman" w:hAnsi="Times New Roman"/>
          <w:sz w:val="20"/>
          <w:szCs w:val="20"/>
        </w:rPr>
      </w:pPr>
    </w:p>
    <w:p w14:paraId="4ACE1EEB" w14:textId="77777777" w:rsidR="006F587A" w:rsidRDefault="007B2B61">
      <w:r>
        <w:rPr>
          <w:rFonts w:ascii="Times New Roman" w:hAnsi="Times New Roman"/>
          <w:sz w:val="20"/>
          <w:szCs w:val="20"/>
        </w:rPr>
        <w:pict w14:anchorId="4ACE6C1B">
          <v:rect id="_x0000_i1025" style="width:415.3pt;height:1.5pt" o:hralign="center" o:hrstd="t" o:hr="t" fillcolor="#a0a0a0" stroked="f"/>
        </w:pict>
      </w:r>
    </w:p>
    <w:p w14:paraId="4ACE1EEC" w14:textId="77777777" w:rsidR="006F587A" w:rsidRDefault="006F587A">
      <w:pPr>
        <w:rPr>
          <w:rFonts w:ascii="Times New Roman" w:hAnsi="Times New Roman"/>
          <w:sz w:val="20"/>
          <w:szCs w:val="20"/>
        </w:rPr>
      </w:pPr>
    </w:p>
    <w:p w14:paraId="4ACE1EED" w14:textId="77777777" w:rsidR="006F587A" w:rsidRDefault="007B2B61">
      <w:pPr>
        <w:spacing w:line="288" w:lineRule="auto"/>
        <w:rPr>
          <w:rFonts w:ascii="Times New Roman" w:hAnsi="Times New Roman"/>
          <w:sz w:val="36"/>
          <w:szCs w:val="36"/>
        </w:rPr>
      </w:pPr>
      <w:r>
        <w:rPr>
          <w:rFonts w:ascii="Arial" w:eastAsia="宋体" w:hAnsi="Arial" w:cs="Arial"/>
          <w:b/>
          <w:bCs/>
          <w:color w:val="0071C5"/>
          <w:sz w:val="36"/>
          <w:szCs w:val="36"/>
        </w:rPr>
        <w:t>TABLE OF CONTENTS</w:t>
      </w:r>
    </w:p>
    <w:p w14:paraId="4ACE1EEE" w14:textId="77777777" w:rsidR="006F587A" w:rsidRDefault="007B2B61">
      <w:pPr>
        <w:spacing w:line="288" w:lineRule="auto"/>
        <w:rPr>
          <w:rFonts w:ascii="Times New Roman" w:hAnsi="Times New Roman"/>
        </w:rPr>
      </w:pPr>
      <w:r>
        <w:rPr>
          <w:rFonts w:ascii="Arial" w:eastAsia="宋体" w:hAnsi="Arial" w:cs="Arial"/>
          <w:b/>
          <w:bCs/>
          <w:color w:val="0071C5"/>
        </w:rPr>
        <w:t>ORGANIZATION OF OUR ANNUAL REPORT ON FORM 10-K</w:t>
      </w:r>
    </w:p>
    <w:p w14:paraId="4ACE1EEF"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The order and presentation of content in our Form 10-K differs from the traditional SEC Form 10-K format. Our format</w:t>
      </w:r>
      <w:r>
        <w:rPr>
          <w:rFonts w:ascii="Arial" w:eastAsia="宋体" w:hAnsi="Arial" w:cs="Arial"/>
          <w:color w:val="333333"/>
          <w:sz w:val="18"/>
          <w:szCs w:val="18"/>
        </w:rPr>
        <w:t xml:space="preserve"> is designed to improve readability and better presents how we organize and manage our business. See "Form 10-K Cross-Reference Index" within the Financial Statements and Supplemental Details for a cross-reference index to the traditional SEC Form 10-K for</w:t>
      </w:r>
      <w:r>
        <w:rPr>
          <w:rFonts w:ascii="Arial" w:eastAsia="宋体" w:hAnsi="Arial" w:cs="Arial"/>
          <w:color w:val="333333"/>
          <w:sz w:val="18"/>
          <w:szCs w:val="18"/>
        </w:rPr>
        <w:t>mat. To reflect our focus on transforming from a PC-centric</w:t>
      </w:r>
      <w:r>
        <w:rPr>
          <w:rFonts w:ascii="Arial" w:eastAsia="宋体" w:hAnsi="Arial" w:cs="Arial"/>
          <w:color w:val="333333"/>
          <w:sz w:val="12"/>
          <w:szCs w:val="12"/>
        </w:rPr>
        <w:t>1</w:t>
      </w:r>
      <w:r>
        <w:rPr>
          <w:rFonts w:ascii="Arial" w:eastAsia="宋体" w:hAnsi="Arial" w:cs="Arial"/>
          <w:color w:val="333333"/>
          <w:sz w:val="18"/>
          <w:szCs w:val="18"/>
        </w:rPr>
        <w:t xml:space="preserve"> company to a data-centric company, we have presented our data-centric businesses</w:t>
      </w:r>
      <w:r>
        <w:rPr>
          <w:rFonts w:ascii="Arial" w:eastAsia="宋体" w:hAnsi="Arial" w:cs="Arial"/>
          <w:color w:val="333333"/>
          <w:sz w:val="12"/>
          <w:szCs w:val="12"/>
        </w:rPr>
        <w:t>1</w:t>
      </w:r>
      <w:r>
        <w:rPr>
          <w:rFonts w:ascii="Arial" w:eastAsia="宋体" w:hAnsi="Arial" w:cs="Arial"/>
          <w:color w:val="333333"/>
          <w:sz w:val="18"/>
          <w:szCs w:val="18"/>
        </w:rPr>
        <w:t xml:space="preserve"> first in the "Segment Trends and Results" within MD&amp;A.</w:t>
      </w:r>
    </w:p>
    <w:p w14:paraId="4ACE1EF0"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We have defined certain terms and abbreviations used throughout our Form 10-K in "Key Terms" within the Financial Statements and Supplemental Details. </w:t>
      </w:r>
    </w:p>
    <w:p w14:paraId="4ACE1EF1"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The preparation of our Consolidated Financial Statements is in conformity with U.S. GAAP. We have includ</w:t>
      </w:r>
      <w:r>
        <w:rPr>
          <w:rFonts w:ascii="Arial" w:eastAsia="宋体" w:hAnsi="Arial" w:cs="Arial"/>
          <w:color w:val="333333"/>
          <w:sz w:val="18"/>
          <w:szCs w:val="18"/>
        </w:rPr>
        <w:t xml:space="preserve">ed key metrics that we use to measure our business, some of which are non-GAAP measures. See these "Non-GAAP Financial Measures" within MD&amp;A. </w:t>
      </w:r>
    </w:p>
    <w:tbl>
      <w:tblPr>
        <w:tblW w:w="5000" w:type="pct"/>
        <w:tblCellMar>
          <w:left w:w="0" w:type="dxa"/>
          <w:right w:w="0" w:type="dxa"/>
        </w:tblCellMar>
        <w:tblLook w:val="04A0" w:firstRow="1" w:lastRow="0" w:firstColumn="1" w:lastColumn="0" w:noHBand="0" w:noVBand="1"/>
      </w:tblPr>
      <w:tblGrid>
        <w:gridCol w:w="5648"/>
        <w:gridCol w:w="1163"/>
        <w:gridCol w:w="1495"/>
      </w:tblGrid>
      <w:tr w:rsidR="006F587A" w14:paraId="4ACE1EF3" w14:textId="77777777">
        <w:tc>
          <w:tcPr>
            <w:tcW w:w="0" w:type="auto"/>
            <w:gridSpan w:val="3"/>
            <w:shd w:val="clear" w:color="auto" w:fill="auto"/>
            <w:vAlign w:val="center"/>
          </w:tcPr>
          <w:p w14:paraId="4ACE1EF2" w14:textId="77777777" w:rsidR="006F587A" w:rsidRDefault="006F587A">
            <w:pPr>
              <w:rPr>
                <w:rFonts w:ascii="Times New Roman" w:hAnsi="Times New Roman"/>
                <w:sz w:val="20"/>
                <w:szCs w:val="20"/>
              </w:rPr>
            </w:pPr>
          </w:p>
        </w:tc>
      </w:tr>
      <w:tr w:rsidR="006F587A" w14:paraId="4ACE1EF7" w14:textId="77777777">
        <w:tc>
          <w:tcPr>
            <w:tcW w:w="3400" w:type="pct"/>
            <w:shd w:val="clear" w:color="auto" w:fill="auto"/>
            <w:vAlign w:val="center"/>
          </w:tcPr>
          <w:p w14:paraId="4ACE1EF4" w14:textId="77777777" w:rsidR="006F587A" w:rsidRDefault="006F587A">
            <w:pPr>
              <w:rPr>
                <w:rFonts w:ascii="Times New Roman" w:hAnsi="Times New Roman"/>
                <w:sz w:val="20"/>
                <w:szCs w:val="20"/>
              </w:rPr>
            </w:pPr>
          </w:p>
        </w:tc>
        <w:tc>
          <w:tcPr>
            <w:tcW w:w="700" w:type="pct"/>
            <w:shd w:val="clear" w:color="auto" w:fill="auto"/>
            <w:vAlign w:val="center"/>
          </w:tcPr>
          <w:p w14:paraId="4ACE1EF5" w14:textId="77777777" w:rsidR="006F587A" w:rsidRDefault="006F587A">
            <w:pPr>
              <w:rPr>
                <w:rFonts w:ascii="Times New Roman" w:hAnsi="Times New Roman"/>
                <w:sz w:val="20"/>
                <w:szCs w:val="20"/>
              </w:rPr>
            </w:pPr>
          </w:p>
        </w:tc>
        <w:tc>
          <w:tcPr>
            <w:tcW w:w="900" w:type="pct"/>
            <w:shd w:val="clear" w:color="auto" w:fill="auto"/>
            <w:vAlign w:val="center"/>
          </w:tcPr>
          <w:p w14:paraId="4ACE1EF6" w14:textId="77777777" w:rsidR="006F587A" w:rsidRDefault="006F587A">
            <w:pPr>
              <w:rPr>
                <w:rFonts w:ascii="Times New Roman" w:hAnsi="Times New Roman"/>
                <w:sz w:val="20"/>
                <w:szCs w:val="20"/>
              </w:rPr>
            </w:pPr>
          </w:p>
        </w:tc>
      </w:tr>
      <w:tr w:rsidR="006F587A" w14:paraId="4ACE1EFB" w14:textId="77777777">
        <w:tc>
          <w:tcPr>
            <w:tcW w:w="0" w:type="auto"/>
            <w:tcBorders>
              <w:bottom w:val="single" w:sz="8" w:space="0" w:color="333333"/>
            </w:tcBorders>
            <w:shd w:val="clear" w:color="auto" w:fill="auto"/>
            <w:tcMar>
              <w:top w:w="40" w:type="dxa"/>
              <w:left w:w="40" w:type="dxa"/>
              <w:bottom w:w="40" w:type="dxa"/>
              <w:right w:w="40" w:type="dxa"/>
            </w:tcMar>
            <w:vAlign w:val="bottom"/>
          </w:tcPr>
          <w:p w14:paraId="4ACE1EF8" w14:textId="77777777" w:rsidR="006F587A" w:rsidRDefault="007B2B61">
            <w:pPr>
              <w:textAlignment w:val="bottom"/>
              <w:rPr>
                <w:rFonts w:ascii="Times New Roman" w:hAnsi="Times New Roman"/>
                <w:sz w:val="20"/>
                <w:szCs w:val="20"/>
              </w:rPr>
            </w:pPr>
            <w:r>
              <w:rPr>
                <w:rFonts w:ascii="Arial" w:eastAsia="宋体" w:hAnsi="Arial" w:cs="Arial"/>
                <w:b/>
                <w:bCs/>
                <w:color w:val="0071C5"/>
                <w:sz w:val="20"/>
                <w:szCs w:val="20"/>
              </w:rPr>
              <w:t>FUNDAMENTALS OF OUR BUSINESS</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1EF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1EFA"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PAGE</w:t>
            </w:r>
          </w:p>
        </w:tc>
      </w:tr>
      <w:tr w:rsidR="006F587A" w14:paraId="4ACE1EFF" w14:textId="77777777">
        <w:tc>
          <w:tcPr>
            <w:tcW w:w="0" w:type="auto"/>
            <w:shd w:val="clear" w:color="auto" w:fill="auto"/>
            <w:tcMar>
              <w:top w:w="40" w:type="dxa"/>
              <w:left w:w="40" w:type="dxa"/>
              <w:bottom w:w="40" w:type="dxa"/>
              <w:right w:w="40" w:type="dxa"/>
            </w:tcMar>
            <w:vAlign w:val="bottom"/>
          </w:tcPr>
          <w:p w14:paraId="4ACE1EF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Introduction to Our Business</w:t>
            </w:r>
          </w:p>
        </w:tc>
        <w:tc>
          <w:tcPr>
            <w:tcW w:w="0" w:type="auto"/>
            <w:shd w:val="clear" w:color="auto" w:fill="auto"/>
            <w:tcMar>
              <w:top w:w="40" w:type="dxa"/>
              <w:left w:w="40" w:type="dxa"/>
              <w:bottom w:w="40" w:type="dxa"/>
              <w:right w:w="40" w:type="dxa"/>
            </w:tcMar>
            <w:vAlign w:val="bottom"/>
          </w:tcPr>
          <w:p w14:paraId="4ACE1EF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EFE" w14:textId="77777777" w:rsidR="006F587A" w:rsidRDefault="007B2B61">
            <w:pPr>
              <w:jc w:val="center"/>
              <w:textAlignment w:val="bottom"/>
              <w:rPr>
                <w:rFonts w:ascii="Times New Roman" w:hAnsi="Times New Roman"/>
                <w:sz w:val="18"/>
                <w:szCs w:val="18"/>
              </w:rPr>
            </w:pPr>
            <w:hyperlink r:id="rId5" w:anchor="sA8FA9EC0B71E5810B6989A266820485E" w:history="1">
              <w:r>
                <w:rPr>
                  <w:rStyle w:val="a5"/>
                  <w:rFonts w:ascii="Arial" w:eastAsia="宋体" w:hAnsi="Arial" w:cs="Arial"/>
                  <w:color w:val="333333"/>
                  <w:sz w:val="18"/>
                  <w:szCs w:val="18"/>
                  <w:u w:val="none"/>
                </w:rPr>
                <w:t>3</w:t>
              </w:r>
            </w:hyperlink>
          </w:p>
        </w:tc>
      </w:tr>
      <w:tr w:rsidR="006F587A" w14:paraId="4ACE1F03" w14:textId="77777777">
        <w:tc>
          <w:tcPr>
            <w:tcW w:w="0" w:type="auto"/>
            <w:shd w:val="clear" w:color="auto" w:fill="auto"/>
            <w:tcMar>
              <w:top w:w="40" w:type="dxa"/>
              <w:left w:w="40" w:type="dxa"/>
              <w:bottom w:w="40" w:type="dxa"/>
              <w:right w:w="40" w:type="dxa"/>
            </w:tcMar>
            <w:vAlign w:val="bottom"/>
          </w:tcPr>
          <w:p w14:paraId="4ACE1F0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A Year in Review</w:t>
            </w:r>
          </w:p>
        </w:tc>
        <w:tc>
          <w:tcPr>
            <w:tcW w:w="0" w:type="auto"/>
            <w:shd w:val="clear" w:color="auto" w:fill="auto"/>
            <w:tcMar>
              <w:top w:w="40" w:type="dxa"/>
              <w:left w:w="40" w:type="dxa"/>
              <w:bottom w:w="40" w:type="dxa"/>
              <w:right w:w="40" w:type="dxa"/>
            </w:tcMar>
            <w:vAlign w:val="bottom"/>
          </w:tcPr>
          <w:p w14:paraId="4ACE1F0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F02" w14:textId="77777777" w:rsidR="006F587A" w:rsidRDefault="007B2B61">
            <w:pPr>
              <w:jc w:val="center"/>
              <w:textAlignment w:val="bottom"/>
              <w:rPr>
                <w:rFonts w:ascii="Times New Roman" w:hAnsi="Times New Roman"/>
                <w:sz w:val="18"/>
                <w:szCs w:val="18"/>
              </w:rPr>
            </w:pPr>
            <w:hyperlink r:id="rId6" w:anchor="s8ead38ed6a3e4873bb38c12fbc69533b" w:history="1">
              <w:r>
                <w:rPr>
                  <w:rStyle w:val="a5"/>
                  <w:rFonts w:ascii="Arial" w:eastAsia="宋体" w:hAnsi="Arial" w:cs="Arial"/>
                  <w:color w:val="333333"/>
                  <w:sz w:val="18"/>
                  <w:szCs w:val="18"/>
                  <w:u w:val="none"/>
                </w:rPr>
                <w:t>4</w:t>
              </w:r>
            </w:hyperlink>
          </w:p>
        </w:tc>
      </w:tr>
      <w:tr w:rsidR="006F587A" w14:paraId="4ACE1F07" w14:textId="77777777">
        <w:tc>
          <w:tcPr>
            <w:tcW w:w="0" w:type="auto"/>
            <w:shd w:val="clear" w:color="auto" w:fill="auto"/>
            <w:tcMar>
              <w:top w:w="40" w:type="dxa"/>
              <w:left w:w="40" w:type="dxa"/>
              <w:bottom w:w="40" w:type="dxa"/>
              <w:right w:w="40" w:type="dxa"/>
            </w:tcMar>
            <w:vAlign w:val="bottom"/>
          </w:tcPr>
          <w:p w14:paraId="4ACE1F0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Our Strategy</w:t>
            </w:r>
          </w:p>
        </w:tc>
        <w:tc>
          <w:tcPr>
            <w:tcW w:w="0" w:type="auto"/>
            <w:shd w:val="clear" w:color="auto" w:fill="auto"/>
            <w:tcMar>
              <w:top w:w="40" w:type="dxa"/>
              <w:left w:w="40" w:type="dxa"/>
              <w:bottom w:w="40" w:type="dxa"/>
              <w:right w:w="40" w:type="dxa"/>
            </w:tcMar>
            <w:vAlign w:val="bottom"/>
          </w:tcPr>
          <w:p w14:paraId="4ACE1F0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F06" w14:textId="77777777" w:rsidR="006F587A" w:rsidRDefault="007B2B61">
            <w:pPr>
              <w:jc w:val="center"/>
              <w:textAlignment w:val="bottom"/>
              <w:rPr>
                <w:rFonts w:ascii="Times New Roman" w:hAnsi="Times New Roman"/>
                <w:sz w:val="18"/>
                <w:szCs w:val="18"/>
              </w:rPr>
            </w:pPr>
            <w:hyperlink r:id="rId7" w:anchor="sDF9A0B7B1B2C5E4A9A4412EB76159744" w:history="1">
              <w:r>
                <w:rPr>
                  <w:rStyle w:val="a5"/>
                  <w:rFonts w:ascii="Arial" w:eastAsia="宋体" w:hAnsi="Arial" w:cs="Arial"/>
                  <w:color w:val="333333"/>
                  <w:sz w:val="18"/>
                  <w:szCs w:val="18"/>
                  <w:u w:val="none"/>
                </w:rPr>
                <w:t>6</w:t>
              </w:r>
            </w:hyperlink>
          </w:p>
        </w:tc>
      </w:tr>
      <w:tr w:rsidR="006F587A" w14:paraId="4ACE1F0B" w14:textId="77777777">
        <w:tc>
          <w:tcPr>
            <w:tcW w:w="0" w:type="auto"/>
            <w:shd w:val="clear" w:color="auto" w:fill="auto"/>
            <w:tcMar>
              <w:top w:w="40" w:type="dxa"/>
              <w:left w:w="40" w:type="dxa"/>
              <w:bottom w:w="40" w:type="dxa"/>
              <w:right w:w="40" w:type="dxa"/>
            </w:tcMar>
            <w:vAlign w:val="bottom"/>
          </w:tcPr>
          <w:p w14:paraId="4ACE1F0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Our Capital</w:t>
            </w:r>
          </w:p>
        </w:tc>
        <w:tc>
          <w:tcPr>
            <w:tcW w:w="0" w:type="auto"/>
            <w:shd w:val="clear" w:color="auto" w:fill="auto"/>
            <w:tcMar>
              <w:top w:w="40" w:type="dxa"/>
              <w:left w:w="40" w:type="dxa"/>
              <w:bottom w:w="40" w:type="dxa"/>
              <w:right w:w="40" w:type="dxa"/>
            </w:tcMar>
            <w:vAlign w:val="bottom"/>
          </w:tcPr>
          <w:p w14:paraId="4ACE1F0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F0A" w14:textId="77777777" w:rsidR="006F587A" w:rsidRDefault="007B2B61">
            <w:pPr>
              <w:jc w:val="center"/>
              <w:textAlignment w:val="bottom"/>
              <w:rPr>
                <w:rFonts w:ascii="Times New Roman" w:hAnsi="Times New Roman"/>
                <w:sz w:val="18"/>
                <w:szCs w:val="18"/>
              </w:rPr>
            </w:pPr>
            <w:hyperlink r:id="rId8" w:anchor="s793811F22CC85ACB88F80766980DE33A" w:history="1">
              <w:r>
                <w:rPr>
                  <w:rStyle w:val="a5"/>
                  <w:rFonts w:ascii="Arial" w:eastAsia="宋体" w:hAnsi="Arial" w:cs="Arial"/>
                  <w:color w:val="333333"/>
                  <w:sz w:val="18"/>
                  <w:szCs w:val="18"/>
                  <w:u w:val="none"/>
                </w:rPr>
                <w:t>8</w:t>
              </w:r>
            </w:hyperlink>
          </w:p>
        </w:tc>
      </w:tr>
      <w:tr w:rsidR="006F587A" w14:paraId="4ACE1F0F" w14:textId="77777777">
        <w:tc>
          <w:tcPr>
            <w:tcW w:w="0" w:type="auto"/>
            <w:shd w:val="clear" w:color="auto" w:fill="auto"/>
            <w:tcMar>
              <w:top w:w="40" w:type="dxa"/>
              <w:left w:w="40" w:type="dxa"/>
              <w:bottom w:w="40" w:type="dxa"/>
              <w:right w:w="40" w:type="dxa"/>
            </w:tcMar>
            <w:vAlign w:val="bottom"/>
          </w:tcPr>
          <w:p w14:paraId="4ACE1F0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F0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F0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1F13" w14:textId="77777777">
        <w:tc>
          <w:tcPr>
            <w:tcW w:w="0" w:type="auto"/>
            <w:tcBorders>
              <w:bottom w:val="single" w:sz="8" w:space="0" w:color="333333"/>
            </w:tcBorders>
            <w:shd w:val="clear" w:color="auto" w:fill="auto"/>
            <w:tcMar>
              <w:top w:w="40" w:type="dxa"/>
              <w:left w:w="40" w:type="dxa"/>
              <w:bottom w:w="40" w:type="dxa"/>
              <w:right w:w="40" w:type="dxa"/>
            </w:tcMar>
            <w:vAlign w:val="bottom"/>
          </w:tcPr>
          <w:p w14:paraId="4ACE1F10" w14:textId="77777777" w:rsidR="006F587A" w:rsidRDefault="007B2B61">
            <w:pPr>
              <w:textAlignment w:val="bottom"/>
              <w:rPr>
                <w:rFonts w:ascii="Times New Roman" w:hAnsi="Times New Roman"/>
                <w:sz w:val="20"/>
                <w:szCs w:val="20"/>
              </w:rPr>
            </w:pPr>
            <w:r>
              <w:rPr>
                <w:rFonts w:ascii="Arial" w:eastAsia="宋体" w:hAnsi="Arial" w:cs="Arial"/>
                <w:b/>
                <w:bCs/>
                <w:color w:val="0071C5"/>
                <w:sz w:val="20"/>
                <w:szCs w:val="20"/>
              </w:rPr>
              <w:t>MANAGEMENT'S DISCUSSION AND ANALYSIS</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1F1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1F1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1F17" w14:textId="77777777">
        <w:tc>
          <w:tcPr>
            <w:tcW w:w="0" w:type="auto"/>
            <w:shd w:val="clear" w:color="auto" w:fill="auto"/>
            <w:tcMar>
              <w:top w:w="40" w:type="dxa"/>
              <w:left w:w="40" w:type="dxa"/>
              <w:bottom w:w="40" w:type="dxa"/>
              <w:right w:w="40" w:type="dxa"/>
            </w:tcMar>
            <w:vAlign w:val="bottom"/>
          </w:tcPr>
          <w:p w14:paraId="4ACE1F1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How We Organize Our Business</w:t>
            </w:r>
          </w:p>
        </w:tc>
        <w:tc>
          <w:tcPr>
            <w:tcW w:w="0" w:type="auto"/>
            <w:shd w:val="clear" w:color="auto" w:fill="auto"/>
            <w:tcMar>
              <w:top w:w="40" w:type="dxa"/>
              <w:left w:w="40" w:type="dxa"/>
              <w:bottom w:w="40" w:type="dxa"/>
              <w:right w:w="40" w:type="dxa"/>
            </w:tcMar>
            <w:vAlign w:val="bottom"/>
          </w:tcPr>
          <w:p w14:paraId="4ACE1F1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F16" w14:textId="77777777" w:rsidR="006F587A" w:rsidRDefault="007B2B61">
            <w:pPr>
              <w:jc w:val="center"/>
              <w:textAlignment w:val="bottom"/>
              <w:rPr>
                <w:rFonts w:ascii="Times New Roman" w:hAnsi="Times New Roman"/>
                <w:sz w:val="18"/>
                <w:szCs w:val="18"/>
              </w:rPr>
            </w:pPr>
            <w:hyperlink r:id="rId9" w:anchor="s82a0b0ea0fe74a59a18be7f044c47299" w:history="1">
              <w:r>
                <w:rPr>
                  <w:rStyle w:val="a5"/>
                  <w:rFonts w:ascii="Arial" w:eastAsia="宋体" w:hAnsi="Arial" w:cs="Arial"/>
                  <w:color w:val="333333"/>
                  <w:sz w:val="18"/>
                  <w:szCs w:val="18"/>
                  <w:u w:val="none"/>
                </w:rPr>
                <w:t>16</w:t>
              </w:r>
            </w:hyperlink>
          </w:p>
        </w:tc>
      </w:tr>
      <w:tr w:rsidR="006F587A" w14:paraId="4ACE1F1B" w14:textId="77777777">
        <w:tc>
          <w:tcPr>
            <w:tcW w:w="0" w:type="auto"/>
            <w:shd w:val="clear" w:color="auto" w:fill="auto"/>
            <w:tcMar>
              <w:top w:w="40" w:type="dxa"/>
              <w:left w:w="40" w:type="dxa"/>
              <w:bottom w:w="40" w:type="dxa"/>
              <w:right w:w="40" w:type="dxa"/>
            </w:tcMar>
            <w:vAlign w:val="bottom"/>
          </w:tcPr>
          <w:p w14:paraId="4ACE1F1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Our Products</w:t>
            </w:r>
          </w:p>
        </w:tc>
        <w:tc>
          <w:tcPr>
            <w:tcW w:w="0" w:type="auto"/>
            <w:shd w:val="clear" w:color="auto" w:fill="auto"/>
            <w:tcMar>
              <w:top w:w="40" w:type="dxa"/>
              <w:left w:w="40" w:type="dxa"/>
              <w:bottom w:w="40" w:type="dxa"/>
              <w:right w:w="40" w:type="dxa"/>
            </w:tcMar>
            <w:vAlign w:val="bottom"/>
          </w:tcPr>
          <w:p w14:paraId="4ACE1F1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F1A" w14:textId="77777777" w:rsidR="006F587A" w:rsidRDefault="007B2B61">
            <w:pPr>
              <w:jc w:val="center"/>
              <w:textAlignment w:val="bottom"/>
              <w:rPr>
                <w:rFonts w:ascii="Times New Roman" w:hAnsi="Times New Roman"/>
                <w:sz w:val="18"/>
                <w:szCs w:val="18"/>
              </w:rPr>
            </w:pPr>
            <w:hyperlink r:id="rId10" w:anchor="s05f8c82e82344b56ac95d57ffd3d3f47" w:history="1">
              <w:r>
                <w:rPr>
                  <w:rStyle w:val="a5"/>
                  <w:rFonts w:ascii="Arial" w:eastAsia="宋体" w:hAnsi="Arial" w:cs="Arial"/>
                  <w:color w:val="333333"/>
                  <w:sz w:val="18"/>
                  <w:szCs w:val="18"/>
                  <w:u w:val="none"/>
                </w:rPr>
                <w:t>17</w:t>
              </w:r>
            </w:hyperlink>
          </w:p>
        </w:tc>
      </w:tr>
      <w:tr w:rsidR="006F587A" w14:paraId="4ACE1F1F" w14:textId="77777777">
        <w:tc>
          <w:tcPr>
            <w:tcW w:w="0" w:type="auto"/>
            <w:shd w:val="clear" w:color="auto" w:fill="auto"/>
            <w:tcMar>
              <w:top w:w="40" w:type="dxa"/>
              <w:left w:w="40" w:type="dxa"/>
              <w:bottom w:w="40" w:type="dxa"/>
              <w:right w:w="40" w:type="dxa"/>
            </w:tcMar>
            <w:vAlign w:val="bottom"/>
          </w:tcPr>
          <w:p w14:paraId="4ACE1F1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Segment Trends and Results</w:t>
            </w:r>
          </w:p>
        </w:tc>
        <w:tc>
          <w:tcPr>
            <w:tcW w:w="0" w:type="auto"/>
            <w:shd w:val="clear" w:color="auto" w:fill="auto"/>
            <w:tcMar>
              <w:top w:w="40" w:type="dxa"/>
              <w:left w:w="40" w:type="dxa"/>
              <w:bottom w:w="40" w:type="dxa"/>
              <w:right w:w="40" w:type="dxa"/>
            </w:tcMar>
            <w:vAlign w:val="bottom"/>
          </w:tcPr>
          <w:p w14:paraId="4ACE1F1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F1E" w14:textId="77777777" w:rsidR="006F587A" w:rsidRDefault="007B2B61">
            <w:pPr>
              <w:jc w:val="center"/>
              <w:textAlignment w:val="bottom"/>
              <w:rPr>
                <w:rFonts w:ascii="Times New Roman" w:hAnsi="Times New Roman"/>
                <w:sz w:val="18"/>
                <w:szCs w:val="18"/>
              </w:rPr>
            </w:pPr>
            <w:hyperlink r:id="rId11" w:anchor="s7F29C2BEEC2052CA864921421B23AB36" w:history="1">
              <w:r>
                <w:rPr>
                  <w:rStyle w:val="a5"/>
                  <w:rFonts w:ascii="Arial" w:eastAsia="宋体" w:hAnsi="Arial" w:cs="Arial"/>
                  <w:color w:val="333333"/>
                  <w:sz w:val="18"/>
                  <w:szCs w:val="18"/>
                  <w:u w:val="none"/>
                </w:rPr>
                <w:t>18</w:t>
              </w:r>
            </w:hyperlink>
          </w:p>
        </w:tc>
      </w:tr>
      <w:tr w:rsidR="006F587A" w14:paraId="4ACE1F23" w14:textId="77777777">
        <w:tc>
          <w:tcPr>
            <w:tcW w:w="0" w:type="auto"/>
            <w:shd w:val="clear" w:color="auto" w:fill="auto"/>
            <w:tcMar>
              <w:top w:w="40" w:type="dxa"/>
              <w:left w:w="40" w:type="dxa"/>
              <w:bottom w:w="40" w:type="dxa"/>
              <w:right w:w="40" w:type="dxa"/>
            </w:tcMar>
            <w:vAlign w:val="bottom"/>
          </w:tcPr>
          <w:p w14:paraId="4ACE1F2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Consolidated Results of Operations</w:t>
            </w:r>
          </w:p>
        </w:tc>
        <w:tc>
          <w:tcPr>
            <w:tcW w:w="0" w:type="auto"/>
            <w:shd w:val="clear" w:color="auto" w:fill="auto"/>
            <w:tcMar>
              <w:top w:w="40" w:type="dxa"/>
              <w:left w:w="40" w:type="dxa"/>
              <w:bottom w:w="40" w:type="dxa"/>
              <w:right w:w="40" w:type="dxa"/>
            </w:tcMar>
            <w:vAlign w:val="bottom"/>
          </w:tcPr>
          <w:p w14:paraId="4ACE1F2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F22" w14:textId="77777777" w:rsidR="006F587A" w:rsidRDefault="007B2B61">
            <w:pPr>
              <w:jc w:val="center"/>
              <w:textAlignment w:val="bottom"/>
              <w:rPr>
                <w:rFonts w:ascii="Times New Roman" w:hAnsi="Times New Roman"/>
                <w:sz w:val="18"/>
                <w:szCs w:val="18"/>
              </w:rPr>
            </w:pPr>
            <w:hyperlink r:id="rId12" w:anchor="sAD8210BB7EA35AC89C8EA363BE77B29B" w:history="1">
              <w:r>
                <w:rPr>
                  <w:rStyle w:val="a5"/>
                  <w:rFonts w:ascii="Arial" w:eastAsia="宋体" w:hAnsi="Arial" w:cs="Arial"/>
                  <w:color w:val="333333"/>
                  <w:sz w:val="18"/>
                  <w:szCs w:val="18"/>
                  <w:u w:val="none"/>
                </w:rPr>
                <w:t>35</w:t>
              </w:r>
            </w:hyperlink>
          </w:p>
        </w:tc>
      </w:tr>
      <w:tr w:rsidR="006F587A" w14:paraId="4ACE1F27" w14:textId="77777777">
        <w:tc>
          <w:tcPr>
            <w:tcW w:w="0" w:type="auto"/>
            <w:shd w:val="clear" w:color="auto" w:fill="auto"/>
            <w:tcMar>
              <w:top w:w="40" w:type="dxa"/>
              <w:left w:w="40" w:type="dxa"/>
              <w:bottom w:w="40" w:type="dxa"/>
              <w:right w:w="40" w:type="dxa"/>
            </w:tcMar>
            <w:vAlign w:val="bottom"/>
          </w:tcPr>
          <w:p w14:paraId="4ACE1F2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lastRenderedPageBreak/>
              <w:t>Liquidity and Capital Resources</w:t>
            </w:r>
          </w:p>
        </w:tc>
        <w:tc>
          <w:tcPr>
            <w:tcW w:w="0" w:type="auto"/>
            <w:shd w:val="clear" w:color="auto" w:fill="auto"/>
            <w:tcMar>
              <w:top w:w="40" w:type="dxa"/>
              <w:left w:w="40" w:type="dxa"/>
              <w:bottom w:w="40" w:type="dxa"/>
              <w:right w:w="40" w:type="dxa"/>
            </w:tcMar>
            <w:vAlign w:val="bottom"/>
          </w:tcPr>
          <w:p w14:paraId="4ACE1F2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F26" w14:textId="77777777" w:rsidR="006F587A" w:rsidRDefault="007B2B61">
            <w:pPr>
              <w:jc w:val="center"/>
              <w:textAlignment w:val="bottom"/>
              <w:rPr>
                <w:rFonts w:ascii="Times New Roman" w:hAnsi="Times New Roman"/>
                <w:sz w:val="18"/>
                <w:szCs w:val="18"/>
              </w:rPr>
            </w:pPr>
            <w:hyperlink r:id="rId13" w:anchor="s601A237EE9BE5B33894560D84D986D35" w:history="1">
              <w:r>
                <w:rPr>
                  <w:rStyle w:val="a5"/>
                  <w:rFonts w:ascii="Arial" w:eastAsia="宋体" w:hAnsi="Arial" w:cs="Arial"/>
                  <w:color w:val="333333"/>
                  <w:sz w:val="18"/>
                  <w:szCs w:val="18"/>
                  <w:u w:val="none"/>
                </w:rPr>
                <w:t>40</w:t>
              </w:r>
            </w:hyperlink>
          </w:p>
        </w:tc>
      </w:tr>
      <w:tr w:rsidR="006F587A" w14:paraId="4ACE1F2B" w14:textId="77777777">
        <w:tc>
          <w:tcPr>
            <w:tcW w:w="0" w:type="auto"/>
            <w:shd w:val="clear" w:color="auto" w:fill="auto"/>
            <w:tcMar>
              <w:top w:w="40" w:type="dxa"/>
              <w:left w:w="40" w:type="dxa"/>
              <w:bottom w:w="40" w:type="dxa"/>
              <w:right w:w="40" w:type="dxa"/>
            </w:tcMar>
            <w:vAlign w:val="bottom"/>
          </w:tcPr>
          <w:p w14:paraId="4ACE1F2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Contractual Obligations</w:t>
            </w:r>
          </w:p>
        </w:tc>
        <w:tc>
          <w:tcPr>
            <w:tcW w:w="0" w:type="auto"/>
            <w:shd w:val="clear" w:color="auto" w:fill="auto"/>
            <w:tcMar>
              <w:top w:w="40" w:type="dxa"/>
              <w:left w:w="40" w:type="dxa"/>
              <w:bottom w:w="40" w:type="dxa"/>
              <w:right w:w="40" w:type="dxa"/>
            </w:tcMar>
            <w:vAlign w:val="bottom"/>
          </w:tcPr>
          <w:p w14:paraId="4ACE1F2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F2A" w14:textId="77777777" w:rsidR="006F587A" w:rsidRDefault="007B2B61">
            <w:pPr>
              <w:jc w:val="center"/>
              <w:textAlignment w:val="bottom"/>
              <w:rPr>
                <w:rFonts w:ascii="Times New Roman" w:hAnsi="Times New Roman"/>
                <w:sz w:val="18"/>
                <w:szCs w:val="18"/>
              </w:rPr>
            </w:pPr>
            <w:hyperlink r:id="rId14" w:anchor="s78AD64475AD1525BB3ACA25AF2767454" w:history="1">
              <w:r>
                <w:rPr>
                  <w:rStyle w:val="a5"/>
                  <w:rFonts w:ascii="Arial" w:eastAsia="宋体" w:hAnsi="Arial" w:cs="Arial"/>
                  <w:color w:val="333333"/>
                  <w:sz w:val="18"/>
                  <w:szCs w:val="18"/>
                  <w:u w:val="none"/>
                </w:rPr>
                <w:t>43</w:t>
              </w:r>
            </w:hyperlink>
          </w:p>
        </w:tc>
      </w:tr>
      <w:tr w:rsidR="006F587A" w14:paraId="4ACE1F2F" w14:textId="77777777">
        <w:tc>
          <w:tcPr>
            <w:tcW w:w="0" w:type="auto"/>
            <w:shd w:val="clear" w:color="auto" w:fill="auto"/>
            <w:tcMar>
              <w:top w:w="40" w:type="dxa"/>
              <w:left w:w="40" w:type="dxa"/>
              <w:bottom w:w="40" w:type="dxa"/>
              <w:right w:w="40" w:type="dxa"/>
            </w:tcMar>
            <w:vAlign w:val="bottom"/>
          </w:tcPr>
          <w:p w14:paraId="4ACE1F2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Quantitative and Qualitative Disclosures about Market Risk</w:t>
            </w:r>
          </w:p>
        </w:tc>
        <w:tc>
          <w:tcPr>
            <w:tcW w:w="0" w:type="auto"/>
            <w:shd w:val="clear" w:color="auto" w:fill="auto"/>
            <w:tcMar>
              <w:top w:w="40" w:type="dxa"/>
              <w:left w:w="40" w:type="dxa"/>
              <w:bottom w:w="40" w:type="dxa"/>
              <w:right w:w="40" w:type="dxa"/>
            </w:tcMar>
            <w:vAlign w:val="bottom"/>
          </w:tcPr>
          <w:p w14:paraId="4ACE1F2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F2E" w14:textId="77777777" w:rsidR="006F587A" w:rsidRDefault="007B2B61">
            <w:pPr>
              <w:jc w:val="center"/>
              <w:textAlignment w:val="bottom"/>
              <w:rPr>
                <w:rFonts w:ascii="Times New Roman" w:hAnsi="Times New Roman"/>
                <w:sz w:val="18"/>
                <w:szCs w:val="18"/>
              </w:rPr>
            </w:pPr>
            <w:hyperlink r:id="rId15" w:anchor="s05A35D39BFC95A43B61A9534BEB3DAB6" w:history="1">
              <w:r>
                <w:rPr>
                  <w:rStyle w:val="a5"/>
                  <w:rFonts w:ascii="Arial" w:eastAsia="宋体" w:hAnsi="Arial" w:cs="Arial"/>
                  <w:color w:val="333333"/>
                  <w:sz w:val="18"/>
                  <w:szCs w:val="18"/>
                  <w:u w:val="none"/>
                </w:rPr>
                <w:t>43</w:t>
              </w:r>
            </w:hyperlink>
          </w:p>
        </w:tc>
      </w:tr>
      <w:tr w:rsidR="006F587A" w14:paraId="4ACE1F33" w14:textId="77777777">
        <w:tc>
          <w:tcPr>
            <w:tcW w:w="0" w:type="auto"/>
            <w:shd w:val="clear" w:color="auto" w:fill="auto"/>
            <w:tcMar>
              <w:top w:w="40" w:type="dxa"/>
              <w:left w:w="40" w:type="dxa"/>
              <w:bottom w:w="40" w:type="dxa"/>
              <w:right w:w="40" w:type="dxa"/>
            </w:tcMar>
            <w:vAlign w:val="bottom"/>
          </w:tcPr>
          <w:p w14:paraId="4ACE1F3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Non-GAAP Financial Measures</w:t>
            </w:r>
          </w:p>
        </w:tc>
        <w:tc>
          <w:tcPr>
            <w:tcW w:w="0" w:type="auto"/>
            <w:shd w:val="clear" w:color="auto" w:fill="auto"/>
            <w:tcMar>
              <w:top w:w="40" w:type="dxa"/>
              <w:left w:w="40" w:type="dxa"/>
              <w:bottom w:w="40" w:type="dxa"/>
              <w:right w:w="40" w:type="dxa"/>
            </w:tcMar>
            <w:vAlign w:val="bottom"/>
          </w:tcPr>
          <w:p w14:paraId="4ACE1F3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F32" w14:textId="77777777" w:rsidR="006F587A" w:rsidRDefault="007B2B61">
            <w:pPr>
              <w:jc w:val="center"/>
              <w:textAlignment w:val="bottom"/>
              <w:rPr>
                <w:rFonts w:ascii="Times New Roman" w:hAnsi="Times New Roman"/>
                <w:sz w:val="18"/>
                <w:szCs w:val="18"/>
              </w:rPr>
            </w:pPr>
            <w:hyperlink r:id="rId16" w:anchor="s95E35DDF25D7522391A712165F920828" w:history="1">
              <w:r>
                <w:rPr>
                  <w:rStyle w:val="a5"/>
                  <w:rFonts w:ascii="Arial" w:eastAsia="宋体" w:hAnsi="Arial" w:cs="Arial"/>
                  <w:color w:val="333333"/>
                  <w:sz w:val="18"/>
                  <w:szCs w:val="18"/>
                  <w:u w:val="none"/>
                </w:rPr>
                <w:t>45</w:t>
              </w:r>
            </w:hyperlink>
          </w:p>
        </w:tc>
      </w:tr>
      <w:tr w:rsidR="006F587A" w14:paraId="4ACE1F37" w14:textId="77777777">
        <w:tc>
          <w:tcPr>
            <w:tcW w:w="0" w:type="auto"/>
            <w:shd w:val="clear" w:color="auto" w:fill="auto"/>
            <w:tcMar>
              <w:top w:w="40" w:type="dxa"/>
              <w:left w:w="40" w:type="dxa"/>
              <w:bottom w:w="40" w:type="dxa"/>
              <w:right w:w="40" w:type="dxa"/>
            </w:tcMar>
            <w:vAlign w:val="bottom"/>
          </w:tcPr>
          <w:p w14:paraId="4ACE1F3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F3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F3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1F3B" w14:textId="77777777">
        <w:tc>
          <w:tcPr>
            <w:tcW w:w="0" w:type="auto"/>
            <w:tcBorders>
              <w:bottom w:val="single" w:sz="8" w:space="0" w:color="333333"/>
            </w:tcBorders>
            <w:shd w:val="clear" w:color="auto" w:fill="auto"/>
            <w:tcMar>
              <w:top w:w="40" w:type="dxa"/>
              <w:left w:w="40" w:type="dxa"/>
              <w:bottom w:w="40" w:type="dxa"/>
              <w:right w:w="40" w:type="dxa"/>
            </w:tcMar>
            <w:vAlign w:val="bottom"/>
          </w:tcPr>
          <w:p w14:paraId="4ACE1F38" w14:textId="77777777" w:rsidR="006F587A" w:rsidRDefault="007B2B61">
            <w:pPr>
              <w:textAlignment w:val="bottom"/>
              <w:rPr>
                <w:rFonts w:ascii="Times New Roman" w:hAnsi="Times New Roman"/>
                <w:sz w:val="20"/>
                <w:szCs w:val="20"/>
              </w:rPr>
            </w:pPr>
            <w:r>
              <w:rPr>
                <w:rFonts w:ascii="Arial" w:eastAsia="宋体" w:hAnsi="Arial" w:cs="Arial"/>
                <w:b/>
                <w:bCs/>
                <w:color w:val="0071C5"/>
                <w:sz w:val="20"/>
                <w:szCs w:val="20"/>
              </w:rPr>
              <w:t>OTHER KEY INFORMATION</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1F3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1F3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1F3F" w14:textId="77777777">
        <w:tc>
          <w:tcPr>
            <w:tcW w:w="0" w:type="auto"/>
            <w:shd w:val="clear" w:color="auto" w:fill="auto"/>
            <w:tcMar>
              <w:top w:w="40" w:type="dxa"/>
              <w:left w:w="40" w:type="dxa"/>
              <w:bottom w:w="40" w:type="dxa"/>
              <w:right w:w="40" w:type="dxa"/>
            </w:tcMar>
            <w:vAlign w:val="bottom"/>
          </w:tcPr>
          <w:p w14:paraId="4ACE1F3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Selected Financial Data</w:t>
            </w:r>
          </w:p>
        </w:tc>
        <w:tc>
          <w:tcPr>
            <w:tcW w:w="0" w:type="auto"/>
            <w:shd w:val="clear" w:color="auto" w:fill="auto"/>
            <w:tcMar>
              <w:top w:w="40" w:type="dxa"/>
              <w:left w:w="40" w:type="dxa"/>
              <w:bottom w:w="40" w:type="dxa"/>
              <w:right w:w="40" w:type="dxa"/>
            </w:tcMar>
            <w:vAlign w:val="bottom"/>
          </w:tcPr>
          <w:p w14:paraId="4ACE1F3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F3E" w14:textId="77777777" w:rsidR="006F587A" w:rsidRDefault="007B2B61">
            <w:pPr>
              <w:jc w:val="center"/>
              <w:textAlignment w:val="bottom"/>
              <w:rPr>
                <w:rFonts w:ascii="Times New Roman" w:hAnsi="Times New Roman"/>
                <w:sz w:val="18"/>
                <w:szCs w:val="18"/>
              </w:rPr>
            </w:pPr>
            <w:hyperlink r:id="rId17" w:anchor="s1C202F431A2552089F790B9A39CDE23B" w:history="1">
              <w:r>
                <w:rPr>
                  <w:rStyle w:val="a5"/>
                  <w:rFonts w:ascii="Arial" w:eastAsia="宋体" w:hAnsi="Arial" w:cs="Arial"/>
                  <w:color w:val="333333"/>
                  <w:sz w:val="18"/>
                  <w:szCs w:val="18"/>
                  <w:u w:val="none"/>
                </w:rPr>
                <w:t>47</w:t>
              </w:r>
            </w:hyperlink>
          </w:p>
        </w:tc>
      </w:tr>
      <w:tr w:rsidR="006F587A" w14:paraId="4ACE1F43" w14:textId="77777777">
        <w:tc>
          <w:tcPr>
            <w:tcW w:w="0" w:type="auto"/>
            <w:shd w:val="clear" w:color="auto" w:fill="auto"/>
            <w:tcMar>
              <w:top w:w="40" w:type="dxa"/>
              <w:left w:w="40" w:type="dxa"/>
              <w:bottom w:w="40" w:type="dxa"/>
              <w:right w:w="40" w:type="dxa"/>
            </w:tcMar>
            <w:vAlign w:val="bottom"/>
          </w:tcPr>
          <w:p w14:paraId="4ACE1F4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Sales and Marketing</w:t>
            </w:r>
          </w:p>
        </w:tc>
        <w:tc>
          <w:tcPr>
            <w:tcW w:w="0" w:type="auto"/>
            <w:shd w:val="clear" w:color="auto" w:fill="auto"/>
            <w:tcMar>
              <w:top w:w="40" w:type="dxa"/>
              <w:left w:w="40" w:type="dxa"/>
              <w:bottom w:w="40" w:type="dxa"/>
              <w:right w:w="40" w:type="dxa"/>
            </w:tcMar>
            <w:vAlign w:val="bottom"/>
          </w:tcPr>
          <w:p w14:paraId="4ACE1F4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F42" w14:textId="77777777" w:rsidR="006F587A" w:rsidRDefault="007B2B61">
            <w:pPr>
              <w:jc w:val="center"/>
              <w:textAlignment w:val="bottom"/>
              <w:rPr>
                <w:rFonts w:ascii="Times New Roman" w:hAnsi="Times New Roman"/>
                <w:sz w:val="18"/>
                <w:szCs w:val="18"/>
              </w:rPr>
            </w:pPr>
            <w:hyperlink r:id="rId18" w:anchor="s383ABEB367D25C0E9DDE4233F523CF74" w:history="1">
              <w:r>
                <w:rPr>
                  <w:rStyle w:val="a5"/>
                  <w:rFonts w:ascii="Arial" w:eastAsia="宋体" w:hAnsi="Arial" w:cs="Arial"/>
                  <w:color w:val="333333"/>
                  <w:sz w:val="18"/>
                  <w:szCs w:val="18"/>
                  <w:u w:val="none"/>
                </w:rPr>
                <w:t>48</w:t>
              </w:r>
            </w:hyperlink>
          </w:p>
        </w:tc>
      </w:tr>
      <w:tr w:rsidR="006F587A" w14:paraId="4ACE1F47" w14:textId="77777777">
        <w:tc>
          <w:tcPr>
            <w:tcW w:w="0" w:type="auto"/>
            <w:shd w:val="clear" w:color="auto" w:fill="auto"/>
            <w:tcMar>
              <w:top w:w="40" w:type="dxa"/>
              <w:left w:w="40" w:type="dxa"/>
              <w:bottom w:w="40" w:type="dxa"/>
              <w:right w:w="40" w:type="dxa"/>
            </w:tcMar>
            <w:vAlign w:val="bottom"/>
          </w:tcPr>
          <w:p w14:paraId="4ACE1F4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Competition</w:t>
            </w:r>
          </w:p>
        </w:tc>
        <w:tc>
          <w:tcPr>
            <w:tcW w:w="0" w:type="auto"/>
            <w:shd w:val="clear" w:color="auto" w:fill="auto"/>
            <w:tcMar>
              <w:top w:w="40" w:type="dxa"/>
              <w:left w:w="40" w:type="dxa"/>
              <w:bottom w:w="40" w:type="dxa"/>
              <w:right w:w="40" w:type="dxa"/>
            </w:tcMar>
            <w:vAlign w:val="bottom"/>
          </w:tcPr>
          <w:p w14:paraId="4ACE1F4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F46" w14:textId="77777777" w:rsidR="006F587A" w:rsidRDefault="007B2B61">
            <w:pPr>
              <w:jc w:val="center"/>
              <w:textAlignment w:val="bottom"/>
              <w:rPr>
                <w:rFonts w:ascii="Times New Roman" w:hAnsi="Times New Roman"/>
                <w:sz w:val="18"/>
                <w:szCs w:val="18"/>
              </w:rPr>
            </w:pPr>
            <w:hyperlink r:id="rId19" w:anchor="s9CD99CEC02BC5803A80EAB9B02C52E69" w:history="1">
              <w:r>
                <w:rPr>
                  <w:rStyle w:val="a5"/>
                  <w:rFonts w:ascii="Arial" w:eastAsia="宋体" w:hAnsi="Arial" w:cs="Arial"/>
                  <w:color w:val="333333"/>
                  <w:sz w:val="18"/>
                  <w:szCs w:val="18"/>
                  <w:u w:val="none"/>
                </w:rPr>
                <w:t>49</w:t>
              </w:r>
            </w:hyperlink>
          </w:p>
        </w:tc>
      </w:tr>
      <w:tr w:rsidR="006F587A" w14:paraId="4ACE1F4B" w14:textId="77777777">
        <w:tc>
          <w:tcPr>
            <w:tcW w:w="0" w:type="auto"/>
            <w:shd w:val="clear" w:color="auto" w:fill="auto"/>
            <w:tcMar>
              <w:top w:w="40" w:type="dxa"/>
              <w:left w:w="40" w:type="dxa"/>
              <w:bottom w:w="40" w:type="dxa"/>
              <w:right w:w="40" w:type="dxa"/>
            </w:tcMar>
            <w:vAlign w:val="bottom"/>
          </w:tcPr>
          <w:p w14:paraId="4ACE1F4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Intellectual Property Rights and Licensing</w:t>
            </w:r>
          </w:p>
        </w:tc>
        <w:tc>
          <w:tcPr>
            <w:tcW w:w="0" w:type="auto"/>
            <w:shd w:val="clear" w:color="auto" w:fill="auto"/>
            <w:tcMar>
              <w:top w:w="40" w:type="dxa"/>
              <w:left w:w="40" w:type="dxa"/>
              <w:bottom w:w="40" w:type="dxa"/>
              <w:right w:w="40" w:type="dxa"/>
            </w:tcMar>
            <w:vAlign w:val="bottom"/>
          </w:tcPr>
          <w:p w14:paraId="4ACE1F4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F4A" w14:textId="77777777" w:rsidR="006F587A" w:rsidRDefault="007B2B61">
            <w:pPr>
              <w:jc w:val="center"/>
              <w:textAlignment w:val="bottom"/>
              <w:rPr>
                <w:rFonts w:ascii="Times New Roman" w:hAnsi="Times New Roman"/>
                <w:sz w:val="18"/>
                <w:szCs w:val="18"/>
              </w:rPr>
            </w:pPr>
            <w:hyperlink r:id="rId20" w:anchor="sA8D10485AA70510891F9215D18AE3B66" w:history="1">
              <w:r>
                <w:rPr>
                  <w:rStyle w:val="a5"/>
                  <w:rFonts w:ascii="Arial" w:eastAsia="宋体" w:hAnsi="Arial" w:cs="Arial"/>
                  <w:color w:val="333333"/>
                  <w:sz w:val="18"/>
                  <w:szCs w:val="18"/>
                  <w:u w:val="none"/>
                </w:rPr>
                <w:t>49</w:t>
              </w:r>
            </w:hyperlink>
          </w:p>
        </w:tc>
      </w:tr>
      <w:tr w:rsidR="006F587A" w14:paraId="4ACE1F4F" w14:textId="77777777">
        <w:tc>
          <w:tcPr>
            <w:tcW w:w="0" w:type="auto"/>
            <w:shd w:val="clear" w:color="auto" w:fill="auto"/>
            <w:tcMar>
              <w:top w:w="40" w:type="dxa"/>
              <w:left w:w="40" w:type="dxa"/>
              <w:bottom w:w="40" w:type="dxa"/>
              <w:right w:w="40" w:type="dxa"/>
            </w:tcMar>
            <w:vAlign w:val="bottom"/>
          </w:tcPr>
          <w:p w14:paraId="4ACE1F4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Critical Accounting Estimates</w:t>
            </w:r>
          </w:p>
        </w:tc>
        <w:tc>
          <w:tcPr>
            <w:tcW w:w="0" w:type="auto"/>
            <w:shd w:val="clear" w:color="auto" w:fill="auto"/>
            <w:tcMar>
              <w:top w:w="40" w:type="dxa"/>
              <w:left w:w="40" w:type="dxa"/>
              <w:bottom w:w="40" w:type="dxa"/>
              <w:right w:w="40" w:type="dxa"/>
            </w:tcMar>
            <w:vAlign w:val="bottom"/>
          </w:tcPr>
          <w:p w14:paraId="4ACE1F4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F4E" w14:textId="77777777" w:rsidR="006F587A" w:rsidRDefault="007B2B61">
            <w:pPr>
              <w:jc w:val="center"/>
              <w:textAlignment w:val="bottom"/>
              <w:rPr>
                <w:rFonts w:ascii="Times New Roman" w:hAnsi="Times New Roman"/>
                <w:sz w:val="18"/>
                <w:szCs w:val="18"/>
              </w:rPr>
            </w:pPr>
            <w:hyperlink r:id="rId21" w:anchor="sDD3ABD19C71B541D83187C2344210FA2" w:history="1">
              <w:r>
                <w:rPr>
                  <w:rStyle w:val="a5"/>
                  <w:rFonts w:ascii="Arial" w:eastAsia="宋体" w:hAnsi="Arial" w:cs="Arial"/>
                  <w:color w:val="333333"/>
                  <w:sz w:val="18"/>
                  <w:szCs w:val="18"/>
                  <w:u w:val="none"/>
                </w:rPr>
                <w:t>50</w:t>
              </w:r>
            </w:hyperlink>
          </w:p>
        </w:tc>
      </w:tr>
      <w:tr w:rsidR="006F587A" w14:paraId="4ACE1F53" w14:textId="77777777">
        <w:tc>
          <w:tcPr>
            <w:tcW w:w="0" w:type="auto"/>
            <w:shd w:val="clear" w:color="auto" w:fill="auto"/>
            <w:tcMar>
              <w:top w:w="40" w:type="dxa"/>
              <w:left w:w="40" w:type="dxa"/>
              <w:bottom w:w="40" w:type="dxa"/>
              <w:right w:w="40" w:type="dxa"/>
            </w:tcMar>
            <w:vAlign w:val="bottom"/>
          </w:tcPr>
          <w:p w14:paraId="4ACE1F5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Risk </w:t>
            </w:r>
            <w:r>
              <w:rPr>
                <w:rFonts w:ascii="Arial" w:eastAsia="宋体" w:hAnsi="Arial" w:cs="Arial"/>
                <w:color w:val="333333"/>
                <w:sz w:val="18"/>
                <w:szCs w:val="18"/>
              </w:rPr>
              <w:t>Factors</w:t>
            </w:r>
          </w:p>
        </w:tc>
        <w:tc>
          <w:tcPr>
            <w:tcW w:w="0" w:type="auto"/>
            <w:shd w:val="clear" w:color="auto" w:fill="auto"/>
            <w:tcMar>
              <w:top w:w="40" w:type="dxa"/>
              <w:left w:w="40" w:type="dxa"/>
              <w:bottom w:w="40" w:type="dxa"/>
              <w:right w:w="40" w:type="dxa"/>
            </w:tcMar>
            <w:vAlign w:val="bottom"/>
          </w:tcPr>
          <w:p w14:paraId="4ACE1F5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F52" w14:textId="77777777" w:rsidR="006F587A" w:rsidRDefault="007B2B61">
            <w:pPr>
              <w:jc w:val="center"/>
              <w:textAlignment w:val="bottom"/>
              <w:rPr>
                <w:rFonts w:ascii="Times New Roman" w:hAnsi="Times New Roman"/>
                <w:sz w:val="18"/>
                <w:szCs w:val="18"/>
              </w:rPr>
            </w:pPr>
            <w:hyperlink r:id="rId22" w:anchor="s39DB3D4C16C758BA87594547F48EF725" w:history="1">
              <w:r>
                <w:rPr>
                  <w:rStyle w:val="a5"/>
                  <w:rFonts w:ascii="Arial" w:eastAsia="宋体" w:hAnsi="Arial" w:cs="Arial"/>
                  <w:color w:val="333333"/>
                  <w:sz w:val="18"/>
                  <w:szCs w:val="18"/>
                  <w:u w:val="none"/>
                </w:rPr>
                <w:t>50</w:t>
              </w:r>
            </w:hyperlink>
          </w:p>
        </w:tc>
      </w:tr>
      <w:tr w:rsidR="006F587A" w14:paraId="4ACE1F57" w14:textId="77777777">
        <w:tc>
          <w:tcPr>
            <w:tcW w:w="0" w:type="auto"/>
            <w:shd w:val="clear" w:color="auto" w:fill="auto"/>
            <w:tcMar>
              <w:top w:w="40" w:type="dxa"/>
              <w:left w:w="40" w:type="dxa"/>
              <w:bottom w:w="40" w:type="dxa"/>
              <w:right w:w="40" w:type="dxa"/>
            </w:tcMar>
            <w:vAlign w:val="bottom"/>
          </w:tcPr>
          <w:p w14:paraId="4ACE1F5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Properties</w:t>
            </w:r>
          </w:p>
        </w:tc>
        <w:tc>
          <w:tcPr>
            <w:tcW w:w="0" w:type="auto"/>
            <w:shd w:val="clear" w:color="auto" w:fill="auto"/>
            <w:tcMar>
              <w:top w:w="40" w:type="dxa"/>
              <w:left w:w="40" w:type="dxa"/>
              <w:bottom w:w="40" w:type="dxa"/>
              <w:right w:w="40" w:type="dxa"/>
            </w:tcMar>
            <w:vAlign w:val="bottom"/>
          </w:tcPr>
          <w:p w14:paraId="4ACE1F5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F56" w14:textId="77777777" w:rsidR="006F587A" w:rsidRDefault="007B2B61">
            <w:pPr>
              <w:jc w:val="center"/>
              <w:textAlignment w:val="bottom"/>
              <w:rPr>
                <w:rFonts w:ascii="Times New Roman" w:hAnsi="Times New Roman"/>
                <w:sz w:val="18"/>
                <w:szCs w:val="18"/>
              </w:rPr>
            </w:pPr>
            <w:hyperlink r:id="rId23" w:anchor="s6D25595F544A5265A3CEBC2B8151388D" w:history="1">
              <w:r>
                <w:rPr>
                  <w:rStyle w:val="a5"/>
                  <w:rFonts w:ascii="Arial" w:eastAsia="宋体" w:hAnsi="Arial" w:cs="Arial"/>
                  <w:color w:val="333333"/>
                  <w:sz w:val="18"/>
                  <w:szCs w:val="18"/>
                  <w:u w:val="none"/>
                </w:rPr>
                <w:t>61</w:t>
              </w:r>
            </w:hyperlink>
          </w:p>
        </w:tc>
      </w:tr>
      <w:tr w:rsidR="006F587A" w14:paraId="4ACE1F5B" w14:textId="77777777">
        <w:tc>
          <w:tcPr>
            <w:tcW w:w="0" w:type="auto"/>
            <w:shd w:val="clear" w:color="auto" w:fill="auto"/>
            <w:tcMar>
              <w:top w:w="40" w:type="dxa"/>
              <w:left w:w="40" w:type="dxa"/>
              <w:bottom w:w="40" w:type="dxa"/>
              <w:right w:w="40" w:type="dxa"/>
            </w:tcMar>
            <w:vAlign w:val="bottom"/>
          </w:tcPr>
          <w:p w14:paraId="4ACE1F5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Market for Our Common Stock</w:t>
            </w:r>
          </w:p>
        </w:tc>
        <w:tc>
          <w:tcPr>
            <w:tcW w:w="0" w:type="auto"/>
            <w:shd w:val="clear" w:color="auto" w:fill="auto"/>
            <w:tcMar>
              <w:top w:w="40" w:type="dxa"/>
              <w:left w:w="40" w:type="dxa"/>
              <w:bottom w:w="40" w:type="dxa"/>
              <w:right w:w="40" w:type="dxa"/>
            </w:tcMar>
            <w:vAlign w:val="bottom"/>
          </w:tcPr>
          <w:p w14:paraId="4ACE1F5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F5A" w14:textId="77777777" w:rsidR="006F587A" w:rsidRDefault="007B2B61">
            <w:pPr>
              <w:jc w:val="center"/>
              <w:textAlignment w:val="bottom"/>
              <w:rPr>
                <w:rFonts w:ascii="Times New Roman" w:hAnsi="Times New Roman"/>
                <w:sz w:val="18"/>
                <w:szCs w:val="18"/>
              </w:rPr>
            </w:pPr>
            <w:hyperlink r:id="rId24" w:anchor="sA633FA96FF0A5F86B1C63E9EE63A7AAD" w:history="1">
              <w:r>
                <w:rPr>
                  <w:rStyle w:val="a5"/>
                  <w:rFonts w:ascii="Arial" w:eastAsia="宋体" w:hAnsi="Arial" w:cs="Arial"/>
                  <w:color w:val="333333"/>
                  <w:sz w:val="18"/>
                  <w:szCs w:val="18"/>
                  <w:u w:val="none"/>
                </w:rPr>
                <w:t>61</w:t>
              </w:r>
            </w:hyperlink>
          </w:p>
        </w:tc>
      </w:tr>
      <w:tr w:rsidR="006F587A" w14:paraId="4ACE1F5F" w14:textId="77777777">
        <w:tc>
          <w:tcPr>
            <w:tcW w:w="0" w:type="auto"/>
            <w:shd w:val="clear" w:color="auto" w:fill="auto"/>
            <w:tcMar>
              <w:top w:w="40" w:type="dxa"/>
              <w:left w:w="40" w:type="dxa"/>
              <w:bottom w:w="40" w:type="dxa"/>
              <w:right w:w="40" w:type="dxa"/>
            </w:tcMar>
            <w:vAlign w:val="bottom"/>
          </w:tcPr>
          <w:p w14:paraId="4ACE1F5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Information about Our Executive Officers</w:t>
            </w:r>
          </w:p>
        </w:tc>
        <w:tc>
          <w:tcPr>
            <w:tcW w:w="0" w:type="auto"/>
            <w:shd w:val="clear" w:color="auto" w:fill="auto"/>
            <w:tcMar>
              <w:top w:w="40" w:type="dxa"/>
              <w:left w:w="40" w:type="dxa"/>
              <w:bottom w:w="40" w:type="dxa"/>
              <w:right w:w="40" w:type="dxa"/>
            </w:tcMar>
            <w:vAlign w:val="bottom"/>
          </w:tcPr>
          <w:p w14:paraId="4ACE1F5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F5E" w14:textId="77777777" w:rsidR="006F587A" w:rsidRDefault="007B2B61">
            <w:pPr>
              <w:jc w:val="center"/>
              <w:textAlignment w:val="bottom"/>
              <w:rPr>
                <w:rFonts w:ascii="Times New Roman" w:hAnsi="Times New Roman"/>
                <w:sz w:val="18"/>
                <w:szCs w:val="18"/>
              </w:rPr>
            </w:pPr>
            <w:hyperlink r:id="rId25" w:anchor="s3C48D385ABC15C03922C625A024E98D9" w:history="1">
              <w:r>
                <w:rPr>
                  <w:rStyle w:val="a5"/>
                  <w:rFonts w:ascii="Arial" w:eastAsia="宋体" w:hAnsi="Arial" w:cs="Arial"/>
                  <w:color w:val="333333"/>
                  <w:sz w:val="18"/>
                  <w:szCs w:val="18"/>
                  <w:u w:val="none"/>
                </w:rPr>
                <w:t>63</w:t>
              </w:r>
            </w:hyperlink>
          </w:p>
        </w:tc>
      </w:tr>
      <w:tr w:rsidR="006F587A" w14:paraId="4ACE1F63" w14:textId="77777777">
        <w:tc>
          <w:tcPr>
            <w:tcW w:w="0" w:type="auto"/>
            <w:shd w:val="clear" w:color="auto" w:fill="auto"/>
            <w:tcMar>
              <w:top w:w="40" w:type="dxa"/>
              <w:left w:w="40" w:type="dxa"/>
              <w:bottom w:w="40" w:type="dxa"/>
              <w:right w:w="40" w:type="dxa"/>
            </w:tcMar>
            <w:vAlign w:val="bottom"/>
          </w:tcPr>
          <w:p w14:paraId="4ACE1F6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Availability of Company Information</w:t>
            </w:r>
          </w:p>
        </w:tc>
        <w:tc>
          <w:tcPr>
            <w:tcW w:w="0" w:type="auto"/>
            <w:shd w:val="clear" w:color="auto" w:fill="auto"/>
            <w:tcMar>
              <w:top w:w="40" w:type="dxa"/>
              <w:left w:w="40" w:type="dxa"/>
              <w:bottom w:w="40" w:type="dxa"/>
              <w:right w:w="40" w:type="dxa"/>
            </w:tcMar>
            <w:vAlign w:val="bottom"/>
          </w:tcPr>
          <w:p w14:paraId="4ACE1F6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F62" w14:textId="77777777" w:rsidR="006F587A" w:rsidRDefault="007B2B61">
            <w:pPr>
              <w:jc w:val="center"/>
              <w:textAlignment w:val="bottom"/>
              <w:rPr>
                <w:rFonts w:ascii="Times New Roman" w:hAnsi="Times New Roman"/>
                <w:sz w:val="18"/>
                <w:szCs w:val="18"/>
              </w:rPr>
            </w:pPr>
            <w:hyperlink r:id="rId26" w:anchor="sA3AEA309873055D3AF83D4C86EA6A0DE" w:history="1">
              <w:r>
                <w:rPr>
                  <w:rStyle w:val="a5"/>
                  <w:rFonts w:ascii="Arial" w:eastAsia="宋体" w:hAnsi="Arial" w:cs="Arial"/>
                  <w:color w:val="333333"/>
                  <w:sz w:val="18"/>
                  <w:szCs w:val="18"/>
                  <w:u w:val="none"/>
                </w:rPr>
                <w:t>64</w:t>
              </w:r>
            </w:hyperlink>
          </w:p>
        </w:tc>
      </w:tr>
      <w:tr w:rsidR="006F587A" w14:paraId="4ACE1F67" w14:textId="77777777">
        <w:tc>
          <w:tcPr>
            <w:tcW w:w="0" w:type="auto"/>
            <w:shd w:val="clear" w:color="auto" w:fill="auto"/>
            <w:tcMar>
              <w:top w:w="40" w:type="dxa"/>
              <w:left w:w="40" w:type="dxa"/>
              <w:bottom w:w="40" w:type="dxa"/>
              <w:right w:w="40" w:type="dxa"/>
            </w:tcMar>
            <w:vAlign w:val="bottom"/>
          </w:tcPr>
          <w:p w14:paraId="4ACE1F6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F6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F6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1F6B" w14:textId="77777777">
        <w:tc>
          <w:tcPr>
            <w:tcW w:w="0" w:type="auto"/>
            <w:tcBorders>
              <w:bottom w:val="single" w:sz="8" w:space="0" w:color="333333"/>
            </w:tcBorders>
            <w:shd w:val="clear" w:color="auto" w:fill="auto"/>
            <w:tcMar>
              <w:top w:w="40" w:type="dxa"/>
              <w:left w:w="40" w:type="dxa"/>
              <w:bottom w:w="40" w:type="dxa"/>
              <w:right w:w="40" w:type="dxa"/>
            </w:tcMar>
            <w:vAlign w:val="bottom"/>
          </w:tcPr>
          <w:p w14:paraId="4ACE1F68" w14:textId="77777777" w:rsidR="006F587A" w:rsidRDefault="007B2B61">
            <w:pPr>
              <w:textAlignment w:val="bottom"/>
              <w:rPr>
                <w:rFonts w:ascii="Times New Roman" w:hAnsi="Times New Roman"/>
                <w:sz w:val="20"/>
                <w:szCs w:val="20"/>
              </w:rPr>
            </w:pPr>
            <w:r>
              <w:rPr>
                <w:rFonts w:ascii="Arial" w:eastAsia="宋体" w:hAnsi="Arial" w:cs="Arial"/>
                <w:b/>
                <w:bCs/>
                <w:color w:val="0071C5"/>
                <w:sz w:val="20"/>
                <w:szCs w:val="20"/>
              </w:rPr>
              <w:t>FINANCIAL STATEMENTS AND SUPPLEMENTAL DETAILS</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1F6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1F6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1F6F" w14:textId="77777777">
        <w:tc>
          <w:tcPr>
            <w:tcW w:w="0" w:type="auto"/>
            <w:shd w:val="clear" w:color="auto" w:fill="auto"/>
            <w:tcMar>
              <w:top w:w="40" w:type="dxa"/>
              <w:left w:w="40" w:type="dxa"/>
              <w:bottom w:w="40" w:type="dxa"/>
              <w:right w:w="40" w:type="dxa"/>
            </w:tcMar>
            <w:vAlign w:val="bottom"/>
          </w:tcPr>
          <w:p w14:paraId="4ACE1F6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Auditor's Reports</w:t>
            </w:r>
          </w:p>
        </w:tc>
        <w:tc>
          <w:tcPr>
            <w:tcW w:w="0" w:type="auto"/>
            <w:shd w:val="clear" w:color="auto" w:fill="auto"/>
            <w:tcMar>
              <w:top w:w="40" w:type="dxa"/>
              <w:left w:w="40" w:type="dxa"/>
              <w:bottom w:w="40" w:type="dxa"/>
              <w:right w:w="40" w:type="dxa"/>
            </w:tcMar>
            <w:vAlign w:val="bottom"/>
          </w:tcPr>
          <w:p w14:paraId="4ACE1F6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F6E" w14:textId="77777777" w:rsidR="006F587A" w:rsidRDefault="007B2B61">
            <w:pPr>
              <w:jc w:val="center"/>
              <w:textAlignment w:val="bottom"/>
              <w:rPr>
                <w:rFonts w:ascii="Times New Roman" w:hAnsi="Times New Roman"/>
                <w:sz w:val="18"/>
                <w:szCs w:val="18"/>
              </w:rPr>
            </w:pPr>
            <w:hyperlink r:id="rId27" w:anchor="sA977E69A0F655D57910C64E857BA5A75" w:history="1">
              <w:r>
                <w:rPr>
                  <w:rStyle w:val="a5"/>
                  <w:rFonts w:ascii="Arial" w:eastAsia="宋体" w:hAnsi="Arial" w:cs="Arial"/>
                  <w:color w:val="333333"/>
                  <w:sz w:val="18"/>
                  <w:szCs w:val="18"/>
                  <w:u w:val="none"/>
                </w:rPr>
                <w:t>66</w:t>
              </w:r>
            </w:hyperlink>
          </w:p>
        </w:tc>
      </w:tr>
      <w:tr w:rsidR="006F587A" w14:paraId="4ACE1F73" w14:textId="77777777">
        <w:tc>
          <w:tcPr>
            <w:tcW w:w="0" w:type="auto"/>
            <w:shd w:val="clear" w:color="auto" w:fill="auto"/>
            <w:tcMar>
              <w:top w:w="40" w:type="dxa"/>
              <w:left w:w="40" w:type="dxa"/>
              <w:bottom w:w="40" w:type="dxa"/>
              <w:right w:w="40" w:type="dxa"/>
            </w:tcMar>
            <w:vAlign w:val="bottom"/>
          </w:tcPr>
          <w:p w14:paraId="4ACE1F7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Consolidated Financial Statements</w:t>
            </w:r>
          </w:p>
        </w:tc>
        <w:tc>
          <w:tcPr>
            <w:tcW w:w="0" w:type="auto"/>
            <w:shd w:val="clear" w:color="auto" w:fill="auto"/>
            <w:tcMar>
              <w:top w:w="40" w:type="dxa"/>
              <w:left w:w="40" w:type="dxa"/>
              <w:bottom w:w="40" w:type="dxa"/>
              <w:right w:w="40" w:type="dxa"/>
            </w:tcMar>
            <w:vAlign w:val="bottom"/>
          </w:tcPr>
          <w:p w14:paraId="4ACE1F7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F72" w14:textId="77777777" w:rsidR="006F587A" w:rsidRDefault="007B2B61">
            <w:pPr>
              <w:jc w:val="center"/>
              <w:textAlignment w:val="bottom"/>
              <w:rPr>
                <w:rFonts w:ascii="Times New Roman" w:hAnsi="Times New Roman"/>
                <w:sz w:val="18"/>
                <w:szCs w:val="18"/>
              </w:rPr>
            </w:pPr>
            <w:hyperlink r:id="rId28" w:anchor="sF910BA91B5C35CF8B7514FF345E49915" w:history="1">
              <w:r>
                <w:rPr>
                  <w:rStyle w:val="a5"/>
                  <w:rFonts w:ascii="Arial" w:eastAsia="宋体" w:hAnsi="Arial" w:cs="Arial"/>
                  <w:color w:val="333333"/>
                  <w:sz w:val="18"/>
                  <w:szCs w:val="18"/>
                  <w:u w:val="none"/>
                </w:rPr>
                <w:t>69</w:t>
              </w:r>
            </w:hyperlink>
          </w:p>
        </w:tc>
      </w:tr>
      <w:tr w:rsidR="006F587A" w14:paraId="4ACE1F77" w14:textId="77777777">
        <w:tc>
          <w:tcPr>
            <w:tcW w:w="0" w:type="auto"/>
            <w:shd w:val="clear" w:color="auto" w:fill="auto"/>
            <w:tcMar>
              <w:top w:w="40" w:type="dxa"/>
              <w:left w:w="40" w:type="dxa"/>
              <w:bottom w:w="40" w:type="dxa"/>
              <w:right w:w="40" w:type="dxa"/>
            </w:tcMar>
            <w:vAlign w:val="bottom"/>
          </w:tcPr>
          <w:p w14:paraId="4ACE1F7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Notes to the Consolidated Financial Statements</w:t>
            </w:r>
          </w:p>
        </w:tc>
        <w:tc>
          <w:tcPr>
            <w:tcW w:w="0" w:type="auto"/>
            <w:shd w:val="clear" w:color="auto" w:fill="auto"/>
            <w:tcMar>
              <w:top w:w="40" w:type="dxa"/>
              <w:left w:w="40" w:type="dxa"/>
              <w:bottom w:w="40" w:type="dxa"/>
              <w:right w:w="40" w:type="dxa"/>
            </w:tcMar>
            <w:vAlign w:val="bottom"/>
          </w:tcPr>
          <w:p w14:paraId="4ACE1F7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F76" w14:textId="77777777" w:rsidR="006F587A" w:rsidRDefault="007B2B61">
            <w:pPr>
              <w:jc w:val="center"/>
              <w:textAlignment w:val="bottom"/>
              <w:rPr>
                <w:rFonts w:ascii="Times New Roman" w:hAnsi="Times New Roman"/>
                <w:sz w:val="18"/>
                <w:szCs w:val="18"/>
              </w:rPr>
            </w:pPr>
            <w:hyperlink r:id="rId29" w:anchor="sAF51BCB946775C31830C320D4DD6A1BC" w:history="1">
              <w:r>
                <w:rPr>
                  <w:rStyle w:val="a5"/>
                  <w:rFonts w:ascii="Arial" w:eastAsia="宋体" w:hAnsi="Arial" w:cs="Arial"/>
                  <w:color w:val="333333"/>
                  <w:sz w:val="18"/>
                  <w:szCs w:val="18"/>
                  <w:u w:val="none"/>
                </w:rPr>
                <w:t>74</w:t>
              </w:r>
            </w:hyperlink>
          </w:p>
        </w:tc>
      </w:tr>
      <w:tr w:rsidR="006F587A" w14:paraId="4ACE1F7B" w14:textId="77777777">
        <w:tc>
          <w:tcPr>
            <w:tcW w:w="0" w:type="auto"/>
            <w:shd w:val="clear" w:color="auto" w:fill="auto"/>
            <w:tcMar>
              <w:top w:w="40" w:type="dxa"/>
              <w:left w:w="40" w:type="dxa"/>
              <w:bottom w:w="40" w:type="dxa"/>
              <w:right w:w="40" w:type="dxa"/>
            </w:tcMar>
            <w:vAlign w:val="bottom"/>
          </w:tcPr>
          <w:p w14:paraId="4ACE1F7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Key Terms</w:t>
            </w:r>
          </w:p>
        </w:tc>
        <w:tc>
          <w:tcPr>
            <w:tcW w:w="0" w:type="auto"/>
            <w:shd w:val="clear" w:color="auto" w:fill="auto"/>
            <w:tcMar>
              <w:top w:w="40" w:type="dxa"/>
              <w:left w:w="40" w:type="dxa"/>
              <w:bottom w:w="40" w:type="dxa"/>
              <w:right w:w="40" w:type="dxa"/>
            </w:tcMar>
            <w:vAlign w:val="bottom"/>
          </w:tcPr>
          <w:p w14:paraId="4ACE1F7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F7A" w14:textId="77777777" w:rsidR="006F587A" w:rsidRDefault="007B2B61">
            <w:pPr>
              <w:jc w:val="center"/>
              <w:textAlignment w:val="bottom"/>
              <w:rPr>
                <w:rFonts w:ascii="Times New Roman" w:hAnsi="Times New Roman"/>
                <w:sz w:val="18"/>
                <w:szCs w:val="18"/>
              </w:rPr>
            </w:pPr>
            <w:hyperlink r:id="rId30" w:anchor="sDEBDDC04D82B5FCCAA05304139D55909" w:history="1">
              <w:r>
                <w:rPr>
                  <w:rStyle w:val="a5"/>
                  <w:rFonts w:ascii="Arial" w:eastAsia="宋体" w:hAnsi="Arial" w:cs="Arial"/>
                  <w:color w:val="333333"/>
                  <w:sz w:val="18"/>
                  <w:szCs w:val="18"/>
                  <w:u w:val="none"/>
                </w:rPr>
                <w:t>109</w:t>
              </w:r>
            </w:hyperlink>
          </w:p>
        </w:tc>
      </w:tr>
      <w:tr w:rsidR="006F587A" w14:paraId="4ACE1F7F" w14:textId="77777777">
        <w:tc>
          <w:tcPr>
            <w:tcW w:w="0" w:type="auto"/>
            <w:shd w:val="clear" w:color="auto" w:fill="auto"/>
            <w:tcMar>
              <w:top w:w="40" w:type="dxa"/>
              <w:left w:w="40" w:type="dxa"/>
              <w:bottom w:w="40" w:type="dxa"/>
              <w:right w:w="40" w:type="dxa"/>
            </w:tcMar>
            <w:vAlign w:val="bottom"/>
          </w:tcPr>
          <w:p w14:paraId="4ACE1F7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Financial Information by Quarter</w:t>
            </w:r>
          </w:p>
        </w:tc>
        <w:tc>
          <w:tcPr>
            <w:tcW w:w="0" w:type="auto"/>
            <w:shd w:val="clear" w:color="auto" w:fill="auto"/>
            <w:tcMar>
              <w:top w:w="40" w:type="dxa"/>
              <w:left w:w="40" w:type="dxa"/>
              <w:bottom w:w="40" w:type="dxa"/>
              <w:right w:w="40" w:type="dxa"/>
            </w:tcMar>
            <w:vAlign w:val="bottom"/>
          </w:tcPr>
          <w:p w14:paraId="4ACE1F7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F7E" w14:textId="77777777" w:rsidR="006F587A" w:rsidRDefault="007B2B61">
            <w:pPr>
              <w:jc w:val="center"/>
              <w:textAlignment w:val="bottom"/>
              <w:rPr>
                <w:rFonts w:ascii="Times New Roman" w:hAnsi="Times New Roman"/>
                <w:sz w:val="18"/>
                <w:szCs w:val="18"/>
              </w:rPr>
            </w:pPr>
            <w:hyperlink r:id="rId31" w:anchor="sE9BCB7BE48855CDAA5005DD8F9C70625" w:history="1">
              <w:r>
                <w:rPr>
                  <w:rStyle w:val="a5"/>
                  <w:rFonts w:ascii="Arial" w:eastAsia="宋体" w:hAnsi="Arial" w:cs="Arial"/>
                  <w:color w:val="333333"/>
                  <w:sz w:val="18"/>
                  <w:szCs w:val="18"/>
                  <w:u w:val="none"/>
                </w:rPr>
                <w:t>111</w:t>
              </w:r>
            </w:hyperlink>
          </w:p>
        </w:tc>
      </w:tr>
      <w:tr w:rsidR="006F587A" w14:paraId="4ACE1F83" w14:textId="77777777">
        <w:tc>
          <w:tcPr>
            <w:tcW w:w="0" w:type="auto"/>
            <w:shd w:val="clear" w:color="auto" w:fill="auto"/>
            <w:tcMar>
              <w:top w:w="40" w:type="dxa"/>
              <w:left w:w="40" w:type="dxa"/>
              <w:bottom w:w="40" w:type="dxa"/>
              <w:right w:w="40" w:type="dxa"/>
            </w:tcMar>
            <w:vAlign w:val="bottom"/>
          </w:tcPr>
          <w:p w14:paraId="4ACE1F8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Controls and Procedures</w:t>
            </w:r>
          </w:p>
        </w:tc>
        <w:tc>
          <w:tcPr>
            <w:tcW w:w="0" w:type="auto"/>
            <w:shd w:val="clear" w:color="auto" w:fill="auto"/>
            <w:tcMar>
              <w:top w:w="40" w:type="dxa"/>
              <w:left w:w="40" w:type="dxa"/>
              <w:bottom w:w="40" w:type="dxa"/>
              <w:right w:w="40" w:type="dxa"/>
            </w:tcMar>
            <w:vAlign w:val="bottom"/>
          </w:tcPr>
          <w:p w14:paraId="4ACE1F8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F82" w14:textId="77777777" w:rsidR="006F587A" w:rsidRDefault="007B2B61">
            <w:pPr>
              <w:jc w:val="center"/>
              <w:textAlignment w:val="bottom"/>
              <w:rPr>
                <w:rFonts w:ascii="Times New Roman" w:hAnsi="Times New Roman"/>
                <w:sz w:val="18"/>
                <w:szCs w:val="18"/>
              </w:rPr>
            </w:pPr>
            <w:hyperlink r:id="rId32" w:anchor="s627DDA1CDD855BB9BB7E5C9150268F6B" w:history="1">
              <w:r>
                <w:rPr>
                  <w:rStyle w:val="a5"/>
                  <w:rFonts w:ascii="Arial" w:eastAsia="宋体" w:hAnsi="Arial" w:cs="Arial"/>
                  <w:color w:val="333333"/>
                  <w:sz w:val="18"/>
                  <w:szCs w:val="18"/>
                  <w:u w:val="none"/>
                </w:rPr>
                <w:t>112</w:t>
              </w:r>
            </w:hyperlink>
          </w:p>
        </w:tc>
      </w:tr>
      <w:tr w:rsidR="006F587A" w14:paraId="4ACE1F87" w14:textId="77777777">
        <w:tc>
          <w:tcPr>
            <w:tcW w:w="0" w:type="auto"/>
            <w:shd w:val="clear" w:color="auto" w:fill="auto"/>
            <w:tcMar>
              <w:top w:w="40" w:type="dxa"/>
              <w:left w:w="40" w:type="dxa"/>
              <w:bottom w:w="40" w:type="dxa"/>
              <w:right w:w="40" w:type="dxa"/>
            </w:tcMar>
            <w:vAlign w:val="bottom"/>
          </w:tcPr>
          <w:p w14:paraId="4ACE1F8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Exhibits</w:t>
            </w:r>
          </w:p>
        </w:tc>
        <w:tc>
          <w:tcPr>
            <w:tcW w:w="0" w:type="auto"/>
            <w:shd w:val="clear" w:color="auto" w:fill="auto"/>
            <w:tcMar>
              <w:top w:w="40" w:type="dxa"/>
              <w:left w:w="40" w:type="dxa"/>
              <w:bottom w:w="40" w:type="dxa"/>
              <w:right w:w="40" w:type="dxa"/>
            </w:tcMar>
            <w:vAlign w:val="bottom"/>
          </w:tcPr>
          <w:p w14:paraId="4ACE1F8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F86" w14:textId="77777777" w:rsidR="006F587A" w:rsidRDefault="007B2B61">
            <w:pPr>
              <w:jc w:val="center"/>
              <w:textAlignment w:val="bottom"/>
              <w:rPr>
                <w:rFonts w:ascii="Times New Roman" w:hAnsi="Times New Roman"/>
                <w:sz w:val="18"/>
                <w:szCs w:val="18"/>
              </w:rPr>
            </w:pPr>
            <w:hyperlink r:id="rId33" w:anchor="s2EB4BB2ECA14576FA8F86D8E83E4AD18" w:history="1">
              <w:r>
                <w:rPr>
                  <w:rStyle w:val="a5"/>
                  <w:rFonts w:ascii="Arial" w:eastAsia="宋体" w:hAnsi="Arial" w:cs="Arial"/>
                  <w:color w:val="333333"/>
                  <w:sz w:val="18"/>
                  <w:szCs w:val="18"/>
                  <w:u w:val="none"/>
                </w:rPr>
                <w:t>113</w:t>
              </w:r>
            </w:hyperlink>
          </w:p>
        </w:tc>
      </w:tr>
      <w:tr w:rsidR="006F587A" w14:paraId="4ACE1F8B" w14:textId="77777777">
        <w:tc>
          <w:tcPr>
            <w:tcW w:w="0" w:type="auto"/>
            <w:shd w:val="clear" w:color="auto" w:fill="auto"/>
            <w:tcMar>
              <w:top w:w="40" w:type="dxa"/>
              <w:left w:w="40" w:type="dxa"/>
              <w:bottom w:w="40" w:type="dxa"/>
              <w:right w:w="40" w:type="dxa"/>
            </w:tcMar>
            <w:vAlign w:val="bottom"/>
          </w:tcPr>
          <w:p w14:paraId="4ACE1F8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Form 10-K Cross-Reference Index</w:t>
            </w:r>
          </w:p>
        </w:tc>
        <w:tc>
          <w:tcPr>
            <w:tcW w:w="0" w:type="auto"/>
            <w:shd w:val="clear" w:color="auto" w:fill="auto"/>
            <w:tcMar>
              <w:top w:w="40" w:type="dxa"/>
              <w:left w:w="40" w:type="dxa"/>
              <w:bottom w:w="40" w:type="dxa"/>
              <w:right w:w="40" w:type="dxa"/>
            </w:tcMar>
            <w:vAlign w:val="bottom"/>
          </w:tcPr>
          <w:p w14:paraId="4ACE1F8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F8A" w14:textId="77777777" w:rsidR="006F587A" w:rsidRDefault="007B2B61">
            <w:pPr>
              <w:jc w:val="center"/>
              <w:textAlignment w:val="bottom"/>
              <w:rPr>
                <w:rFonts w:ascii="Times New Roman" w:hAnsi="Times New Roman"/>
                <w:sz w:val="18"/>
                <w:szCs w:val="18"/>
              </w:rPr>
            </w:pPr>
            <w:hyperlink r:id="rId34" w:anchor="s3E66FD12152D5F408EE74E12F6996712" w:history="1">
              <w:r>
                <w:rPr>
                  <w:rStyle w:val="a5"/>
                  <w:rFonts w:ascii="Arial" w:eastAsia="宋体" w:hAnsi="Arial" w:cs="Arial"/>
                  <w:color w:val="333333"/>
                  <w:sz w:val="18"/>
                  <w:szCs w:val="18"/>
                  <w:u w:val="none"/>
                </w:rPr>
                <w:t>118</w:t>
              </w:r>
            </w:hyperlink>
          </w:p>
        </w:tc>
      </w:tr>
    </w:tbl>
    <w:p w14:paraId="4ACE1F8C" w14:textId="77777777" w:rsidR="006F587A" w:rsidRDefault="006F587A">
      <w:pPr>
        <w:spacing w:line="288" w:lineRule="auto"/>
        <w:rPr>
          <w:rFonts w:ascii="Times New Roman" w:hAnsi="Times New Roman"/>
          <w:sz w:val="18"/>
          <w:szCs w:val="18"/>
        </w:rPr>
      </w:pPr>
    </w:p>
    <w:p w14:paraId="4ACE1F8D" w14:textId="77777777" w:rsidR="006F587A" w:rsidRDefault="006F587A">
      <w:pPr>
        <w:spacing w:line="288" w:lineRule="auto"/>
        <w:rPr>
          <w:rFonts w:ascii="Times New Roman" w:hAnsi="Times New Roman"/>
          <w:sz w:val="18"/>
          <w:szCs w:val="18"/>
        </w:rPr>
      </w:pPr>
    </w:p>
    <w:tbl>
      <w:tblPr>
        <w:tblW w:w="0" w:type="auto"/>
        <w:tblCellSpacing w:w="0" w:type="dxa"/>
        <w:tblCellMar>
          <w:left w:w="0" w:type="dxa"/>
          <w:right w:w="0" w:type="dxa"/>
        </w:tblCellMar>
        <w:tblLook w:val="04A0" w:firstRow="1" w:lastRow="0" w:firstColumn="1" w:lastColumn="0" w:noHBand="0" w:noVBand="1"/>
      </w:tblPr>
      <w:tblGrid>
        <w:gridCol w:w="240"/>
        <w:gridCol w:w="7170"/>
      </w:tblGrid>
      <w:tr w:rsidR="006F587A" w14:paraId="4ACE1F90" w14:textId="77777777">
        <w:trPr>
          <w:tblCellSpacing w:w="0" w:type="dxa"/>
        </w:trPr>
        <w:tc>
          <w:tcPr>
            <w:tcW w:w="240" w:type="dxa"/>
            <w:shd w:val="clear" w:color="auto" w:fill="auto"/>
            <w:vAlign w:val="center"/>
          </w:tcPr>
          <w:p w14:paraId="4ACE1F8E" w14:textId="77777777" w:rsidR="006F587A" w:rsidRDefault="006F587A">
            <w:pPr>
              <w:rPr>
                <w:rFonts w:ascii="Times New Roman" w:hAnsi="Times New Roman"/>
                <w:sz w:val="20"/>
                <w:szCs w:val="20"/>
              </w:rPr>
            </w:pPr>
          </w:p>
        </w:tc>
        <w:tc>
          <w:tcPr>
            <w:tcW w:w="0" w:type="auto"/>
            <w:shd w:val="clear" w:color="auto" w:fill="auto"/>
            <w:vAlign w:val="center"/>
          </w:tcPr>
          <w:p w14:paraId="4ACE1F8F" w14:textId="77777777" w:rsidR="006F587A" w:rsidRDefault="006F587A">
            <w:pPr>
              <w:rPr>
                <w:rFonts w:ascii="Times New Roman" w:hAnsi="Times New Roman"/>
                <w:sz w:val="20"/>
                <w:szCs w:val="20"/>
              </w:rPr>
            </w:pPr>
          </w:p>
        </w:tc>
      </w:tr>
      <w:tr w:rsidR="006F587A" w14:paraId="4ACE1F93" w14:textId="77777777">
        <w:trPr>
          <w:tblCellSpacing w:w="0" w:type="dxa"/>
        </w:trPr>
        <w:tc>
          <w:tcPr>
            <w:tcW w:w="0" w:type="auto"/>
            <w:shd w:val="clear" w:color="auto" w:fill="auto"/>
          </w:tcPr>
          <w:p w14:paraId="4ACE1F91"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0"/>
                <w:szCs w:val="10"/>
              </w:rPr>
              <w:t>1</w:t>
            </w:r>
            <w:r>
              <w:rPr>
                <w:rFonts w:ascii="Arial" w:eastAsia="宋体" w:hAnsi="Arial" w:cs="Arial"/>
                <w:i/>
                <w:iCs/>
                <w:color w:val="333333"/>
                <w:sz w:val="16"/>
                <w:szCs w:val="16"/>
              </w:rPr>
              <w:t> </w:t>
            </w:r>
          </w:p>
        </w:tc>
        <w:tc>
          <w:tcPr>
            <w:tcW w:w="0" w:type="auto"/>
            <w:shd w:val="clear" w:color="auto" w:fill="auto"/>
          </w:tcPr>
          <w:p w14:paraId="4ACE1F92"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6"/>
                <w:szCs w:val="16"/>
              </w:rPr>
              <w:t>Intel's definition is included in "Key Terms" within the Financial Statements and Supplemental Details.</w:t>
            </w:r>
          </w:p>
        </w:tc>
      </w:tr>
    </w:tbl>
    <w:p w14:paraId="4ACE1F94" w14:textId="77777777" w:rsidR="006F587A" w:rsidRDefault="006F587A">
      <w:pPr>
        <w:rPr>
          <w:rFonts w:ascii="Times New Roman" w:hAnsi="Times New Roman"/>
          <w:sz w:val="20"/>
          <w:szCs w:val="20"/>
        </w:rPr>
      </w:pPr>
    </w:p>
    <w:p w14:paraId="4ACE1F95" w14:textId="77777777" w:rsidR="006F587A" w:rsidRDefault="007B2B61">
      <w:r>
        <w:rPr>
          <w:rFonts w:ascii="Times New Roman" w:hAnsi="Times New Roman"/>
          <w:sz w:val="20"/>
          <w:szCs w:val="20"/>
        </w:rPr>
        <w:pict w14:anchorId="4ACE6C1C">
          <v:rect id="_x0000_i1026" style="width:415.3pt;height:1.5pt" o:hralign="center" o:hrstd="t" o:hr="t" fillcolor="#a0a0a0" stroked="f"/>
        </w:pict>
      </w:r>
    </w:p>
    <w:p w14:paraId="4ACE1F96" w14:textId="77777777" w:rsidR="006F587A" w:rsidRDefault="007B2B61">
      <w:pPr>
        <w:spacing w:line="288" w:lineRule="auto"/>
        <w:jc w:val="right"/>
        <w:rPr>
          <w:rFonts w:ascii="Times New Roman" w:hAnsi="Times New Roman"/>
          <w:sz w:val="16"/>
          <w:szCs w:val="16"/>
        </w:rPr>
      </w:pPr>
      <w:hyperlink r:id="rId35" w:anchor="s9DB683E2CF52561EB8A73BE37F5BF9BE" w:history="1">
        <w:r>
          <w:rPr>
            <w:rStyle w:val="a5"/>
            <w:rFonts w:ascii="Arial" w:eastAsia="宋体" w:hAnsi="Arial" w:cs="Arial"/>
            <w:b/>
            <w:bCs/>
            <w:sz w:val="16"/>
            <w:szCs w:val="16"/>
          </w:rPr>
          <w:t>Table of Contents</w:t>
        </w:r>
      </w:hyperlink>
    </w:p>
    <w:p w14:paraId="4ACE1F97" w14:textId="77777777" w:rsidR="006F587A" w:rsidRDefault="006F587A">
      <w:pPr>
        <w:spacing w:line="288" w:lineRule="auto"/>
        <w:jc w:val="right"/>
        <w:rPr>
          <w:rFonts w:ascii="Times New Roman" w:hAnsi="Times New Roman"/>
          <w:sz w:val="16"/>
          <w:szCs w:val="16"/>
        </w:rPr>
      </w:pPr>
    </w:p>
    <w:p w14:paraId="4ACE1F98" w14:textId="77777777" w:rsidR="006F587A" w:rsidRDefault="006F587A">
      <w:pPr>
        <w:rPr>
          <w:rFonts w:ascii="Times New Roman" w:hAnsi="Times New Roman"/>
          <w:sz w:val="20"/>
          <w:szCs w:val="20"/>
        </w:rPr>
      </w:pPr>
    </w:p>
    <w:p w14:paraId="4ACE1F99" w14:textId="77777777" w:rsidR="006F587A" w:rsidRDefault="007B2B61">
      <w:pPr>
        <w:spacing w:line="288" w:lineRule="auto"/>
        <w:rPr>
          <w:rFonts w:ascii="Times New Roman" w:hAnsi="Times New Roman"/>
          <w:sz w:val="28"/>
          <w:szCs w:val="28"/>
        </w:rPr>
      </w:pPr>
      <w:r>
        <w:rPr>
          <w:rFonts w:ascii="Arial" w:eastAsia="宋体" w:hAnsi="Arial" w:cs="Arial"/>
          <w:b/>
          <w:bCs/>
          <w:color w:val="0071C5"/>
          <w:sz w:val="28"/>
          <w:szCs w:val="28"/>
        </w:rPr>
        <w:t>FORWARD-LOOKING STATEMENTS</w:t>
      </w:r>
    </w:p>
    <w:p w14:paraId="4ACE1F9A"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This Form 10-K contains forward-looking statemen</w:t>
      </w:r>
      <w:r>
        <w:rPr>
          <w:rFonts w:ascii="Arial" w:eastAsia="宋体" w:hAnsi="Arial" w:cs="Arial"/>
          <w:color w:val="333333"/>
          <w:sz w:val="18"/>
          <w:szCs w:val="18"/>
        </w:rPr>
        <w:t>ts that involve a number of risks and uncertainties. Words such as “anticipates,” “expects,” “intends,” “goals,” “plans,” "opportunities," "future," “believes,” “seeks,” "targets," “estimates,” “continues,” “may,” “will,” “would,” “should,” “could,” and va</w:t>
      </w:r>
      <w:r>
        <w:rPr>
          <w:rFonts w:ascii="Arial" w:eastAsia="宋体" w:hAnsi="Arial" w:cs="Arial"/>
          <w:color w:val="333333"/>
          <w:sz w:val="18"/>
          <w:szCs w:val="18"/>
        </w:rPr>
        <w:t>riations of such words and similar expressions are intended to identify such forward-looking statements. In addition, any statements that refer to projections of our future financial performance; future business, social, and environmental performance, goal</w:t>
      </w:r>
      <w:r>
        <w:rPr>
          <w:rFonts w:ascii="Arial" w:eastAsia="宋体" w:hAnsi="Arial" w:cs="Arial"/>
          <w:color w:val="333333"/>
          <w:sz w:val="18"/>
          <w:szCs w:val="18"/>
        </w:rPr>
        <w:t>s, and measures; our anticipated growth and trends in our businesses; projected growth and trends in markets relevant to our businesses; future products and technology and the expected availability and benefits of such products and technology; expected tim</w:t>
      </w:r>
      <w:r>
        <w:rPr>
          <w:rFonts w:ascii="Arial" w:eastAsia="宋体" w:hAnsi="Arial" w:cs="Arial"/>
          <w:color w:val="333333"/>
          <w:sz w:val="18"/>
          <w:szCs w:val="18"/>
        </w:rPr>
        <w:t>ing and impact of acquisitions, divestitures, and other significant transactions; expected completion of restructuring activities; expected returns to stockholders; future production capacity and product supply; uncertain events or assumptions, including s</w:t>
      </w:r>
      <w:r>
        <w:rPr>
          <w:rFonts w:ascii="Arial" w:eastAsia="宋体" w:hAnsi="Arial" w:cs="Arial"/>
          <w:color w:val="333333"/>
          <w:sz w:val="18"/>
          <w:szCs w:val="18"/>
        </w:rPr>
        <w:t xml:space="preserve">tatements relating to TAM or market opportunity; and other characterizations of future events or circumstances are forward-looking statements. Such statements are based on management's expectations as of the date of this filing and involve many risks and </w:t>
      </w:r>
      <w:r>
        <w:rPr>
          <w:rFonts w:ascii="Arial" w:eastAsia="宋体" w:hAnsi="Arial" w:cs="Arial"/>
          <w:color w:val="333333"/>
          <w:sz w:val="18"/>
          <w:szCs w:val="18"/>
        </w:rPr>
        <w:lastRenderedPageBreak/>
        <w:t>u</w:t>
      </w:r>
      <w:r>
        <w:rPr>
          <w:rFonts w:ascii="Arial" w:eastAsia="宋体" w:hAnsi="Arial" w:cs="Arial"/>
          <w:color w:val="333333"/>
          <w:sz w:val="18"/>
          <w:szCs w:val="18"/>
        </w:rPr>
        <w:t>ncertainties that could cause our actual results to differ materially from those expressed or implied in our forward-looking statements. Such risks and uncertainties include those described throughout this report and particularly in “Risk Factors” within O</w:t>
      </w:r>
      <w:r>
        <w:rPr>
          <w:rFonts w:ascii="Arial" w:eastAsia="宋体" w:hAnsi="Arial" w:cs="Arial"/>
          <w:color w:val="333333"/>
          <w:sz w:val="18"/>
          <w:szCs w:val="18"/>
        </w:rPr>
        <w:t xml:space="preserve">ther Key Information. Given these risks and uncertainties, readers are cautioned not to place undue reliance on such forward-looking statements. Readers are urged to carefully review and consider the various disclosures made in this Form 10-K and in other </w:t>
      </w:r>
      <w:r>
        <w:rPr>
          <w:rFonts w:ascii="Arial" w:eastAsia="宋体" w:hAnsi="Arial" w:cs="Arial"/>
          <w:color w:val="333333"/>
          <w:sz w:val="18"/>
          <w:szCs w:val="18"/>
        </w:rPr>
        <w:t>documents we file from time to time with the SEC that disclose risks and uncertainties that may affect our business. Unless specifically indicated otherwise, the forward-looking statements in this Form 10-K do not reflect the potential impact of any divest</w:t>
      </w:r>
      <w:r>
        <w:rPr>
          <w:rFonts w:ascii="Arial" w:eastAsia="宋体" w:hAnsi="Arial" w:cs="Arial"/>
          <w:color w:val="333333"/>
          <w:sz w:val="18"/>
          <w:szCs w:val="18"/>
        </w:rPr>
        <w:t xml:space="preserve">itures, mergers, acquisitions, or other business combinations that have not been completed as of the date of this filing. In addition, the forward-looking statements in this Form 10-K are made as of the date of this filing, including expectations based on </w:t>
      </w:r>
      <w:r>
        <w:rPr>
          <w:rFonts w:ascii="Arial" w:eastAsia="宋体" w:hAnsi="Arial" w:cs="Arial"/>
          <w:color w:val="333333"/>
          <w:sz w:val="18"/>
          <w:szCs w:val="18"/>
        </w:rPr>
        <w:t>third-party information and projections that management believes to be reputable, and Intel does not undertake, and expressly disclaims any duty, to update such statements, whether as a result of new information, new developments, or otherwise, except to t</w:t>
      </w:r>
      <w:r>
        <w:rPr>
          <w:rFonts w:ascii="Arial" w:eastAsia="宋体" w:hAnsi="Arial" w:cs="Arial"/>
          <w:color w:val="333333"/>
          <w:sz w:val="18"/>
          <w:szCs w:val="18"/>
        </w:rPr>
        <w:t xml:space="preserve">he extent that disclosure may be required by law. </w:t>
      </w:r>
    </w:p>
    <w:p w14:paraId="4ACE1F9B" w14:textId="77777777" w:rsidR="006F587A" w:rsidRDefault="007B2B61">
      <w:pPr>
        <w:spacing w:line="288" w:lineRule="auto"/>
        <w:rPr>
          <w:rFonts w:ascii="Times New Roman" w:hAnsi="Times New Roman"/>
          <w:sz w:val="28"/>
          <w:szCs w:val="28"/>
        </w:rPr>
      </w:pPr>
      <w:r>
        <w:rPr>
          <w:rFonts w:ascii="Arial" w:eastAsia="宋体" w:hAnsi="Arial" w:cs="Arial"/>
          <w:b/>
          <w:bCs/>
          <w:color w:val="0071C5"/>
          <w:sz w:val="28"/>
          <w:szCs w:val="28"/>
        </w:rPr>
        <w:t>NOTE REGARDING THIRD-PARTY INFORMATION</w:t>
      </w:r>
    </w:p>
    <w:p w14:paraId="4ACE1F9C"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This Form 10-K includes market data and certain other statistical information and estimates that are based on reports and other publications from industry </w:t>
      </w:r>
      <w:r>
        <w:rPr>
          <w:rFonts w:ascii="Arial" w:eastAsia="宋体" w:hAnsi="Arial" w:cs="Arial"/>
          <w:color w:val="333333"/>
          <w:sz w:val="18"/>
          <w:szCs w:val="18"/>
        </w:rPr>
        <w:t>analysts, market research firms, and other independent sources, as well as management’s own good faith estimates and analyses. Intel believes these third-party reports to be reputable, but has not independently verified the underlying data sources, methodo</w:t>
      </w:r>
      <w:r>
        <w:rPr>
          <w:rFonts w:ascii="Arial" w:eastAsia="宋体" w:hAnsi="Arial" w:cs="Arial"/>
          <w:color w:val="333333"/>
          <w:sz w:val="18"/>
          <w:szCs w:val="18"/>
        </w:rPr>
        <w:t>logies, or assumptions. The reports and other publications referenced are generally available to the public and were not commissioned by Intel. Information that is based on estimates, forecasts, projections, market research, or similar methodologies is inh</w:t>
      </w:r>
      <w:r>
        <w:rPr>
          <w:rFonts w:ascii="Arial" w:eastAsia="宋体" w:hAnsi="Arial" w:cs="Arial"/>
          <w:color w:val="333333"/>
          <w:sz w:val="18"/>
          <w:szCs w:val="18"/>
        </w:rPr>
        <w:t>erently subject to uncertainties, and actual events or circumstances may differ materially from events and circumstances reflected in this information.</w:t>
      </w:r>
    </w:p>
    <w:p w14:paraId="4ACE1F9D" w14:textId="77777777" w:rsidR="006F587A" w:rsidRDefault="006F587A">
      <w:pPr>
        <w:spacing w:line="288" w:lineRule="auto"/>
        <w:rPr>
          <w:rFonts w:ascii="Times New Roman" w:hAnsi="Times New Roman"/>
          <w:sz w:val="18"/>
          <w:szCs w:val="18"/>
        </w:rPr>
      </w:pPr>
    </w:p>
    <w:p w14:paraId="4ACE1F9E" w14:textId="77777777" w:rsidR="006F587A" w:rsidRDefault="006F587A">
      <w:pPr>
        <w:spacing w:line="288" w:lineRule="auto"/>
        <w:rPr>
          <w:rFonts w:ascii="Times New Roman" w:hAnsi="Times New Roman"/>
          <w:sz w:val="18"/>
          <w:szCs w:val="18"/>
        </w:rPr>
      </w:pPr>
    </w:p>
    <w:p w14:paraId="4ACE1F9F" w14:textId="77777777" w:rsidR="006F587A" w:rsidRDefault="006F587A">
      <w:pPr>
        <w:spacing w:line="288" w:lineRule="auto"/>
        <w:rPr>
          <w:rFonts w:ascii="Times New Roman" w:hAnsi="Times New Roman"/>
          <w:sz w:val="18"/>
          <w:szCs w:val="18"/>
        </w:rPr>
      </w:pPr>
    </w:p>
    <w:p w14:paraId="4ACE1FA0" w14:textId="77777777" w:rsidR="006F587A" w:rsidRDefault="006F587A">
      <w:pPr>
        <w:spacing w:line="288" w:lineRule="auto"/>
        <w:rPr>
          <w:rFonts w:ascii="Times New Roman" w:hAnsi="Times New Roman"/>
          <w:sz w:val="18"/>
          <w:szCs w:val="18"/>
        </w:rPr>
      </w:pPr>
    </w:p>
    <w:p w14:paraId="4ACE1FA1" w14:textId="77777777" w:rsidR="006F587A" w:rsidRDefault="006F587A">
      <w:pPr>
        <w:spacing w:line="288" w:lineRule="auto"/>
        <w:rPr>
          <w:rFonts w:ascii="Times New Roman" w:hAnsi="Times New Roman"/>
          <w:sz w:val="18"/>
          <w:szCs w:val="18"/>
        </w:rPr>
      </w:pPr>
    </w:p>
    <w:p w14:paraId="4ACE1FA2" w14:textId="77777777" w:rsidR="006F587A" w:rsidRDefault="006F587A">
      <w:pPr>
        <w:spacing w:line="288" w:lineRule="auto"/>
        <w:rPr>
          <w:rFonts w:ascii="Times New Roman" w:hAnsi="Times New Roman"/>
          <w:sz w:val="18"/>
          <w:szCs w:val="18"/>
        </w:rPr>
      </w:pPr>
    </w:p>
    <w:p w14:paraId="4ACE1FA3" w14:textId="77777777" w:rsidR="006F587A" w:rsidRDefault="006F587A">
      <w:pPr>
        <w:spacing w:line="288" w:lineRule="auto"/>
        <w:rPr>
          <w:rFonts w:ascii="Times New Roman" w:hAnsi="Times New Roman"/>
          <w:sz w:val="18"/>
          <w:szCs w:val="18"/>
        </w:rPr>
      </w:pPr>
    </w:p>
    <w:p w14:paraId="4ACE1FA4" w14:textId="77777777" w:rsidR="006F587A" w:rsidRDefault="006F587A">
      <w:pPr>
        <w:spacing w:line="288" w:lineRule="auto"/>
        <w:rPr>
          <w:rFonts w:ascii="Times New Roman" w:hAnsi="Times New Roman"/>
          <w:sz w:val="18"/>
          <w:szCs w:val="18"/>
        </w:rPr>
      </w:pPr>
    </w:p>
    <w:p w14:paraId="4ACE1FA5" w14:textId="77777777" w:rsidR="006F587A" w:rsidRDefault="006F587A">
      <w:pPr>
        <w:spacing w:line="288" w:lineRule="auto"/>
        <w:rPr>
          <w:rFonts w:ascii="Times New Roman" w:hAnsi="Times New Roman"/>
          <w:sz w:val="18"/>
          <w:szCs w:val="18"/>
        </w:rPr>
      </w:pPr>
    </w:p>
    <w:p w14:paraId="4ACE1FA6" w14:textId="77777777" w:rsidR="006F587A" w:rsidRDefault="006F587A">
      <w:pPr>
        <w:spacing w:line="288" w:lineRule="auto"/>
        <w:rPr>
          <w:rFonts w:ascii="Times New Roman" w:hAnsi="Times New Roman"/>
          <w:sz w:val="18"/>
          <w:szCs w:val="18"/>
        </w:rPr>
      </w:pPr>
    </w:p>
    <w:p w14:paraId="4ACE1FA7" w14:textId="77777777" w:rsidR="006F587A" w:rsidRDefault="006F587A">
      <w:pPr>
        <w:spacing w:line="288" w:lineRule="auto"/>
        <w:rPr>
          <w:rFonts w:ascii="Times New Roman" w:hAnsi="Times New Roman"/>
          <w:sz w:val="18"/>
          <w:szCs w:val="18"/>
        </w:rPr>
      </w:pPr>
    </w:p>
    <w:p w14:paraId="4ACE1FA8" w14:textId="77777777" w:rsidR="006F587A" w:rsidRDefault="006F587A">
      <w:pPr>
        <w:spacing w:line="288" w:lineRule="auto"/>
        <w:rPr>
          <w:rFonts w:ascii="Times New Roman" w:hAnsi="Times New Roman"/>
          <w:sz w:val="18"/>
          <w:szCs w:val="18"/>
        </w:rPr>
      </w:pPr>
    </w:p>
    <w:p w14:paraId="4ACE1FA9" w14:textId="77777777" w:rsidR="006F587A" w:rsidRDefault="006F587A">
      <w:pPr>
        <w:spacing w:line="288" w:lineRule="auto"/>
        <w:rPr>
          <w:rFonts w:ascii="Times New Roman" w:hAnsi="Times New Roman"/>
          <w:sz w:val="18"/>
          <w:szCs w:val="18"/>
        </w:rPr>
      </w:pPr>
    </w:p>
    <w:p w14:paraId="4ACE1FAA" w14:textId="77777777" w:rsidR="006F587A" w:rsidRDefault="006F587A">
      <w:pPr>
        <w:spacing w:line="288" w:lineRule="auto"/>
        <w:rPr>
          <w:rFonts w:ascii="Times New Roman" w:hAnsi="Times New Roman"/>
          <w:sz w:val="18"/>
          <w:szCs w:val="18"/>
        </w:rPr>
      </w:pPr>
    </w:p>
    <w:p w14:paraId="4ACE1FAB" w14:textId="77777777" w:rsidR="006F587A" w:rsidRDefault="006F587A">
      <w:pPr>
        <w:spacing w:line="288" w:lineRule="auto"/>
        <w:rPr>
          <w:rFonts w:ascii="Times New Roman" w:hAnsi="Times New Roman"/>
          <w:sz w:val="18"/>
          <w:szCs w:val="18"/>
        </w:rPr>
      </w:pPr>
    </w:p>
    <w:tbl>
      <w:tblPr>
        <w:tblW w:w="0" w:type="auto"/>
        <w:tblCellSpacing w:w="0" w:type="dxa"/>
        <w:tblCellMar>
          <w:left w:w="0" w:type="dxa"/>
          <w:right w:w="0" w:type="dxa"/>
        </w:tblCellMar>
        <w:tblLook w:val="04A0" w:firstRow="1" w:lastRow="0" w:firstColumn="1" w:lastColumn="0" w:noHBand="0" w:noVBand="1"/>
      </w:tblPr>
      <w:tblGrid>
        <w:gridCol w:w="240"/>
        <w:gridCol w:w="4759"/>
      </w:tblGrid>
      <w:tr w:rsidR="006F587A" w14:paraId="4ACE1FAE" w14:textId="77777777">
        <w:trPr>
          <w:tblCellSpacing w:w="0" w:type="dxa"/>
        </w:trPr>
        <w:tc>
          <w:tcPr>
            <w:tcW w:w="240" w:type="dxa"/>
            <w:shd w:val="clear" w:color="auto" w:fill="auto"/>
            <w:vAlign w:val="center"/>
          </w:tcPr>
          <w:p w14:paraId="4ACE1FAC" w14:textId="77777777" w:rsidR="006F587A" w:rsidRDefault="006F587A">
            <w:pPr>
              <w:rPr>
                <w:rFonts w:ascii="Times New Roman" w:hAnsi="Times New Roman"/>
                <w:sz w:val="20"/>
                <w:szCs w:val="20"/>
              </w:rPr>
            </w:pPr>
          </w:p>
        </w:tc>
        <w:tc>
          <w:tcPr>
            <w:tcW w:w="0" w:type="auto"/>
            <w:shd w:val="clear" w:color="auto" w:fill="auto"/>
            <w:vAlign w:val="center"/>
          </w:tcPr>
          <w:p w14:paraId="4ACE1FAD" w14:textId="77777777" w:rsidR="006F587A" w:rsidRDefault="006F587A">
            <w:pPr>
              <w:rPr>
                <w:rFonts w:ascii="Times New Roman" w:hAnsi="Times New Roman"/>
                <w:sz w:val="20"/>
                <w:szCs w:val="20"/>
              </w:rPr>
            </w:pPr>
          </w:p>
        </w:tc>
      </w:tr>
      <w:tr w:rsidR="006F587A" w14:paraId="4ACE1FB1" w14:textId="77777777">
        <w:trPr>
          <w:tblCellSpacing w:w="0" w:type="dxa"/>
        </w:trPr>
        <w:tc>
          <w:tcPr>
            <w:tcW w:w="0" w:type="auto"/>
            <w:shd w:val="clear" w:color="auto" w:fill="auto"/>
          </w:tcPr>
          <w:p w14:paraId="4ACE1FAF"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6"/>
                <w:szCs w:val="16"/>
              </w:rPr>
              <w:t>*</w:t>
            </w:r>
          </w:p>
        </w:tc>
        <w:tc>
          <w:tcPr>
            <w:tcW w:w="0" w:type="auto"/>
            <w:shd w:val="clear" w:color="auto" w:fill="auto"/>
          </w:tcPr>
          <w:p w14:paraId="4ACE1FB0"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6"/>
                <w:szCs w:val="16"/>
              </w:rPr>
              <w:t xml:space="preserve">Other names and brands may be claimed as the property of others. </w:t>
            </w:r>
          </w:p>
        </w:tc>
      </w:tr>
    </w:tbl>
    <w:p w14:paraId="4ACE1FB2" w14:textId="77777777" w:rsidR="006F587A" w:rsidRDefault="006F587A">
      <w:pPr>
        <w:spacing w:line="288" w:lineRule="auto"/>
        <w:rPr>
          <w:rFonts w:ascii="Times New Roman" w:hAnsi="Times New Roman"/>
          <w:sz w:val="16"/>
          <w:szCs w:val="16"/>
        </w:rPr>
      </w:pPr>
    </w:p>
    <w:p w14:paraId="4ACE1FB3" w14:textId="77777777" w:rsidR="006F587A" w:rsidRDefault="007B2B61">
      <w:pPr>
        <w:spacing w:line="288" w:lineRule="auto"/>
        <w:rPr>
          <w:rFonts w:ascii="Times New Roman" w:hAnsi="Times New Roman"/>
          <w:sz w:val="16"/>
          <w:szCs w:val="16"/>
        </w:rPr>
      </w:pPr>
      <w:r>
        <w:rPr>
          <w:rFonts w:ascii="Arial" w:eastAsia="宋体" w:hAnsi="Arial" w:cs="Arial"/>
          <w:i/>
          <w:iCs/>
          <w:color w:val="333333"/>
          <w:sz w:val="16"/>
          <w:szCs w:val="16"/>
        </w:rPr>
        <w:t>The Bluetooth</w:t>
      </w:r>
      <w:r>
        <w:rPr>
          <w:rFonts w:ascii="Arial" w:eastAsia="宋体" w:hAnsi="Arial" w:cs="Arial"/>
          <w:i/>
          <w:iCs/>
          <w:color w:val="333333"/>
          <w:sz w:val="10"/>
          <w:szCs w:val="10"/>
        </w:rPr>
        <w:t>®</w:t>
      </w:r>
      <w:r>
        <w:rPr>
          <w:rFonts w:ascii="Arial" w:eastAsia="宋体" w:hAnsi="Arial" w:cs="Arial"/>
          <w:i/>
          <w:iCs/>
          <w:color w:val="333333"/>
          <w:sz w:val="16"/>
          <w:szCs w:val="16"/>
        </w:rPr>
        <w:t xml:space="preserve"> word mark and logos are registered trademarks owned by Bluetooth SIG, Inc. and any use of such marks by Intel Corporation is under license.</w:t>
      </w:r>
    </w:p>
    <w:p w14:paraId="4ACE1FB4" w14:textId="77777777" w:rsidR="006F587A" w:rsidRDefault="006F587A">
      <w:pPr>
        <w:spacing w:line="288" w:lineRule="auto"/>
        <w:rPr>
          <w:rFonts w:ascii="Times New Roman" w:hAnsi="Times New Roman"/>
          <w:sz w:val="16"/>
          <w:szCs w:val="16"/>
        </w:rPr>
      </w:pPr>
    </w:p>
    <w:p w14:paraId="4ACE1FB5" w14:textId="77777777" w:rsidR="006F587A" w:rsidRDefault="007B2B61">
      <w:pPr>
        <w:spacing w:line="288" w:lineRule="auto"/>
        <w:rPr>
          <w:rFonts w:ascii="Times New Roman" w:hAnsi="Times New Roman"/>
          <w:sz w:val="16"/>
          <w:szCs w:val="16"/>
        </w:rPr>
      </w:pPr>
      <w:r>
        <w:rPr>
          <w:rFonts w:ascii="Arial" w:eastAsia="宋体" w:hAnsi="Arial" w:cs="Arial"/>
          <w:i/>
          <w:iCs/>
          <w:color w:val="333333"/>
          <w:sz w:val="16"/>
          <w:szCs w:val="16"/>
        </w:rPr>
        <w:t>Intel, 3D XPoint, Celeron, Intel</w:t>
      </w:r>
      <w:r>
        <w:rPr>
          <w:rFonts w:ascii="Arial" w:eastAsia="宋体" w:hAnsi="Arial" w:cs="Arial"/>
          <w:i/>
          <w:iCs/>
          <w:color w:val="333333"/>
          <w:sz w:val="16"/>
          <w:szCs w:val="16"/>
        </w:rPr>
        <w:t xml:space="preserve"> Agilex, Intel Atom, Intel Core, eASIC, Intel Inside, the Intel logo, the Intel Inside logo, Intel Nervana, Intel Optane, Itanium, Movidius, Myriad, OpenVINO, Pentium, Quark, Stratix, Thunderbolt, Intel vPro, Xeon, and are trademarks of Intel Corporation o</w:t>
      </w:r>
      <w:r>
        <w:rPr>
          <w:rFonts w:ascii="Arial" w:eastAsia="宋体" w:hAnsi="Arial" w:cs="Arial"/>
          <w:i/>
          <w:iCs/>
          <w:color w:val="333333"/>
          <w:sz w:val="16"/>
          <w:szCs w:val="16"/>
        </w:rPr>
        <w:t>r its subsidiaries.</w:t>
      </w:r>
    </w:p>
    <w:p w14:paraId="4ACE1FB6"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575"/>
        <w:gridCol w:w="2575"/>
        <w:gridCol w:w="3156"/>
      </w:tblGrid>
      <w:tr w:rsidR="006F587A" w14:paraId="4ACE1FB8" w14:textId="77777777">
        <w:tc>
          <w:tcPr>
            <w:tcW w:w="0" w:type="auto"/>
            <w:gridSpan w:val="3"/>
            <w:shd w:val="clear" w:color="auto" w:fill="auto"/>
            <w:vAlign w:val="center"/>
          </w:tcPr>
          <w:p w14:paraId="4ACE1FB7" w14:textId="77777777" w:rsidR="006F587A" w:rsidRDefault="006F587A">
            <w:pPr>
              <w:rPr>
                <w:rFonts w:ascii="Times New Roman" w:hAnsi="Times New Roman"/>
                <w:sz w:val="20"/>
                <w:szCs w:val="20"/>
              </w:rPr>
            </w:pPr>
          </w:p>
        </w:tc>
      </w:tr>
      <w:tr w:rsidR="006F587A" w14:paraId="4ACE1FBC" w14:textId="77777777">
        <w:tc>
          <w:tcPr>
            <w:tcW w:w="1550" w:type="pct"/>
            <w:shd w:val="clear" w:color="auto" w:fill="auto"/>
            <w:vAlign w:val="center"/>
          </w:tcPr>
          <w:p w14:paraId="4ACE1FB9" w14:textId="77777777" w:rsidR="006F587A" w:rsidRDefault="006F587A">
            <w:pPr>
              <w:rPr>
                <w:rFonts w:ascii="Times New Roman" w:hAnsi="Times New Roman"/>
                <w:sz w:val="20"/>
                <w:szCs w:val="20"/>
              </w:rPr>
            </w:pPr>
          </w:p>
        </w:tc>
        <w:tc>
          <w:tcPr>
            <w:tcW w:w="1550" w:type="pct"/>
            <w:shd w:val="clear" w:color="auto" w:fill="auto"/>
            <w:vAlign w:val="center"/>
          </w:tcPr>
          <w:p w14:paraId="4ACE1FBA" w14:textId="77777777" w:rsidR="006F587A" w:rsidRDefault="006F587A">
            <w:pPr>
              <w:rPr>
                <w:rFonts w:ascii="Times New Roman" w:hAnsi="Times New Roman"/>
                <w:sz w:val="20"/>
                <w:szCs w:val="20"/>
              </w:rPr>
            </w:pPr>
          </w:p>
        </w:tc>
        <w:tc>
          <w:tcPr>
            <w:tcW w:w="1900" w:type="pct"/>
            <w:shd w:val="clear" w:color="auto" w:fill="auto"/>
            <w:vAlign w:val="center"/>
          </w:tcPr>
          <w:p w14:paraId="4ACE1FBB" w14:textId="77777777" w:rsidR="006F587A" w:rsidRDefault="006F587A">
            <w:pPr>
              <w:rPr>
                <w:rFonts w:ascii="Times New Roman" w:hAnsi="Times New Roman"/>
                <w:sz w:val="20"/>
                <w:szCs w:val="20"/>
              </w:rPr>
            </w:pPr>
          </w:p>
        </w:tc>
      </w:tr>
      <w:tr w:rsidR="006F587A" w14:paraId="4ACE1FC0"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1FBD" w14:textId="77777777" w:rsidR="006F587A" w:rsidRDefault="007B2B61">
            <w:pPr>
              <w:textAlignment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Viewer12_files/a001intellogo_coverfooter.jpg"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1D" wp14:editId="4ACE6C1E">
                  <wp:extent cx="304800" cy="304800"/>
                  <wp:effectExtent l="0" t="0" r="0" b="0"/>
                  <wp:docPr id="30" name="图片 37"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7"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c>
          <w:tcPr>
            <w:tcW w:w="0" w:type="auto"/>
            <w:tcBorders>
              <w:top w:val="single" w:sz="8" w:space="0" w:color="0071C5"/>
            </w:tcBorders>
            <w:shd w:val="clear" w:color="auto" w:fill="auto"/>
            <w:tcMar>
              <w:top w:w="40" w:type="dxa"/>
              <w:left w:w="40" w:type="dxa"/>
              <w:bottom w:w="40" w:type="dxa"/>
              <w:right w:w="40" w:type="dxa"/>
            </w:tcMar>
            <w:vAlign w:val="bottom"/>
          </w:tcPr>
          <w:p w14:paraId="4ACE1FB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center"/>
          </w:tcPr>
          <w:p w14:paraId="4ACE1FBF" w14:textId="77777777" w:rsidR="006F587A" w:rsidRDefault="007B2B61">
            <w:pPr>
              <w:jc w:val="right"/>
              <w:textAlignment w:val="center"/>
              <w:rPr>
                <w:rFonts w:ascii="Times New Roman" w:hAnsi="Times New Roman"/>
                <w:sz w:val="16"/>
                <w:szCs w:val="16"/>
              </w:rPr>
            </w:pPr>
            <w:r>
              <w:rPr>
                <w:rFonts w:ascii="Arial" w:eastAsia="宋体" w:hAnsi="Arial" w:cs="Arial"/>
                <w:color w:val="333333"/>
                <w:sz w:val="16"/>
                <w:szCs w:val="16"/>
              </w:rPr>
              <w:t>1</w:t>
            </w:r>
          </w:p>
        </w:tc>
      </w:tr>
    </w:tbl>
    <w:p w14:paraId="4ACE1FC1" w14:textId="77777777" w:rsidR="006F587A" w:rsidRDefault="007B2B61">
      <w:r>
        <w:pict w14:anchorId="4ACE6C1F">
          <v:rect id="_x0000_i1027" style="width:415.3pt;height:1.5pt" o:hralign="center" o:hrstd="t" o:hr="t" fillcolor="#a0a0a0" stroked="f"/>
        </w:pict>
      </w:r>
    </w:p>
    <w:p w14:paraId="4ACE1FC2" w14:textId="77777777" w:rsidR="006F587A" w:rsidRDefault="007B2B61">
      <w:pPr>
        <w:spacing w:line="288" w:lineRule="auto"/>
        <w:jc w:val="right"/>
        <w:rPr>
          <w:rFonts w:ascii="Times New Roman" w:hAnsi="Times New Roman"/>
          <w:sz w:val="16"/>
          <w:szCs w:val="16"/>
        </w:rPr>
      </w:pPr>
      <w:hyperlink r:id="rId36" w:anchor="s9DB683E2CF52561EB8A73BE37F5BF9BE" w:history="1">
        <w:r>
          <w:rPr>
            <w:rStyle w:val="a5"/>
            <w:rFonts w:ascii="Arial" w:eastAsia="宋体" w:hAnsi="Arial" w:cs="Arial"/>
            <w:b/>
            <w:bCs/>
            <w:sz w:val="16"/>
            <w:szCs w:val="16"/>
          </w:rPr>
          <w:t>Table of Contents</w:t>
        </w:r>
      </w:hyperlink>
    </w:p>
    <w:p w14:paraId="4ACE1FC3" w14:textId="77777777" w:rsidR="006F587A" w:rsidRDefault="006F587A">
      <w:pPr>
        <w:spacing w:line="288" w:lineRule="auto"/>
        <w:jc w:val="right"/>
        <w:rPr>
          <w:rFonts w:ascii="Times New Roman" w:hAnsi="Times New Roman"/>
          <w:sz w:val="16"/>
          <w:szCs w:val="16"/>
        </w:rPr>
      </w:pPr>
    </w:p>
    <w:p w14:paraId="4ACE1FC4" w14:textId="77777777" w:rsidR="006F587A" w:rsidRDefault="006F587A">
      <w:pPr>
        <w:rPr>
          <w:rFonts w:ascii="Times New Roman" w:hAnsi="Times New Roman"/>
          <w:sz w:val="20"/>
          <w:szCs w:val="20"/>
        </w:rPr>
      </w:pPr>
    </w:p>
    <w:p w14:paraId="4ACE1FC5" w14:textId="77777777" w:rsidR="006F587A" w:rsidRDefault="007B2B61">
      <w:pPr>
        <w:spacing w:line="288" w:lineRule="auto"/>
        <w:rPr>
          <w:rFonts w:ascii="Times New Roman" w:hAnsi="Times New Roman"/>
          <w:sz w:val="20"/>
          <w:szCs w:val="20"/>
        </w:rPr>
      </w:pPr>
      <w:r>
        <w:rPr>
          <w:rFonts w:ascii="Times New Roman" w:eastAsia="宋体" w:hAnsi="Times New Roman"/>
          <w:sz w:val="20"/>
          <w:szCs w:val="20"/>
        </w:rPr>
        <w:lastRenderedPageBreak/>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Viewer12_files/a002introtobizspreadpt1.jpg"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20" wp14:editId="4ACE6C21">
            <wp:extent cx="304800" cy="304800"/>
            <wp:effectExtent l="0" t="0" r="0" b="0"/>
            <wp:docPr id="45" name="图片 3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9"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4ACE1FC6"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575"/>
        <w:gridCol w:w="2575"/>
        <w:gridCol w:w="3156"/>
      </w:tblGrid>
      <w:tr w:rsidR="006F587A" w14:paraId="4ACE1FC8" w14:textId="77777777">
        <w:tc>
          <w:tcPr>
            <w:tcW w:w="0" w:type="auto"/>
            <w:gridSpan w:val="3"/>
            <w:shd w:val="clear" w:color="auto" w:fill="auto"/>
            <w:vAlign w:val="center"/>
          </w:tcPr>
          <w:p w14:paraId="4ACE1FC7" w14:textId="77777777" w:rsidR="006F587A" w:rsidRDefault="006F587A">
            <w:pPr>
              <w:rPr>
                <w:rFonts w:ascii="Times New Roman" w:hAnsi="Times New Roman"/>
                <w:sz w:val="20"/>
                <w:szCs w:val="20"/>
              </w:rPr>
            </w:pPr>
          </w:p>
        </w:tc>
      </w:tr>
      <w:tr w:rsidR="006F587A" w14:paraId="4ACE1FCC" w14:textId="77777777">
        <w:tc>
          <w:tcPr>
            <w:tcW w:w="1550" w:type="pct"/>
            <w:shd w:val="clear" w:color="auto" w:fill="auto"/>
            <w:vAlign w:val="center"/>
          </w:tcPr>
          <w:p w14:paraId="4ACE1FC9" w14:textId="77777777" w:rsidR="006F587A" w:rsidRDefault="006F587A">
            <w:pPr>
              <w:rPr>
                <w:rFonts w:ascii="Times New Roman" w:hAnsi="Times New Roman"/>
                <w:sz w:val="20"/>
                <w:szCs w:val="20"/>
              </w:rPr>
            </w:pPr>
          </w:p>
        </w:tc>
        <w:tc>
          <w:tcPr>
            <w:tcW w:w="1550" w:type="pct"/>
            <w:shd w:val="clear" w:color="auto" w:fill="auto"/>
            <w:vAlign w:val="center"/>
          </w:tcPr>
          <w:p w14:paraId="4ACE1FCA" w14:textId="77777777" w:rsidR="006F587A" w:rsidRDefault="006F587A">
            <w:pPr>
              <w:rPr>
                <w:rFonts w:ascii="Times New Roman" w:hAnsi="Times New Roman"/>
                <w:sz w:val="20"/>
                <w:szCs w:val="20"/>
              </w:rPr>
            </w:pPr>
          </w:p>
        </w:tc>
        <w:tc>
          <w:tcPr>
            <w:tcW w:w="1900" w:type="pct"/>
            <w:shd w:val="clear" w:color="auto" w:fill="auto"/>
            <w:vAlign w:val="center"/>
          </w:tcPr>
          <w:p w14:paraId="4ACE1FCB" w14:textId="77777777" w:rsidR="006F587A" w:rsidRDefault="006F587A">
            <w:pPr>
              <w:rPr>
                <w:rFonts w:ascii="Times New Roman" w:hAnsi="Times New Roman"/>
                <w:sz w:val="20"/>
                <w:szCs w:val="20"/>
              </w:rPr>
            </w:pPr>
          </w:p>
        </w:tc>
      </w:tr>
      <w:tr w:rsidR="006F587A" w14:paraId="4ACE1FD0"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1FCD" w14:textId="77777777" w:rsidR="006F587A" w:rsidRDefault="007B2B61">
            <w:pPr>
              <w:textAlignment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Viewer12_files/a001intellogo_coverfooter.jpg"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22" wp14:editId="4ACE6C23">
                  <wp:extent cx="304800" cy="304800"/>
                  <wp:effectExtent l="0" t="0" r="0" b="0"/>
                  <wp:docPr id="34" name="图片 40"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0"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c>
          <w:tcPr>
            <w:tcW w:w="0" w:type="auto"/>
            <w:tcBorders>
              <w:top w:val="single" w:sz="8" w:space="0" w:color="0071C5"/>
            </w:tcBorders>
            <w:shd w:val="clear" w:color="auto" w:fill="auto"/>
            <w:tcMar>
              <w:top w:w="40" w:type="dxa"/>
              <w:left w:w="40" w:type="dxa"/>
              <w:bottom w:w="40" w:type="dxa"/>
              <w:right w:w="40" w:type="dxa"/>
            </w:tcMar>
            <w:vAlign w:val="bottom"/>
          </w:tcPr>
          <w:p w14:paraId="4ACE1FC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center"/>
          </w:tcPr>
          <w:p w14:paraId="4ACE1FCF" w14:textId="77777777" w:rsidR="006F587A" w:rsidRDefault="007B2B61">
            <w:pPr>
              <w:jc w:val="right"/>
              <w:textAlignment w:val="center"/>
              <w:rPr>
                <w:rFonts w:ascii="Times New Roman" w:hAnsi="Times New Roman"/>
                <w:sz w:val="16"/>
                <w:szCs w:val="16"/>
              </w:rPr>
            </w:pPr>
            <w:r>
              <w:rPr>
                <w:rFonts w:ascii="Arial" w:eastAsia="宋体" w:hAnsi="Arial" w:cs="Arial"/>
                <w:color w:val="333333"/>
                <w:sz w:val="16"/>
                <w:szCs w:val="16"/>
              </w:rPr>
              <w:t>2</w:t>
            </w:r>
          </w:p>
        </w:tc>
      </w:tr>
    </w:tbl>
    <w:p w14:paraId="4ACE1FD1" w14:textId="77777777" w:rsidR="006F587A" w:rsidRDefault="007B2B61">
      <w:r>
        <w:pict w14:anchorId="4ACE6C24">
          <v:rect id="_x0000_i1028" style="width:415.3pt;height:1.5pt" o:hralign="center" o:hrstd="t" o:hr="t" fillcolor="#a0a0a0" stroked="f"/>
        </w:pict>
      </w:r>
    </w:p>
    <w:p w14:paraId="4ACE1FD2" w14:textId="77777777" w:rsidR="006F587A" w:rsidRDefault="007B2B61">
      <w:pPr>
        <w:spacing w:line="288" w:lineRule="auto"/>
        <w:jc w:val="right"/>
        <w:rPr>
          <w:rFonts w:ascii="Times New Roman" w:hAnsi="Times New Roman"/>
          <w:sz w:val="16"/>
          <w:szCs w:val="16"/>
        </w:rPr>
      </w:pPr>
      <w:hyperlink r:id="rId37" w:anchor="s9DB683E2CF52561EB8A73BE37F5BF9BE" w:history="1">
        <w:r>
          <w:rPr>
            <w:rStyle w:val="a5"/>
            <w:rFonts w:ascii="Arial" w:eastAsia="宋体" w:hAnsi="Arial" w:cs="Arial"/>
            <w:b/>
            <w:bCs/>
            <w:sz w:val="16"/>
            <w:szCs w:val="16"/>
          </w:rPr>
          <w:t>Table of Contents</w:t>
        </w:r>
      </w:hyperlink>
    </w:p>
    <w:p w14:paraId="4ACE1FD3" w14:textId="77777777" w:rsidR="006F587A" w:rsidRDefault="006F587A">
      <w:pPr>
        <w:spacing w:line="288" w:lineRule="auto"/>
        <w:jc w:val="right"/>
        <w:rPr>
          <w:rFonts w:ascii="Times New Roman" w:hAnsi="Times New Roman"/>
          <w:sz w:val="16"/>
          <w:szCs w:val="16"/>
        </w:rPr>
      </w:pPr>
    </w:p>
    <w:p w14:paraId="4ACE1FD4" w14:textId="77777777" w:rsidR="006F587A" w:rsidRDefault="006F587A">
      <w:pPr>
        <w:rPr>
          <w:rFonts w:ascii="Times New Roman" w:hAnsi="Times New Roman"/>
          <w:sz w:val="20"/>
          <w:szCs w:val="20"/>
        </w:rPr>
      </w:pPr>
    </w:p>
    <w:tbl>
      <w:tblPr>
        <w:tblW w:w="16320" w:type="dxa"/>
        <w:tblCellMar>
          <w:left w:w="0" w:type="dxa"/>
          <w:right w:w="0" w:type="dxa"/>
        </w:tblCellMar>
        <w:tblLook w:val="04A0" w:firstRow="1" w:lastRow="0" w:firstColumn="1" w:lastColumn="0" w:noHBand="0" w:noVBand="1"/>
      </w:tblPr>
      <w:tblGrid>
        <w:gridCol w:w="1466"/>
        <w:gridCol w:w="483"/>
        <w:gridCol w:w="1378"/>
        <w:gridCol w:w="12489"/>
        <w:gridCol w:w="504"/>
      </w:tblGrid>
      <w:tr w:rsidR="006F587A" w14:paraId="4ACE1FD6" w14:textId="77777777">
        <w:tc>
          <w:tcPr>
            <w:tcW w:w="0" w:type="auto"/>
            <w:gridSpan w:val="5"/>
            <w:shd w:val="clear" w:color="auto" w:fill="auto"/>
            <w:vAlign w:val="center"/>
          </w:tcPr>
          <w:p w14:paraId="4ACE1FD5" w14:textId="77777777" w:rsidR="006F587A" w:rsidRDefault="006F587A">
            <w:pPr>
              <w:rPr>
                <w:rFonts w:ascii="Times New Roman" w:hAnsi="Times New Roman"/>
                <w:sz w:val="20"/>
                <w:szCs w:val="20"/>
              </w:rPr>
            </w:pPr>
          </w:p>
        </w:tc>
      </w:tr>
      <w:tr w:rsidR="006F587A" w14:paraId="4ACE1FDC" w14:textId="77777777">
        <w:tc>
          <w:tcPr>
            <w:tcW w:w="3200" w:type="dxa"/>
            <w:shd w:val="clear" w:color="auto" w:fill="auto"/>
            <w:vAlign w:val="center"/>
          </w:tcPr>
          <w:p w14:paraId="4ACE1FD7" w14:textId="77777777" w:rsidR="006F587A" w:rsidRDefault="006F587A">
            <w:pPr>
              <w:rPr>
                <w:rFonts w:ascii="Times New Roman" w:hAnsi="Times New Roman"/>
                <w:sz w:val="20"/>
                <w:szCs w:val="20"/>
              </w:rPr>
            </w:pPr>
          </w:p>
        </w:tc>
        <w:tc>
          <w:tcPr>
            <w:tcW w:w="1160" w:type="dxa"/>
            <w:shd w:val="clear" w:color="auto" w:fill="auto"/>
            <w:vAlign w:val="center"/>
          </w:tcPr>
          <w:p w14:paraId="4ACE1FD8" w14:textId="77777777" w:rsidR="006F587A" w:rsidRDefault="006F587A">
            <w:pPr>
              <w:rPr>
                <w:rFonts w:ascii="Times New Roman" w:hAnsi="Times New Roman"/>
                <w:sz w:val="20"/>
                <w:szCs w:val="20"/>
              </w:rPr>
            </w:pPr>
          </w:p>
        </w:tc>
        <w:tc>
          <w:tcPr>
            <w:tcW w:w="2720" w:type="dxa"/>
            <w:shd w:val="clear" w:color="auto" w:fill="auto"/>
            <w:vAlign w:val="center"/>
          </w:tcPr>
          <w:p w14:paraId="4ACE1FD9" w14:textId="77777777" w:rsidR="006F587A" w:rsidRDefault="006F587A">
            <w:pPr>
              <w:rPr>
                <w:rFonts w:ascii="Times New Roman" w:hAnsi="Times New Roman"/>
                <w:sz w:val="20"/>
                <w:szCs w:val="20"/>
              </w:rPr>
            </w:pPr>
          </w:p>
        </w:tc>
        <w:tc>
          <w:tcPr>
            <w:tcW w:w="8000" w:type="dxa"/>
            <w:shd w:val="clear" w:color="auto" w:fill="auto"/>
            <w:vAlign w:val="center"/>
          </w:tcPr>
          <w:p w14:paraId="4ACE1FDA" w14:textId="77777777" w:rsidR="006F587A" w:rsidRDefault="006F587A">
            <w:pPr>
              <w:rPr>
                <w:rFonts w:ascii="Times New Roman" w:hAnsi="Times New Roman"/>
                <w:sz w:val="20"/>
                <w:szCs w:val="20"/>
              </w:rPr>
            </w:pPr>
          </w:p>
        </w:tc>
        <w:tc>
          <w:tcPr>
            <w:tcW w:w="1220" w:type="dxa"/>
            <w:shd w:val="clear" w:color="auto" w:fill="auto"/>
            <w:vAlign w:val="center"/>
          </w:tcPr>
          <w:p w14:paraId="4ACE1FDB" w14:textId="77777777" w:rsidR="006F587A" w:rsidRDefault="006F587A">
            <w:pPr>
              <w:rPr>
                <w:rFonts w:ascii="Times New Roman" w:hAnsi="Times New Roman"/>
                <w:sz w:val="20"/>
                <w:szCs w:val="20"/>
              </w:rPr>
            </w:pPr>
          </w:p>
        </w:tc>
      </w:tr>
      <w:tr w:rsidR="006F587A" w14:paraId="4ACE1FE2" w14:textId="77777777">
        <w:tc>
          <w:tcPr>
            <w:tcW w:w="0" w:type="auto"/>
            <w:vMerge w:val="restart"/>
            <w:shd w:val="clear" w:color="auto" w:fill="auto"/>
            <w:tcMar>
              <w:top w:w="40" w:type="dxa"/>
              <w:left w:w="40" w:type="dxa"/>
              <w:bottom w:w="40" w:type="dxa"/>
              <w:right w:w="40" w:type="dxa"/>
            </w:tcMar>
            <w:vAlign w:val="center"/>
          </w:tcPr>
          <w:p w14:paraId="4ACE1FDD" w14:textId="77777777" w:rsidR="006F587A" w:rsidRDefault="007B2B61">
            <w:pPr>
              <w:textAlignment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Viewer12_files/a003introtobizpt2.jpg"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25" wp14:editId="4ACE6C26">
                  <wp:extent cx="304800" cy="304800"/>
                  <wp:effectExtent l="0" t="0" r="0" b="0"/>
                  <wp:docPr id="11" name="图片 42"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2"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c>
          <w:tcPr>
            <w:tcW w:w="0" w:type="auto"/>
            <w:shd w:val="clear" w:color="auto" w:fill="auto"/>
            <w:tcMar>
              <w:top w:w="40" w:type="dxa"/>
              <w:left w:w="40" w:type="dxa"/>
              <w:bottom w:w="40" w:type="dxa"/>
              <w:right w:w="40" w:type="dxa"/>
            </w:tcMar>
            <w:vAlign w:val="bottom"/>
          </w:tcPr>
          <w:p w14:paraId="4ACE1FD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FD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FE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FE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1FE8" w14:textId="77777777">
        <w:tc>
          <w:tcPr>
            <w:tcW w:w="0" w:type="auto"/>
            <w:vMerge/>
            <w:shd w:val="clear" w:color="auto" w:fill="auto"/>
            <w:tcMar>
              <w:top w:w="40" w:type="dxa"/>
              <w:left w:w="40" w:type="dxa"/>
              <w:bottom w:w="40" w:type="dxa"/>
              <w:right w:w="40" w:type="dxa"/>
            </w:tcMar>
            <w:vAlign w:val="center"/>
          </w:tcPr>
          <w:p w14:paraId="4ACE1FE3"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1FE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FE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FE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FE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1FED" w14:textId="77777777">
        <w:tc>
          <w:tcPr>
            <w:tcW w:w="0" w:type="auto"/>
            <w:vMerge/>
            <w:shd w:val="clear" w:color="auto" w:fill="auto"/>
            <w:tcMar>
              <w:top w:w="40" w:type="dxa"/>
              <w:left w:w="40" w:type="dxa"/>
              <w:bottom w:w="40" w:type="dxa"/>
              <w:right w:w="40" w:type="dxa"/>
            </w:tcMar>
            <w:vAlign w:val="center"/>
          </w:tcPr>
          <w:p w14:paraId="4ACE1FE9"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1FE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center"/>
          </w:tcPr>
          <w:p w14:paraId="4ACE1FEB" w14:textId="77777777" w:rsidR="006F587A" w:rsidRDefault="007B2B61">
            <w:pPr>
              <w:textAlignment w:val="center"/>
              <w:rPr>
                <w:rFonts w:ascii="Times New Roman" w:hAnsi="Times New Roman"/>
                <w:sz w:val="40"/>
                <w:szCs w:val="40"/>
              </w:rPr>
            </w:pPr>
            <w:r>
              <w:rPr>
                <w:rFonts w:ascii="Arial" w:eastAsia="宋体" w:hAnsi="Arial" w:cs="Arial"/>
                <w:b/>
                <w:bCs/>
                <w:color w:val="0071C5"/>
                <w:sz w:val="40"/>
                <w:szCs w:val="40"/>
              </w:rPr>
              <w:t>INTRODUCTION TO OUR BUSINESS</w:t>
            </w:r>
          </w:p>
        </w:tc>
        <w:tc>
          <w:tcPr>
            <w:tcW w:w="0" w:type="auto"/>
            <w:shd w:val="clear" w:color="auto" w:fill="auto"/>
            <w:tcMar>
              <w:top w:w="40" w:type="dxa"/>
              <w:left w:w="40" w:type="dxa"/>
              <w:bottom w:w="40" w:type="dxa"/>
              <w:right w:w="40" w:type="dxa"/>
            </w:tcMar>
            <w:vAlign w:val="bottom"/>
          </w:tcPr>
          <w:p w14:paraId="4ACE1FE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1FF3" w14:textId="77777777">
        <w:tc>
          <w:tcPr>
            <w:tcW w:w="0" w:type="auto"/>
            <w:vMerge/>
            <w:shd w:val="clear" w:color="auto" w:fill="auto"/>
            <w:tcMar>
              <w:top w:w="40" w:type="dxa"/>
              <w:left w:w="40" w:type="dxa"/>
              <w:bottom w:w="40" w:type="dxa"/>
              <w:right w:w="40" w:type="dxa"/>
            </w:tcMar>
            <w:vAlign w:val="center"/>
          </w:tcPr>
          <w:p w14:paraId="4ACE1FEE"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1FE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FF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FF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1FF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1FFA" w14:textId="77777777">
        <w:tc>
          <w:tcPr>
            <w:tcW w:w="0" w:type="auto"/>
            <w:vMerge/>
            <w:shd w:val="clear" w:color="auto" w:fill="auto"/>
            <w:tcMar>
              <w:top w:w="40" w:type="dxa"/>
              <w:left w:w="40" w:type="dxa"/>
              <w:bottom w:w="40" w:type="dxa"/>
              <w:right w:w="40" w:type="dxa"/>
            </w:tcMar>
            <w:vAlign w:val="center"/>
          </w:tcPr>
          <w:p w14:paraId="4ACE1FF4"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1FF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vMerge w:val="restart"/>
            <w:shd w:val="clear" w:color="auto" w:fill="auto"/>
            <w:tcMar>
              <w:top w:w="40" w:type="dxa"/>
              <w:left w:w="40" w:type="dxa"/>
              <w:bottom w:w="40" w:type="dxa"/>
              <w:right w:w="40" w:type="dxa"/>
            </w:tcMar>
          </w:tcPr>
          <w:p w14:paraId="4ACE1FF6" w14:textId="77777777" w:rsidR="006F587A" w:rsidRDefault="007B2B61">
            <w:pPr>
              <w:textAlignment w:val="top"/>
              <w:rPr>
                <w:rFonts w:ascii="Times New Roman" w:hAnsi="Times New Roman"/>
                <w:sz w:val="22"/>
                <w:szCs w:val="22"/>
              </w:rPr>
            </w:pPr>
            <w:r>
              <w:rPr>
                <w:rFonts w:ascii="Arial" w:eastAsia="宋体" w:hAnsi="Arial" w:cs="Arial"/>
                <w:color w:val="333333"/>
                <w:sz w:val="22"/>
                <w:szCs w:val="22"/>
              </w:rPr>
              <w:t xml:space="preserve">Intel was founded in 1968 and our </w:t>
            </w:r>
            <w:r>
              <w:rPr>
                <w:rFonts w:ascii="Arial" w:eastAsia="宋体" w:hAnsi="Arial" w:cs="Arial"/>
                <w:color w:val="333333"/>
                <w:sz w:val="22"/>
                <w:szCs w:val="22"/>
              </w:rPr>
              <w:t>technology has been at the heart of computing breakthroughs ever since. More than 50 years later, we are a world leader in the design and manufacturing of essential technologies that power the cloud and an increasingly smart, connected world. Intel is tran</w:t>
            </w:r>
            <w:r>
              <w:rPr>
                <w:rFonts w:ascii="Arial" w:eastAsia="宋体" w:hAnsi="Arial" w:cs="Arial"/>
                <w:color w:val="333333"/>
                <w:sz w:val="22"/>
                <w:szCs w:val="22"/>
              </w:rPr>
              <w:t>sforming from a PC-centric company to a data-centric company, with workload-optimized solutions designed to help a broad set of customers process, move, and store ever-increasing amounts of data. This exponential growth of data is reshaping computing and e</w:t>
            </w:r>
            <w:r>
              <w:rPr>
                <w:rFonts w:ascii="Arial" w:eastAsia="宋体" w:hAnsi="Arial" w:cs="Arial"/>
                <w:color w:val="333333"/>
                <w:sz w:val="22"/>
                <w:szCs w:val="22"/>
              </w:rPr>
              <w:t>xpanding our opportunity.</w:t>
            </w:r>
          </w:p>
          <w:p w14:paraId="4ACE1FF7" w14:textId="77777777" w:rsidR="006F587A" w:rsidRDefault="007B2B61">
            <w:pPr>
              <w:textAlignment w:val="top"/>
              <w:rPr>
                <w:rFonts w:ascii="Times New Roman" w:hAnsi="Times New Roman"/>
                <w:sz w:val="22"/>
                <w:szCs w:val="22"/>
              </w:rPr>
            </w:pPr>
            <w:r>
              <w:rPr>
                <w:rFonts w:ascii="Arial" w:eastAsia="宋体" w:hAnsi="Arial" w:cs="Arial"/>
                <w:color w:val="333333"/>
                <w:sz w:val="22"/>
                <w:szCs w:val="22"/>
              </w:rPr>
              <w:t>We are investing to lead data-driven technology inflections that position us to play a bigger role in the success of our customers. These include: the rise of AI, the transformation of networks, the intelligent edge</w:t>
            </w:r>
            <w:r>
              <w:rPr>
                <w:rFonts w:ascii="Arial" w:eastAsia="宋体" w:hAnsi="Arial" w:cs="Arial"/>
                <w:color w:val="333333"/>
                <w:sz w:val="14"/>
                <w:szCs w:val="14"/>
              </w:rPr>
              <w:t>1</w:t>
            </w:r>
            <w:r>
              <w:rPr>
                <w:rFonts w:ascii="Arial" w:eastAsia="宋体" w:hAnsi="Arial" w:cs="Arial"/>
                <w:color w:val="333333"/>
                <w:sz w:val="22"/>
                <w:szCs w:val="22"/>
              </w:rPr>
              <w:t xml:space="preserve"> emerging </w:t>
            </w:r>
            <w:r>
              <w:rPr>
                <w:rFonts w:ascii="Arial" w:eastAsia="宋体" w:hAnsi="Arial" w:cs="Arial"/>
                <w:color w:val="333333"/>
                <w:sz w:val="22"/>
                <w:szCs w:val="22"/>
              </w:rPr>
              <w:t>with the Internet of Things, and autonomous driving. Intel’s ambitions have never been greater: to create world-changing technology that enriches the lives of every person on earth.</w:t>
            </w:r>
          </w:p>
          <w:p w14:paraId="4ACE1FF8" w14:textId="77777777" w:rsidR="006F587A" w:rsidRDefault="007B2B61">
            <w:pPr>
              <w:textAlignment w:val="top"/>
              <w:rPr>
                <w:rFonts w:ascii="Times New Roman" w:hAnsi="Times New Roman"/>
                <w:sz w:val="22"/>
                <w:szCs w:val="22"/>
              </w:rPr>
            </w:pPr>
            <w:r>
              <w:rPr>
                <w:rFonts w:ascii="Arial" w:eastAsia="宋体" w:hAnsi="Arial" w:cs="Arial"/>
                <w:color w:val="333333"/>
                <w:sz w:val="22"/>
                <w:szCs w:val="22"/>
              </w:rPr>
              <w:t>Our commitment to corporate responsibility and to creating an inclusive en</w:t>
            </w:r>
            <w:r>
              <w:rPr>
                <w:rFonts w:ascii="Arial" w:eastAsia="宋体" w:hAnsi="Arial" w:cs="Arial"/>
                <w:color w:val="333333"/>
                <w:sz w:val="22"/>
                <w:szCs w:val="22"/>
              </w:rPr>
              <w:t>vironment to support the talent of our amazing people supports our ambitions and makes us stronger. When every employee has a voice and a sense of belonging, Intel can be more innovative, agile, and competitive.</w:t>
            </w:r>
          </w:p>
        </w:tc>
        <w:tc>
          <w:tcPr>
            <w:tcW w:w="0" w:type="auto"/>
            <w:shd w:val="clear" w:color="auto" w:fill="auto"/>
            <w:tcMar>
              <w:top w:w="40" w:type="dxa"/>
              <w:left w:w="40" w:type="dxa"/>
              <w:bottom w:w="40" w:type="dxa"/>
              <w:right w:w="40" w:type="dxa"/>
            </w:tcMar>
            <w:vAlign w:val="bottom"/>
          </w:tcPr>
          <w:p w14:paraId="4ACE1FF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1FFF" w14:textId="77777777">
        <w:tc>
          <w:tcPr>
            <w:tcW w:w="0" w:type="auto"/>
            <w:vMerge/>
            <w:shd w:val="clear" w:color="auto" w:fill="auto"/>
            <w:tcMar>
              <w:top w:w="40" w:type="dxa"/>
              <w:left w:w="40" w:type="dxa"/>
              <w:bottom w:w="40" w:type="dxa"/>
              <w:right w:w="40" w:type="dxa"/>
            </w:tcMar>
            <w:vAlign w:val="center"/>
          </w:tcPr>
          <w:p w14:paraId="4ACE1FFB"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1FF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vMerge/>
            <w:shd w:val="clear" w:color="auto" w:fill="auto"/>
            <w:tcMar>
              <w:top w:w="40" w:type="dxa"/>
              <w:left w:w="40" w:type="dxa"/>
              <w:bottom w:w="40" w:type="dxa"/>
              <w:right w:w="40" w:type="dxa"/>
            </w:tcMar>
          </w:tcPr>
          <w:p w14:paraId="4ACE1FFD"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1FF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2004" w14:textId="77777777">
        <w:tc>
          <w:tcPr>
            <w:tcW w:w="0" w:type="auto"/>
            <w:vMerge/>
            <w:shd w:val="clear" w:color="auto" w:fill="auto"/>
            <w:tcMar>
              <w:top w:w="40" w:type="dxa"/>
              <w:left w:w="40" w:type="dxa"/>
              <w:bottom w:w="40" w:type="dxa"/>
              <w:right w:w="40" w:type="dxa"/>
            </w:tcMar>
            <w:vAlign w:val="center"/>
          </w:tcPr>
          <w:p w14:paraId="4ACE2000"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00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vMerge/>
            <w:shd w:val="clear" w:color="auto" w:fill="auto"/>
            <w:tcMar>
              <w:top w:w="40" w:type="dxa"/>
              <w:left w:w="40" w:type="dxa"/>
              <w:bottom w:w="40" w:type="dxa"/>
              <w:right w:w="40" w:type="dxa"/>
            </w:tcMar>
          </w:tcPr>
          <w:p w14:paraId="4ACE2002"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00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200C" w14:textId="77777777">
        <w:tc>
          <w:tcPr>
            <w:tcW w:w="0" w:type="auto"/>
            <w:vMerge/>
            <w:shd w:val="clear" w:color="auto" w:fill="auto"/>
            <w:tcMar>
              <w:top w:w="40" w:type="dxa"/>
              <w:left w:w="40" w:type="dxa"/>
              <w:bottom w:w="40" w:type="dxa"/>
              <w:right w:w="40" w:type="dxa"/>
            </w:tcMar>
            <w:vAlign w:val="center"/>
          </w:tcPr>
          <w:p w14:paraId="4ACE2005"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00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vAlign w:val="center"/>
          </w:tcPr>
          <w:p w14:paraId="4ACE2007" w14:textId="77777777" w:rsidR="006F587A" w:rsidRDefault="007B2B61">
            <w:pPr>
              <w:textAlignment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Viewer12_files/a004bobcircle.jpg"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27" wp14:editId="4ACE6C28">
                  <wp:extent cx="304800" cy="304800"/>
                  <wp:effectExtent l="0" t="0" r="0" b="0"/>
                  <wp:docPr id="44" name="图片 43"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c>
          <w:tcPr>
            <w:tcW w:w="0" w:type="auto"/>
            <w:vMerge w:val="restart"/>
            <w:shd w:val="clear" w:color="auto" w:fill="auto"/>
            <w:tcMar>
              <w:top w:w="40" w:type="dxa"/>
              <w:left w:w="40" w:type="dxa"/>
              <w:bottom w:w="40" w:type="dxa"/>
              <w:right w:w="40" w:type="dxa"/>
            </w:tcMar>
          </w:tcPr>
          <w:p w14:paraId="4ACE2008" w14:textId="77777777" w:rsidR="006F587A" w:rsidRDefault="007B2B61">
            <w:pPr>
              <w:textAlignment w:val="top"/>
              <w:rPr>
                <w:rFonts w:ascii="Times New Roman" w:hAnsi="Times New Roman"/>
                <w:sz w:val="20"/>
                <w:szCs w:val="20"/>
              </w:rPr>
            </w:pPr>
            <w:r>
              <w:rPr>
                <w:rFonts w:ascii="Arial" w:eastAsia="宋体" w:hAnsi="Arial" w:cs="Arial"/>
                <w:b/>
                <w:bCs/>
                <w:i/>
                <w:iCs/>
                <w:color w:val="0071C5"/>
                <w:sz w:val="20"/>
                <w:szCs w:val="20"/>
              </w:rPr>
              <w:t>"We are at a key inflection point with the exponential growth of data creating massive demand for semiconductors</w:t>
            </w:r>
            <w:r>
              <w:rPr>
                <w:rFonts w:ascii="Arial" w:eastAsia="宋体" w:hAnsi="Arial" w:cs="Arial"/>
                <w:b/>
                <w:bCs/>
                <w:i/>
                <w:iCs/>
                <w:color w:val="0071C5"/>
                <w:sz w:val="20"/>
                <w:szCs w:val="20"/>
              </w:rPr>
              <w:t xml:space="preserve">. Cloud workloads are diversifying, networks are transforming, and more computing performance is moving to the edge. We have been on a multi-year journey to reposition the company’s portfolio to take advantage of this industry catalyst. Today, we have the </w:t>
            </w:r>
            <w:r>
              <w:rPr>
                <w:rFonts w:ascii="Arial" w:eastAsia="宋体" w:hAnsi="Arial" w:cs="Arial"/>
                <w:b/>
                <w:bCs/>
                <w:i/>
                <w:iCs/>
                <w:color w:val="0071C5"/>
                <w:sz w:val="20"/>
                <w:szCs w:val="20"/>
              </w:rPr>
              <w:t>product and technology leadership that uniquely positions us to capitalize on these trends, and we are investing in the IP required to help our customers win the inflections of the future."</w:t>
            </w:r>
          </w:p>
          <w:p w14:paraId="4ACE2009" w14:textId="77777777" w:rsidR="006F587A" w:rsidRDefault="006F587A">
            <w:pPr>
              <w:textAlignment w:val="top"/>
              <w:rPr>
                <w:rFonts w:ascii="Times New Roman" w:hAnsi="Times New Roman"/>
                <w:sz w:val="18"/>
                <w:szCs w:val="18"/>
              </w:rPr>
            </w:pPr>
          </w:p>
          <w:p w14:paraId="4ACE200A" w14:textId="77777777" w:rsidR="006F587A" w:rsidRDefault="007B2B61">
            <w:pPr>
              <w:textAlignment w:val="top"/>
              <w:rPr>
                <w:rFonts w:ascii="Times New Roman" w:hAnsi="Times New Roman"/>
                <w:sz w:val="18"/>
                <w:szCs w:val="18"/>
              </w:rPr>
            </w:pPr>
            <w:r>
              <w:rPr>
                <w:rFonts w:ascii="Arial" w:eastAsia="宋体" w:hAnsi="Arial" w:cs="Arial"/>
                <w:b/>
                <w:bCs/>
                <w:i/>
                <w:iCs/>
                <w:color w:val="333333"/>
                <w:sz w:val="18"/>
                <w:szCs w:val="18"/>
              </w:rPr>
              <w:t>—</w:t>
            </w:r>
            <w:r>
              <w:rPr>
                <w:rFonts w:ascii="Arial" w:eastAsia="宋体" w:hAnsi="Arial" w:cs="Arial"/>
                <w:b/>
                <w:bCs/>
                <w:color w:val="333333"/>
                <w:sz w:val="18"/>
                <w:szCs w:val="18"/>
              </w:rPr>
              <w:t xml:space="preserve">Bob Swan, </w:t>
            </w:r>
            <w:r>
              <w:rPr>
                <w:rFonts w:ascii="Arial" w:eastAsia="宋体" w:hAnsi="Arial" w:cs="Arial"/>
                <w:color w:val="333333"/>
                <w:sz w:val="18"/>
                <w:szCs w:val="18"/>
              </w:rPr>
              <w:t>Chief Executive Officer</w:t>
            </w:r>
          </w:p>
        </w:tc>
        <w:tc>
          <w:tcPr>
            <w:tcW w:w="0" w:type="auto"/>
            <w:shd w:val="clear" w:color="auto" w:fill="auto"/>
            <w:tcMar>
              <w:top w:w="40" w:type="dxa"/>
              <w:left w:w="40" w:type="dxa"/>
              <w:bottom w:w="40" w:type="dxa"/>
              <w:right w:w="40" w:type="dxa"/>
            </w:tcMar>
            <w:vAlign w:val="bottom"/>
          </w:tcPr>
          <w:p w14:paraId="4ACE200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2012" w14:textId="77777777">
        <w:tc>
          <w:tcPr>
            <w:tcW w:w="0" w:type="auto"/>
            <w:vMerge/>
            <w:shd w:val="clear" w:color="auto" w:fill="auto"/>
            <w:tcMar>
              <w:top w:w="40" w:type="dxa"/>
              <w:left w:w="40" w:type="dxa"/>
              <w:bottom w:w="40" w:type="dxa"/>
              <w:right w:w="40" w:type="dxa"/>
            </w:tcMar>
            <w:vAlign w:val="center"/>
          </w:tcPr>
          <w:p w14:paraId="4ACE200D"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00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center"/>
          </w:tcPr>
          <w:p w14:paraId="4ACE200F" w14:textId="77777777" w:rsidR="006F587A" w:rsidRDefault="006F587A">
            <w:pPr>
              <w:rPr>
                <w:rFonts w:ascii="Times New Roman" w:hAnsi="Times New Roman"/>
                <w:sz w:val="20"/>
                <w:szCs w:val="20"/>
              </w:rPr>
            </w:pPr>
          </w:p>
        </w:tc>
        <w:tc>
          <w:tcPr>
            <w:tcW w:w="0" w:type="auto"/>
            <w:vMerge/>
            <w:shd w:val="clear" w:color="auto" w:fill="auto"/>
            <w:tcMar>
              <w:top w:w="40" w:type="dxa"/>
              <w:left w:w="40" w:type="dxa"/>
              <w:bottom w:w="40" w:type="dxa"/>
              <w:right w:w="40" w:type="dxa"/>
            </w:tcMar>
          </w:tcPr>
          <w:p w14:paraId="4ACE2010"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01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2018" w14:textId="77777777">
        <w:tc>
          <w:tcPr>
            <w:tcW w:w="0" w:type="auto"/>
            <w:vMerge/>
            <w:shd w:val="clear" w:color="auto" w:fill="auto"/>
            <w:tcMar>
              <w:top w:w="40" w:type="dxa"/>
              <w:left w:w="40" w:type="dxa"/>
              <w:bottom w:w="40" w:type="dxa"/>
              <w:right w:w="40" w:type="dxa"/>
            </w:tcMar>
            <w:vAlign w:val="center"/>
          </w:tcPr>
          <w:p w14:paraId="4ACE2013"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01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01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tcPr>
          <w:p w14:paraId="4ACE2016"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01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201E" w14:textId="77777777">
        <w:tc>
          <w:tcPr>
            <w:tcW w:w="0" w:type="auto"/>
            <w:vMerge/>
            <w:shd w:val="clear" w:color="auto" w:fill="auto"/>
            <w:tcMar>
              <w:top w:w="40" w:type="dxa"/>
              <w:left w:w="40" w:type="dxa"/>
              <w:bottom w:w="40" w:type="dxa"/>
              <w:right w:w="40" w:type="dxa"/>
            </w:tcMar>
            <w:vAlign w:val="center"/>
          </w:tcPr>
          <w:p w14:paraId="4ACE2019"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01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ACE201B" w14:textId="77777777" w:rsidR="006F587A" w:rsidRDefault="007B2B61">
            <w:pPr>
              <w:ind w:hanging="240"/>
              <w:textAlignment w:val="bottom"/>
              <w:rPr>
                <w:rFonts w:ascii="Times New Roman" w:hAnsi="Times New Roman"/>
                <w:sz w:val="16"/>
                <w:szCs w:val="16"/>
              </w:rPr>
            </w:pPr>
            <w:r>
              <w:rPr>
                <w:rFonts w:ascii="Arial" w:eastAsia="宋体" w:hAnsi="Arial" w:cs="Arial"/>
                <w:i/>
                <w:iCs/>
                <w:color w:val="333333"/>
                <w:sz w:val="10"/>
                <w:szCs w:val="10"/>
              </w:rPr>
              <w:t>1    </w:t>
            </w:r>
            <w:r>
              <w:rPr>
                <w:rFonts w:ascii="Arial" w:eastAsia="宋体" w:hAnsi="Arial" w:cs="Arial"/>
                <w:i/>
                <w:iCs/>
                <w:color w:val="333333"/>
                <w:sz w:val="16"/>
                <w:szCs w:val="16"/>
              </w:rPr>
              <w:t>Intel's definition is included in "Key Terms" within the Financial Statements and Supplemental Details.</w:t>
            </w:r>
          </w:p>
          <w:p w14:paraId="4ACE201C" w14:textId="77777777" w:rsidR="006F587A" w:rsidRDefault="006F587A">
            <w:pPr>
              <w:ind w:hanging="240"/>
              <w:textAlignment w:val="bottom"/>
              <w:rPr>
                <w:rFonts w:ascii="Times New Roman" w:hAnsi="Times New Roman"/>
                <w:sz w:val="16"/>
                <w:szCs w:val="16"/>
              </w:rPr>
            </w:pPr>
          </w:p>
        </w:tc>
        <w:tc>
          <w:tcPr>
            <w:tcW w:w="0" w:type="auto"/>
            <w:shd w:val="clear" w:color="auto" w:fill="auto"/>
            <w:tcMar>
              <w:top w:w="40" w:type="dxa"/>
              <w:left w:w="40" w:type="dxa"/>
              <w:bottom w:w="40" w:type="dxa"/>
              <w:right w:w="40" w:type="dxa"/>
            </w:tcMar>
            <w:vAlign w:val="bottom"/>
          </w:tcPr>
          <w:p w14:paraId="4ACE201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2024" w14:textId="77777777">
        <w:tc>
          <w:tcPr>
            <w:tcW w:w="0" w:type="auto"/>
            <w:vMerge/>
            <w:shd w:val="clear" w:color="auto" w:fill="auto"/>
            <w:tcMar>
              <w:top w:w="40" w:type="dxa"/>
              <w:left w:w="40" w:type="dxa"/>
              <w:bottom w:w="40" w:type="dxa"/>
              <w:right w:w="40" w:type="dxa"/>
            </w:tcMar>
            <w:vAlign w:val="center"/>
          </w:tcPr>
          <w:p w14:paraId="4ACE201F"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02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02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02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02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bl>
    <w:p w14:paraId="4ACE2025"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575"/>
        <w:gridCol w:w="2575"/>
        <w:gridCol w:w="3156"/>
      </w:tblGrid>
      <w:tr w:rsidR="006F587A" w14:paraId="4ACE2027" w14:textId="77777777">
        <w:tc>
          <w:tcPr>
            <w:tcW w:w="0" w:type="auto"/>
            <w:gridSpan w:val="3"/>
            <w:shd w:val="clear" w:color="auto" w:fill="auto"/>
            <w:vAlign w:val="center"/>
          </w:tcPr>
          <w:p w14:paraId="4ACE2026" w14:textId="77777777" w:rsidR="006F587A" w:rsidRDefault="006F587A">
            <w:pPr>
              <w:rPr>
                <w:rFonts w:ascii="Times New Roman" w:hAnsi="Times New Roman"/>
                <w:sz w:val="20"/>
                <w:szCs w:val="20"/>
              </w:rPr>
            </w:pPr>
          </w:p>
        </w:tc>
      </w:tr>
      <w:tr w:rsidR="006F587A" w14:paraId="4ACE202B" w14:textId="77777777">
        <w:tc>
          <w:tcPr>
            <w:tcW w:w="1550" w:type="pct"/>
            <w:shd w:val="clear" w:color="auto" w:fill="auto"/>
            <w:vAlign w:val="center"/>
          </w:tcPr>
          <w:p w14:paraId="4ACE2028" w14:textId="77777777" w:rsidR="006F587A" w:rsidRDefault="006F587A">
            <w:pPr>
              <w:rPr>
                <w:rFonts w:ascii="Times New Roman" w:hAnsi="Times New Roman"/>
                <w:sz w:val="20"/>
                <w:szCs w:val="20"/>
              </w:rPr>
            </w:pPr>
          </w:p>
        </w:tc>
        <w:tc>
          <w:tcPr>
            <w:tcW w:w="1550" w:type="pct"/>
            <w:shd w:val="clear" w:color="auto" w:fill="auto"/>
            <w:vAlign w:val="center"/>
          </w:tcPr>
          <w:p w14:paraId="4ACE2029" w14:textId="77777777" w:rsidR="006F587A" w:rsidRDefault="006F587A">
            <w:pPr>
              <w:rPr>
                <w:rFonts w:ascii="Times New Roman" w:hAnsi="Times New Roman"/>
                <w:sz w:val="20"/>
                <w:szCs w:val="20"/>
              </w:rPr>
            </w:pPr>
          </w:p>
        </w:tc>
        <w:tc>
          <w:tcPr>
            <w:tcW w:w="1900" w:type="pct"/>
            <w:shd w:val="clear" w:color="auto" w:fill="auto"/>
            <w:vAlign w:val="center"/>
          </w:tcPr>
          <w:p w14:paraId="4ACE202A" w14:textId="77777777" w:rsidR="006F587A" w:rsidRDefault="006F587A">
            <w:pPr>
              <w:rPr>
                <w:rFonts w:ascii="Times New Roman" w:hAnsi="Times New Roman"/>
                <w:sz w:val="20"/>
                <w:szCs w:val="20"/>
              </w:rPr>
            </w:pPr>
          </w:p>
        </w:tc>
      </w:tr>
      <w:tr w:rsidR="006F587A" w14:paraId="4ACE202F"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202C" w14:textId="77777777" w:rsidR="006F587A" w:rsidRDefault="007B2B61">
            <w:pPr>
              <w:textAlignment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Viewer12_files/a001intellogo_coverfooter.jpg"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29" wp14:editId="4ACE6C2A">
                  <wp:extent cx="304800" cy="304800"/>
                  <wp:effectExtent l="0" t="0" r="0" b="0"/>
                  <wp:docPr id="13" name="图片 44"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4"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c>
          <w:tcPr>
            <w:tcW w:w="0" w:type="auto"/>
            <w:tcBorders>
              <w:top w:val="single" w:sz="8" w:space="0" w:color="0071C5"/>
            </w:tcBorders>
            <w:shd w:val="clear" w:color="auto" w:fill="auto"/>
            <w:tcMar>
              <w:top w:w="40" w:type="dxa"/>
              <w:left w:w="40" w:type="dxa"/>
              <w:bottom w:w="40" w:type="dxa"/>
              <w:right w:w="40" w:type="dxa"/>
            </w:tcMar>
            <w:vAlign w:val="bottom"/>
          </w:tcPr>
          <w:p w14:paraId="4ACE202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center"/>
          </w:tcPr>
          <w:p w14:paraId="4ACE202E" w14:textId="77777777" w:rsidR="006F587A" w:rsidRDefault="007B2B61">
            <w:pPr>
              <w:jc w:val="right"/>
              <w:textAlignment w:val="center"/>
              <w:rPr>
                <w:rFonts w:ascii="Times New Roman" w:hAnsi="Times New Roman"/>
                <w:sz w:val="16"/>
                <w:szCs w:val="16"/>
              </w:rPr>
            </w:pPr>
            <w:r>
              <w:rPr>
                <w:rFonts w:ascii="Arial" w:eastAsia="宋体" w:hAnsi="Arial" w:cs="Arial"/>
                <w:color w:val="333333"/>
                <w:sz w:val="16"/>
                <w:szCs w:val="16"/>
              </w:rPr>
              <w:t>3</w:t>
            </w:r>
          </w:p>
        </w:tc>
      </w:tr>
    </w:tbl>
    <w:p w14:paraId="4ACE2030" w14:textId="77777777" w:rsidR="006F587A" w:rsidRDefault="007B2B61">
      <w:r>
        <w:pict w14:anchorId="4ACE6C2B">
          <v:rect id="_x0000_i1029" style="width:415.3pt;height:1.5pt" o:hralign="center" o:hrstd="t" o:hr="t" fillcolor="#a0a0a0" stroked="f"/>
        </w:pict>
      </w:r>
    </w:p>
    <w:p w14:paraId="4ACE2031" w14:textId="77777777" w:rsidR="006F587A" w:rsidRDefault="007B2B61">
      <w:pPr>
        <w:spacing w:line="288" w:lineRule="auto"/>
        <w:jc w:val="right"/>
        <w:rPr>
          <w:rFonts w:ascii="Times New Roman" w:hAnsi="Times New Roman"/>
          <w:sz w:val="16"/>
          <w:szCs w:val="16"/>
        </w:rPr>
      </w:pPr>
      <w:hyperlink r:id="rId38" w:anchor="s9DB683E2CF52561EB8A73BE37F5BF9BE" w:history="1">
        <w:r>
          <w:rPr>
            <w:rStyle w:val="a5"/>
            <w:rFonts w:ascii="Arial" w:eastAsia="宋体" w:hAnsi="Arial" w:cs="Arial"/>
            <w:b/>
            <w:bCs/>
            <w:sz w:val="16"/>
            <w:szCs w:val="16"/>
          </w:rPr>
          <w:t>Table of Contents</w:t>
        </w:r>
      </w:hyperlink>
    </w:p>
    <w:p w14:paraId="4ACE2032" w14:textId="77777777" w:rsidR="006F587A" w:rsidRDefault="006F587A">
      <w:pPr>
        <w:spacing w:line="288" w:lineRule="auto"/>
        <w:jc w:val="right"/>
        <w:rPr>
          <w:rFonts w:ascii="Times New Roman" w:hAnsi="Times New Roman"/>
          <w:sz w:val="16"/>
          <w:szCs w:val="16"/>
        </w:rPr>
      </w:pPr>
    </w:p>
    <w:p w14:paraId="4ACE2033" w14:textId="77777777" w:rsidR="006F587A" w:rsidRDefault="006F587A">
      <w:pPr>
        <w:rPr>
          <w:rFonts w:ascii="Times New Roman" w:hAnsi="Times New Roman"/>
          <w:sz w:val="20"/>
          <w:szCs w:val="20"/>
        </w:rPr>
      </w:pPr>
    </w:p>
    <w:tbl>
      <w:tblPr>
        <w:tblW w:w="14640" w:type="dxa"/>
        <w:tblCellMar>
          <w:left w:w="0" w:type="dxa"/>
          <w:right w:w="0" w:type="dxa"/>
        </w:tblCellMar>
        <w:tblLook w:val="04A0" w:firstRow="1" w:lastRow="0" w:firstColumn="1" w:lastColumn="0" w:noHBand="0" w:noVBand="1"/>
      </w:tblPr>
      <w:tblGrid>
        <w:gridCol w:w="14640"/>
      </w:tblGrid>
      <w:tr w:rsidR="006F587A" w14:paraId="4ACE2035" w14:textId="77777777">
        <w:tc>
          <w:tcPr>
            <w:tcW w:w="0" w:type="auto"/>
            <w:shd w:val="clear" w:color="auto" w:fill="auto"/>
            <w:vAlign w:val="center"/>
          </w:tcPr>
          <w:p w14:paraId="4ACE2034" w14:textId="77777777" w:rsidR="006F587A" w:rsidRDefault="006F587A">
            <w:pPr>
              <w:rPr>
                <w:rFonts w:ascii="Times New Roman" w:hAnsi="Times New Roman"/>
                <w:sz w:val="20"/>
                <w:szCs w:val="20"/>
              </w:rPr>
            </w:pPr>
          </w:p>
        </w:tc>
      </w:tr>
      <w:tr w:rsidR="006F587A" w14:paraId="4ACE2037" w14:textId="77777777">
        <w:tc>
          <w:tcPr>
            <w:tcW w:w="14640" w:type="dxa"/>
            <w:shd w:val="clear" w:color="auto" w:fill="auto"/>
            <w:vAlign w:val="center"/>
          </w:tcPr>
          <w:p w14:paraId="4ACE2036" w14:textId="77777777" w:rsidR="006F587A" w:rsidRDefault="006F587A">
            <w:pPr>
              <w:rPr>
                <w:rFonts w:ascii="Times New Roman" w:hAnsi="Times New Roman"/>
                <w:sz w:val="20"/>
                <w:szCs w:val="20"/>
              </w:rPr>
            </w:pPr>
          </w:p>
        </w:tc>
      </w:tr>
      <w:tr w:rsidR="006F587A" w14:paraId="4ACE2039" w14:textId="77777777">
        <w:tc>
          <w:tcPr>
            <w:tcW w:w="0" w:type="auto"/>
            <w:shd w:val="clear" w:color="auto" w:fill="003C71"/>
            <w:tcMar>
              <w:top w:w="40" w:type="dxa"/>
              <w:left w:w="1040" w:type="dxa"/>
              <w:bottom w:w="40" w:type="dxa"/>
              <w:right w:w="40" w:type="dxa"/>
            </w:tcMar>
            <w:vAlign w:val="bottom"/>
          </w:tcPr>
          <w:p w14:paraId="4ACE2038" w14:textId="77777777" w:rsidR="006F587A" w:rsidRDefault="007B2B61">
            <w:pPr>
              <w:textAlignment w:val="bottom"/>
              <w:rPr>
                <w:rFonts w:ascii="Times New Roman" w:hAnsi="Times New Roman"/>
                <w:sz w:val="36"/>
                <w:szCs w:val="36"/>
              </w:rPr>
            </w:pPr>
            <w:r>
              <w:rPr>
                <w:rFonts w:ascii="Arial" w:eastAsia="宋体" w:hAnsi="Arial" w:cs="Arial"/>
                <w:b/>
                <w:bCs/>
                <w:color w:val="FFFFFF"/>
                <w:sz w:val="36"/>
                <w:szCs w:val="36"/>
              </w:rPr>
              <w:t>A YEAR IN REVIEW</w:t>
            </w:r>
          </w:p>
        </w:tc>
      </w:tr>
    </w:tbl>
    <w:p w14:paraId="4ACE203A" w14:textId="77777777" w:rsidR="006F587A" w:rsidRDefault="006F587A">
      <w:pPr>
        <w:rPr>
          <w:vanish/>
        </w:rPr>
      </w:pPr>
    </w:p>
    <w:tbl>
      <w:tblPr>
        <w:tblW w:w="15080" w:type="dxa"/>
        <w:tblCellMar>
          <w:left w:w="0" w:type="dxa"/>
          <w:right w:w="0" w:type="dxa"/>
        </w:tblCellMar>
        <w:tblLook w:val="04A0" w:firstRow="1" w:lastRow="0" w:firstColumn="1" w:lastColumn="0" w:noHBand="0" w:noVBand="1"/>
      </w:tblPr>
      <w:tblGrid>
        <w:gridCol w:w="50"/>
        <w:gridCol w:w="8448"/>
        <w:gridCol w:w="6582"/>
      </w:tblGrid>
      <w:tr w:rsidR="006F587A" w14:paraId="4ACE203C" w14:textId="77777777">
        <w:tc>
          <w:tcPr>
            <w:tcW w:w="0" w:type="auto"/>
            <w:gridSpan w:val="3"/>
            <w:shd w:val="clear" w:color="auto" w:fill="auto"/>
            <w:vAlign w:val="center"/>
          </w:tcPr>
          <w:p w14:paraId="4ACE203B" w14:textId="77777777" w:rsidR="006F587A" w:rsidRDefault="006F587A">
            <w:pPr>
              <w:rPr>
                <w:rFonts w:ascii="Times New Roman" w:hAnsi="Times New Roman"/>
                <w:sz w:val="20"/>
                <w:szCs w:val="20"/>
              </w:rPr>
            </w:pPr>
          </w:p>
        </w:tc>
      </w:tr>
      <w:tr w:rsidR="006F587A" w14:paraId="4ACE2040" w14:textId="77777777">
        <w:tc>
          <w:tcPr>
            <w:tcW w:w="0" w:type="pct"/>
            <w:shd w:val="clear" w:color="auto" w:fill="auto"/>
            <w:vAlign w:val="center"/>
          </w:tcPr>
          <w:p w14:paraId="4ACE203D" w14:textId="77777777" w:rsidR="006F587A" w:rsidRDefault="006F587A">
            <w:pPr>
              <w:rPr>
                <w:rFonts w:ascii="Times New Roman" w:hAnsi="Times New Roman"/>
                <w:sz w:val="20"/>
                <w:szCs w:val="20"/>
              </w:rPr>
            </w:pPr>
          </w:p>
        </w:tc>
        <w:tc>
          <w:tcPr>
            <w:tcW w:w="10120" w:type="dxa"/>
            <w:shd w:val="clear" w:color="auto" w:fill="auto"/>
            <w:vAlign w:val="center"/>
          </w:tcPr>
          <w:p w14:paraId="4ACE203E" w14:textId="77777777" w:rsidR="006F587A" w:rsidRDefault="006F587A">
            <w:pPr>
              <w:rPr>
                <w:rFonts w:ascii="Times New Roman" w:hAnsi="Times New Roman"/>
                <w:sz w:val="20"/>
                <w:szCs w:val="20"/>
              </w:rPr>
            </w:pPr>
          </w:p>
        </w:tc>
        <w:tc>
          <w:tcPr>
            <w:tcW w:w="4920" w:type="dxa"/>
            <w:shd w:val="clear" w:color="auto" w:fill="auto"/>
            <w:vAlign w:val="center"/>
          </w:tcPr>
          <w:p w14:paraId="4ACE203F" w14:textId="77777777" w:rsidR="006F587A" w:rsidRDefault="006F587A">
            <w:pPr>
              <w:rPr>
                <w:rFonts w:ascii="Times New Roman" w:hAnsi="Times New Roman"/>
                <w:sz w:val="20"/>
                <w:szCs w:val="20"/>
              </w:rPr>
            </w:pPr>
          </w:p>
        </w:tc>
      </w:tr>
      <w:tr w:rsidR="006F587A" w14:paraId="4ACE2046" w14:textId="77777777">
        <w:tc>
          <w:tcPr>
            <w:tcW w:w="0" w:type="auto"/>
            <w:shd w:val="clear" w:color="auto" w:fill="auto"/>
            <w:vAlign w:val="center"/>
          </w:tcPr>
          <w:p w14:paraId="4ACE2041" w14:textId="77777777" w:rsidR="006F587A" w:rsidRDefault="007B2B61">
            <w:pPr>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tcPr>
          <w:p w14:paraId="4ACE2042"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 xml:space="preserve">Our transformation to a data-centric company continued in 2019, and we experienced strong demand and </w:t>
            </w:r>
            <w:r>
              <w:rPr>
                <w:rFonts w:ascii="Arial" w:eastAsia="宋体" w:hAnsi="Arial" w:cs="Arial"/>
                <w:color w:val="333333"/>
                <w:sz w:val="18"/>
                <w:szCs w:val="18"/>
              </w:rPr>
              <w:lastRenderedPageBreak/>
              <w:t>reached critical product milestones. We achieved record revenue of $72.0 billion, 48% of which was from our data-centric businesses. We invested $13.4 bill</w:t>
            </w:r>
            <w:r>
              <w:rPr>
                <w:rFonts w:ascii="Arial" w:eastAsia="宋体" w:hAnsi="Arial" w:cs="Arial"/>
                <w:color w:val="333333"/>
                <w:sz w:val="18"/>
                <w:szCs w:val="18"/>
              </w:rPr>
              <w:t>ion in R&amp;D while reducing our spending to 27% of revenue. Additionally, we made capital investments of $16.2 billion, generated $33.1 billion cash from operations and $16.9 billion of free cash flow, and returned $5.6 billion in dividends to stockholders. </w:t>
            </w:r>
            <w:r>
              <w:rPr>
                <w:rFonts w:ascii="Arial" w:eastAsia="宋体" w:hAnsi="Arial" w:cs="Arial"/>
                <w:color w:val="333333"/>
                <w:sz w:val="18"/>
                <w:szCs w:val="18"/>
              </w:rPr>
              <w:t>We continue to focus on improving supply and supporting our customers' growth. We increased our wafer capacity during 2019; however, we did not see a commensurate increase in client CPU unit volume as wafer capacity was largely consumed by increases in mod</w:t>
            </w:r>
            <w:r>
              <w:rPr>
                <w:rFonts w:ascii="Arial" w:eastAsia="宋体" w:hAnsi="Arial" w:cs="Arial"/>
                <w:color w:val="333333"/>
                <w:sz w:val="18"/>
                <w:szCs w:val="18"/>
              </w:rPr>
              <w:t xml:space="preserve">em and chipset volumes, and unit die sizes. </w:t>
            </w:r>
          </w:p>
          <w:p w14:paraId="4ACE2043"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Our 10nm manufacturing process entered full production as we launched our first products from this advanced technology. We are accelerating the pace of process node introductions and moving back to a 2- to 2.5-y</w:t>
            </w:r>
            <w:r>
              <w:rPr>
                <w:rFonts w:ascii="Arial" w:eastAsia="宋体" w:hAnsi="Arial" w:cs="Arial"/>
                <w:color w:val="333333"/>
                <w:sz w:val="18"/>
                <w:szCs w:val="18"/>
              </w:rPr>
              <w:t>ear cadence. We are on track to deliver our first 7nm-based product, a discrete GPU, at the end of 2021. 5G continues to be a strategic priority, and our exit from the 5G smartphone modem business is enabling us to increase the focus of our 5G efforts on t</w:t>
            </w:r>
            <w:r>
              <w:rPr>
                <w:rFonts w:ascii="Arial" w:eastAsia="宋体" w:hAnsi="Arial" w:cs="Arial"/>
                <w:color w:val="333333"/>
                <w:sz w:val="18"/>
                <w:szCs w:val="18"/>
              </w:rPr>
              <w:t>he opportunity to modernize network and edge infrastructure.</w:t>
            </w:r>
          </w:p>
          <w:p w14:paraId="4ACE2044" w14:textId="77777777" w:rsidR="006F587A" w:rsidRDefault="006F587A">
            <w:pPr>
              <w:textAlignment w:val="top"/>
              <w:rPr>
                <w:rFonts w:ascii="Times New Roman" w:hAnsi="Times New Roman"/>
                <w:sz w:val="18"/>
                <w:szCs w:val="18"/>
              </w:rPr>
            </w:pPr>
          </w:p>
        </w:tc>
        <w:tc>
          <w:tcPr>
            <w:tcW w:w="0" w:type="auto"/>
            <w:vMerge w:val="restart"/>
            <w:shd w:val="clear" w:color="auto" w:fill="auto"/>
            <w:tcMar>
              <w:top w:w="40" w:type="dxa"/>
              <w:left w:w="40" w:type="dxa"/>
              <w:bottom w:w="40" w:type="dxa"/>
              <w:right w:w="40" w:type="dxa"/>
            </w:tcMar>
            <w:vAlign w:val="center"/>
          </w:tcPr>
          <w:p w14:paraId="4ACE2045" w14:textId="77777777" w:rsidR="006F587A" w:rsidRDefault="007B2B61">
            <w:pPr>
              <w:jc w:val="center"/>
              <w:textAlignment w:val="center"/>
              <w:rPr>
                <w:rFonts w:ascii="Times New Roman" w:hAnsi="Times New Roman"/>
                <w:sz w:val="20"/>
                <w:szCs w:val="20"/>
              </w:rPr>
            </w:pPr>
            <w:r>
              <w:rPr>
                <w:rFonts w:ascii="Times New Roman" w:eastAsia="宋体" w:hAnsi="Times New Roman"/>
                <w:sz w:val="20"/>
                <w:szCs w:val="20"/>
              </w:rPr>
              <w:lastRenderedPageBreak/>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Viewer12_files/a005georgecircle.jpg"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2C" wp14:editId="4ACE6C2D">
                  <wp:extent cx="304800" cy="304800"/>
                  <wp:effectExtent l="0" t="0" r="0" b="0"/>
                  <wp:docPr id="31" name="图片 4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6"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r>
      <w:tr w:rsidR="006F587A" w14:paraId="4ACE204A" w14:textId="77777777">
        <w:tc>
          <w:tcPr>
            <w:tcW w:w="0" w:type="auto"/>
            <w:shd w:val="clear" w:color="auto" w:fill="auto"/>
            <w:vAlign w:val="center"/>
          </w:tcPr>
          <w:p w14:paraId="4ACE2047" w14:textId="77777777" w:rsidR="006F587A" w:rsidRDefault="007B2B61">
            <w:pPr>
              <w:rPr>
                <w:rFonts w:ascii="Times New Roman" w:hAnsi="Times New Roman"/>
                <w:sz w:val="20"/>
                <w:szCs w:val="20"/>
              </w:rPr>
            </w:pPr>
            <w:r>
              <w:rPr>
                <w:rFonts w:ascii="Times New Roman" w:eastAsia="宋体" w:hAnsi="Times New Roman"/>
                <w:sz w:val="20"/>
                <w:szCs w:val="20"/>
              </w:rPr>
              <w:lastRenderedPageBreak/>
              <w:t> </w:t>
            </w:r>
          </w:p>
        </w:tc>
        <w:tc>
          <w:tcPr>
            <w:tcW w:w="0" w:type="auto"/>
            <w:vMerge/>
            <w:shd w:val="clear" w:color="auto" w:fill="auto"/>
            <w:tcMar>
              <w:top w:w="40" w:type="dxa"/>
              <w:left w:w="40" w:type="dxa"/>
              <w:bottom w:w="40" w:type="dxa"/>
              <w:right w:w="40" w:type="dxa"/>
            </w:tcMar>
          </w:tcPr>
          <w:p w14:paraId="4ACE2048" w14:textId="77777777" w:rsidR="006F587A" w:rsidRDefault="006F587A">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center"/>
          </w:tcPr>
          <w:p w14:paraId="4ACE2049" w14:textId="77777777" w:rsidR="006F587A" w:rsidRDefault="006F587A">
            <w:pPr>
              <w:rPr>
                <w:rFonts w:ascii="Times New Roman" w:hAnsi="Times New Roman"/>
                <w:sz w:val="20"/>
                <w:szCs w:val="20"/>
              </w:rPr>
            </w:pPr>
          </w:p>
        </w:tc>
      </w:tr>
      <w:tr w:rsidR="006F587A" w14:paraId="4ACE2050" w14:textId="77777777">
        <w:tc>
          <w:tcPr>
            <w:tcW w:w="0" w:type="auto"/>
            <w:shd w:val="clear" w:color="auto" w:fill="auto"/>
            <w:vAlign w:val="center"/>
          </w:tcPr>
          <w:p w14:paraId="4ACE204B" w14:textId="77777777" w:rsidR="006F587A" w:rsidRDefault="007B2B61">
            <w:pPr>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tcPr>
          <w:p w14:paraId="4ACE204C"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4ACE204D" w14:textId="77777777" w:rsidR="006F587A" w:rsidRDefault="007B2B61">
            <w:pPr>
              <w:textAlignment w:val="center"/>
              <w:rPr>
                <w:rFonts w:ascii="Times New Roman" w:hAnsi="Times New Roman"/>
                <w:sz w:val="18"/>
                <w:szCs w:val="18"/>
              </w:rPr>
            </w:pPr>
            <w:r>
              <w:rPr>
                <w:rFonts w:ascii="Arial" w:eastAsia="宋体" w:hAnsi="Arial" w:cs="Arial"/>
                <w:b/>
                <w:bCs/>
                <w:i/>
                <w:iCs/>
                <w:color w:val="333333"/>
                <w:sz w:val="18"/>
                <w:szCs w:val="18"/>
              </w:rPr>
              <w:t>"We achieved record revenue for the fourth consecutive year, exercised discipline to drive spending efficiencies, and returned capital to our stockholders. Our results reflect a relentless commitment to improve execution that benefits our customers and inc</w:t>
            </w:r>
            <w:r>
              <w:rPr>
                <w:rFonts w:ascii="Arial" w:eastAsia="宋体" w:hAnsi="Arial" w:cs="Arial"/>
                <w:b/>
                <w:bCs/>
                <w:i/>
                <w:iCs/>
                <w:color w:val="333333"/>
                <w:sz w:val="18"/>
                <w:szCs w:val="18"/>
              </w:rPr>
              <w:t xml:space="preserve">reases shareholder value." </w:t>
            </w:r>
          </w:p>
          <w:p w14:paraId="4ACE204E" w14:textId="77777777" w:rsidR="006F587A" w:rsidRDefault="006F587A">
            <w:pPr>
              <w:textAlignment w:val="center"/>
              <w:rPr>
                <w:rFonts w:ascii="Times New Roman" w:hAnsi="Times New Roman"/>
                <w:sz w:val="18"/>
                <w:szCs w:val="18"/>
              </w:rPr>
            </w:pPr>
          </w:p>
          <w:p w14:paraId="4ACE204F" w14:textId="77777777" w:rsidR="006F587A" w:rsidRDefault="007B2B61">
            <w:pPr>
              <w:textAlignment w:val="center"/>
              <w:rPr>
                <w:rFonts w:ascii="Times New Roman" w:hAnsi="Times New Roman"/>
                <w:sz w:val="18"/>
                <w:szCs w:val="18"/>
              </w:rPr>
            </w:pPr>
            <w:r>
              <w:rPr>
                <w:rFonts w:ascii="Arial" w:eastAsia="宋体" w:hAnsi="Arial" w:cs="Arial"/>
                <w:b/>
                <w:bCs/>
                <w:i/>
                <w:iCs/>
                <w:color w:val="333333"/>
                <w:sz w:val="18"/>
                <w:szCs w:val="18"/>
              </w:rPr>
              <w:t xml:space="preserve">—George Davis, </w:t>
            </w:r>
            <w:r>
              <w:rPr>
                <w:rFonts w:ascii="Arial" w:eastAsia="宋体" w:hAnsi="Arial" w:cs="Arial"/>
                <w:i/>
                <w:iCs/>
                <w:color w:val="333333"/>
                <w:sz w:val="18"/>
                <w:szCs w:val="18"/>
              </w:rPr>
              <w:t>Chief Financial Officer</w:t>
            </w:r>
          </w:p>
        </w:tc>
      </w:tr>
    </w:tbl>
    <w:p w14:paraId="4ACE2051" w14:textId="77777777" w:rsidR="006F587A" w:rsidRDefault="006F587A">
      <w:pPr>
        <w:rPr>
          <w:vanish/>
        </w:rPr>
      </w:pPr>
    </w:p>
    <w:tbl>
      <w:tblPr>
        <w:tblW w:w="14620" w:type="dxa"/>
        <w:tblCellMar>
          <w:left w:w="0" w:type="dxa"/>
          <w:right w:w="0" w:type="dxa"/>
        </w:tblCellMar>
        <w:tblLook w:val="04A0" w:firstRow="1" w:lastRow="0" w:firstColumn="1" w:lastColumn="0" w:noHBand="0" w:noVBand="1"/>
      </w:tblPr>
      <w:tblGrid>
        <w:gridCol w:w="3557"/>
        <w:gridCol w:w="130"/>
        <w:gridCol w:w="3558"/>
        <w:gridCol w:w="130"/>
        <w:gridCol w:w="3558"/>
        <w:gridCol w:w="130"/>
        <w:gridCol w:w="3557"/>
      </w:tblGrid>
      <w:tr w:rsidR="006F587A" w14:paraId="4ACE2053" w14:textId="77777777">
        <w:tc>
          <w:tcPr>
            <w:tcW w:w="0" w:type="auto"/>
            <w:gridSpan w:val="7"/>
            <w:shd w:val="clear" w:color="auto" w:fill="auto"/>
            <w:vAlign w:val="center"/>
          </w:tcPr>
          <w:p w14:paraId="4ACE2052" w14:textId="77777777" w:rsidR="006F587A" w:rsidRDefault="006F587A">
            <w:pPr>
              <w:rPr>
                <w:rFonts w:ascii="Times New Roman" w:hAnsi="Times New Roman"/>
                <w:sz w:val="20"/>
                <w:szCs w:val="20"/>
              </w:rPr>
            </w:pPr>
          </w:p>
        </w:tc>
      </w:tr>
      <w:tr w:rsidR="006F587A" w14:paraId="4ACE205B" w14:textId="77777777">
        <w:tc>
          <w:tcPr>
            <w:tcW w:w="3560" w:type="dxa"/>
            <w:shd w:val="clear" w:color="auto" w:fill="auto"/>
            <w:vAlign w:val="center"/>
          </w:tcPr>
          <w:p w14:paraId="4ACE2054" w14:textId="77777777" w:rsidR="006F587A" w:rsidRDefault="006F587A">
            <w:pPr>
              <w:rPr>
                <w:rFonts w:ascii="Times New Roman" w:hAnsi="Times New Roman"/>
                <w:sz w:val="20"/>
                <w:szCs w:val="20"/>
              </w:rPr>
            </w:pPr>
          </w:p>
        </w:tc>
        <w:tc>
          <w:tcPr>
            <w:tcW w:w="100" w:type="dxa"/>
            <w:shd w:val="clear" w:color="auto" w:fill="auto"/>
            <w:vAlign w:val="center"/>
          </w:tcPr>
          <w:p w14:paraId="4ACE2055" w14:textId="77777777" w:rsidR="006F587A" w:rsidRDefault="006F587A">
            <w:pPr>
              <w:rPr>
                <w:rFonts w:ascii="Times New Roman" w:hAnsi="Times New Roman"/>
                <w:sz w:val="20"/>
                <w:szCs w:val="20"/>
              </w:rPr>
            </w:pPr>
          </w:p>
        </w:tc>
        <w:tc>
          <w:tcPr>
            <w:tcW w:w="3560" w:type="dxa"/>
            <w:shd w:val="clear" w:color="auto" w:fill="auto"/>
            <w:vAlign w:val="center"/>
          </w:tcPr>
          <w:p w14:paraId="4ACE2056" w14:textId="77777777" w:rsidR="006F587A" w:rsidRDefault="006F587A">
            <w:pPr>
              <w:rPr>
                <w:rFonts w:ascii="Times New Roman" w:hAnsi="Times New Roman"/>
                <w:sz w:val="20"/>
                <w:szCs w:val="20"/>
              </w:rPr>
            </w:pPr>
          </w:p>
        </w:tc>
        <w:tc>
          <w:tcPr>
            <w:tcW w:w="100" w:type="dxa"/>
            <w:shd w:val="clear" w:color="auto" w:fill="auto"/>
            <w:vAlign w:val="center"/>
          </w:tcPr>
          <w:p w14:paraId="4ACE2057" w14:textId="77777777" w:rsidR="006F587A" w:rsidRDefault="006F587A">
            <w:pPr>
              <w:rPr>
                <w:rFonts w:ascii="Times New Roman" w:hAnsi="Times New Roman"/>
                <w:sz w:val="20"/>
                <w:szCs w:val="20"/>
              </w:rPr>
            </w:pPr>
          </w:p>
        </w:tc>
        <w:tc>
          <w:tcPr>
            <w:tcW w:w="3560" w:type="dxa"/>
            <w:shd w:val="clear" w:color="auto" w:fill="auto"/>
            <w:vAlign w:val="center"/>
          </w:tcPr>
          <w:p w14:paraId="4ACE2058" w14:textId="77777777" w:rsidR="006F587A" w:rsidRDefault="006F587A">
            <w:pPr>
              <w:rPr>
                <w:rFonts w:ascii="Times New Roman" w:hAnsi="Times New Roman"/>
                <w:sz w:val="20"/>
                <w:szCs w:val="20"/>
              </w:rPr>
            </w:pPr>
          </w:p>
        </w:tc>
        <w:tc>
          <w:tcPr>
            <w:tcW w:w="100" w:type="dxa"/>
            <w:shd w:val="clear" w:color="auto" w:fill="auto"/>
            <w:vAlign w:val="center"/>
          </w:tcPr>
          <w:p w14:paraId="4ACE2059" w14:textId="77777777" w:rsidR="006F587A" w:rsidRDefault="006F587A">
            <w:pPr>
              <w:rPr>
                <w:rFonts w:ascii="Times New Roman" w:hAnsi="Times New Roman"/>
                <w:sz w:val="20"/>
                <w:szCs w:val="20"/>
              </w:rPr>
            </w:pPr>
          </w:p>
        </w:tc>
        <w:tc>
          <w:tcPr>
            <w:tcW w:w="3560" w:type="dxa"/>
            <w:shd w:val="clear" w:color="auto" w:fill="auto"/>
            <w:vAlign w:val="center"/>
          </w:tcPr>
          <w:p w14:paraId="4ACE205A" w14:textId="77777777" w:rsidR="006F587A" w:rsidRDefault="006F587A">
            <w:pPr>
              <w:rPr>
                <w:rFonts w:ascii="Times New Roman" w:hAnsi="Times New Roman"/>
                <w:sz w:val="20"/>
                <w:szCs w:val="20"/>
              </w:rPr>
            </w:pPr>
          </w:p>
        </w:tc>
      </w:tr>
      <w:tr w:rsidR="006F587A" w14:paraId="4ACE2063" w14:textId="77777777">
        <w:tc>
          <w:tcPr>
            <w:tcW w:w="0" w:type="auto"/>
            <w:shd w:val="clear" w:color="auto" w:fill="003C71"/>
            <w:tcMar>
              <w:top w:w="40" w:type="dxa"/>
              <w:left w:w="40" w:type="dxa"/>
              <w:bottom w:w="40" w:type="dxa"/>
              <w:right w:w="40" w:type="dxa"/>
            </w:tcMar>
            <w:vAlign w:val="bottom"/>
          </w:tcPr>
          <w:p w14:paraId="4ACE205C" w14:textId="77777777" w:rsidR="006F587A" w:rsidRDefault="007B2B61">
            <w:pPr>
              <w:textAlignment w:val="bottom"/>
              <w:rPr>
                <w:rFonts w:ascii="Times New Roman" w:hAnsi="Times New Roman"/>
                <w:sz w:val="20"/>
                <w:szCs w:val="20"/>
              </w:rPr>
            </w:pPr>
            <w:r>
              <w:rPr>
                <w:rFonts w:ascii="Arial" w:eastAsia="宋体" w:hAnsi="Arial" w:cs="Arial"/>
                <w:b/>
                <w:bCs/>
                <w:color w:val="FFFFFF"/>
                <w:sz w:val="20"/>
                <w:szCs w:val="20"/>
              </w:rPr>
              <w:t>REVENUE</w:t>
            </w:r>
          </w:p>
        </w:tc>
        <w:tc>
          <w:tcPr>
            <w:tcW w:w="0" w:type="auto"/>
            <w:shd w:val="clear" w:color="auto" w:fill="auto"/>
            <w:tcMar>
              <w:top w:w="40" w:type="dxa"/>
              <w:left w:w="40" w:type="dxa"/>
              <w:bottom w:w="40" w:type="dxa"/>
              <w:right w:w="40" w:type="dxa"/>
            </w:tcMar>
            <w:vAlign w:val="bottom"/>
          </w:tcPr>
          <w:p w14:paraId="4ACE205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0071C5"/>
            <w:tcMar>
              <w:top w:w="40" w:type="dxa"/>
              <w:left w:w="40" w:type="dxa"/>
              <w:bottom w:w="40" w:type="dxa"/>
              <w:right w:w="40" w:type="dxa"/>
            </w:tcMar>
            <w:vAlign w:val="bottom"/>
          </w:tcPr>
          <w:p w14:paraId="4ACE205E" w14:textId="77777777" w:rsidR="006F587A" w:rsidRDefault="007B2B61">
            <w:pPr>
              <w:textAlignment w:val="bottom"/>
              <w:rPr>
                <w:rFonts w:ascii="Times New Roman" w:hAnsi="Times New Roman"/>
                <w:sz w:val="20"/>
                <w:szCs w:val="20"/>
              </w:rPr>
            </w:pPr>
            <w:r>
              <w:rPr>
                <w:rFonts w:ascii="Arial" w:eastAsia="宋体" w:hAnsi="Arial" w:cs="Arial"/>
                <w:b/>
                <w:bCs/>
                <w:color w:val="FFFFFF"/>
                <w:sz w:val="20"/>
                <w:szCs w:val="20"/>
              </w:rPr>
              <w:t>OPERATING INCOME</w:t>
            </w:r>
          </w:p>
        </w:tc>
        <w:tc>
          <w:tcPr>
            <w:tcW w:w="0" w:type="auto"/>
            <w:shd w:val="clear" w:color="auto" w:fill="auto"/>
            <w:tcMar>
              <w:top w:w="40" w:type="dxa"/>
              <w:left w:w="40" w:type="dxa"/>
              <w:bottom w:w="40" w:type="dxa"/>
              <w:right w:w="40" w:type="dxa"/>
            </w:tcMar>
            <w:vAlign w:val="bottom"/>
          </w:tcPr>
          <w:p w14:paraId="4ACE205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00AEEF"/>
            <w:tcMar>
              <w:top w:w="40" w:type="dxa"/>
              <w:left w:w="40" w:type="dxa"/>
              <w:bottom w:w="40" w:type="dxa"/>
              <w:right w:w="40" w:type="dxa"/>
            </w:tcMar>
            <w:vAlign w:val="bottom"/>
          </w:tcPr>
          <w:p w14:paraId="4ACE2060" w14:textId="77777777" w:rsidR="006F587A" w:rsidRDefault="007B2B61">
            <w:pPr>
              <w:textAlignment w:val="bottom"/>
              <w:rPr>
                <w:rFonts w:ascii="Times New Roman" w:hAnsi="Times New Roman"/>
                <w:sz w:val="20"/>
                <w:szCs w:val="20"/>
              </w:rPr>
            </w:pPr>
            <w:r>
              <w:rPr>
                <w:rFonts w:ascii="Arial" w:eastAsia="宋体" w:hAnsi="Arial" w:cs="Arial"/>
                <w:b/>
                <w:bCs/>
                <w:color w:val="FFFFFF"/>
                <w:sz w:val="20"/>
                <w:szCs w:val="20"/>
              </w:rPr>
              <w:t>DILUTED EPS</w:t>
            </w:r>
          </w:p>
        </w:tc>
        <w:tc>
          <w:tcPr>
            <w:tcW w:w="0" w:type="auto"/>
            <w:shd w:val="clear" w:color="auto" w:fill="auto"/>
            <w:tcMar>
              <w:top w:w="40" w:type="dxa"/>
              <w:left w:w="40" w:type="dxa"/>
              <w:bottom w:w="40" w:type="dxa"/>
              <w:right w:w="40" w:type="dxa"/>
            </w:tcMar>
            <w:vAlign w:val="bottom"/>
          </w:tcPr>
          <w:p w14:paraId="4ACE206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CACAC"/>
            <w:tcMar>
              <w:top w:w="40" w:type="dxa"/>
              <w:left w:w="40" w:type="dxa"/>
              <w:bottom w:w="40" w:type="dxa"/>
              <w:right w:w="40" w:type="dxa"/>
            </w:tcMar>
            <w:vAlign w:val="bottom"/>
          </w:tcPr>
          <w:p w14:paraId="4ACE2062" w14:textId="77777777" w:rsidR="006F587A" w:rsidRDefault="007B2B61">
            <w:pPr>
              <w:textAlignment w:val="bottom"/>
              <w:rPr>
                <w:rFonts w:ascii="Times New Roman" w:hAnsi="Times New Roman"/>
                <w:sz w:val="20"/>
                <w:szCs w:val="20"/>
              </w:rPr>
            </w:pPr>
            <w:r>
              <w:rPr>
                <w:rFonts w:ascii="Arial" w:eastAsia="宋体" w:hAnsi="Arial" w:cs="Arial"/>
                <w:b/>
                <w:bCs/>
                <w:color w:val="FFFFFF"/>
                <w:sz w:val="20"/>
                <w:szCs w:val="20"/>
              </w:rPr>
              <w:t>CASH FLOWS</w:t>
            </w:r>
          </w:p>
        </w:tc>
      </w:tr>
      <w:tr w:rsidR="006F587A" w14:paraId="4ACE206D" w14:textId="77777777">
        <w:tc>
          <w:tcPr>
            <w:tcW w:w="0" w:type="auto"/>
            <w:shd w:val="clear" w:color="auto" w:fill="auto"/>
            <w:tcMar>
              <w:top w:w="40" w:type="dxa"/>
              <w:left w:w="40" w:type="dxa"/>
              <w:bottom w:w="40" w:type="dxa"/>
              <w:right w:w="40" w:type="dxa"/>
            </w:tcMar>
            <w:vAlign w:val="center"/>
          </w:tcPr>
          <w:p w14:paraId="4ACE2064" w14:textId="77777777" w:rsidR="006F587A" w:rsidRDefault="007B2B61">
            <w:pPr>
              <w:textAlignment w:val="center"/>
              <w:rPr>
                <w:rFonts w:ascii="Times New Roman" w:hAnsi="Times New Roman"/>
                <w:sz w:val="18"/>
                <w:szCs w:val="18"/>
              </w:rPr>
            </w:pPr>
            <w:r>
              <w:rPr>
                <w:rFonts w:ascii="Arial" w:eastAsia="宋体" w:hAnsi="Arial" w:cs="Arial"/>
                <w:color w:val="003D72"/>
                <w:sz w:val="18"/>
                <w:szCs w:val="18"/>
              </w:rPr>
              <w:t>■</w:t>
            </w:r>
            <w:r>
              <w:rPr>
                <w:rFonts w:ascii="Arial" w:eastAsia="宋体" w:hAnsi="Arial" w:cs="Arial"/>
                <w:color w:val="003C71"/>
                <w:sz w:val="18"/>
                <w:szCs w:val="18"/>
              </w:rPr>
              <w:t> </w:t>
            </w:r>
            <w:r>
              <w:rPr>
                <w:rFonts w:ascii="Arial" w:eastAsia="宋体" w:hAnsi="Arial" w:cs="Arial"/>
                <w:color w:val="333333"/>
                <w:sz w:val="16"/>
                <w:szCs w:val="16"/>
              </w:rPr>
              <w:t xml:space="preserve">PC-CENTRIC $B </w:t>
            </w:r>
            <w:r>
              <w:rPr>
                <w:rFonts w:ascii="Arial" w:eastAsia="宋体" w:hAnsi="Arial" w:cs="Arial"/>
                <w:color w:val="333333"/>
                <w:sz w:val="18"/>
                <w:szCs w:val="18"/>
              </w:rPr>
              <w:t> </w:t>
            </w:r>
          </w:p>
          <w:p w14:paraId="4ACE2065" w14:textId="77777777" w:rsidR="006F587A" w:rsidRDefault="007B2B61">
            <w:pPr>
              <w:textAlignment w:val="center"/>
              <w:rPr>
                <w:rFonts w:ascii="Times New Roman" w:hAnsi="Times New Roman"/>
                <w:sz w:val="18"/>
                <w:szCs w:val="18"/>
              </w:rPr>
            </w:pPr>
            <w:r>
              <w:rPr>
                <w:rFonts w:ascii="Arial" w:eastAsia="宋体" w:hAnsi="Arial" w:cs="Arial"/>
                <w:color w:val="00AEEF"/>
                <w:sz w:val="18"/>
                <w:szCs w:val="18"/>
              </w:rPr>
              <w:t>■</w:t>
            </w:r>
            <w:r>
              <w:rPr>
                <w:rFonts w:ascii="Arial" w:eastAsia="宋体" w:hAnsi="Arial" w:cs="Arial"/>
                <w:color w:val="003C71"/>
                <w:sz w:val="18"/>
                <w:szCs w:val="18"/>
              </w:rPr>
              <w:t> </w:t>
            </w:r>
            <w:r>
              <w:rPr>
                <w:rFonts w:ascii="Arial" w:eastAsia="宋体" w:hAnsi="Arial" w:cs="Arial"/>
                <w:color w:val="333333"/>
                <w:sz w:val="16"/>
                <w:szCs w:val="16"/>
              </w:rPr>
              <w:t>DATA-CENTRIC $B</w:t>
            </w:r>
          </w:p>
        </w:tc>
        <w:tc>
          <w:tcPr>
            <w:tcW w:w="0" w:type="auto"/>
            <w:shd w:val="clear" w:color="auto" w:fill="auto"/>
            <w:tcMar>
              <w:top w:w="40" w:type="dxa"/>
              <w:left w:w="40" w:type="dxa"/>
              <w:bottom w:w="40" w:type="dxa"/>
              <w:right w:w="40" w:type="dxa"/>
            </w:tcMar>
            <w:vAlign w:val="bottom"/>
          </w:tcPr>
          <w:p w14:paraId="4ACE206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4ACE2067" w14:textId="77777777" w:rsidR="006F587A" w:rsidRDefault="007B2B61">
            <w:pPr>
              <w:textAlignment w:val="center"/>
              <w:rPr>
                <w:rFonts w:ascii="Times New Roman" w:hAnsi="Times New Roman"/>
                <w:sz w:val="18"/>
                <w:szCs w:val="18"/>
              </w:rPr>
            </w:pPr>
            <w:r>
              <w:rPr>
                <w:rFonts w:ascii="Arial" w:eastAsia="宋体" w:hAnsi="Arial" w:cs="Arial"/>
                <w:color w:val="003C71"/>
                <w:sz w:val="18"/>
                <w:szCs w:val="18"/>
              </w:rPr>
              <w:t xml:space="preserve">■ </w:t>
            </w:r>
            <w:r>
              <w:rPr>
                <w:rFonts w:ascii="Arial" w:eastAsia="宋体" w:hAnsi="Arial" w:cs="Arial"/>
                <w:color w:val="333333"/>
                <w:sz w:val="16"/>
                <w:szCs w:val="16"/>
              </w:rPr>
              <w:t>GAAP $B</w:t>
            </w:r>
            <w:r>
              <w:rPr>
                <w:rFonts w:ascii="Arial" w:eastAsia="宋体" w:hAnsi="Arial" w:cs="Arial"/>
                <w:color w:val="333333"/>
                <w:sz w:val="18"/>
                <w:szCs w:val="18"/>
              </w:rPr>
              <w:t> </w:t>
            </w:r>
            <w:r>
              <w:rPr>
                <w:rFonts w:ascii="Arial" w:eastAsia="宋体" w:hAnsi="Arial" w:cs="Arial"/>
                <w:color w:val="000000"/>
                <w:sz w:val="18"/>
                <w:szCs w:val="18"/>
              </w:rPr>
              <w:t> </w:t>
            </w:r>
            <w:r>
              <w:rPr>
                <w:rFonts w:ascii="Arial" w:eastAsia="宋体" w:hAnsi="Arial" w:cs="Arial"/>
                <w:color w:val="00AEEF"/>
                <w:sz w:val="18"/>
                <w:szCs w:val="18"/>
              </w:rPr>
              <w:t>■</w:t>
            </w:r>
            <w:r>
              <w:rPr>
                <w:rFonts w:ascii="Arial" w:eastAsia="宋体" w:hAnsi="Arial" w:cs="Arial"/>
                <w:color w:val="003C71"/>
                <w:sz w:val="18"/>
                <w:szCs w:val="18"/>
              </w:rPr>
              <w:t> </w:t>
            </w:r>
            <w:r>
              <w:rPr>
                <w:rFonts w:ascii="Arial" w:eastAsia="宋体" w:hAnsi="Arial" w:cs="Arial"/>
                <w:color w:val="333333"/>
                <w:sz w:val="16"/>
                <w:szCs w:val="16"/>
              </w:rPr>
              <w:t>NON-GAAP $B</w:t>
            </w:r>
          </w:p>
        </w:tc>
        <w:tc>
          <w:tcPr>
            <w:tcW w:w="0" w:type="auto"/>
            <w:shd w:val="clear" w:color="auto" w:fill="auto"/>
            <w:tcMar>
              <w:top w:w="40" w:type="dxa"/>
              <w:left w:w="40" w:type="dxa"/>
              <w:bottom w:w="40" w:type="dxa"/>
              <w:right w:w="40" w:type="dxa"/>
            </w:tcMar>
            <w:vAlign w:val="bottom"/>
          </w:tcPr>
          <w:p w14:paraId="4ACE206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4ACE2069" w14:textId="77777777" w:rsidR="006F587A" w:rsidRDefault="007B2B61">
            <w:pPr>
              <w:textAlignment w:val="center"/>
              <w:rPr>
                <w:rFonts w:ascii="Times New Roman" w:hAnsi="Times New Roman"/>
                <w:sz w:val="18"/>
                <w:szCs w:val="18"/>
              </w:rPr>
            </w:pPr>
            <w:r>
              <w:rPr>
                <w:rFonts w:ascii="Arial" w:eastAsia="宋体" w:hAnsi="Arial" w:cs="Arial"/>
                <w:color w:val="003C71"/>
                <w:sz w:val="18"/>
                <w:szCs w:val="18"/>
              </w:rPr>
              <w:t xml:space="preserve">■ </w:t>
            </w:r>
            <w:r>
              <w:rPr>
                <w:rFonts w:ascii="Arial" w:eastAsia="宋体" w:hAnsi="Arial" w:cs="Arial"/>
                <w:color w:val="333333"/>
                <w:sz w:val="16"/>
                <w:szCs w:val="16"/>
              </w:rPr>
              <w:t>GAAP</w:t>
            </w:r>
            <w:r>
              <w:rPr>
                <w:rFonts w:ascii="Arial" w:eastAsia="宋体" w:hAnsi="Arial" w:cs="Arial"/>
                <w:color w:val="000000"/>
                <w:sz w:val="18"/>
                <w:szCs w:val="18"/>
              </w:rPr>
              <w:t> </w:t>
            </w:r>
            <w:r>
              <w:rPr>
                <w:rFonts w:ascii="Arial" w:eastAsia="宋体" w:hAnsi="Arial" w:cs="Arial"/>
                <w:color w:val="00AEEF"/>
                <w:sz w:val="18"/>
                <w:szCs w:val="18"/>
              </w:rPr>
              <w:t>■</w:t>
            </w:r>
            <w:r>
              <w:rPr>
                <w:rFonts w:ascii="Arial" w:eastAsia="宋体" w:hAnsi="Arial" w:cs="Arial"/>
                <w:color w:val="003C71"/>
                <w:sz w:val="18"/>
                <w:szCs w:val="18"/>
              </w:rPr>
              <w:t> </w:t>
            </w:r>
            <w:r>
              <w:rPr>
                <w:rFonts w:ascii="Arial" w:eastAsia="宋体" w:hAnsi="Arial" w:cs="Arial"/>
                <w:color w:val="333333"/>
                <w:sz w:val="16"/>
                <w:szCs w:val="16"/>
              </w:rPr>
              <w:t>NON-GAAP</w:t>
            </w:r>
          </w:p>
        </w:tc>
        <w:tc>
          <w:tcPr>
            <w:tcW w:w="0" w:type="auto"/>
            <w:shd w:val="clear" w:color="auto" w:fill="auto"/>
            <w:tcMar>
              <w:top w:w="40" w:type="dxa"/>
              <w:left w:w="40" w:type="dxa"/>
              <w:bottom w:w="40" w:type="dxa"/>
              <w:right w:w="40" w:type="dxa"/>
            </w:tcMar>
            <w:vAlign w:val="bottom"/>
          </w:tcPr>
          <w:p w14:paraId="4ACE206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4ACE206B" w14:textId="77777777" w:rsidR="006F587A" w:rsidRDefault="007B2B61">
            <w:pPr>
              <w:textAlignment w:val="center"/>
              <w:rPr>
                <w:rFonts w:ascii="Times New Roman" w:hAnsi="Times New Roman"/>
                <w:sz w:val="18"/>
                <w:szCs w:val="18"/>
              </w:rPr>
            </w:pPr>
            <w:r>
              <w:rPr>
                <w:rFonts w:ascii="Arial" w:eastAsia="宋体" w:hAnsi="Arial" w:cs="Arial"/>
                <w:color w:val="003C71"/>
                <w:sz w:val="18"/>
                <w:szCs w:val="18"/>
              </w:rPr>
              <w:t xml:space="preserve">■ </w:t>
            </w:r>
            <w:r>
              <w:rPr>
                <w:rFonts w:ascii="Arial" w:eastAsia="宋体" w:hAnsi="Arial" w:cs="Arial"/>
                <w:color w:val="333333"/>
                <w:sz w:val="16"/>
                <w:szCs w:val="16"/>
              </w:rPr>
              <w:t>OPERATING CASH FLOW $B</w:t>
            </w:r>
          </w:p>
          <w:p w14:paraId="4ACE206C" w14:textId="77777777" w:rsidR="006F587A" w:rsidRDefault="007B2B61">
            <w:pPr>
              <w:textAlignment w:val="center"/>
              <w:rPr>
                <w:rFonts w:ascii="Times New Roman" w:hAnsi="Times New Roman"/>
                <w:sz w:val="18"/>
                <w:szCs w:val="18"/>
              </w:rPr>
            </w:pPr>
            <w:r>
              <w:rPr>
                <w:rFonts w:ascii="Arial" w:eastAsia="宋体" w:hAnsi="Arial" w:cs="Arial"/>
                <w:color w:val="00AEEF"/>
                <w:sz w:val="18"/>
                <w:szCs w:val="18"/>
              </w:rPr>
              <w:t>■</w:t>
            </w:r>
            <w:r>
              <w:rPr>
                <w:rFonts w:ascii="Arial" w:eastAsia="宋体" w:hAnsi="Arial" w:cs="Arial"/>
                <w:color w:val="003C71"/>
                <w:sz w:val="18"/>
                <w:szCs w:val="18"/>
              </w:rPr>
              <w:t> </w:t>
            </w:r>
            <w:r>
              <w:rPr>
                <w:rFonts w:ascii="Arial" w:eastAsia="宋体" w:hAnsi="Arial" w:cs="Arial"/>
                <w:color w:val="333333"/>
                <w:sz w:val="16"/>
                <w:szCs w:val="16"/>
              </w:rPr>
              <w:t xml:space="preserve">FREE </w:t>
            </w:r>
            <w:r>
              <w:rPr>
                <w:rFonts w:ascii="Arial" w:eastAsia="宋体" w:hAnsi="Arial" w:cs="Arial"/>
                <w:color w:val="333333"/>
                <w:sz w:val="16"/>
                <w:szCs w:val="16"/>
              </w:rPr>
              <w:t>CASH FLOW</w:t>
            </w:r>
            <w:r>
              <w:rPr>
                <w:rFonts w:ascii="Arial" w:eastAsia="宋体" w:hAnsi="Arial" w:cs="Arial"/>
                <w:color w:val="333333"/>
                <w:sz w:val="10"/>
                <w:szCs w:val="10"/>
              </w:rPr>
              <w:t>1</w:t>
            </w:r>
            <w:r>
              <w:rPr>
                <w:rFonts w:ascii="Arial" w:eastAsia="宋体" w:hAnsi="Arial" w:cs="Arial"/>
                <w:color w:val="333333"/>
                <w:sz w:val="16"/>
                <w:szCs w:val="16"/>
              </w:rPr>
              <w:t> $B</w:t>
            </w:r>
          </w:p>
        </w:tc>
      </w:tr>
    </w:tbl>
    <w:p w14:paraId="4ACE206E" w14:textId="77777777" w:rsidR="006F587A" w:rsidRDefault="007B2B61">
      <w:pPr>
        <w:spacing w:line="288" w:lineRule="auto"/>
        <w:rPr>
          <w:rFonts w:ascii="Times New Roman" w:hAnsi="Times New Roman"/>
          <w:sz w:val="36"/>
          <w:szCs w:val="36"/>
        </w:rPr>
      </w:pPr>
      <w:r>
        <w:rPr>
          <w:rFonts w:ascii="Times New Roman" w:eastAsia="宋体" w:hAnsi="Times New Roman"/>
          <w:sz w:val="36"/>
          <w:szCs w:val="36"/>
        </w:rPr>
        <w:fldChar w:fldCharType="begin"/>
      </w:r>
      <w:r>
        <w:rPr>
          <w:rFonts w:ascii="Times New Roman" w:eastAsia="宋体" w:hAnsi="Times New Roman"/>
          <w:sz w:val="36"/>
          <w:szCs w:val="36"/>
        </w:rPr>
        <w:instrText xml:space="preserve">INCLUDEPICTURE \d "/Users/xuxinrun/Document/04 msra/20230209 </w:instrText>
      </w:r>
      <w:r>
        <w:rPr>
          <w:rFonts w:ascii="Times New Roman" w:eastAsia="宋体" w:hAnsi="Times New Roman"/>
          <w:sz w:val="36"/>
          <w:szCs w:val="36"/>
        </w:rPr>
        <w:instrText>公司财报</w:instrText>
      </w:r>
      <w:r>
        <w:rPr>
          <w:rFonts w:ascii="Times New Roman" w:eastAsia="宋体" w:hAnsi="Times New Roman"/>
          <w:sz w:val="36"/>
          <w:szCs w:val="36"/>
        </w:rPr>
        <w:instrText xml:space="preserve">/INTEL/./Inline XBRL Viewer12_files/chart1_yirrevenue.jpg" \* MERGEFORMATINET </w:instrText>
      </w:r>
      <w:r>
        <w:rPr>
          <w:rFonts w:ascii="Times New Roman" w:eastAsia="宋体" w:hAnsi="Times New Roman"/>
          <w:sz w:val="36"/>
          <w:szCs w:val="36"/>
        </w:rPr>
        <w:fldChar w:fldCharType="separate"/>
      </w:r>
      <w:r>
        <w:rPr>
          <w:rFonts w:ascii="Times New Roman" w:eastAsia="宋体" w:hAnsi="Times New Roman"/>
          <w:noProof/>
          <w:sz w:val="36"/>
          <w:szCs w:val="36"/>
        </w:rPr>
        <w:drawing>
          <wp:inline distT="0" distB="0" distL="114300" distR="114300" wp14:anchorId="4ACE6C2E" wp14:editId="4ACE6C2F">
            <wp:extent cx="304800" cy="304800"/>
            <wp:effectExtent l="0" t="0" r="0" b="0"/>
            <wp:docPr id="15" name="图片 47"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7" descr="IMG_2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36"/>
          <w:szCs w:val="36"/>
        </w:rPr>
        <w:fldChar w:fldCharType="end"/>
      </w:r>
      <w:r>
        <w:rPr>
          <w:rFonts w:ascii="Times New Roman" w:eastAsia="宋体" w:hAnsi="Times New Roman"/>
          <w:sz w:val="36"/>
          <w:szCs w:val="36"/>
        </w:rPr>
        <w:fldChar w:fldCharType="begin"/>
      </w:r>
      <w:r>
        <w:rPr>
          <w:rFonts w:ascii="Times New Roman" w:eastAsia="宋体" w:hAnsi="Times New Roman"/>
          <w:sz w:val="36"/>
          <w:szCs w:val="36"/>
        </w:rPr>
        <w:instrText xml:space="preserve">INCLUDEPICTURE \d "/Users/xuxinrun/Document/04 msra/20230209 </w:instrText>
      </w:r>
      <w:r>
        <w:rPr>
          <w:rFonts w:ascii="Times New Roman" w:eastAsia="宋体" w:hAnsi="Times New Roman"/>
          <w:sz w:val="36"/>
          <w:szCs w:val="36"/>
        </w:rPr>
        <w:instrText>公司财报</w:instrText>
      </w:r>
      <w:r>
        <w:rPr>
          <w:rFonts w:ascii="Times New Roman" w:eastAsia="宋体" w:hAnsi="Times New Roman"/>
          <w:sz w:val="36"/>
          <w:szCs w:val="36"/>
        </w:rPr>
        <w:instrText xml:space="preserve">/INTEL/./Inline XBRL Viewer12_files/chart2_yiropincome.jpg" \* MERGEFORMATINET </w:instrText>
      </w:r>
      <w:r>
        <w:rPr>
          <w:rFonts w:ascii="Times New Roman" w:eastAsia="宋体" w:hAnsi="Times New Roman"/>
          <w:sz w:val="36"/>
          <w:szCs w:val="36"/>
        </w:rPr>
        <w:fldChar w:fldCharType="separate"/>
      </w:r>
      <w:r>
        <w:rPr>
          <w:rFonts w:ascii="Times New Roman" w:eastAsia="宋体" w:hAnsi="Times New Roman"/>
          <w:noProof/>
          <w:sz w:val="36"/>
          <w:szCs w:val="36"/>
        </w:rPr>
        <w:drawing>
          <wp:inline distT="0" distB="0" distL="114300" distR="114300" wp14:anchorId="4ACE6C30" wp14:editId="4ACE6C31">
            <wp:extent cx="304800" cy="304800"/>
            <wp:effectExtent l="0" t="0" r="0" b="0"/>
            <wp:docPr id="42" name="图片 48"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8" descr="IMG_26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36"/>
          <w:szCs w:val="36"/>
        </w:rPr>
        <w:fldChar w:fldCharType="end"/>
      </w:r>
      <w:r>
        <w:rPr>
          <w:rFonts w:ascii="Times New Roman" w:eastAsia="宋体" w:hAnsi="Times New Roman"/>
          <w:sz w:val="36"/>
          <w:szCs w:val="36"/>
        </w:rPr>
        <w:fldChar w:fldCharType="begin"/>
      </w:r>
      <w:r>
        <w:rPr>
          <w:rFonts w:ascii="Times New Roman" w:eastAsia="宋体" w:hAnsi="Times New Roman"/>
          <w:sz w:val="36"/>
          <w:szCs w:val="36"/>
        </w:rPr>
        <w:instrText xml:space="preserve">INCLUDEPICTURE \d "/Users/xuxinrun/Document/04 msra/20230209 </w:instrText>
      </w:r>
      <w:r>
        <w:rPr>
          <w:rFonts w:ascii="Times New Roman" w:eastAsia="宋体" w:hAnsi="Times New Roman"/>
          <w:sz w:val="36"/>
          <w:szCs w:val="36"/>
        </w:rPr>
        <w:instrText>公司财报</w:instrText>
      </w:r>
      <w:r>
        <w:rPr>
          <w:rFonts w:ascii="Times New Roman" w:eastAsia="宋体" w:hAnsi="Times New Roman"/>
          <w:sz w:val="36"/>
          <w:szCs w:val="36"/>
        </w:rPr>
        <w:instrText>/INTEL/./Inline XBRL Viewer12_files/chart3_</w:instrText>
      </w:r>
      <w:r>
        <w:rPr>
          <w:rFonts w:ascii="Times New Roman" w:eastAsia="宋体" w:hAnsi="Times New Roman"/>
          <w:sz w:val="36"/>
          <w:szCs w:val="36"/>
        </w:rPr>
        <w:instrText xml:space="preserve">yirdilutedeps.jpg" \* MERGEFORMATINET </w:instrText>
      </w:r>
      <w:r>
        <w:rPr>
          <w:rFonts w:ascii="Times New Roman" w:eastAsia="宋体" w:hAnsi="Times New Roman"/>
          <w:sz w:val="36"/>
          <w:szCs w:val="36"/>
        </w:rPr>
        <w:fldChar w:fldCharType="separate"/>
      </w:r>
      <w:r>
        <w:rPr>
          <w:rFonts w:ascii="Times New Roman" w:eastAsia="宋体" w:hAnsi="Times New Roman"/>
          <w:noProof/>
          <w:sz w:val="36"/>
          <w:szCs w:val="36"/>
        </w:rPr>
        <w:drawing>
          <wp:inline distT="0" distB="0" distL="114300" distR="114300" wp14:anchorId="4ACE6C32" wp14:editId="4ACE6C33">
            <wp:extent cx="304800" cy="304800"/>
            <wp:effectExtent l="0" t="0" r="0" b="0"/>
            <wp:docPr id="48" name="图片 49"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9" descr="IMG_26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36"/>
          <w:szCs w:val="36"/>
        </w:rPr>
        <w:fldChar w:fldCharType="end"/>
      </w:r>
      <w:r>
        <w:rPr>
          <w:rFonts w:ascii="Times New Roman" w:eastAsia="宋体" w:hAnsi="Times New Roman"/>
          <w:sz w:val="36"/>
          <w:szCs w:val="36"/>
        </w:rPr>
        <w:fldChar w:fldCharType="begin"/>
      </w:r>
      <w:r>
        <w:rPr>
          <w:rFonts w:ascii="Times New Roman" w:eastAsia="宋体" w:hAnsi="Times New Roman"/>
          <w:sz w:val="36"/>
          <w:szCs w:val="36"/>
        </w:rPr>
        <w:instrText xml:space="preserve">INCLUDEPICTURE \d "/Users/xuxinrun/Document/04 msra/20230209 </w:instrText>
      </w:r>
      <w:r>
        <w:rPr>
          <w:rFonts w:ascii="Times New Roman" w:eastAsia="宋体" w:hAnsi="Times New Roman"/>
          <w:sz w:val="36"/>
          <w:szCs w:val="36"/>
        </w:rPr>
        <w:instrText>公司财报</w:instrText>
      </w:r>
      <w:r>
        <w:rPr>
          <w:rFonts w:ascii="Times New Roman" w:eastAsia="宋体" w:hAnsi="Times New Roman"/>
          <w:sz w:val="36"/>
          <w:szCs w:val="36"/>
        </w:rPr>
        <w:instrText xml:space="preserve">/INTEL/./Inline XBRL Viewer12_files/chart4_yircashflow.jpg" \* MERGEFORMATINET </w:instrText>
      </w:r>
      <w:r>
        <w:rPr>
          <w:rFonts w:ascii="Times New Roman" w:eastAsia="宋体" w:hAnsi="Times New Roman"/>
          <w:sz w:val="36"/>
          <w:szCs w:val="36"/>
        </w:rPr>
        <w:fldChar w:fldCharType="separate"/>
      </w:r>
      <w:r>
        <w:rPr>
          <w:rFonts w:ascii="Times New Roman" w:eastAsia="宋体" w:hAnsi="Times New Roman"/>
          <w:noProof/>
          <w:sz w:val="36"/>
          <w:szCs w:val="36"/>
        </w:rPr>
        <w:drawing>
          <wp:inline distT="0" distB="0" distL="114300" distR="114300" wp14:anchorId="4ACE6C34" wp14:editId="4ACE6C35">
            <wp:extent cx="304800" cy="304800"/>
            <wp:effectExtent l="0" t="0" r="0" b="0"/>
            <wp:docPr id="46" name="图片 50"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0" descr="IMG_26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36"/>
          <w:szCs w:val="36"/>
        </w:rPr>
        <w:fldChar w:fldCharType="end"/>
      </w:r>
    </w:p>
    <w:tbl>
      <w:tblPr>
        <w:tblW w:w="14640" w:type="dxa"/>
        <w:tblCellMar>
          <w:left w:w="0" w:type="dxa"/>
          <w:right w:w="0" w:type="dxa"/>
        </w:tblCellMar>
        <w:tblLook w:val="04A0" w:firstRow="1" w:lastRow="0" w:firstColumn="1" w:lastColumn="0" w:noHBand="0" w:noVBand="1"/>
      </w:tblPr>
      <w:tblGrid>
        <w:gridCol w:w="1824"/>
        <w:gridCol w:w="900"/>
        <w:gridCol w:w="130"/>
        <w:gridCol w:w="1957"/>
        <w:gridCol w:w="130"/>
        <w:gridCol w:w="1968"/>
        <w:gridCol w:w="130"/>
        <w:gridCol w:w="1590"/>
        <w:gridCol w:w="144"/>
        <w:gridCol w:w="1654"/>
        <w:gridCol w:w="130"/>
        <w:gridCol w:w="1980"/>
        <w:gridCol w:w="130"/>
        <w:gridCol w:w="1973"/>
      </w:tblGrid>
      <w:tr w:rsidR="006F587A" w14:paraId="4ACE2070" w14:textId="77777777">
        <w:tc>
          <w:tcPr>
            <w:tcW w:w="0" w:type="auto"/>
            <w:gridSpan w:val="14"/>
            <w:shd w:val="clear" w:color="auto" w:fill="auto"/>
            <w:vAlign w:val="center"/>
          </w:tcPr>
          <w:p w14:paraId="4ACE206F" w14:textId="77777777" w:rsidR="006F587A" w:rsidRDefault="006F587A">
            <w:pPr>
              <w:rPr>
                <w:rFonts w:ascii="Times New Roman" w:hAnsi="Times New Roman"/>
                <w:sz w:val="20"/>
                <w:szCs w:val="20"/>
              </w:rPr>
            </w:pPr>
          </w:p>
        </w:tc>
      </w:tr>
      <w:tr w:rsidR="006F587A" w14:paraId="4ACE207F" w14:textId="77777777">
        <w:tc>
          <w:tcPr>
            <w:tcW w:w="1780" w:type="dxa"/>
            <w:shd w:val="clear" w:color="auto" w:fill="auto"/>
            <w:vAlign w:val="center"/>
          </w:tcPr>
          <w:p w14:paraId="4ACE2071" w14:textId="77777777" w:rsidR="006F587A" w:rsidRDefault="006F587A">
            <w:pPr>
              <w:rPr>
                <w:rFonts w:ascii="Times New Roman" w:hAnsi="Times New Roman"/>
                <w:sz w:val="20"/>
                <w:szCs w:val="20"/>
              </w:rPr>
            </w:pPr>
          </w:p>
        </w:tc>
        <w:tc>
          <w:tcPr>
            <w:tcW w:w="1800" w:type="dxa"/>
            <w:shd w:val="clear" w:color="auto" w:fill="auto"/>
            <w:vAlign w:val="center"/>
          </w:tcPr>
          <w:p w14:paraId="4ACE2072" w14:textId="77777777" w:rsidR="006F587A" w:rsidRDefault="006F587A">
            <w:pPr>
              <w:rPr>
                <w:rFonts w:ascii="Times New Roman" w:hAnsi="Times New Roman"/>
                <w:sz w:val="20"/>
                <w:szCs w:val="20"/>
              </w:rPr>
            </w:pPr>
          </w:p>
        </w:tc>
        <w:tc>
          <w:tcPr>
            <w:tcW w:w="100" w:type="dxa"/>
            <w:shd w:val="clear" w:color="auto" w:fill="auto"/>
            <w:vAlign w:val="center"/>
          </w:tcPr>
          <w:p w14:paraId="4ACE2073" w14:textId="77777777" w:rsidR="006F587A" w:rsidRDefault="006F587A">
            <w:pPr>
              <w:rPr>
                <w:rFonts w:ascii="Times New Roman" w:hAnsi="Times New Roman"/>
                <w:sz w:val="20"/>
                <w:szCs w:val="20"/>
              </w:rPr>
            </w:pPr>
          </w:p>
        </w:tc>
        <w:tc>
          <w:tcPr>
            <w:tcW w:w="1720" w:type="dxa"/>
            <w:shd w:val="clear" w:color="auto" w:fill="auto"/>
            <w:vAlign w:val="center"/>
          </w:tcPr>
          <w:p w14:paraId="4ACE2074" w14:textId="77777777" w:rsidR="006F587A" w:rsidRDefault="006F587A">
            <w:pPr>
              <w:rPr>
                <w:rFonts w:ascii="Times New Roman" w:hAnsi="Times New Roman"/>
                <w:sz w:val="20"/>
                <w:szCs w:val="20"/>
              </w:rPr>
            </w:pPr>
          </w:p>
        </w:tc>
        <w:tc>
          <w:tcPr>
            <w:tcW w:w="100" w:type="dxa"/>
            <w:shd w:val="clear" w:color="auto" w:fill="auto"/>
            <w:vAlign w:val="center"/>
          </w:tcPr>
          <w:p w14:paraId="4ACE2075" w14:textId="77777777" w:rsidR="006F587A" w:rsidRDefault="006F587A">
            <w:pPr>
              <w:rPr>
                <w:rFonts w:ascii="Times New Roman" w:hAnsi="Times New Roman"/>
                <w:sz w:val="20"/>
                <w:szCs w:val="20"/>
              </w:rPr>
            </w:pPr>
          </w:p>
        </w:tc>
        <w:tc>
          <w:tcPr>
            <w:tcW w:w="1720" w:type="dxa"/>
            <w:shd w:val="clear" w:color="auto" w:fill="auto"/>
            <w:vAlign w:val="center"/>
          </w:tcPr>
          <w:p w14:paraId="4ACE2076" w14:textId="77777777" w:rsidR="006F587A" w:rsidRDefault="006F587A">
            <w:pPr>
              <w:rPr>
                <w:rFonts w:ascii="Times New Roman" w:hAnsi="Times New Roman"/>
                <w:sz w:val="20"/>
                <w:szCs w:val="20"/>
              </w:rPr>
            </w:pPr>
          </w:p>
        </w:tc>
        <w:tc>
          <w:tcPr>
            <w:tcW w:w="100" w:type="dxa"/>
            <w:shd w:val="clear" w:color="auto" w:fill="auto"/>
            <w:vAlign w:val="center"/>
          </w:tcPr>
          <w:p w14:paraId="4ACE2077" w14:textId="77777777" w:rsidR="006F587A" w:rsidRDefault="006F587A">
            <w:pPr>
              <w:rPr>
                <w:rFonts w:ascii="Times New Roman" w:hAnsi="Times New Roman"/>
                <w:sz w:val="20"/>
                <w:szCs w:val="20"/>
              </w:rPr>
            </w:pPr>
          </w:p>
        </w:tc>
        <w:tc>
          <w:tcPr>
            <w:tcW w:w="1720" w:type="dxa"/>
            <w:shd w:val="clear" w:color="auto" w:fill="auto"/>
            <w:vAlign w:val="center"/>
          </w:tcPr>
          <w:p w14:paraId="4ACE2078" w14:textId="77777777" w:rsidR="006F587A" w:rsidRDefault="006F587A">
            <w:pPr>
              <w:rPr>
                <w:rFonts w:ascii="Times New Roman" w:hAnsi="Times New Roman"/>
                <w:sz w:val="20"/>
                <w:szCs w:val="20"/>
              </w:rPr>
            </w:pPr>
          </w:p>
        </w:tc>
        <w:tc>
          <w:tcPr>
            <w:tcW w:w="100" w:type="dxa"/>
            <w:shd w:val="clear" w:color="auto" w:fill="auto"/>
            <w:vAlign w:val="center"/>
          </w:tcPr>
          <w:p w14:paraId="4ACE2079" w14:textId="77777777" w:rsidR="006F587A" w:rsidRDefault="006F587A">
            <w:pPr>
              <w:rPr>
                <w:rFonts w:ascii="Times New Roman" w:hAnsi="Times New Roman"/>
                <w:sz w:val="20"/>
                <w:szCs w:val="20"/>
              </w:rPr>
            </w:pPr>
          </w:p>
        </w:tc>
        <w:tc>
          <w:tcPr>
            <w:tcW w:w="1720" w:type="dxa"/>
            <w:shd w:val="clear" w:color="auto" w:fill="auto"/>
            <w:vAlign w:val="center"/>
          </w:tcPr>
          <w:p w14:paraId="4ACE207A" w14:textId="77777777" w:rsidR="006F587A" w:rsidRDefault="006F587A">
            <w:pPr>
              <w:rPr>
                <w:rFonts w:ascii="Times New Roman" w:hAnsi="Times New Roman"/>
                <w:sz w:val="20"/>
                <w:szCs w:val="20"/>
              </w:rPr>
            </w:pPr>
          </w:p>
        </w:tc>
        <w:tc>
          <w:tcPr>
            <w:tcW w:w="100" w:type="dxa"/>
            <w:shd w:val="clear" w:color="auto" w:fill="auto"/>
            <w:vAlign w:val="center"/>
          </w:tcPr>
          <w:p w14:paraId="4ACE207B" w14:textId="77777777" w:rsidR="006F587A" w:rsidRDefault="006F587A">
            <w:pPr>
              <w:rPr>
                <w:rFonts w:ascii="Times New Roman" w:hAnsi="Times New Roman"/>
                <w:sz w:val="20"/>
                <w:szCs w:val="20"/>
              </w:rPr>
            </w:pPr>
          </w:p>
        </w:tc>
        <w:tc>
          <w:tcPr>
            <w:tcW w:w="1720" w:type="dxa"/>
            <w:shd w:val="clear" w:color="auto" w:fill="auto"/>
            <w:vAlign w:val="center"/>
          </w:tcPr>
          <w:p w14:paraId="4ACE207C" w14:textId="77777777" w:rsidR="006F587A" w:rsidRDefault="006F587A">
            <w:pPr>
              <w:rPr>
                <w:rFonts w:ascii="Times New Roman" w:hAnsi="Times New Roman"/>
                <w:sz w:val="20"/>
                <w:szCs w:val="20"/>
              </w:rPr>
            </w:pPr>
          </w:p>
        </w:tc>
        <w:tc>
          <w:tcPr>
            <w:tcW w:w="100" w:type="dxa"/>
            <w:shd w:val="clear" w:color="auto" w:fill="auto"/>
            <w:vAlign w:val="center"/>
          </w:tcPr>
          <w:p w14:paraId="4ACE207D" w14:textId="77777777" w:rsidR="006F587A" w:rsidRDefault="006F587A">
            <w:pPr>
              <w:rPr>
                <w:rFonts w:ascii="Times New Roman" w:hAnsi="Times New Roman"/>
                <w:sz w:val="20"/>
                <w:szCs w:val="20"/>
              </w:rPr>
            </w:pPr>
          </w:p>
        </w:tc>
        <w:tc>
          <w:tcPr>
            <w:tcW w:w="1720" w:type="dxa"/>
            <w:shd w:val="clear" w:color="auto" w:fill="auto"/>
            <w:vAlign w:val="center"/>
          </w:tcPr>
          <w:p w14:paraId="4ACE207E" w14:textId="77777777" w:rsidR="006F587A" w:rsidRDefault="006F587A">
            <w:pPr>
              <w:rPr>
                <w:rFonts w:ascii="Times New Roman" w:hAnsi="Times New Roman"/>
                <w:sz w:val="20"/>
                <w:szCs w:val="20"/>
              </w:rPr>
            </w:pPr>
          </w:p>
        </w:tc>
      </w:tr>
      <w:tr w:rsidR="006F587A" w14:paraId="4ACE2089" w14:textId="77777777">
        <w:tc>
          <w:tcPr>
            <w:tcW w:w="0" w:type="auto"/>
            <w:gridSpan w:val="2"/>
            <w:shd w:val="clear" w:color="auto" w:fill="003D72"/>
            <w:tcMar>
              <w:top w:w="40" w:type="dxa"/>
              <w:left w:w="40" w:type="dxa"/>
              <w:bottom w:w="40" w:type="dxa"/>
              <w:right w:w="40" w:type="dxa"/>
            </w:tcMar>
            <w:vAlign w:val="bottom"/>
          </w:tcPr>
          <w:p w14:paraId="4ACE208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08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0071C5"/>
            <w:tcMar>
              <w:top w:w="40" w:type="dxa"/>
              <w:left w:w="40" w:type="dxa"/>
              <w:bottom w:w="40" w:type="dxa"/>
              <w:right w:w="40" w:type="dxa"/>
            </w:tcMar>
            <w:vAlign w:val="bottom"/>
          </w:tcPr>
          <w:p w14:paraId="4ACE208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08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00AEEF"/>
            <w:tcMar>
              <w:top w:w="40" w:type="dxa"/>
              <w:left w:w="40" w:type="dxa"/>
              <w:bottom w:w="40" w:type="dxa"/>
              <w:right w:w="40" w:type="dxa"/>
            </w:tcMar>
            <w:vAlign w:val="bottom"/>
          </w:tcPr>
          <w:p w14:paraId="4ACE208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08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CACAC"/>
            <w:tcMar>
              <w:top w:w="40" w:type="dxa"/>
              <w:left w:w="40" w:type="dxa"/>
              <w:bottom w:w="40" w:type="dxa"/>
              <w:right w:w="40" w:type="dxa"/>
            </w:tcMar>
            <w:vAlign w:val="bottom"/>
          </w:tcPr>
          <w:p w14:paraId="4ACE208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CACAC"/>
            <w:tcMar>
              <w:top w:w="40" w:type="dxa"/>
              <w:left w:w="40" w:type="dxa"/>
              <w:bottom w:w="40" w:type="dxa"/>
              <w:right w:w="40" w:type="dxa"/>
            </w:tcMar>
            <w:vAlign w:val="bottom"/>
          </w:tcPr>
          <w:p w14:paraId="4ACE208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CACAC"/>
            <w:tcMar>
              <w:top w:w="40" w:type="dxa"/>
              <w:left w:w="40" w:type="dxa"/>
              <w:bottom w:w="40" w:type="dxa"/>
              <w:right w:w="40" w:type="dxa"/>
            </w:tcMar>
            <w:vAlign w:val="bottom"/>
          </w:tcPr>
          <w:p w14:paraId="4ACE208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2098" w14:textId="77777777">
        <w:tc>
          <w:tcPr>
            <w:tcW w:w="0" w:type="auto"/>
            <w:vMerge w:val="restart"/>
            <w:shd w:val="clear" w:color="auto" w:fill="auto"/>
            <w:tcMar>
              <w:top w:w="40" w:type="dxa"/>
              <w:left w:w="40" w:type="dxa"/>
              <w:bottom w:w="40" w:type="dxa"/>
              <w:right w:w="40" w:type="dxa"/>
            </w:tcMar>
          </w:tcPr>
          <w:p w14:paraId="4ACE208A" w14:textId="77777777" w:rsidR="006F587A" w:rsidRDefault="007B2B61">
            <w:pPr>
              <w:textAlignment w:val="top"/>
              <w:rPr>
                <w:rFonts w:ascii="Times New Roman" w:hAnsi="Times New Roman"/>
                <w:sz w:val="36"/>
                <w:szCs w:val="36"/>
              </w:rPr>
            </w:pPr>
            <w:r>
              <w:rPr>
                <w:rFonts w:ascii="Arial" w:eastAsia="宋体" w:hAnsi="Arial" w:cs="Arial"/>
                <w:b/>
                <w:bCs/>
                <w:color w:val="003D72"/>
                <w:sz w:val="36"/>
                <w:szCs w:val="36"/>
              </w:rPr>
              <w:t>$72.0B</w:t>
            </w:r>
          </w:p>
        </w:tc>
        <w:tc>
          <w:tcPr>
            <w:tcW w:w="0" w:type="auto"/>
            <w:shd w:val="clear" w:color="auto" w:fill="auto"/>
            <w:tcMar>
              <w:top w:w="40" w:type="dxa"/>
              <w:left w:w="40" w:type="dxa"/>
              <w:bottom w:w="40" w:type="dxa"/>
              <w:right w:w="40" w:type="dxa"/>
            </w:tcMar>
            <w:vAlign w:val="bottom"/>
          </w:tcPr>
          <w:p w14:paraId="4ACE208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08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tcPr>
          <w:p w14:paraId="4ACE208D" w14:textId="77777777" w:rsidR="006F587A" w:rsidRDefault="007B2B61">
            <w:pPr>
              <w:textAlignment w:val="top"/>
              <w:rPr>
                <w:rFonts w:ascii="Times New Roman" w:hAnsi="Times New Roman"/>
                <w:sz w:val="36"/>
                <w:szCs w:val="36"/>
              </w:rPr>
            </w:pPr>
            <w:r>
              <w:rPr>
                <w:rFonts w:ascii="Arial" w:eastAsia="宋体" w:hAnsi="Arial" w:cs="Arial"/>
                <w:b/>
                <w:bCs/>
                <w:color w:val="003D72"/>
                <w:sz w:val="36"/>
                <w:szCs w:val="36"/>
              </w:rPr>
              <w:t>$22.0B</w:t>
            </w:r>
          </w:p>
        </w:tc>
        <w:tc>
          <w:tcPr>
            <w:tcW w:w="0" w:type="auto"/>
            <w:vMerge w:val="restart"/>
            <w:shd w:val="clear" w:color="auto" w:fill="auto"/>
            <w:tcMar>
              <w:top w:w="40" w:type="dxa"/>
              <w:left w:w="40" w:type="dxa"/>
              <w:bottom w:w="40" w:type="dxa"/>
              <w:right w:w="40" w:type="dxa"/>
            </w:tcMar>
            <w:vAlign w:val="bottom"/>
          </w:tcPr>
          <w:p w14:paraId="4ACE208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tcPr>
          <w:p w14:paraId="4ACE208F" w14:textId="77777777" w:rsidR="006F587A" w:rsidRDefault="007B2B61">
            <w:pPr>
              <w:textAlignment w:val="top"/>
              <w:rPr>
                <w:rFonts w:ascii="Times New Roman" w:hAnsi="Times New Roman"/>
                <w:sz w:val="36"/>
                <w:szCs w:val="36"/>
              </w:rPr>
            </w:pPr>
            <w:r>
              <w:rPr>
                <w:rFonts w:ascii="Arial" w:eastAsia="宋体" w:hAnsi="Arial" w:cs="Arial"/>
                <w:b/>
                <w:bCs/>
                <w:color w:val="0071C5"/>
                <w:sz w:val="36"/>
                <w:szCs w:val="36"/>
              </w:rPr>
              <w:t>$23.8B</w:t>
            </w:r>
          </w:p>
        </w:tc>
        <w:tc>
          <w:tcPr>
            <w:tcW w:w="0" w:type="auto"/>
            <w:shd w:val="clear" w:color="auto" w:fill="auto"/>
            <w:tcMar>
              <w:top w:w="40" w:type="dxa"/>
              <w:left w:w="40" w:type="dxa"/>
              <w:bottom w:w="40" w:type="dxa"/>
              <w:right w:w="40" w:type="dxa"/>
            </w:tcMar>
            <w:vAlign w:val="bottom"/>
          </w:tcPr>
          <w:p w14:paraId="4ACE209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tcPr>
          <w:p w14:paraId="4ACE2091" w14:textId="77777777" w:rsidR="006F587A" w:rsidRDefault="007B2B61">
            <w:pPr>
              <w:textAlignment w:val="top"/>
              <w:rPr>
                <w:rFonts w:ascii="Times New Roman" w:hAnsi="Times New Roman"/>
                <w:sz w:val="36"/>
                <w:szCs w:val="36"/>
              </w:rPr>
            </w:pPr>
            <w:r>
              <w:rPr>
                <w:rFonts w:ascii="Arial" w:eastAsia="宋体" w:hAnsi="Arial" w:cs="Arial"/>
                <w:b/>
                <w:bCs/>
                <w:color w:val="003D72"/>
                <w:sz w:val="36"/>
                <w:szCs w:val="36"/>
              </w:rPr>
              <w:t>$4.71</w:t>
            </w:r>
          </w:p>
        </w:tc>
        <w:tc>
          <w:tcPr>
            <w:tcW w:w="0" w:type="auto"/>
            <w:vMerge w:val="restart"/>
            <w:shd w:val="clear" w:color="auto" w:fill="auto"/>
            <w:tcMar>
              <w:top w:w="40" w:type="dxa"/>
              <w:left w:w="40" w:type="dxa"/>
              <w:bottom w:w="40" w:type="dxa"/>
              <w:right w:w="40" w:type="dxa"/>
            </w:tcMar>
            <w:vAlign w:val="bottom"/>
          </w:tcPr>
          <w:p w14:paraId="4ACE209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tcPr>
          <w:p w14:paraId="4ACE2093" w14:textId="77777777" w:rsidR="006F587A" w:rsidRDefault="007B2B61">
            <w:pPr>
              <w:textAlignment w:val="top"/>
              <w:rPr>
                <w:rFonts w:ascii="Times New Roman" w:hAnsi="Times New Roman"/>
                <w:sz w:val="36"/>
                <w:szCs w:val="36"/>
              </w:rPr>
            </w:pPr>
            <w:r>
              <w:rPr>
                <w:rFonts w:ascii="Arial" w:eastAsia="宋体" w:hAnsi="Arial" w:cs="Arial"/>
                <w:b/>
                <w:bCs/>
                <w:color w:val="0071C5"/>
                <w:sz w:val="36"/>
                <w:szCs w:val="36"/>
              </w:rPr>
              <w:t>$4.87</w:t>
            </w:r>
          </w:p>
        </w:tc>
        <w:tc>
          <w:tcPr>
            <w:tcW w:w="0" w:type="auto"/>
            <w:shd w:val="clear" w:color="auto" w:fill="auto"/>
            <w:tcMar>
              <w:top w:w="40" w:type="dxa"/>
              <w:left w:w="40" w:type="dxa"/>
              <w:bottom w:w="40" w:type="dxa"/>
              <w:right w:w="40" w:type="dxa"/>
            </w:tcMar>
            <w:vAlign w:val="bottom"/>
          </w:tcPr>
          <w:p w14:paraId="4ACE209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tcPr>
          <w:p w14:paraId="4ACE2095" w14:textId="77777777" w:rsidR="006F587A" w:rsidRDefault="007B2B61">
            <w:pPr>
              <w:textAlignment w:val="top"/>
              <w:rPr>
                <w:rFonts w:ascii="Times New Roman" w:hAnsi="Times New Roman"/>
                <w:sz w:val="36"/>
                <w:szCs w:val="36"/>
              </w:rPr>
            </w:pPr>
            <w:r>
              <w:rPr>
                <w:rFonts w:ascii="Arial" w:eastAsia="宋体" w:hAnsi="Arial" w:cs="Arial"/>
                <w:b/>
                <w:bCs/>
                <w:color w:val="003D72"/>
                <w:sz w:val="36"/>
                <w:szCs w:val="36"/>
              </w:rPr>
              <w:t>$33.1B</w:t>
            </w:r>
          </w:p>
        </w:tc>
        <w:tc>
          <w:tcPr>
            <w:tcW w:w="0" w:type="auto"/>
            <w:vMerge w:val="restart"/>
            <w:shd w:val="clear" w:color="auto" w:fill="auto"/>
            <w:tcMar>
              <w:top w:w="40" w:type="dxa"/>
              <w:left w:w="40" w:type="dxa"/>
              <w:bottom w:w="40" w:type="dxa"/>
              <w:right w:w="40" w:type="dxa"/>
            </w:tcMar>
            <w:vAlign w:val="bottom"/>
          </w:tcPr>
          <w:p w14:paraId="4ACE209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tcPr>
          <w:p w14:paraId="4ACE2097" w14:textId="77777777" w:rsidR="006F587A" w:rsidRDefault="007B2B61">
            <w:pPr>
              <w:textAlignment w:val="top"/>
              <w:rPr>
                <w:rFonts w:ascii="Times New Roman" w:hAnsi="Times New Roman"/>
                <w:sz w:val="36"/>
                <w:szCs w:val="36"/>
              </w:rPr>
            </w:pPr>
            <w:r>
              <w:rPr>
                <w:rFonts w:ascii="Arial" w:eastAsia="宋体" w:hAnsi="Arial" w:cs="Arial"/>
                <w:b/>
                <w:bCs/>
                <w:color w:val="0071C5"/>
                <w:sz w:val="36"/>
                <w:szCs w:val="36"/>
              </w:rPr>
              <w:t>$16.9B</w:t>
            </w:r>
          </w:p>
        </w:tc>
      </w:tr>
      <w:tr w:rsidR="006F587A" w14:paraId="4ACE20A7" w14:textId="77777777">
        <w:tc>
          <w:tcPr>
            <w:tcW w:w="0" w:type="auto"/>
            <w:vMerge/>
            <w:shd w:val="clear" w:color="auto" w:fill="auto"/>
            <w:tcMar>
              <w:top w:w="40" w:type="dxa"/>
              <w:left w:w="40" w:type="dxa"/>
              <w:bottom w:w="40" w:type="dxa"/>
              <w:right w:w="40" w:type="dxa"/>
            </w:tcMar>
          </w:tcPr>
          <w:p w14:paraId="4ACE2099"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09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09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tcPr>
          <w:p w14:paraId="4ACE209C" w14:textId="77777777" w:rsidR="006F587A" w:rsidRDefault="006F587A">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4ACE209D" w14:textId="77777777" w:rsidR="006F587A" w:rsidRDefault="006F587A">
            <w:pPr>
              <w:rPr>
                <w:rFonts w:ascii="Times New Roman" w:hAnsi="Times New Roman"/>
                <w:sz w:val="20"/>
                <w:szCs w:val="20"/>
              </w:rPr>
            </w:pPr>
          </w:p>
        </w:tc>
        <w:tc>
          <w:tcPr>
            <w:tcW w:w="0" w:type="auto"/>
            <w:vMerge/>
            <w:shd w:val="clear" w:color="auto" w:fill="auto"/>
            <w:tcMar>
              <w:top w:w="40" w:type="dxa"/>
              <w:left w:w="40" w:type="dxa"/>
              <w:bottom w:w="40" w:type="dxa"/>
              <w:right w:w="40" w:type="dxa"/>
            </w:tcMar>
          </w:tcPr>
          <w:p w14:paraId="4ACE209E"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09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tcPr>
          <w:p w14:paraId="4ACE20A0" w14:textId="77777777" w:rsidR="006F587A" w:rsidRDefault="006F587A">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4ACE20A1" w14:textId="77777777" w:rsidR="006F587A" w:rsidRDefault="006F587A">
            <w:pPr>
              <w:rPr>
                <w:rFonts w:ascii="Times New Roman" w:hAnsi="Times New Roman"/>
                <w:sz w:val="20"/>
                <w:szCs w:val="20"/>
              </w:rPr>
            </w:pPr>
          </w:p>
        </w:tc>
        <w:tc>
          <w:tcPr>
            <w:tcW w:w="0" w:type="auto"/>
            <w:vMerge/>
            <w:shd w:val="clear" w:color="auto" w:fill="auto"/>
            <w:tcMar>
              <w:top w:w="40" w:type="dxa"/>
              <w:left w:w="40" w:type="dxa"/>
              <w:bottom w:w="40" w:type="dxa"/>
              <w:right w:w="40" w:type="dxa"/>
            </w:tcMar>
          </w:tcPr>
          <w:p w14:paraId="4ACE20A2"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0A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tcPr>
          <w:p w14:paraId="4ACE20A4" w14:textId="77777777" w:rsidR="006F587A" w:rsidRDefault="006F587A">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4ACE20A5" w14:textId="77777777" w:rsidR="006F587A" w:rsidRDefault="006F587A">
            <w:pPr>
              <w:rPr>
                <w:rFonts w:ascii="Times New Roman" w:hAnsi="Times New Roman"/>
                <w:sz w:val="20"/>
                <w:szCs w:val="20"/>
              </w:rPr>
            </w:pPr>
          </w:p>
        </w:tc>
        <w:tc>
          <w:tcPr>
            <w:tcW w:w="0" w:type="auto"/>
            <w:vMerge/>
            <w:shd w:val="clear" w:color="auto" w:fill="auto"/>
            <w:tcMar>
              <w:top w:w="40" w:type="dxa"/>
              <w:left w:w="40" w:type="dxa"/>
              <w:bottom w:w="40" w:type="dxa"/>
              <w:right w:w="40" w:type="dxa"/>
            </w:tcMar>
          </w:tcPr>
          <w:p w14:paraId="4ACE20A6" w14:textId="77777777" w:rsidR="006F587A" w:rsidRDefault="006F587A">
            <w:pPr>
              <w:rPr>
                <w:rFonts w:ascii="Times New Roman" w:hAnsi="Times New Roman"/>
                <w:sz w:val="20"/>
                <w:szCs w:val="20"/>
              </w:rPr>
            </w:pPr>
          </w:p>
        </w:tc>
      </w:tr>
      <w:tr w:rsidR="006F587A" w14:paraId="4ACE20B6" w14:textId="77777777">
        <w:tc>
          <w:tcPr>
            <w:tcW w:w="0" w:type="auto"/>
            <w:tcBorders>
              <w:bottom w:val="single" w:sz="8" w:space="0" w:color="003C71"/>
            </w:tcBorders>
            <w:shd w:val="clear" w:color="auto" w:fill="auto"/>
            <w:tcMar>
              <w:top w:w="40" w:type="dxa"/>
              <w:left w:w="40" w:type="dxa"/>
              <w:bottom w:w="40" w:type="dxa"/>
              <w:right w:w="40" w:type="dxa"/>
            </w:tcMar>
            <w:vAlign w:val="bottom"/>
          </w:tcPr>
          <w:p w14:paraId="4ACE20A8" w14:textId="77777777" w:rsidR="006F587A" w:rsidRDefault="007B2B61">
            <w:pPr>
              <w:textAlignment w:val="bottom"/>
              <w:rPr>
                <w:rFonts w:ascii="Times New Roman" w:hAnsi="Times New Roman"/>
                <w:sz w:val="18"/>
                <w:szCs w:val="18"/>
              </w:rPr>
            </w:pPr>
            <w:r>
              <w:rPr>
                <w:rFonts w:ascii="Arial" w:eastAsia="宋体" w:hAnsi="Arial" w:cs="Arial"/>
                <w:b/>
                <w:bCs/>
                <w:color w:val="003D72"/>
                <w:sz w:val="18"/>
                <w:szCs w:val="18"/>
              </w:rPr>
              <w:t>GAAP</w:t>
            </w:r>
          </w:p>
        </w:tc>
        <w:tc>
          <w:tcPr>
            <w:tcW w:w="0" w:type="auto"/>
            <w:tcBorders>
              <w:bottom w:val="single" w:sz="8" w:space="0" w:color="003C71"/>
            </w:tcBorders>
            <w:shd w:val="clear" w:color="auto" w:fill="auto"/>
            <w:tcMar>
              <w:top w:w="40" w:type="dxa"/>
              <w:left w:w="40" w:type="dxa"/>
              <w:bottom w:w="40" w:type="dxa"/>
              <w:right w:w="40" w:type="dxa"/>
            </w:tcMar>
            <w:vAlign w:val="bottom"/>
          </w:tcPr>
          <w:p w14:paraId="4ACE20A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0A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71C5"/>
            </w:tcBorders>
            <w:shd w:val="clear" w:color="auto" w:fill="auto"/>
            <w:tcMar>
              <w:top w:w="40" w:type="dxa"/>
              <w:left w:w="40" w:type="dxa"/>
              <w:bottom w:w="40" w:type="dxa"/>
              <w:right w:w="40" w:type="dxa"/>
            </w:tcMar>
            <w:vAlign w:val="bottom"/>
          </w:tcPr>
          <w:p w14:paraId="4ACE20AB" w14:textId="77777777" w:rsidR="006F587A" w:rsidRDefault="007B2B61">
            <w:pPr>
              <w:textAlignment w:val="bottom"/>
              <w:rPr>
                <w:rFonts w:ascii="Times New Roman" w:hAnsi="Times New Roman"/>
                <w:sz w:val="18"/>
                <w:szCs w:val="18"/>
              </w:rPr>
            </w:pPr>
            <w:r>
              <w:rPr>
                <w:rFonts w:ascii="Arial" w:eastAsia="宋体" w:hAnsi="Arial" w:cs="Arial"/>
                <w:b/>
                <w:bCs/>
                <w:color w:val="003D72"/>
                <w:sz w:val="18"/>
                <w:szCs w:val="18"/>
              </w:rPr>
              <w:t>GAAP</w:t>
            </w:r>
          </w:p>
        </w:tc>
        <w:tc>
          <w:tcPr>
            <w:tcW w:w="0" w:type="auto"/>
            <w:shd w:val="clear" w:color="auto" w:fill="auto"/>
            <w:tcMar>
              <w:top w:w="40" w:type="dxa"/>
              <w:left w:w="40" w:type="dxa"/>
              <w:bottom w:w="40" w:type="dxa"/>
              <w:right w:w="40" w:type="dxa"/>
            </w:tcMar>
            <w:vAlign w:val="bottom"/>
          </w:tcPr>
          <w:p w14:paraId="4ACE20A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71C5"/>
            </w:tcBorders>
            <w:shd w:val="clear" w:color="auto" w:fill="auto"/>
            <w:tcMar>
              <w:top w:w="40" w:type="dxa"/>
              <w:left w:w="40" w:type="dxa"/>
              <w:bottom w:w="40" w:type="dxa"/>
              <w:right w:w="40" w:type="dxa"/>
            </w:tcMar>
            <w:vAlign w:val="bottom"/>
          </w:tcPr>
          <w:p w14:paraId="4ACE20AD"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non-GAAP</w:t>
            </w:r>
            <w:r>
              <w:rPr>
                <w:rFonts w:ascii="Arial" w:eastAsia="宋体" w:hAnsi="Arial" w:cs="Arial"/>
                <w:b/>
                <w:bCs/>
                <w:color w:val="0071C5"/>
                <w:sz w:val="12"/>
                <w:szCs w:val="12"/>
              </w:rPr>
              <w:t>1</w:t>
            </w:r>
          </w:p>
        </w:tc>
        <w:tc>
          <w:tcPr>
            <w:tcW w:w="0" w:type="auto"/>
            <w:shd w:val="clear" w:color="auto" w:fill="auto"/>
            <w:tcMar>
              <w:top w:w="40" w:type="dxa"/>
              <w:left w:w="40" w:type="dxa"/>
              <w:bottom w:w="40" w:type="dxa"/>
              <w:right w:w="40" w:type="dxa"/>
            </w:tcMar>
            <w:vAlign w:val="bottom"/>
          </w:tcPr>
          <w:p w14:paraId="4ACE20A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AEEF"/>
            </w:tcBorders>
            <w:shd w:val="clear" w:color="auto" w:fill="auto"/>
            <w:tcMar>
              <w:top w:w="40" w:type="dxa"/>
              <w:left w:w="40" w:type="dxa"/>
              <w:bottom w:w="40" w:type="dxa"/>
              <w:right w:w="40" w:type="dxa"/>
            </w:tcMar>
            <w:vAlign w:val="bottom"/>
          </w:tcPr>
          <w:p w14:paraId="4ACE20AF" w14:textId="77777777" w:rsidR="006F587A" w:rsidRDefault="007B2B61">
            <w:pPr>
              <w:textAlignment w:val="bottom"/>
              <w:rPr>
                <w:rFonts w:ascii="Times New Roman" w:hAnsi="Times New Roman"/>
                <w:sz w:val="18"/>
                <w:szCs w:val="18"/>
              </w:rPr>
            </w:pPr>
            <w:r>
              <w:rPr>
                <w:rFonts w:ascii="Arial" w:eastAsia="宋体" w:hAnsi="Arial" w:cs="Arial"/>
                <w:b/>
                <w:bCs/>
                <w:color w:val="003D72"/>
                <w:sz w:val="18"/>
                <w:szCs w:val="18"/>
              </w:rPr>
              <w:t>GAAP</w:t>
            </w:r>
          </w:p>
        </w:tc>
        <w:tc>
          <w:tcPr>
            <w:tcW w:w="0" w:type="auto"/>
            <w:shd w:val="clear" w:color="auto" w:fill="auto"/>
            <w:tcMar>
              <w:top w:w="40" w:type="dxa"/>
              <w:left w:w="40" w:type="dxa"/>
              <w:bottom w:w="40" w:type="dxa"/>
              <w:right w:w="40" w:type="dxa"/>
            </w:tcMar>
            <w:vAlign w:val="bottom"/>
          </w:tcPr>
          <w:p w14:paraId="4ACE20B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AEEF"/>
            </w:tcBorders>
            <w:shd w:val="clear" w:color="auto" w:fill="auto"/>
            <w:tcMar>
              <w:top w:w="40" w:type="dxa"/>
              <w:left w:w="40" w:type="dxa"/>
              <w:bottom w:w="40" w:type="dxa"/>
              <w:right w:w="40" w:type="dxa"/>
            </w:tcMar>
            <w:vAlign w:val="bottom"/>
          </w:tcPr>
          <w:p w14:paraId="4ACE20B1"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non-GAAP</w:t>
            </w:r>
            <w:r>
              <w:rPr>
                <w:rFonts w:ascii="Arial" w:eastAsia="宋体" w:hAnsi="Arial" w:cs="Arial"/>
                <w:b/>
                <w:bCs/>
                <w:color w:val="0071C5"/>
                <w:sz w:val="12"/>
                <w:szCs w:val="12"/>
              </w:rPr>
              <w:t>1</w:t>
            </w:r>
          </w:p>
        </w:tc>
        <w:tc>
          <w:tcPr>
            <w:tcW w:w="0" w:type="auto"/>
            <w:shd w:val="clear" w:color="auto" w:fill="auto"/>
            <w:tcMar>
              <w:top w:w="40" w:type="dxa"/>
              <w:left w:w="40" w:type="dxa"/>
              <w:bottom w:w="40" w:type="dxa"/>
              <w:right w:w="40" w:type="dxa"/>
            </w:tcMar>
            <w:vAlign w:val="bottom"/>
          </w:tcPr>
          <w:p w14:paraId="4ACE20B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C1C1C1"/>
            </w:tcBorders>
            <w:shd w:val="clear" w:color="auto" w:fill="auto"/>
            <w:tcMar>
              <w:top w:w="40" w:type="dxa"/>
              <w:left w:w="40" w:type="dxa"/>
              <w:bottom w:w="40" w:type="dxa"/>
              <w:right w:w="40" w:type="dxa"/>
            </w:tcMar>
            <w:vAlign w:val="bottom"/>
          </w:tcPr>
          <w:p w14:paraId="4ACE20B3" w14:textId="77777777" w:rsidR="006F587A" w:rsidRDefault="007B2B61">
            <w:pPr>
              <w:textAlignment w:val="bottom"/>
              <w:rPr>
                <w:rFonts w:ascii="Times New Roman" w:hAnsi="Times New Roman"/>
                <w:sz w:val="18"/>
                <w:szCs w:val="18"/>
              </w:rPr>
            </w:pPr>
            <w:r>
              <w:rPr>
                <w:rFonts w:ascii="Arial" w:eastAsia="宋体" w:hAnsi="Arial" w:cs="Arial"/>
                <w:b/>
                <w:bCs/>
                <w:color w:val="003D72"/>
                <w:sz w:val="18"/>
                <w:szCs w:val="18"/>
              </w:rPr>
              <w:t>GAAP</w:t>
            </w:r>
          </w:p>
        </w:tc>
        <w:tc>
          <w:tcPr>
            <w:tcW w:w="0" w:type="auto"/>
            <w:shd w:val="clear" w:color="auto" w:fill="auto"/>
            <w:tcMar>
              <w:top w:w="40" w:type="dxa"/>
              <w:left w:w="40" w:type="dxa"/>
              <w:bottom w:w="40" w:type="dxa"/>
              <w:right w:w="40" w:type="dxa"/>
            </w:tcMar>
            <w:vAlign w:val="bottom"/>
          </w:tcPr>
          <w:p w14:paraId="4ACE20B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C1C1C1"/>
            </w:tcBorders>
            <w:shd w:val="clear" w:color="auto" w:fill="auto"/>
            <w:tcMar>
              <w:top w:w="40" w:type="dxa"/>
              <w:left w:w="40" w:type="dxa"/>
              <w:bottom w:w="40" w:type="dxa"/>
              <w:right w:w="40" w:type="dxa"/>
            </w:tcMar>
            <w:vAlign w:val="bottom"/>
          </w:tcPr>
          <w:p w14:paraId="4ACE20B5"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non-GAAP</w:t>
            </w:r>
            <w:r>
              <w:rPr>
                <w:rFonts w:ascii="Arial" w:eastAsia="宋体" w:hAnsi="Arial" w:cs="Arial"/>
                <w:b/>
                <w:bCs/>
                <w:color w:val="0071C5"/>
                <w:sz w:val="12"/>
                <w:szCs w:val="12"/>
              </w:rPr>
              <w:t>1</w:t>
            </w:r>
          </w:p>
        </w:tc>
      </w:tr>
      <w:tr w:rsidR="006F587A" w14:paraId="4ACE20C4" w14:textId="77777777">
        <w:tc>
          <w:tcPr>
            <w:tcW w:w="0" w:type="auto"/>
            <w:gridSpan w:val="2"/>
            <w:shd w:val="clear" w:color="auto" w:fill="auto"/>
            <w:tcMar>
              <w:top w:w="40" w:type="dxa"/>
              <w:left w:w="40" w:type="dxa"/>
              <w:bottom w:w="40" w:type="dxa"/>
              <w:right w:w="40" w:type="dxa"/>
            </w:tcMar>
          </w:tcPr>
          <w:p w14:paraId="4ACE20B7" w14:textId="77777777" w:rsidR="006F587A" w:rsidRDefault="007B2B61">
            <w:pPr>
              <w:textAlignment w:val="top"/>
              <w:rPr>
                <w:rFonts w:ascii="Times New Roman" w:hAnsi="Times New Roman"/>
                <w:sz w:val="16"/>
                <w:szCs w:val="16"/>
              </w:rPr>
            </w:pPr>
            <w:r>
              <w:rPr>
                <w:rFonts w:ascii="Arial" w:eastAsia="宋体" w:hAnsi="Arial" w:cs="Arial"/>
                <w:color w:val="333333"/>
                <w:sz w:val="16"/>
                <w:szCs w:val="16"/>
              </w:rPr>
              <w:t>Revenue up 2% from 2018; Data-centric up 3% and PC-centric flat</w:t>
            </w:r>
          </w:p>
        </w:tc>
        <w:tc>
          <w:tcPr>
            <w:tcW w:w="0" w:type="auto"/>
            <w:shd w:val="clear" w:color="auto" w:fill="auto"/>
            <w:tcMar>
              <w:top w:w="40" w:type="dxa"/>
              <w:left w:w="40" w:type="dxa"/>
              <w:bottom w:w="40" w:type="dxa"/>
              <w:right w:w="40" w:type="dxa"/>
            </w:tcMar>
            <w:vAlign w:val="bottom"/>
          </w:tcPr>
          <w:p w14:paraId="4ACE20B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tcPr>
          <w:p w14:paraId="4ACE20B9" w14:textId="77777777" w:rsidR="006F587A" w:rsidRDefault="007B2B61">
            <w:pPr>
              <w:textAlignment w:val="top"/>
              <w:rPr>
                <w:rFonts w:ascii="Times New Roman" w:hAnsi="Times New Roman"/>
                <w:sz w:val="16"/>
                <w:szCs w:val="16"/>
              </w:rPr>
            </w:pPr>
            <w:r>
              <w:rPr>
                <w:rFonts w:ascii="Arial" w:eastAsia="宋体" w:hAnsi="Arial" w:cs="Arial"/>
                <w:color w:val="333333"/>
                <w:sz w:val="16"/>
                <w:szCs w:val="16"/>
              </w:rPr>
              <w:t xml:space="preserve">Operating income down $1.3B or 5% from 2018; 2019 </w:t>
            </w:r>
            <w:r>
              <w:rPr>
                <w:rFonts w:ascii="Arial" w:eastAsia="宋体" w:hAnsi="Arial" w:cs="Arial"/>
                <w:color w:val="333333"/>
                <w:sz w:val="16"/>
                <w:szCs w:val="16"/>
              </w:rPr>
              <w:t>operating margin at 31%</w:t>
            </w:r>
          </w:p>
        </w:tc>
        <w:tc>
          <w:tcPr>
            <w:tcW w:w="0" w:type="auto"/>
            <w:shd w:val="clear" w:color="auto" w:fill="auto"/>
            <w:tcMar>
              <w:top w:w="40" w:type="dxa"/>
              <w:left w:w="40" w:type="dxa"/>
              <w:bottom w:w="40" w:type="dxa"/>
              <w:right w:w="40" w:type="dxa"/>
            </w:tcMar>
            <w:vAlign w:val="bottom"/>
          </w:tcPr>
          <w:p w14:paraId="4ACE20B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tcPr>
          <w:p w14:paraId="4ACE20BB" w14:textId="77777777" w:rsidR="006F587A" w:rsidRDefault="007B2B61">
            <w:pPr>
              <w:textAlignment w:val="top"/>
              <w:rPr>
                <w:rFonts w:ascii="Times New Roman" w:hAnsi="Times New Roman"/>
                <w:sz w:val="16"/>
                <w:szCs w:val="16"/>
              </w:rPr>
            </w:pPr>
            <w:r>
              <w:rPr>
                <w:rFonts w:ascii="Arial" w:eastAsia="宋体" w:hAnsi="Arial" w:cs="Arial"/>
                <w:color w:val="333333"/>
                <w:sz w:val="16"/>
                <w:szCs w:val="16"/>
              </w:rPr>
              <w:t>Operating income down $797M or 3% from 2018; 2019 operating margin at 33%</w:t>
            </w:r>
          </w:p>
        </w:tc>
        <w:tc>
          <w:tcPr>
            <w:tcW w:w="0" w:type="auto"/>
            <w:shd w:val="clear" w:color="auto" w:fill="auto"/>
            <w:tcMar>
              <w:top w:w="40" w:type="dxa"/>
              <w:left w:w="40" w:type="dxa"/>
              <w:bottom w:w="40" w:type="dxa"/>
              <w:right w:w="40" w:type="dxa"/>
            </w:tcMar>
            <w:vAlign w:val="bottom"/>
          </w:tcPr>
          <w:p w14:paraId="4ACE20B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20BD" w14:textId="77777777" w:rsidR="006F587A" w:rsidRDefault="007B2B61">
            <w:pPr>
              <w:textAlignment w:val="top"/>
              <w:rPr>
                <w:rFonts w:ascii="Times New Roman" w:hAnsi="Times New Roman"/>
                <w:sz w:val="16"/>
                <w:szCs w:val="16"/>
              </w:rPr>
            </w:pPr>
            <w:r>
              <w:rPr>
                <w:rFonts w:ascii="Arial" w:eastAsia="宋体" w:hAnsi="Arial" w:cs="Arial"/>
                <w:color w:val="333333"/>
                <w:sz w:val="16"/>
                <w:szCs w:val="16"/>
              </w:rPr>
              <w:t>Diluted EPS up $0.23 or 5% from 2018</w:t>
            </w:r>
          </w:p>
        </w:tc>
        <w:tc>
          <w:tcPr>
            <w:tcW w:w="0" w:type="auto"/>
            <w:shd w:val="clear" w:color="auto" w:fill="auto"/>
            <w:tcMar>
              <w:top w:w="40" w:type="dxa"/>
              <w:left w:w="40" w:type="dxa"/>
              <w:bottom w:w="40" w:type="dxa"/>
              <w:right w:w="40" w:type="dxa"/>
            </w:tcMar>
            <w:vAlign w:val="bottom"/>
          </w:tcPr>
          <w:p w14:paraId="4ACE20B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20BF" w14:textId="77777777" w:rsidR="006F587A" w:rsidRDefault="007B2B61">
            <w:pPr>
              <w:textAlignment w:val="top"/>
              <w:rPr>
                <w:rFonts w:ascii="Times New Roman" w:hAnsi="Times New Roman"/>
                <w:sz w:val="16"/>
                <w:szCs w:val="16"/>
              </w:rPr>
            </w:pPr>
            <w:r>
              <w:rPr>
                <w:rFonts w:ascii="Arial" w:eastAsia="宋体" w:hAnsi="Arial" w:cs="Arial"/>
                <w:color w:val="333333"/>
                <w:sz w:val="16"/>
                <w:szCs w:val="16"/>
              </w:rPr>
              <w:t>Diluted EPS up $0.29 or 6% from 2018</w:t>
            </w:r>
          </w:p>
        </w:tc>
        <w:tc>
          <w:tcPr>
            <w:tcW w:w="0" w:type="auto"/>
            <w:shd w:val="clear" w:color="auto" w:fill="auto"/>
            <w:tcMar>
              <w:top w:w="40" w:type="dxa"/>
              <w:left w:w="40" w:type="dxa"/>
              <w:bottom w:w="40" w:type="dxa"/>
              <w:right w:w="40" w:type="dxa"/>
            </w:tcMar>
            <w:vAlign w:val="bottom"/>
          </w:tcPr>
          <w:p w14:paraId="4ACE20C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20C1" w14:textId="77777777" w:rsidR="006F587A" w:rsidRDefault="007B2B61">
            <w:pPr>
              <w:textAlignment w:val="top"/>
              <w:rPr>
                <w:rFonts w:ascii="Times New Roman" w:hAnsi="Times New Roman"/>
                <w:sz w:val="16"/>
                <w:szCs w:val="16"/>
              </w:rPr>
            </w:pPr>
            <w:r>
              <w:rPr>
                <w:rFonts w:ascii="Arial" w:eastAsia="宋体" w:hAnsi="Arial" w:cs="Arial"/>
                <w:color w:val="333333"/>
                <w:sz w:val="16"/>
                <w:szCs w:val="16"/>
              </w:rPr>
              <w:t>Operating cash flow up $3.7B or 13%; operating cash flow to net income at 15</w:t>
            </w:r>
            <w:r>
              <w:rPr>
                <w:rFonts w:ascii="Arial" w:eastAsia="宋体" w:hAnsi="Arial" w:cs="Arial"/>
                <w:color w:val="333333"/>
                <w:sz w:val="16"/>
                <w:szCs w:val="16"/>
              </w:rPr>
              <w:t>7%</w:t>
            </w:r>
          </w:p>
        </w:tc>
        <w:tc>
          <w:tcPr>
            <w:tcW w:w="0" w:type="auto"/>
            <w:shd w:val="clear" w:color="auto" w:fill="auto"/>
            <w:tcMar>
              <w:top w:w="40" w:type="dxa"/>
              <w:left w:w="40" w:type="dxa"/>
              <w:bottom w:w="40" w:type="dxa"/>
              <w:right w:w="40" w:type="dxa"/>
            </w:tcMar>
            <w:vAlign w:val="bottom"/>
          </w:tcPr>
          <w:p w14:paraId="4ACE20C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20C3" w14:textId="77777777" w:rsidR="006F587A" w:rsidRDefault="007B2B61">
            <w:pPr>
              <w:textAlignment w:val="top"/>
              <w:rPr>
                <w:rFonts w:ascii="Times New Roman" w:hAnsi="Times New Roman"/>
                <w:sz w:val="16"/>
                <w:szCs w:val="16"/>
              </w:rPr>
            </w:pPr>
            <w:r>
              <w:rPr>
                <w:rFonts w:ascii="Arial" w:eastAsia="宋体" w:hAnsi="Arial" w:cs="Arial"/>
                <w:color w:val="333333"/>
                <w:sz w:val="16"/>
                <w:szCs w:val="16"/>
              </w:rPr>
              <w:t>Free cash flow up $2.7B or 19%; free cash flow to non-GAAP net income at 78%</w:t>
            </w:r>
          </w:p>
        </w:tc>
      </w:tr>
      <w:tr w:rsidR="006F587A" w14:paraId="4ACE20D2" w14:textId="77777777">
        <w:tc>
          <w:tcPr>
            <w:tcW w:w="0" w:type="auto"/>
            <w:gridSpan w:val="2"/>
            <w:shd w:val="clear" w:color="auto" w:fill="auto"/>
            <w:tcMar>
              <w:top w:w="40" w:type="dxa"/>
              <w:left w:w="40" w:type="dxa"/>
              <w:bottom w:w="40" w:type="dxa"/>
              <w:right w:w="40" w:type="dxa"/>
            </w:tcMar>
            <w:vAlign w:val="bottom"/>
          </w:tcPr>
          <w:p w14:paraId="4ACE20C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0C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0C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0C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0C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0C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0C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0C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0C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0C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0C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0D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0D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20DA" w14:textId="77777777">
        <w:tc>
          <w:tcPr>
            <w:tcW w:w="0" w:type="auto"/>
            <w:gridSpan w:val="2"/>
            <w:shd w:val="clear" w:color="auto" w:fill="auto"/>
            <w:tcMar>
              <w:top w:w="40" w:type="dxa"/>
              <w:left w:w="40" w:type="dxa"/>
              <w:bottom w:w="40" w:type="dxa"/>
              <w:right w:w="40" w:type="dxa"/>
            </w:tcMar>
          </w:tcPr>
          <w:p w14:paraId="4ACE20D3" w14:textId="77777777" w:rsidR="006F587A" w:rsidRDefault="007B2B61">
            <w:pPr>
              <w:textAlignment w:val="top"/>
              <w:rPr>
                <w:rFonts w:ascii="Times New Roman" w:hAnsi="Times New Roman"/>
                <w:sz w:val="16"/>
                <w:szCs w:val="16"/>
              </w:rPr>
            </w:pPr>
            <w:r>
              <w:rPr>
                <w:rFonts w:ascii="Arial" w:eastAsia="宋体" w:hAnsi="Arial" w:cs="Arial"/>
                <w:color w:val="333333"/>
                <w:sz w:val="16"/>
                <w:szCs w:val="16"/>
              </w:rPr>
              <w:t>High-performance product sales in the second half of 2019, partially offset by NAND pricing pressure and decrease in platform</w:t>
            </w:r>
            <w:r>
              <w:rPr>
                <w:rFonts w:ascii="Arial" w:eastAsia="宋体" w:hAnsi="Arial" w:cs="Arial"/>
                <w:color w:val="333333"/>
                <w:sz w:val="10"/>
                <w:szCs w:val="10"/>
              </w:rPr>
              <w:t>2</w:t>
            </w:r>
            <w:r>
              <w:rPr>
                <w:rFonts w:ascii="Arial" w:eastAsia="宋体" w:hAnsi="Arial" w:cs="Arial"/>
                <w:color w:val="333333"/>
                <w:sz w:val="16"/>
                <w:szCs w:val="16"/>
              </w:rPr>
              <w:t> unit sales</w:t>
            </w:r>
          </w:p>
        </w:tc>
        <w:tc>
          <w:tcPr>
            <w:tcW w:w="0" w:type="auto"/>
            <w:shd w:val="clear" w:color="auto" w:fill="auto"/>
            <w:tcMar>
              <w:top w:w="40" w:type="dxa"/>
              <w:left w:w="40" w:type="dxa"/>
              <w:bottom w:w="40" w:type="dxa"/>
              <w:right w:w="40" w:type="dxa"/>
            </w:tcMar>
            <w:vAlign w:val="bottom"/>
          </w:tcPr>
          <w:p w14:paraId="4ACE20D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tcPr>
          <w:p w14:paraId="4ACE20D5" w14:textId="77777777" w:rsidR="006F587A" w:rsidRDefault="007B2B61">
            <w:pPr>
              <w:textAlignment w:val="top"/>
              <w:rPr>
                <w:rFonts w:ascii="Times New Roman" w:hAnsi="Times New Roman"/>
                <w:sz w:val="16"/>
                <w:szCs w:val="16"/>
              </w:rPr>
            </w:pPr>
            <w:r>
              <w:rPr>
                <w:rFonts w:ascii="Arial" w:eastAsia="宋体" w:hAnsi="Arial" w:cs="Arial"/>
                <w:color w:val="333333"/>
                <w:sz w:val="16"/>
                <w:szCs w:val="16"/>
              </w:rPr>
              <w:t>Lower gross margin from decrease in NAND market pricing and lower platform unit sales, partially offset by platform ASP strength</w:t>
            </w:r>
          </w:p>
        </w:tc>
        <w:tc>
          <w:tcPr>
            <w:tcW w:w="0" w:type="auto"/>
            <w:shd w:val="clear" w:color="auto" w:fill="auto"/>
            <w:tcMar>
              <w:top w:w="40" w:type="dxa"/>
              <w:left w:w="40" w:type="dxa"/>
              <w:bottom w:w="40" w:type="dxa"/>
              <w:right w:w="40" w:type="dxa"/>
            </w:tcMar>
            <w:vAlign w:val="bottom"/>
          </w:tcPr>
          <w:p w14:paraId="4ACE20D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tcPr>
          <w:p w14:paraId="4ACE20D7" w14:textId="77777777" w:rsidR="006F587A" w:rsidRDefault="007B2B61">
            <w:pPr>
              <w:textAlignment w:val="top"/>
              <w:rPr>
                <w:rFonts w:ascii="Times New Roman" w:hAnsi="Times New Roman"/>
                <w:sz w:val="16"/>
                <w:szCs w:val="16"/>
              </w:rPr>
            </w:pPr>
            <w:r>
              <w:rPr>
                <w:rFonts w:ascii="Arial" w:eastAsia="宋体" w:hAnsi="Arial" w:cs="Arial"/>
                <w:color w:val="333333"/>
                <w:sz w:val="16"/>
                <w:szCs w:val="16"/>
              </w:rPr>
              <w:t xml:space="preserve">Lower shares outstanding and platform ASP strength, partially offset by a decrease in platform unit sales and lower NAND </w:t>
            </w:r>
            <w:r>
              <w:rPr>
                <w:rFonts w:ascii="Arial" w:eastAsia="宋体" w:hAnsi="Arial" w:cs="Arial"/>
                <w:color w:val="333333"/>
                <w:sz w:val="16"/>
                <w:szCs w:val="16"/>
              </w:rPr>
              <w:t>market pricing</w:t>
            </w:r>
          </w:p>
        </w:tc>
        <w:tc>
          <w:tcPr>
            <w:tcW w:w="0" w:type="auto"/>
            <w:shd w:val="clear" w:color="auto" w:fill="auto"/>
            <w:tcMar>
              <w:top w:w="40" w:type="dxa"/>
              <w:left w:w="40" w:type="dxa"/>
              <w:bottom w:w="40" w:type="dxa"/>
              <w:right w:w="40" w:type="dxa"/>
            </w:tcMar>
            <w:vAlign w:val="bottom"/>
          </w:tcPr>
          <w:p w14:paraId="4ACE20D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tcPr>
          <w:p w14:paraId="4ACE20D9" w14:textId="77777777" w:rsidR="006F587A" w:rsidRDefault="007B2B61">
            <w:pPr>
              <w:textAlignment w:val="top"/>
              <w:rPr>
                <w:rFonts w:ascii="Times New Roman" w:hAnsi="Times New Roman"/>
                <w:sz w:val="16"/>
                <w:szCs w:val="16"/>
              </w:rPr>
            </w:pPr>
            <w:r>
              <w:rPr>
                <w:rFonts w:ascii="Arial" w:eastAsia="宋体" w:hAnsi="Arial" w:cs="Arial"/>
                <w:color w:val="333333"/>
                <w:sz w:val="16"/>
                <w:szCs w:val="16"/>
              </w:rPr>
              <w:t>Working capital changes driven by tax and other assets and liabilities, partially offset by lower memory prepayments and inventory build</w:t>
            </w:r>
          </w:p>
        </w:tc>
      </w:tr>
    </w:tbl>
    <w:p w14:paraId="4ACE20DB" w14:textId="77777777" w:rsidR="006F587A" w:rsidRDefault="006F587A">
      <w:pPr>
        <w:rPr>
          <w:vanish/>
        </w:rPr>
      </w:pPr>
    </w:p>
    <w:tbl>
      <w:tblPr>
        <w:tblW w:w="14580" w:type="dxa"/>
        <w:tblCellMar>
          <w:left w:w="0" w:type="dxa"/>
          <w:right w:w="0" w:type="dxa"/>
        </w:tblCellMar>
        <w:tblLook w:val="04A0" w:firstRow="1" w:lastRow="0" w:firstColumn="1" w:lastColumn="0" w:noHBand="0" w:noVBand="1"/>
      </w:tblPr>
      <w:tblGrid>
        <w:gridCol w:w="2061"/>
        <w:gridCol w:w="1964"/>
        <w:gridCol w:w="130"/>
        <w:gridCol w:w="1856"/>
        <w:gridCol w:w="1738"/>
        <w:gridCol w:w="130"/>
        <w:gridCol w:w="1765"/>
        <w:gridCol w:w="1676"/>
        <w:gridCol w:w="130"/>
        <w:gridCol w:w="1624"/>
        <w:gridCol w:w="1506"/>
      </w:tblGrid>
      <w:tr w:rsidR="006F587A" w14:paraId="4ACE20DD" w14:textId="77777777">
        <w:tc>
          <w:tcPr>
            <w:tcW w:w="0" w:type="auto"/>
            <w:gridSpan w:val="11"/>
            <w:shd w:val="clear" w:color="auto" w:fill="auto"/>
            <w:vAlign w:val="center"/>
          </w:tcPr>
          <w:p w14:paraId="4ACE20DC" w14:textId="77777777" w:rsidR="006F587A" w:rsidRDefault="006F587A">
            <w:pPr>
              <w:rPr>
                <w:rFonts w:ascii="Times New Roman" w:hAnsi="Times New Roman"/>
                <w:sz w:val="20"/>
                <w:szCs w:val="20"/>
              </w:rPr>
            </w:pPr>
          </w:p>
        </w:tc>
      </w:tr>
      <w:tr w:rsidR="006F587A" w14:paraId="4ACE20E9" w14:textId="77777777">
        <w:tc>
          <w:tcPr>
            <w:tcW w:w="1780" w:type="dxa"/>
            <w:shd w:val="clear" w:color="auto" w:fill="auto"/>
            <w:vAlign w:val="center"/>
          </w:tcPr>
          <w:p w14:paraId="4ACE20DE" w14:textId="77777777" w:rsidR="006F587A" w:rsidRDefault="006F587A">
            <w:pPr>
              <w:rPr>
                <w:rFonts w:ascii="Times New Roman" w:hAnsi="Times New Roman"/>
                <w:sz w:val="20"/>
                <w:szCs w:val="20"/>
              </w:rPr>
            </w:pPr>
          </w:p>
        </w:tc>
        <w:tc>
          <w:tcPr>
            <w:tcW w:w="1800" w:type="dxa"/>
            <w:shd w:val="clear" w:color="auto" w:fill="auto"/>
            <w:vAlign w:val="center"/>
          </w:tcPr>
          <w:p w14:paraId="4ACE20DF" w14:textId="77777777" w:rsidR="006F587A" w:rsidRDefault="006F587A">
            <w:pPr>
              <w:rPr>
                <w:rFonts w:ascii="Times New Roman" w:hAnsi="Times New Roman"/>
                <w:sz w:val="20"/>
                <w:szCs w:val="20"/>
              </w:rPr>
            </w:pPr>
          </w:p>
        </w:tc>
        <w:tc>
          <w:tcPr>
            <w:tcW w:w="100" w:type="dxa"/>
            <w:shd w:val="clear" w:color="auto" w:fill="auto"/>
            <w:vAlign w:val="center"/>
          </w:tcPr>
          <w:p w14:paraId="4ACE20E0" w14:textId="77777777" w:rsidR="006F587A" w:rsidRDefault="006F587A">
            <w:pPr>
              <w:rPr>
                <w:rFonts w:ascii="Times New Roman" w:hAnsi="Times New Roman"/>
                <w:sz w:val="20"/>
                <w:szCs w:val="20"/>
              </w:rPr>
            </w:pPr>
          </w:p>
        </w:tc>
        <w:tc>
          <w:tcPr>
            <w:tcW w:w="1780" w:type="dxa"/>
            <w:shd w:val="clear" w:color="auto" w:fill="auto"/>
            <w:vAlign w:val="center"/>
          </w:tcPr>
          <w:p w14:paraId="4ACE20E1" w14:textId="77777777" w:rsidR="006F587A" w:rsidRDefault="006F587A">
            <w:pPr>
              <w:rPr>
                <w:rFonts w:ascii="Times New Roman" w:hAnsi="Times New Roman"/>
                <w:sz w:val="20"/>
                <w:szCs w:val="20"/>
              </w:rPr>
            </w:pPr>
          </w:p>
        </w:tc>
        <w:tc>
          <w:tcPr>
            <w:tcW w:w="1780" w:type="dxa"/>
            <w:shd w:val="clear" w:color="auto" w:fill="auto"/>
            <w:vAlign w:val="center"/>
          </w:tcPr>
          <w:p w14:paraId="4ACE20E2" w14:textId="77777777" w:rsidR="006F587A" w:rsidRDefault="006F587A">
            <w:pPr>
              <w:rPr>
                <w:rFonts w:ascii="Times New Roman" w:hAnsi="Times New Roman"/>
                <w:sz w:val="20"/>
                <w:szCs w:val="20"/>
              </w:rPr>
            </w:pPr>
          </w:p>
        </w:tc>
        <w:tc>
          <w:tcPr>
            <w:tcW w:w="100" w:type="dxa"/>
            <w:shd w:val="clear" w:color="auto" w:fill="auto"/>
            <w:vAlign w:val="center"/>
          </w:tcPr>
          <w:p w14:paraId="4ACE20E3" w14:textId="77777777" w:rsidR="006F587A" w:rsidRDefault="006F587A">
            <w:pPr>
              <w:rPr>
                <w:rFonts w:ascii="Times New Roman" w:hAnsi="Times New Roman"/>
                <w:sz w:val="20"/>
                <w:szCs w:val="20"/>
              </w:rPr>
            </w:pPr>
          </w:p>
        </w:tc>
        <w:tc>
          <w:tcPr>
            <w:tcW w:w="1780" w:type="dxa"/>
            <w:shd w:val="clear" w:color="auto" w:fill="auto"/>
            <w:vAlign w:val="center"/>
          </w:tcPr>
          <w:p w14:paraId="4ACE20E4" w14:textId="77777777" w:rsidR="006F587A" w:rsidRDefault="006F587A">
            <w:pPr>
              <w:rPr>
                <w:rFonts w:ascii="Times New Roman" w:hAnsi="Times New Roman"/>
                <w:sz w:val="20"/>
                <w:szCs w:val="20"/>
              </w:rPr>
            </w:pPr>
          </w:p>
        </w:tc>
        <w:tc>
          <w:tcPr>
            <w:tcW w:w="1780" w:type="dxa"/>
            <w:shd w:val="clear" w:color="auto" w:fill="auto"/>
            <w:vAlign w:val="center"/>
          </w:tcPr>
          <w:p w14:paraId="4ACE20E5" w14:textId="77777777" w:rsidR="006F587A" w:rsidRDefault="006F587A">
            <w:pPr>
              <w:rPr>
                <w:rFonts w:ascii="Times New Roman" w:hAnsi="Times New Roman"/>
                <w:sz w:val="20"/>
                <w:szCs w:val="20"/>
              </w:rPr>
            </w:pPr>
          </w:p>
        </w:tc>
        <w:tc>
          <w:tcPr>
            <w:tcW w:w="100" w:type="dxa"/>
            <w:shd w:val="clear" w:color="auto" w:fill="auto"/>
            <w:vAlign w:val="center"/>
          </w:tcPr>
          <w:p w14:paraId="4ACE20E6" w14:textId="77777777" w:rsidR="006F587A" w:rsidRDefault="006F587A">
            <w:pPr>
              <w:rPr>
                <w:rFonts w:ascii="Times New Roman" w:hAnsi="Times New Roman"/>
                <w:sz w:val="20"/>
                <w:szCs w:val="20"/>
              </w:rPr>
            </w:pPr>
          </w:p>
        </w:tc>
        <w:tc>
          <w:tcPr>
            <w:tcW w:w="1780" w:type="dxa"/>
            <w:shd w:val="clear" w:color="auto" w:fill="auto"/>
            <w:vAlign w:val="center"/>
          </w:tcPr>
          <w:p w14:paraId="4ACE20E7" w14:textId="77777777" w:rsidR="006F587A" w:rsidRDefault="006F587A">
            <w:pPr>
              <w:rPr>
                <w:rFonts w:ascii="Times New Roman" w:hAnsi="Times New Roman"/>
                <w:sz w:val="20"/>
                <w:szCs w:val="20"/>
              </w:rPr>
            </w:pPr>
          </w:p>
        </w:tc>
        <w:tc>
          <w:tcPr>
            <w:tcW w:w="1780" w:type="dxa"/>
            <w:shd w:val="clear" w:color="auto" w:fill="auto"/>
            <w:vAlign w:val="center"/>
          </w:tcPr>
          <w:p w14:paraId="4ACE20E8" w14:textId="77777777" w:rsidR="006F587A" w:rsidRDefault="006F587A">
            <w:pPr>
              <w:rPr>
                <w:rFonts w:ascii="Times New Roman" w:hAnsi="Times New Roman"/>
                <w:sz w:val="20"/>
                <w:szCs w:val="20"/>
              </w:rPr>
            </w:pPr>
          </w:p>
        </w:tc>
      </w:tr>
      <w:tr w:rsidR="006F587A" w14:paraId="4ACE20F1" w14:textId="77777777">
        <w:tc>
          <w:tcPr>
            <w:tcW w:w="0" w:type="auto"/>
            <w:gridSpan w:val="2"/>
            <w:shd w:val="clear" w:color="auto" w:fill="003D72"/>
            <w:tcMar>
              <w:top w:w="40" w:type="dxa"/>
              <w:left w:w="40" w:type="dxa"/>
              <w:bottom w:w="40" w:type="dxa"/>
              <w:right w:w="40" w:type="dxa"/>
            </w:tcMar>
            <w:vAlign w:val="bottom"/>
          </w:tcPr>
          <w:p w14:paraId="4ACE20E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0E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0071C5"/>
            <w:tcMar>
              <w:top w:w="40" w:type="dxa"/>
              <w:left w:w="40" w:type="dxa"/>
              <w:bottom w:w="40" w:type="dxa"/>
              <w:right w:w="40" w:type="dxa"/>
            </w:tcMar>
            <w:vAlign w:val="bottom"/>
          </w:tcPr>
          <w:p w14:paraId="4ACE20E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0E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00AEEF"/>
            <w:tcMar>
              <w:top w:w="40" w:type="dxa"/>
              <w:left w:w="40" w:type="dxa"/>
              <w:bottom w:w="40" w:type="dxa"/>
              <w:right w:w="40" w:type="dxa"/>
            </w:tcMar>
            <w:vAlign w:val="bottom"/>
          </w:tcPr>
          <w:p w14:paraId="4ACE20E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0E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CACAC"/>
            <w:tcMar>
              <w:top w:w="40" w:type="dxa"/>
              <w:left w:w="40" w:type="dxa"/>
              <w:bottom w:w="40" w:type="dxa"/>
              <w:right w:w="40" w:type="dxa"/>
            </w:tcMar>
            <w:vAlign w:val="bottom"/>
          </w:tcPr>
          <w:p w14:paraId="4ACE20F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20F9" w14:textId="77777777">
        <w:tc>
          <w:tcPr>
            <w:tcW w:w="0" w:type="auto"/>
            <w:gridSpan w:val="2"/>
            <w:tcBorders>
              <w:bottom w:val="single" w:sz="8" w:space="0" w:color="003C71"/>
            </w:tcBorders>
            <w:shd w:val="clear" w:color="auto" w:fill="auto"/>
            <w:tcMar>
              <w:top w:w="40" w:type="dxa"/>
              <w:left w:w="40" w:type="dxa"/>
              <w:bottom w:w="40" w:type="dxa"/>
              <w:right w:w="40" w:type="dxa"/>
            </w:tcMar>
          </w:tcPr>
          <w:p w14:paraId="4ACE20F2" w14:textId="77777777" w:rsidR="006F587A" w:rsidRDefault="007B2B61">
            <w:pPr>
              <w:textAlignment w:val="top"/>
              <w:rPr>
                <w:rFonts w:ascii="Times New Roman" w:hAnsi="Times New Roman"/>
                <w:sz w:val="18"/>
                <w:szCs w:val="18"/>
              </w:rPr>
            </w:pPr>
            <w:r>
              <w:rPr>
                <w:rFonts w:ascii="Arial" w:eastAsia="宋体" w:hAnsi="Arial" w:cs="Arial"/>
                <w:b/>
                <w:bCs/>
                <w:color w:val="000000"/>
                <w:sz w:val="18"/>
                <w:szCs w:val="18"/>
              </w:rPr>
              <w:t>GOAL (2019 - 2021)</w:t>
            </w:r>
          </w:p>
        </w:tc>
        <w:tc>
          <w:tcPr>
            <w:tcW w:w="0" w:type="auto"/>
            <w:shd w:val="clear" w:color="auto" w:fill="auto"/>
            <w:tcMar>
              <w:top w:w="40" w:type="dxa"/>
              <w:left w:w="40" w:type="dxa"/>
              <w:bottom w:w="40" w:type="dxa"/>
              <w:right w:w="40" w:type="dxa"/>
            </w:tcMar>
            <w:vAlign w:val="bottom"/>
          </w:tcPr>
          <w:p w14:paraId="4ACE20F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71C5"/>
            </w:tcBorders>
            <w:shd w:val="clear" w:color="auto" w:fill="auto"/>
            <w:tcMar>
              <w:top w:w="40" w:type="dxa"/>
              <w:left w:w="40" w:type="dxa"/>
              <w:bottom w:w="40" w:type="dxa"/>
              <w:right w:w="40" w:type="dxa"/>
            </w:tcMar>
          </w:tcPr>
          <w:p w14:paraId="4ACE20F4" w14:textId="77777777" w:rsidR="006F587A" w:rsidRDefault="007B2B61">
            <w:pPr>
              <w:textAlignment w:val="top"/>
              <w:rPr>
                <w:rFonts w:ascii="Times New Roman" w:hAnsi="Times New Roman"/>
                <w:sz w:val="18"/>
                <w:szCs w:val="18"/>
              </w:rPr>
            </w:pPr>
            <w:r>
              <w:rPr>
                <w:rFonts w:ascii="Arial" w:eastAsia="宋体" w:hAnsi="Arial" w:cs="Arial"/>
                <w:b/>
                <w:bCs/>
                <w:color w:val="000000"/>
                <w:sz w:val="18"/>
                <w:szCs w:val="18"/>
              </w:rPr>
              <w:t>GOAL (2019 - 2021)</w:t>
            </w:r>
          </w:p>
        </w:tc>
        <w:tc>
          <w:tcPr>
            <w:tcW w:w="0" w:type="auto"/>
            <w:shd w:val="clear" w:color="auto" w:fill="auto"/>
            <w:tcMar>
              <w:top w:w="40" w:type="dxa"/>
              <w:left w:w="40" w:type="dxa"/>
              <w:bottom w:w="40" w:type="dxa"/>
              <w:right w:w="40" w:type="dxa"/>
            </w:tcMar>
            <w:vAlign w:val="bottom"/>
          </w:tcPr>
          <w:p w14:paraId="4ACE20F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AEEF"/>
            </w:tcBorders>
            <w:shd w:val="clear" w:color="auto" w:fill="auto"/>
            <w:tcMar>
              <w:top w:w="40" w:type="dxa"/>
              <w:left w:w="40" w:type="dxa"/>
              <w:bottom w:w="40" w:type="dxa"/>
              <w:right w:w="40" w:type="dxa"/>
            </w:tcMar>
          </w:tcPr>
          <w:p w14:paraId="4ACE20F6" w14:textId="77777777" w:rsidR="006F587A" w:rsidRDefault="007B2B61">
            <w:pPr>
              <w:textAlignment w:val="top"/>
              <w:rPr>
                <w:rFonts w:ascii="Times New Roman" w:hAnsi="Times New Roman"/>
                <w:sz w:val="18"/>
                <w:szCs w:val="18"/>
              </w:rPr>
            </w:pPr>
            <w:r>
              <w:rPr>
                <w:rFonts w:ascii="Arial" w:eastAsia="宋体" w:hAnsi="Arial" w:cs="Arial"/>
                <w:b/>
                <w:bCs/>
                <w:color w:val="000000"/>
                <w:sz w:val="18"/>
                <w:szCs w:val="18"/>
              </w:rPr>
              <w:t>GOAL (2019 - 2021)</w:t>
            </w:r>
          </w:p>
        </w:tc>
        <w:tc>
          <w:tcPr>
            <w:tcW w:w="0" w:type="auto"/>
            <w:shd w:val="clear" w:color="auto" w:fill="auto"/>
            <w:tcMar>
              <w:top w:w="40" w:type="dxa"/>
              <w:left w:w="40" w:type="dxa"/>
              <w:bottom w:w="40" w:type="dxa"/>
              <w:right w:w="40" w:type="dxa"/>
            </w:tcMar>
            <w:vAlign w:val="bottom"/>
          </w:tcPr>
          <w:p w14:paraId="4ACE20F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C1C1C1"/>
            </w:tcBorders>
            <w:shd w:val="clear" w:color="auto" w:fill="auto"/>
            <w:tcMar>
              <w:top w:w="40" w:type="dxa"/>
              <w:left w:w="40" w:type="dxa"/>
              <w:bottom w:w="40" w:type="dxa"/>
              <w:right w:w="40" w:type="dxa"/>
            </w:tcMar>
          </w:tcPr>
          <w:p w14:paraId="4ACE20F8" w14:textId="77777777" w:rsidR="006F587A" w:rsidRDefault="007B2B61">
            <w:pPr>
              <w:textAlignment w:val="top"/>
              <w:rPr>
                <w:rFonts w:ascii="Times New Roman" w:hAnsi="Times New Roman"/>
                <w:sz w:val="18"/>
                <w:szCs w:val="18"/>
              </w:rPr>
            </w:pPr>
            <w:r>
              <w:rPr>
                <w:rFonts w:ascii="Arial" w:eastAsia="宋体" w:hAnsi="Arial" w:cs="Arial"/>
                <w:b/>
                <w:bCs/>
                <w:color w:val="000000"/>
                <w:sz w:val="18"/>
                <w:szCs w:val="18"/>
              </w:rPr>
              <w:t xml:space="preserve">GOAL </w:t>
            </w:r>
            <w:r>
              <w:rPr>
                <w:rFonts w:ascii="Arial" w:eastAsia="宋体" w:hAnsi="Arial" w:cs="Arial"/>
                <w:b/>
                <w:bCs/>
                <w:color w:val="000000"/>
                <w:sz w:val="18"/>
                <w:szCs w:val="18"/>
              </w:rPr>
              <w:t>(2019 - 2021)</w:t>
            </w:r>
          </w:p>
        </w:tc>
      </w:tr>
      <w:tr w:rsidR="006F587A" w14:paraId="4ACE2102" w14:textId="77777777">
        <w:tc>
          <w:tcPr>
            <w:tcW w:w="0" w:type="auto"/>
            <w:gridSpan w:val="2"/>
            <w:vMerge w:val="restart"/>
            <w:shd w:val="clear" w:color="auto" w:fill="auto"/>
            <w:tcMar>
              <w:top w:w="40" w:type="dxa"/>
              <w:left w:w="40" w:type="dxa"/>
              <w:bottom w:w="40" w:type="dxa"/>
              <w:right w:w="40" w:type="dxa"/>
            </w:tcMar>
          </w:tcPr>
          <w:p w14:paraId="4ACE20FA" w14:textId="77777777" w:rsidR="006F587A" w:rsidRDefault="007B2B61">
            <w:pPr>
              <w:textAlignment w:val="top"/>
              <w:rPr>
                <w:rFonts w:ascii="Times New Roman" w:hAnsi="Times New Roman"/>
                <w:sz w:val="16"/>
                <w:szCs w:val="16"/>
              </w:rPr>
            </w:pPr>
            <w:r>
              <w:rPr>
                <w:rFonts w:ascii="Arial" w:eastAsia="宋体" w:hAnsi="Arial" w:cs="Arial"/>
                <w:color w:val="333333"/>
                <w:sz w:val="16"/>
                <w:szCs w:val="16"/>
              </w:rPr>
              <w:t xml:space="preserve">Low single-digit growth over the next three years to $76B-$78B; </w:t>
            </w:r>
          </w:p>
          <w:p w14:paraId="4ACE20FB" w14:textId="77777777" w:rsidR="006F587A" w:rsidRDefault="007B2B61">
            <w:pPr>
              <w:textAlignment w:val="top"/>
              <w:rPr>
                <w:rFonts w:ascii="Times New Roman" w:hAnsi="Times New Roman"/>
                <w:sz w:val="16"/>
                <w:szCs w:val="16"/>
              </w:rPr>
            </w:pPr>
            <w:r>
              <w:rPr>
                <w:rFonts w:ascii="Arial" w:eastAsia="宋体" w:hAnsi="Arial" w:cs="Arial"/>
                <w:color w:val="333333"/>
                <w:sz w:val="16"/>
                <w:szCs w:val="16"/>
              </w:rPr>
              <w:t>data-centric businesses high single- digit growth and PC-centric business approximately flat to slightly down</w:t>
            </w:r>
          </w:p>
        </w:tc>
        <w:tc>
          <w:tcPr>
            <w:tcW w:w="0" w:type="auto"/>
            <w:shd w:val="clear" w:color="auto" w:fill="auto"/>
            <w:tcMar>
              <w:top w:w="40" w:type="dxa"/>
              <w:left w:w="40" w:type="dxa"/>
              <w:bottom w:w="40" w:type="dxa"/>
              <w:right w:w="40" w:type="dxa"/>
            </w:tcMar>
            <w:vAlign w:val="bottom"/>
          </w:tcPr>
          <w:p w14:paraId="4ACE20F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vMerge w:val="restart"/>
            <w:shd w:val="clear" w:color="auto" w:fill="auto"/>
            <w:tcMar>
              <w:top w:w="40" w:type="dxa"/>
              <w:left w:w="40" w:type="dxa"/>
              <w:bottom w:w="40" w:type="dxa"/>
              <w:right w:w="40" w:type="dxa"/>
            </w:tcMar>
          </w:tcPr>
          <w:p w14:paraId="4ACE20FD" w14:textId="77777777" w:rsidR="006F587A" w:rsidRDefault="007B2B61">
            <w:pPr>
              <w:textAlignment w:val="top"/>
              <w:rPr>
                <w:rFonts w:ascii="Times New Roman" w:hAnsi="Times New Roman"/>
                <w:sz w:val="16"/>
                <w:szCs w:val="16"/>
              </w:rPr>
            </w:pPr>
            <w:r>
              <w:rPr>
                <w:rFonts w:ascii="Arial" w:eastAsia="宋体" w:hAnsi="Arial" w:cs="Arial"/>
                <w:color w:val="333333"/>
                <w:sz w:val="16"/>
                <w:szCs w:val="16"/>
              </w:rPr>
              <w:t xml:space="preserve">Keep non-GAAP operating margin roughly flat at </w:t>
            </w:r>
            <w:r>
              <w:rPr>
                <w:rFonts w:ascii="Arial" w:eastAsia="宋体" w:hAnsi="Arial" w:cs="Arial"/>
                <w:color w:val="333333"/>
                <w:sz w:val="16"/>
                <w:szCs w:val="16"/>
              </w:rPr>
              <w:t>approximately 32% over the next three years</w:t>
            </w:r>
          </w:p>
        </w:tc>
        <w:tc>
          <w:tcPr>
            <w:tcW w:w="0" w:type="auto"/>
            <w:shd w:val="clear" w:color="auto" w:fill="auto"/>
            <w:tcMar>
              <w:top w:w="40" w:type="dxa"/>
              <w:left w:w="40" w:type="dxa"/>
              <w:bottom w:w="40" w:type="dxa"/>
              <w:right w:w="40" w:type="dxa"/>
            </w:tcMar>
            <w:vAlign w:val="bottom"/>
          </w:tcPr>
          <w:p w14:paraId="4ACE20F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vMerge w:val="restart"/>
            <w:shd w:val="clear" w:color="auto" w:fill="auto"/>
            <w:tcMar>
              <w:top w:w="40" w:type="dxa"/>
              <w:left w:w="40" w:type="dxa"/>
              <w:bottom w:w="40" w:type="dxa"/>
              <w:right w:w="40" w:type="dxa"/>
            </w:tcMar>
          </w:tcPr>
          <w:p w14:paraId="4ACE20FF" w14:textId="77777777" w:rsidR="006F587A" w:rsidRDefault="007B2B61">
            <w:pPr>
              <w:textAlignment w:val="top"/>
              <w:rPr>
                <w:rFonts w:ascii="Times New Roman" w:hAnsi="Times New Roman"/>
                <w:sz w:val="16"/>
                <w:szCs w:val="16"/>
              </w:rPr>
            </w:pPr>
            <w:r>
              <w:rPr>
                <w:rFonts w:ascii="Arial" w:eastAsia="宋体" w:hAnsi="Arial" w:cs="Arial"/>
                <w:color w:val="333333"/>
                <w:sz w:val="16"/>
                <w:szCs w:val="16"/>
              </w:rPr>
              <w:t>Grow non-GAAP diluted EPS in line with revenue over the next three years</w:t>
            </w:r>
          </w:p>
        </w:tc>
        <w:tc>
          <w:tcPr>
            <w:tcW w:w="0" w:type="auto"/>
            <w:shd w:val="clear" w:color="auto" w:fill="auto"/>
            <w:tcMar>
              <w:top w:w="40" w:type="dxa"/>
              <w:left w:w="40" w:type="dxa"/>
              <w:bottom w:w="40" w:type="dxa"/>
              <w:right w:w="40" w:type="dxa"/>
            </w:tcMar>
            <w:vAlign w:val="bottom"/>
          </w:tcPr>
          <w:p w14:paraId="4ACE210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vMerge w:val="restart"/>
            <w:shd w:val="clear" w:color="auto" w:fill="auto"/>
            <w:tcMar>
              <w:top w:w="40" w:type="dxa"/>
              <w:left w:w="40" w:type="dxa"/>
              <w:bottom w:w="40" w:type="dxa"/>
              <w:right w:w="40" w:type="dxa"/>
            </w:tcMar>
          </w:tcPr>
          <w:p w14:paraId="4ACE2101" w14:textId="77777777" w:rsidR="006F587A" w:rsidRDefault="007B2B61">
            <w:pPr>
              <w:textAlignment w:val="top"/>
              <w:rPr>
                <w:rFonts w:ascii="Times New Roman" w:hAnsi="Times New Roman"/>
                <w:sz w:val="16"/>
                <w:szCs w:val="16"/>
              </w:rPr>
            </w:pPr>
            <w:r>
              <w:rPr>
                <w:rFonts w:ascii="Arial" w:eastAsia="宋体" w:hAnsi="Arial" w:cs="Arial"/>
                <w:color w:val="333333"/>
                <w:sz w:val="16"/>
                <w:szCs w:val="16"/>
              </w:rPr>
              <w:t>Achieve free cash flow of approximately 80% of non-GAAP net income by 2021</w:t>
            </w:r>
          </w:p>
        </w:tc>
      </w:tr>
      <w:tr w:rsidR="006F587A" w14:paraId="4ACE210A" w14:textId="77777777">
        <w:tc>
          <w:tcPr>
            <w:tcW w:w="0" w:type="auto"/>
            <w:gridSpan w:val="2"/>
            <w:vMerge/>
            <w:shd w:val="clear" w:color="auto" w:fill="auto"/>
            <w:tcMar>
              <w:top w:w="40" w:type="dxa"/>
              <w:left w:w="40" w:type="dxa"/>
              <w:bottom w:w="40" w:type="dxa"/>
              <w:right w:w="40" w:type="dxa"/>
            </w:tcMar>
          </w:tcPr>
          <w:p w14:paraId="4ACE2103"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10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vMerge/>
            <w:shd w:val="clear" w:color="auto" w:fill="auto"/>
            <w:tcMar>
              <w:top w:w="40" w:type="dxa"/>
              <w:left w:w="40" w:type="dxa"/>
              <w:bottom w:w="40" w:type="dxa"/>
              <w:right w:w="40" w:type="dxa"/>
            </w:tcMar>
          </w:tcPr>
          <w:p w14:paraId="4ACE2105"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10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vMerge/>
            <w:shd w:val="clear" w:color="auto" w:fill="auto"/>
            <w:tcMar>
              <w:top w:w="40" w:type="dxa"/>
              <w:left w:w="40" w:type="dxa"/>
              <w:bottom w:w="40" w:type="dxa"/>
              <w:right w:w="40" w:type="dxa"/>
            </w:tcMar>
          </w:tcPr>
          <w:p w14:paraId="4ACE2107"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10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vMerge/>
            <w:shd w:val="clear" w:color="auto" w:fill="auto"/>
            <w:tcMar>
              <w:top w:w="40" w:type="dxa"/>
              <w:left w:w="40" w:type="dxa"/>
              <w:bottom w:w="40" w:type="dxa"/>
              <w:right w:w="40" w:type="dxa"/>
            </w:tcMar>
          </w:tcPr>
          <w:p w14:paraId="4ACE2109" w14:textId="77777777" w:rsidR="006F587A" w:rsidRDefault="006F587A">
            <w:pPr>
              <w:rPr>
                <w:rFonts w:ascii="Times New Roman" w:hAnsi="Times New Roman"/>
                <w:sz w:val="20"/>
                <w:szCs w:val="20"/>
              </w:rPr>
            </w:pPr>
          </w:p>
        </w:tc>
      </w:tr>
      <w:tr w:rsidR="006F587A" w14:paraId="4ACE2116" w14:textId="77777777">
        <w:tc>
          <w:tcPr>
            <w:tcW w:w="0" w:type="auto"/>
            <w:shd w:val="clear" w:color="auto" w:fill="auto"/>
            <w:tcMar>
              <w:top w:w="40" w:type="dxa"/>
              <w:left w:w="40" w:type="dxa"/>
              <w:bottom w:w="40" w:type="dxa"/>
              <w:right w:w="40" w:type="dxa"/>
            </w:tcMar>
            <w:vAlign w:val="bottom"/>
          </w:tcPr>
          <w:p w14:paraId="4ACE210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10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10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10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10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11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11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11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11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11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11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211E" w14:textId="77777777">
        <w:tc>
          <w:tcPr>
            <w:tcW w:w="0" w:type="auto"/>
            <w:gridSpan w:val="2"/>
            <w:tcBorders>
              <w:bottom w:val="single" w:sz="8" w:space="0" w:color="003C71"/>
            </w:tcBorders>
            <w:shd w:val="clear" w:color="auto" w:fill="auto"/>
            <w:tcMar>
              <w:top w:w="40" w:type="dxa"/>
              <w:left w:w="40" w:type="dxa"/>
              <w:bottom w:w="40" w:type="dxa"/>
              <w:right w:w="40" w:type="dxa"/>
            </w:tcMar>
            <w:vAlign w:val="bottom"/>
          </w:tcPr>
          <w:p w14:paraId="4ACE2117"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Progress</w:t>
            </w:r>
          </w:p>
        </w:tc>
        <w:tc>
          <w:tcPr>
            <w:tcW w:w="0" w:type="auto"/>
            <w:shd w:val="clear" w:color="auto" w:fill="auto"/>
            <w:tcMar>
              <w:top w:w="40" w:type="dxa"/>
              <w:left w:w="40" w:type="dxa"/>
              <w:bottom w:w="40" w:type="dxa"/>
              <w:right w:w="40" w:type="dxa"/>
            </w:tcMar>
            <w:vAlign w:val="bottom"/>
          </w:tcPr>
          <w:p w14:paraId="4ACE211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71C5"/>
            </w:tcBorders>
            <w:shd w:val="clear" w:color="auto" w:fill="auto"/>
            <w:tcMar>
              <w:top w:w="40" w:type="dxa"/>
              <w:left w:w="40" w:type="dxa"/>
              <w:bottom w:w="40" w:type="dxa"/>
              <w:right w:w="40" w:type="dxa"/>
            </w:tcMar>
            <w:vAlign w:val="bottom"/>
          </w:tcPr>
          <w:p w14:paraId="4ACE2119"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Progress</w:t>
            </w:r>
          </w:p>
        </w:tc>
        <w:tc>
          <w:tcPr>
            <w:tcW w:w="0" w:type="auto"/>
            <w:shd w:val="clear" w:color="auto" w:fill="auto"/>
            <w:tcMar>
              <w:top w:w="40" w:type="dxa"/>
              <w:left w:w="40" w:type="dxa"/>
              <w:bottom w:w="40" w:type="dxa"/>
              <w:right w:w="40" w:type="dxa"/>
            </w:tcMar>
            <w:vAlign w:val="bottom"/>
          </w:tcPr>
          <w:p w14:paraId="4ACE211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AEEF"/>
            </w:tcBorders>
            <w:shd w:val="clear" w:color="auto" w:fill="auto"/>
            <w:tcMar>
              <w:top w:w="40" w:type="dxa"/>
              <w:left w:w="40" w:type="dxa"/>
              <w:bottom w:w="40" w:type="dxa"/>
              <w:right w:w="40" w:type="dxa"/>
            </w:tcMar>
            <w:vAlign w:val="bottom"/>
          </w:tcPr>
          <w:p w14:paraId="4ACE211B"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Progress</w:t>
            </w:r>
          </w:p>
        </w:tc>
        <w:tc>
          <w:tcPr>
            <w:tcW w:w="0" w:type="auto"/>
            <w:shd w:val="clear" w:color="auto" w:fill="auto"/>
            <w:tcMar>
              <w:top w:w="40" w:type="dxa"/>
              <w:left w:w="40" w:type="dxa"/>
              <w:bottom w:w="40" w:type="dxa"/>
              <w:right w:w="40" w:type="dxa"/>
            </w:tcMar>
            <w:vAlign w:val="bottom"/>
          </w:tcPr>
          <w:p w14:paraId="4ACE211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C1C1C1"/>
            </w:tcBorders>
            <w:shd w:val="clear" w:color="auto" w:fill="auto"/>
            <w:tcMar>
              <w:top w:w="40" w:type="dxa"/>
              <w:left w:w="40" w:type="dxa"/>
              <w:bottom w:w="40" w:type="dxa"/>
              <w:right w:w="40" w:type="dxa"/>
            </w:tcMar>
            <w:vAlign w:val="bottom"/>
          </w:tcPr>
          <w:p w14:paraId="4ACE211D"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Progress</w:t>
            </w:r>
          </w:p>
        </w:tc>
      </w:tr>
      <w:tr w:rsidR="006F587A" w14:paraId="4ACE2126" w14:textId="77777777">
        <w:tc>
          <w:tcPr>
            <w:tcW w:w="0" w:type="auto"/>
            <w:gridSpan w:val="2"/>
            <w:shd w:val="clear" w:color="auto" w:fill="auto"/>
            <w:tcMar>
              <w:top w:w="40" w:type="dxa"/>
              <w:left w:w="40" w:type="dxa"/>
              <w:bottom w:w="40" w:type="dxa"/>
              <w:right w:w="40" w:type="dxa"/>
            </w:tcMar>
          </w:tcPr>
          <w:p w14:paraId="4ACE211F" w14:textId="77777777" w:rsidR="006F587A" w:rsidRDefault="007B2B61">
            <w:pPr>
              <w:textAlignment w:val="top"/>
              <w:rPr>
                <w:rFonts w:ascii="Times New Roman" w:hAnsi="Times New Roman"/>
                <w:sz w:val="16"/>
                <w:szCs w:val="16"/>
              </w:rPr>
            </w:pPr>
            <w:r>
              <w:rPr>
                <w:rFonts w:ascii="Arial" w:eastAsia="宋体" w:hAnsi="Arial" w:cs="Arial"/>
                <w:color w:val="333333"/>
                <w:sz w:val="16"/>
                <w:szCs w:val="16"/>
              </w:rPr>
              <w:t>Revenue grew 2% from 2018 to 2019, to $72.0B</w:t>
            </w:r>
          </w:p>
        </w:tc>
        <w:tc>
          <w:tcPr>
            <w:tcW w:w="0" w:type="auto"/>
            <w:shd w:val="clear" w:color="auto" w:fill="auto"/>
            <w:tcMar>
              <w:top w:w="40" w:type="dxa"/>
              <w:left w:w="40" w:type="dxa"/>
              <w:bottom w:w="40" w:type="dxa"/>
              <w:right w:w="40" w:type="dxa"/>
            </w:tcMar>
            <w:vAlign w:val="bottom"/>
          </w:tcPr>
          <w:p w14:paraId="4ACE212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4ACE2121" w14:textId="77777777" w:rsidR="006F587A" w:rsidRDefault="007B2B61">
            <w:pPr>
              <w:textAlignment w:val="top"/>
              <w:rPr>
                <w:rFonts w:ascii="Times New Roman" w:hAnsi="Times New Roman"/>
                <w:sz w:val="16"/>
                <w:szCs w:val="16"/>
              </w:rPr>
            </w:pPr>
            <w:r>
              <w:rPr>
                <w:rFonts w:ascii="Arial" w:eastAsia="宋体" w:hAnsi="Arial" w:cs="Arial"/>
                <w:color w:val="333333"/>
                <w:sz w:val="16"/>
                <w:szCs w:val="16"/>
              </w:rPr>
              <w:t>Non-GAAP operating margin was 33% in 2019</w:t>
            </w:r>
          </w:p>
        </w:tc>
        <w:tc>
          <w:tcPr>
            <w:tcW w:w="0" w:type="auto"/>
            <w:shd w:val="clear" w:color="auto" w:fill="auto"/>
            <w:tcMar>
              <w:top w:w="40" w:type="dxa"/>
              <w:left w:w="40" w:type="dxa"/>
              <w:bottom w:w="40" w:type="dxa"/>
              <w:right w:w="40" w:type="dxa"/>
            </w:tcMar>
            <w:vAlign w:val="bottom"/>
          </w:tcPr>
          <w:p w14:paraId="4ACE212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4ACE2123" w14:textId="77777777" w:rsidR="006F587A" w:rsidRDefault="007B2B61">
            <w:pPr>
              <w:textAlignment w:val="top"/>
              <w:rPr>
                <w:rFonts w:ascii="Times New Roman" w:hAnsi="Times New Roman"/>
                <w:sz w:val="16"/>
                <w:szCs w:val="16"/>
              </w:rPr>
            </w:pPr>
            <w:r>
              <w:rPr>
                <w:rFonts w:ascii="Arial" w:eastAsia="宋体" w:hAnsi="Arial" w:cs="Arial"/>
                <w:color w:val="333333"/>
                <w:sz w:val="16"/>
                <w:szCs w:val="16"/>
              </w:rPr>
              <w:t>Non-GAAP diluted EPS grew 6% from 2018 to 2019; revenue grew 2% over the same period</w:t>
            </w:r>
          </w:p>
        </w:tc>
        <w:tc>
          <w:tcPr>
            <w:tcW w:w="0" w:type="auto"/>
            <w:shd w:val="clear" w:color="auto" w:fill="auto"/>
            <w:tcMar>
              <w:top w:w="40" w:type="dxa"/>
              <w:left w:w="40" w:type="dxa"/>
              <w:bottom w:w="40" w:type="dxa"/>
              <w:right w:w="40" w:type="dxa"/>
            </w:tcMar>
            <w:vAlign w:val="bottom"/>
          </w:tcPr>
          <w:p w14:paraId="4ACE212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4ACE2125" w14:textId="77777777" w:rsidR="006F587A" w:rsidRDefault="007B2B61">
            <w:pPr>
              <w:textAlignment w:val="top"/>
              <w:rPr>
                <w:rFonts w:ascii="Times New Roman" w:hAnsi="Times New Roman"/>
                <w:sz w:val="16"/>
                <w:szCs w:val="16"/>
              </w:rPr>
            </w:pPr>
            <w:r>
              <w:rPr>
                <w:rFonts w:ascii="Arial" w:eastAsia="宋体" w:hAnsi="Arial" w:cs="Arial"/>
                <w:color w:val="333333"/>
                <w:sz w:val="16"/>
                <w:szCs w:val="16"/>
              </w:rPr>
              <w:t xml:space="preserve">Free cash flow was 78% of non-GAAP net </w:t>
            </w:r>
            <w:r>
              <w:rPr>
                <w:rFonts w:ascii="Arial" w:eastAsia="宋体" w:hAnsi="Arial" w:cs="Arial"/>
                <w:color w:val="333333"/>
                <w:sz w:val="16"/>
                <w:szCs w:val="16"/>
              </w:rPr>
              <w:t>income</w:t>
            </w:r>
          </w:p>
        </w:tc>
      </w:tr>
    </w:tbl>
    <w:p w14:paraId="4ACE2127" w14:textId="77777777" w:rsidR="006F587A" w:rsidRDefault="006F587A">
      <w:pPr>
        <w:rPr>
          <w:vanish/>
        </w:rPr>
      </w:pPr>
    </w:p>
    <w:tbl>
      <w:tblPr>
        <w:tblW w:w="0" w:type="auto"/>
        <w:tblCellSpacing w:w="0" w:type="dxa"/>
        <w:tblCellMar>
          <w:left w:w="0" w:type="dxa"/>
          <w:right w:w="0" w:type="dxa"/>
        </w:tblCellMar>
        <w:tblLook w:val="04A0" w:firstRow="1" w:lastRow="0" w:firstColumn="1" w:lastColumn="0" w:noHBand="0" w:noVBand="1"/>
      </w:tblPr>
      <w:tblGrid>
        <w:gridCol w:w="240"/>
        <w:gridCol w:w="3442"/>
      </w:tblGrid>
      <w:tr w:rsidR="006F587A" w14:paraId="4ACE212A" w14:textId="77777777">
        <w:trPr>
          <w:tblCellSpacing w:w="0" w:type="dxa"/>
        </w:trPr>
        <w:tc>
          <w:tcPr>
            <w:tcW w:w="240" w:type="dxa"/>
            <w:shd w:val="clear" w:color="auto" w:fill="auto"/>
            <w:vAlign w:val="center"/>
          </w:tcPr>
          <w:p w14:paraId="4ACE2128" w14:textId="77777777" w:rsidR="006F587A" w:rsidRDefault="006F587A">
            <w:pPr>
              <w:rPr>
                <w:rFonts w:ascii="Times New Roman" w:hAnsi="Times New Roman"/>
                <w:sz w:val="20"/>
                <w:szCs w:val="20"/>
              </w:rPr>
            </w:pPr>
          </w:p>
        </w:tc>
        <w:tc>
          <w:tcPr>
            <w:tcW w:w="0" w:type="auto"/>
            <w:shd w:val="clear" w:color="auto" w:fill="auto"/>
            <w:vAlign w:val="center"/>
          </w:tcPr>
          <w:p w14:paraId="4ACE2129" w14:textId="77777777" w:rsidR="006F587A" w:rsidRDefault="006F587A">
            <w:pPr>
              <w:rPr>
                <w:rFonts w:ascii="Times New Roman" w:hAnsi="Times New Roman"/>
                <w:sz w:val="20"/>
                <w:szCs w:val="20"/>
              </w:rPr>
            </w:pPr>
          </w:p>
        </w:tc>
      </w:tr>
      <w:tr w:rsidR="006F587A" w14:paraId="4ACE212D" w14:textId="77777777">
        <w:trPr>
          <w:tblCellSpacing w:w="0" w:type="dxa"/>
        </w:trPr>
        <w:tc>
          <w:tcPr>
            <w:tcW w:w="0" w:type="auto"/>
            <w:shd w:val="clear" w:color="auto" w:fill="auto"/>
          </w:tcPr>
          <w:p w14:paraId="4ACE212B" w14:textId="77777777" w:rsidR="006F587A" w:rsidRDefault="007B2B61">
            <w:pPr>
              <w:spacing w:line="288" w:lineRule="auto"/>
              <w:textAlignment w:val="top"/>
              <w:rPr>
                <w:rFonts w:ascii="Times New Roman" w:hAnsi="Times New Roman"/>
                <w:sz w:val="15"/>
                <w:szCs w:val="15"/>
              </w:rPr>
            </w:pPr>
            <w:r>
              <w:rPr>
                <w:rFonts w:ascii="Arial" w:eastAsia="宋体" w:hAnsi="Arial" w:cs="Arial"/>
                <w:i/>
                <w:iCs/>
                <w:color w:val="333333"/>
                <w:sz w:val="15"/>
                <w:szCs w:val="15"/>
              </w:rPr>
              <w:t>1 </w:t>
            </w:r>
          </w:p>
        </w:tc>
        <w:tc>
          <w:tcPr>
            <w:tcW w:w="0" w:type="auto"/>
            <w:shd w:val="clear" w:color="auto" w:fill="auto"/>
          </w:tcPr>
          <w:p w14:paraId="4ACE212C" w14:textId="77777777" w:rsidR="006F587A" w:rsidRDefault="007B2B61">
            <w:pPr>
              <w:spacing w:line="288" w:lineRule="auto"/>
              <w:textAlignment w:val="top"/>
              <w:rPr>
                <w:rFonts w:ascii="Times New Roman" w:hAnsi="Times New Roman"/>
                <w:sz w:val="15"/>
                <w:szCs w:val="15"/>
              </w:rPr>
            </w:pPr>
            <w:r>
              <w:rPr>
                <w:rFonts w:ascii="Arial" w:eastAsia="宋体" w:hAnsi="Arial" w:cs="Arial"/>
                <w:i/>
                <w:iCs/>
                <w:color w:val="333333"/>
                <w:sz w:val="15"/>
                <w:szCs w:val="15"/>
              </w:rPr>
              <w:t>See "Non-GAAP Financial Measures" within MD&amp;A.</w:t>
            </w:r>
          </w:p>
        </w:tc>
      </w:tr>
    </w:tbl>
    <w:p w14:paraId="4ACE212E" w14:textId="77777777" w:rsidR="006F587A" w:rsidRDefault="006F587A">
      <w:pPr>
        <w:rPr>
          <w:vanish/>
        </w:rPr>
      </w:pPr>
    </w:p>
    <w:tbl>
      <w:tblPr>
        <w:tblW w:w="0" w:type="auto"/>
        <w:tblCellSpacing w:w="0" w:type="dxa"/>
        <w:tblCellMar>
          <w:left w:w="0" w:type="dxa"/>
          <w:right w:w="0" w:type="dxa"/>
        </w:tblCellMar>
        <w:tblLook w:val="04A0" w:firstRow="1" w:lastRow="0" w:firstColumn="1" w:lastColumn="0" w:noHBand="0" w:noVBand="1"/>
      </w:tblPr>
      <w:tblGrid>
        <w:gridCol w:w="240"/>
        <w:gridCol w:w="2241"/>
      </w:tblGrid>
      <w:tr w:rsidR="006F587A" w14:paraId="4ACE2131" w14:textId="77777777">
        <w:trPr>
          <w:tblCellSpacing w:w="0" w:type="dxa"/>
        </w:trPr>
        <w:tc>
          <w:tcPr>
            <w:tcW w:w="240" w:type="dxa"/>
            <w:shd w:val="clear" w:color="auto" w:fill="auto"/>
            <w:vAlign w:val="center"/>
          </w:tcPr>
          <w:p w14:paraId="4ACE212F" w14:textId="77777777" w:rsidR="006F587A" w:rsidRDefault="006F587A">
            <w:pPr>
              <w:rPr>
                <w:rFonts w:ascii="Times New Roman" w:hAnsi="Times New Roman"/>
                <w:sz w:val="20"/>
                <w:szCs w:val="20"/>
              </w:rPr>
            </w:pPr>
          </w:p>
        </w:tc>
        <w:tc>
          <w:tcPr>
            <w:tcW w:w="0" w:type="auto"/>
            <w:shd w:val="clear" w:color="auto" w:fill="auto"/>
            <w:vAlign w:val="center"/>
          </w:tcPr>
          <w:p w14:paraId="4ACE2130" w14:textId="77777777" w:rsidR="006F587A" w:rsidRDefault="006F587A">
            <w:pPr>
              <w:rPr>
                <w:rFonts w:ascii="Times New Roman" w:hAnsi="Times New Roman"/>
                <w:sz w:val="20"/>
                <w:szCs w:val="20"/>
              </w:rPr>
            </w:pPr>
          </w:p>
        </w:tc>
      </w:tr>
      <w:tr w:rsidR="006F587A" w14:paraId="4ACE2134" w14:textId="77777777">
        <w:trPr>
          <w:tblCellSpacing w:w="0" w:type="dxa"/>
        </w:trPr>
        <w:tc>
          <w:tcPr>
            <w:tcW w:w="0" w:type="auto"/>
            <w:shd w:val="clear" w:color="auto" w:fill="auto"/>
          </w:tcPr>
          <w:p w14:paraId="4ACE2132" w14:textId="77777777" w:rsidR="006F587A" w:rsidRDefault="007B2B61">
            <w:pPr>
              <w:spacing w:line="288" w:lineRule="auto"/>
              <w:textAlignment w:val="top"/>
              <w:rPr>
                <w:rFonts w:ascii="Times New Roman" w:hAnsi="Times New Roman"/>
                <w:sz w:val="15"/>
                <w:szCs w:val="15"/>
              </w:rPr>
            </w:pPr>
            <w:r>
              <w:rPr>
                <w:rFonts w:ascii="Arial" w:eastAsia="宋体" w:hAnsi="Arial" w:cs="Arial"/>
                <w:i/>
                <w:iCs/>
                <w:color w:val="333333"/>
                <w:sz w:val="15"/>
                <w:szCs w:val="15"/>
              </w:rPr>
              <w:t>2 </w:t>
            </w:r>
          </w:p>
        </w:tc>
        <w:tc>
          <w:tcPr>
            <w:tcW w:w="0" w:type="auto"/>
            <w:shd w:val="clear" w:color="auto" w:fill="auto"/>
          </w:tcPr>
          <w:p w14:paraId="4ACE2133" w14:textId="77777777" w:rsidR="006F587A" w:rsidRDefault="007B2B61">
            <w:pPr>
              <w:spacing w:line="288" w:lineRule="auto"/>
              <w:textAlignment w:val="top"/>
              <w:rPr>
                <w:rFonts w:ascii="Times New Roman" w:hAnsi="Times New Roman"/>
                <w:sz w:val="15"/>
                <w:szCs w:val="15"/>
              </w:rPr>
            </w:pPr>
            <w:r>
              <w:rPr>
                <w:rFonts w:ascii="Arial" w:eastAsia="宋体" w:hAnsi="Arial" w:cs="Arial"/>
                <w:i/>
                <w:iCs/>
                <w:color w:val="333333"/>
                <w:sz w:val="15"/>
                <w:szCs w:val="15"/>
              </w:rPr>
              <w:t>See "Our Products" within MD&amp;A.</w:t>
            </w:r>
          </w:p>
        </w:tc>
      </w:tr>
    </w:tbl>
    <w:p w14:paraId="4ACE2135"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492"/>
        <w:gridCol w:w="2658"/>
        <w:gridCol w:w="3156"/>
      </w:tblGrid>
      <w:tr w:rsidR="006F587A" w14:paraId="4ACE2137" w14:textId="77777777">
        <w:tc>
          <w:tcPr>
            <w:tcW w:w="0" w:type="auto"/>
            <w:gridSpan w:val="3"/>
            <w:shd w:val="clear" w:color="auto" w:fill="auto"/>
            <w:vAlign w:val="center"/>
          </w:tcPr>
          <w:p w14:paraId="4ACE2136" w14:textId="77777777" w:rsidR="006F587A" w:rsidRDefault="006F587A">
            <w:pPr>
              <w:rPr>
                <w:rFonts w:ascii="Times New Roman" w:hAnsi="Times New Roman"/>
                <w:sz w:val="20"/>
                <w:szCs w:val="20"/>
              </w:rPr>
            </w:pPr>
          </w:p>
        </w:tc>
      </w:tr>
      <w:tr w:rsidR="006F587A" w14:paraId="4ACE213B" w14:textId="77777777">
        <w:tc>
          <w:tcPr>
            <w:tcW w:w="1500" w:type="pct"/>
            <w:shd w:val="clear" w:color="auto" w:fill="auto"/>
            <w:vAlign w:val="center"/>
          </w:tcPr>
          <w:p w14:paraId="4ACE2138" w14:textId="77777777" w:rsidR="006F587A" w:rsidRDefault="006F587A">
            <w:pPr>
              <w:rPr>
                <w:rFonts w:ascii="Times New Roman" w:hAnsi="Times New Roman"/>
                <w:sz w:val="20"/>
                <w:szCs w:val="20"/>
              </w:rPr>
            </w:pPr>
          </w:p>
        </w:tc>
        <w:tc>
          <w:tcPr>
            <w:tcW w:w="1600" w:type="pct"/>
            <w:shd w:val="clear" w:color="auto" w:fill="auto"/>
            <w:vAlign w:val="center"/>
          </w:tcPr>
          <w:p w14:paraId="4ACE2139" w14:textId="77777777" w:rsidR="006F587A" w:rsidRDefault="006F587A">
            <w:pPr>
              <w:rPr>
                <w:rFonts w:ascii="Times New Roman" w:hAnsi="Times New Roman"/>
                <w:sz w:val="20"/>
                <w:szCs w:val="20"/>
              </w:rPr>
            </w:pPr>
          </w:p>
        </w:tc>
        <w:tc>
          <w:tcPr>
            <w:tcW w:w="1900" w:type="pct"/>
            <w:shd w:val="clear" w:color="auto" w:fill="auto"/>
            <w:vAlign w:val="center"/>
          </w:tcPr>
          <w:p w14:paraId="4ACE213A" w14:textId="77777777" w:rsidR="006F587A" w:rsidRDefault="006F587A">
            <w:pPr>
              <w:rPr>
                <w:rFonts w:ascii="Times New Roman" w:hAnsi="Times New Roman"/>
                <w:sz w:val="20"/>
                <w:szCs w:val="20"/>
              </w:rPr>
            </w:pPr>
          </w:p>
        </w:tc>
      </w:tr>
      <w:tr w:rsidR="006F587A" w14:paraId="4ACE213F"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213C" w14:textId="77777777" w:rsidR="006F587A" w:rsidRDefault="007B2B61">
            <w:pPr>
              <w:textAlignment w:val="center"/>
              <w:rPr>
                <w:rFonts w:ascii="Times New Roman" w:hAnsi="Times New Roman"/>
                <w:sz w:val="18"/>
                <w:szCs w:val="18"/>
              </w:rPr>
            </w:pP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Viewer12_files/a001intellogo_coverfooter.jpg"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C36" wp14:editId="4ACE6C37">
                  <wp:extent cx="304800" cy="304800"/>
                  <wp:effectExtent l="0" t="0" r="0" b="0"/>
                  <wp:docPr id="99" name="图片 51"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51"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r>
              <w:rPr>
                <w:rFonts w:ascii="Arial" w:eastAsia="宋体" w:hAnsi="Arial" w:cs="Arial"/>
                <w:color w:val="333333"/>
                <w:sz w:val="18"/>
                <w:szCs w:val="18"/>
              </w:rPr>
              <w:t>  </w:t>
            </w:r>
            <w:r>
              <w:rPr>
                <w:rFonts w:ascii="Arial" w:eastAsia="宋体" w:hAnsi="Arial" w:cs="Arial"/>
                <w:color w:val="333333"/>
                <w:sz w:val="16"/>
                <w:szCs w:val="16"/>
              </w:rPr>
              <w:t>FUNDAMENTALS OF OUR BUSINESS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13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13E"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4</w:t>
            </w:r>
          </w:p>
        </w:tc>
      </w:tr>
    </w:tbl>
    <w:p w14:paraId="4ACE2140" w14:textId="77777777" w:rsidR="006F587A" w:rsidRDefault="007B2B61">
      <w:r>
        <w:lastRenderedPageBreak/>
        <w:pict w14:anchorId="4ACE6C38">
          <v:rect id="_x0000_i1030" style="width:415.3pt;height:1.5pt" o:hralign="center" o:hrstd="t" o:hr="t" fillcolor="#a0a0a0" stroked="f"/>
        </w:pict>
      </w:r>
    </w:p>
    <w:p w14:paraId="4ACE2141" w14:textId="77777777" w:rsidR="006F587A" w:rsidRDefault="007B2B61">
      <w:pPr>
        <w:spacing w:line="288" w:lineRule="auto"/>
        <w:jc w:val="right"/>
        <w:rPr>
          <w:rFonts w:ascii="Times New Roman" w:hAnsi="Times New Roman"/>
          <w:sz w:val="16"/>
          <w:szCs w:val="16"/>
        </w:rPr>
      </w:pPr>
      <w:hyperlink r:id="rId39" w:anchor="s9DB683E2CF52561EB8A73BE37F5BF9BE" w:history="1">
        <w:r>
          <w:rPr>
            <w:rStyle w:val="a5"/>
            <w:rFonts w:ascii="Arial" w:eastAsia="宋体" w:hAnsi="Arial" w:cs="Arial"/>
            <w:b/>
            <w:bCs/>
            <w:sz w:val="16"/>
            <w:szCs w:val="16"/>
          </w:rPr>
          <w:t>Table of Contents</w:t>
        </w:r>
      </w:hyperlink>
    </w:p>
    <w:p w14:paraId="4ACE2142" w14:textId="77777777" w:rsidR="006F587A" w:rsidRDefault="006F587A">
      <w:pPr>
        <w:spacing w:line="288" w:lineRule="auto"/>
        <w:jc w:val="right"/>
        <w:rPr>
          <w:rFonts w:ascii="Times New Roman" w:hAnsi="Times New Roman"/>
          <w:sz w:val="16"/>
          <w:szCs w:val="16"/>
        </w:rPr>
      </w:pPr>
    </w:p>
    <w:p w14:paraId="4ACE2143" w14:textId="77777777" w:rsidR="006F587A" w:rsidRDefault="006F587A">
      <w:pPr>
        <w:rPr>
          <w:rFonts w:ascii="Times New Roman" w:hAnsi="Times New Roman"/>
          <w:sz w:val="20"/>
          <w:szCs w:val="20"/>
        </w:rPr>
      </w:pPr>
    </w:p>
    <w:tbl>
      <w:tblPr>
        <w:tblW w:w="14640" w:type="dxa"/>
        <w:tblCellMar>
          <w:left w:w="0" w:type="dxa"/>
          <w:right w:w="0" w:type="dxa"/>
        </w:tblCellMar>
        <w:tblLook w:val="04A0" w:firstRow="1" w:lastRow="0" w:firstColumn="1" w:lastColumn="0" w:noHBand="0" w:noVBand="1"/>
      </w:tblPr>
      <w:tblGrid>
        <w:gridCol w:w="14640"/>
      </w:tblGrid>
      <w:tr w:rsidR="006F587A" w14:paraId="4ACE2145" w14:textId="77777777">
        <w:tc>
          <w:tcPr>
            <w:tcW w:w="0" w:type="auto"/>
            <w:shd w:val="clear" w:color="auto" w:fill="auto"/>
            <w:vAlign w:val="center"/>
          </w:tcPr>
          <w:p w14:paraId="4ACE2144" w14:textId="77777777" w:rsidR="006F587A" w:rsidRDefault="006F587A">
            <w:pPr>
              <w:rPr>
                <w:rFonts w:ascii="Times New Roman" w:hAnsi="Times New Roman"/>
                <w:sz w:val="20"/>
                <w:szCs w:val="20"/>
              </w:rPr>
            </w:pPr>
          </w:p>
        </w:tc>
      </w:tr>
      <w:tr w:rsidR="006F587A" w14:paraId="4ACE2147" w14:textId="77777777">
        <w:tc>
          <w:tcPr>
            <w:tcW w:w="14640" w:type="dxa"/>
            <w:shd w:val="clear" w:color="auto" w:fill="auto"/>
            <w:vAlign w:val="center"/>
          </w:tcPr>
          <w:p w14:paraId="4ACE2146" w14:textId="77777777" w:rsidR="006F587A" w:rsidRDefault="006F587A">
            <w:pPr>
              <w:rPr>
                <w:rFonts w:ascii="Times New Roman" w:hAnsi="Times New Roman"/>
                <w:sz w:val="20"/>
                <w:szCs w:val="20"/>
              </w:rPr>
            </w:pPr>
          </w:p>
        </w:tc>
      </w:tr>
      <w:tr w:rsidR="006F587A" w14:paraId="4ACE2149" w14:textId="77777777">
        <w:tc>
          <w:tcPr>
            <w:tcW w:w="0" w:type="auto"/>
            <w:shd w:val="clear" w:color="auto" w:fill="00497F"/>
            <w:tcMar>
              <w:top w:w="40" w:type="dxa"/>
              <w:left w:w="40" w:type="dxa"/>
              <w:bottom w:w="40" w:type="dxa"/>
              <w:right w:w="40" w:type="dxa"/>
            </w:tcMar>
            <w:vAlign w:val="center"/>
          </w:tcPr>
          <w:p w14:paraId="4ACE2148" w14:textId="77777777" w:rsidR="006F587A" w:rsidRDefault="007B2B61">
            <w:pPr>
              <w:textAlignment w:val="center"/>
              <w:rPr>
                <w:rFonts w:ascii="Times New Roman" w:hAnsi="Times New Roman"/>
                <w:sz w:val="36"/>
                <w:szCs w:val="36"/>
              </w:rPr>
            </w:pPr>
            <w:r>
              <w:rPr>
                <w:rFonts w:ascii="Arial" w:eastAsia="宋体" w:hAnsi="Arial" w:cs="Arial"/>
                <w:b/>
                <w:bCs/>
                <w:color w:val="FFFFFF"/>
                <w:sz w:val="36"/>
                <w:szCs w:val="36"/>
              </w:rPr>
              <w:t> </w:t>
            </w:r>
          </w:p>
        </w:tc>
      </w:tr>
    </w:tbl>
    <w:p w14:paraId="4ACE214A" w14:textId="77777777" w:rsidR="006F587A" w:rsidRDefault="006F587A">
      <w:pPr>
        <w:rPr>
          <w:vanish/>
        </w:rPr>
      </w:pPr>
    </w:p>
    <w:tbl>
      <w:tblPr>
        <w:tblW w:w="14640" w:type="dxa"/>
        <w:tblCellMar>
          <w:left w:w="0" w:type="dxa"/>
          <w:right w:w="0" w:type="dxa"/>
        </w:tblCellMar>
        <w:tblLook w:val="04A0" w:firstRow="1" w:lastRow="0" w:firstColumn="1" w:lastColumn="0" w:noHBand="0" w:noVBand="1"/>
      </w:tblPr>
      <w:tblGrid>
        <w:gridCol w:w="3888"/>
        <w:gridCol w:w="1835"/>
        <w:gridCol w:w="1940"/>
        <w:gridCol w:w="138"/>
        <w:gridCol w:w="5974"/>
        <w:gridCol w:w="865"/>
      </w:tblGrid>
      <w:tr w:rsidR="006F587A" w14:paraId="4ACE214C" w14:textId="77777777">
        <w:tc>
          <w:tcPr>
            <w:tcW w:w="0" w:type="auto"/>
            <w:gridSpan w:val="6"/>
            <w:shd w:val="clear" w:color="auto" w:fill="auto"/>
            <w:vAlign w:val="center"/>
          </w:tcPr>
          <w:p w14:paraId="4ACE214B" w14:textId="77777777" w:rsidR="006F587A" w:rsidRDefault="006F587A">
            <w:pPr>
              <w:rPr>
                <w:rFonts w:ascii="Times New Roman" w:hAnsi="Times New Roman"/>
                <w:sz w:val="20"/>
                <w:szCs w:val="20"/>
              </w:rPr>
            </w:pPr>
          </w:p>
        </w:tc>
      </w:tr>
      <w:tr w:rsidR="006F587A" w14:paraId="4ACE2153" w14:textId="77777777">
        <w:tc>
          <w:tcPr>
            <w:tcW w:w="4440" w:type="dxa"/>
            <w:shd w:val="clear" w:color="auto" w:fill="auto"/>
            <w:vAlign w:val="center"/>
          </w:tcPr>
          <w:p w14:paraId="4ACE214D" w14:textId="77777777" w:rsidR="006F587A" w:rsidRDefault="006F587A">
            <w:pPr>
              <w:rPr>
                <w:rFonts w:ascii="Times New Roman" w:hAnsi="Times New Roman"/>
                <w:sz w:val="20"/>
                <w:szCs w:val="20"/>
              </w:rPr>
            </w:pPr>
          </w:p>
        </w:tc>
        <w:tc>
          <w:tcPr>
            <w:tcW w:w="2320" w:type="dxa"/>
            <w:shd w:val="clear" w:color="auto" w:fill="auto"/>
            <w:vAlign w:val="center"/>
          </w:tcPr>
          <w:p w14:paraId="4ACE214E" w14:textId="77777777" w:rsidR="006F587A" w:rsidRDefault="006F587A">
            <w:pPr>
              <w:rPr>
                <w:rFonts w:ascii="Times New Roman" w:hAnsi="Times New Roman"/>
                <w:sz w:val="20"/>
                <w:szCs w:val="20"/>
              </w:rPr>
            </w:pPr>
          </w:p>
        </w:tc>
        <w:tc>
          <w:tcPr>
            <w:tcW w:w="2400" w:type="dxa"/>
            <w:shd w:val="clear" w:color="auto" w:fill="auto"/>
            <w:vAlign w:val="center"/>
          </w:tcPr>
          <w:p w14:paraId="4ACE214F" w14:textId="77777777" w:rsidR="006F587A" w:rsidRDefault="006F587A">
            <w:pPr>
              <w:rPr>
                <w:rFonts w:ascii="Times New Roman" w:hAnsi="Times New Roman"/>
                <w:sz w:val="20"/>
                <w:szCs w:val="20"/>
              </w:rPr>
            </w:pPr>
          </w:p>
        </w:tc>
        <w:tc>
          <w:tcPr>
            <w:tcW w:w="180" w:type="dxa"/>
            <w:shd w:val="clear" w:color="auto" w:fill="auto"/>
            <w:vAlign w:val="center"/>
          </w:tcPr>
          <w:p w14:paraId="4ACE2150" w14:textId="77777777" w:rsidR="006F587A" w:rsidRDefault="006F587A">
            <w:pPr>
              <w:rPr>
                <w:rFonts w:ascii="Times New Roman" w:hAnsi="Times New Roman"/>
                <w:sz w:val="20"/>
                <w:szCs w:val="20"/>
              </w:rPr>
            </w:pPr>
          </w:p>
        </w:tc>
        <w:tc>
          <w:tcPr>
            <w:tcW w:w="3380" w:type="dxa"/>
            <w:shd w:val="clear" w:color="auto" w:fill="auto"/>
            <w:vAlign w:val="center"/>
          </w:tcPr>
          <w:p w14:paraId="4ACE2151" w14:textId="77777777" w:rsidR="006F587A" w:rsidRDefault="006F587A">
            <w:pPr>
              <w:rPr>
                <w:rFonts w:ascii="Times New Roman" w:hAnsi="Times New Roman"/>
                <w:sz w:val="20"/>
                <w:szCs w:val="20"/>
              </w:rPr>
            </w:pPr>
          </w:p>
        </w:tc>
        <w:tc>
          <w:tcPr>
            <w:tcW w:w="1880" w:type="dxa"/>
            <w:shd w:val="clear" w:color="auto" w:fill="auto"/>
            <w:vAlign w:val="center"/>
          </w:tcPr>
          <w:p w14:paraId="4ACE2152" w14:textId="77777777" w:rsidR="006F587A" w:rsidRDefault="006F587A">
            <w:pPr>
              <w:rPr>
                <w:rFonts w:ascii="Times New Roman" w:hAnsi="Times New Roman"/>
                <w:sz w:val="20"/>
                <w:szCs w:val="20"/>
              </w:rPr>
            </w:pPr>
          </w:p>
        </w:tc>
      </w:tr>
      <w:tr w:rsidR="006F587A" w14:paraId="4ACE2157" w14:textId="77777777">
        <w:tc>
          <w:tcPr>
            <w:tcW w:w="0" w:type="auto"/>
            <w:gridSpan w:val="3"/>
            <w:shd w:val="clear" w:color="auto" w:fill="ACACAC"/>
            <w:tcMar>
              <w:top w:w="40" w:type="dxa"/>
              <w:left w:w="40" w:type="dxa"/>
              <w:bottom w:w="40" w:type="dxa"/>
              <w:right w:w="40" w:type="dxa"/>
            </w:tcMar>
            <w:vAlign w:val="bottom"/>
          </w:tcPr>
          <w:p w14:paraId="4ACE2154" w14:textId="77777777" w:rsidR="006F587A" w:rsidRDefault="007B2B61">
            <w:pPr>
              <w:textAlignment w:val="bottom"/>
              <w:rPr>
                <w:rFonts w:ascii="Times New Roman" w:hAnsi="Times New Roman"/>
                <w:sz w:val="20"/>
                <w:szCs w:val="20"/>
              </w:rPr>
            </w:pPr>
            <w:r>
              <w:rPr>
                <w:rFonts w:ascii="Arial" w:eastAsia="宋体" w:hAnsi="Arial" w:cs="Arial"/>
                <w:b/>
                <w:bCs/>
                <w:color w:val="FFFFFF"/>
                <w:sz w:val="20"/>
                <w:szCs w:val="20"/>
              </w:rPr>
              <w:t xml:space="preserve">DATA-CENTRIC BUSINESSES EXPAND WITH NEW </w:t>
            </w:r>
            <w:r>
              <w:rPr>
                <w:rFonts w:ascii="Arial" w:eastAsia="宋体" w:hAnsi="Arial" w:cs="Arial"/>
                <w:b/>
                <w:bCs/>
                <w:color w:val="FFFFFF"/>
                <w:sz w:val="20"/>
                <w:szCs w:val="20"/>
              </w:rPr>
              <w:t>OPPORTUNITIES</w:t>
            </w:r>
          </w:p>
        </w:tc>
        <w:tc>
          <w:tcPr>
            <w:tcW w:w="0" w:type="auto"/>
            <w:shd w:val="clear" w:color="auto" w:fill="auto"/>
            <w:tcMar>
              <w:top w:w="40" w:type="dxa"/>
              <w:left w:w="40" w:type="dxa"/>
              <w:bottom w:w="40" w:type="dxa"/>
              <w:right w:w="40" w:type="dxa"/>
            </w:tcMar>
            <w:vAlign w:val="bottom"/>
          </w:tcPr>
          <w:p w14:paraId="4ACE215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CACAC"/>
            <w:tcMar>
              <w:top w:w="40" w:type="dxa"/>
              <w:left w:w="40" w:type="dxa"/>
              <w:bottom w:w="40" w:type="dxa"/>
              <w:right w:w="40" w:type="dxa"/>
            </w:tcMar>
            <w:vAlign w:val="bottom"/>
          </w:tcPr>
          <w:p w14:paraId="4ACE2156" w14:textId="77777777" w:rsidR="006F587A" w:rsidRDefault="007B2B61">
            <w:pPr>
              <w:textAlignment w:val="bottom"/>
              <w:rPr>
                <w:rFonts w:ascii="Times New Roman" w:hAnsi="Times New Roman"/>
                <w:sz w:val="20"/>
                <w:szCs w:val="20"/>
              </w:rPr>
            </w:pPr>
            <w:r>
              <w:rPr>
                <w:rFonts w:ascii="Arial" w:eastAsia="宋体" w:hAnsi="Arial" w:cs="Arial"/>
                <w:b/>
                <w:bCs/>
                <w:color w:val="FFFFFF"/>
                <w:sz w:val="20"/>
                <w:szCs w:val="20"/>
              </w:rPr>
              <w:t>PC-CENTRIC BUSINESS INNOVATES</w:t>
            </w:r>
          </w:p>
        </w:tc>
      </w:tr>
      <w:tr w:rsidR="006F587A" w14:paraId="4ACE215B" w14:textId="77777777">
        <w:tc>
          <w:tcPr>
            <w:tcW w:w="0" w:type="auto"/>
            <w:gridSpan w:val="3"/>
            <w:shd w:val="clear" w:color="auto" w:fill="auto"/>
            <w:tcMar>
              <w:top w:w="40" w:type="dxa"/>
              <w:left w:w="40" w:type="dxa"/>
              <w:bottom w:w="40" w:type="dxa"/>
              <w:right w:w="40" w:type="dxa"/>
            </w:tcMar>
            <w:vAlign w:val="center"/>
          </w:tcPr>
          <w:p w14:paraId="4ACE2158" w14:textId="77777777" w:rsidR="006F587A" w:rsidRDefault="007B2B61">
            <w:pPr>
              <w:textAlignment w:val="center"/>
              <w:rPr>
                <w:rFonts w:ascii="Times New Roman" w:hAnsi="Times New Roman"/>
                <w:sz w:val="18"/>
                <w:szCs w:val="18"/>
              </w:rPr>
            </w:pPr>
            <w:r>
              <w:rPr>
                <w:rFonts w:ascii="Arial" w:eastAsia="宋体" w:hAnsi="Arial" w:cs="Arial"/>
                <w:b/>
                <w:bCs/>
                <w:color w:val="0071C5"/>
                <w:sz w:val="18"/>
                <w:szCs w:val="18"/>
              </w:rPr>
              <w:t>Data-Centric Portfolio Launch</w:t>
            </w:r>
          </w:p>
        </w:tc>
        <w:tc>
          <w:tcPr>
            <w:tcW w:w="0" w:type="auto"/>
            <w:shd w:val="clear" w:color="auto" w:fill="auto"/>
            <w:tcMar>
              <w:top w:w="40" w:type="dxa"/>
              <w:left w:w="40" w:type="dxa"/>
              <w:bottom w:w="40" w:type="dxa"/>
              <w:right w:w="40" w:type="dxa"/>
            </w:tcMar>
            <w:vAlign w:val="bottom"/>
          </w:tcPr>
          <w:p w14:paraId="4ACE215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vMerge w:val="restart"/>
            <w:shd w:val="clear" w:color="auto" w:fill="auto"/>
            <w:tcMar>
              <w:top w:w="40" w:type="dxa"/>
              <w:left w:w="40" w:type="dxa"/>
              <w:bottom w:w="40" w:type="dxa"/>
              <w:right w:w="40" w:type="dxa"/>
            </w:tcMar>
            <w:vAlign w:val="center"/>
          </w:tcPr>
          <w:p w14:paraId="4ACE215A" w14:textId="77777777" w:rsidR="006F587A" w:rsidRDefault="007B2B61">
            <w:pPr>
              <w:textAlignment w:val="center"/>
              <w:rPr>
                <w:rFonts w:ascii="Times New Roman" w:hAnsi="Times New Roman"/>
                <w:sz w:val="18"/>
                <w:szCs w:val="18"/>
              </w:rPr>
            </w:pPr>
            <w:r>
              <w:rPr>
                <w:rFonts w:ascii="Arial" w:eastAsia="宋体" w:hAnsi="Arial" w:cs="Arial"/>
                <w:b/>
                <w:bCs/>
                <w:color w:val="0071C5"/>
                <w:sz w:val="18"/>
                <w:szCs w:val="18"/>
              </w:rPr>
              <w:t>10nm-based 10th Generation Intel</w:t>
            </w:r>
            <w:r>
              <w:rPr>
                <w:rFonts w:ascii="Arial" w:eastAsia="宋体" w:hAnsi="Arial" w:cs="Arial"/>
                <w:color w:val="006EBF"/>
                <w:sz w:val="12"/>
                <w:szCs w:val="12"/>
              </w:rPr>
              <w:t xml:space="preserve">® </w:t>
            </w:r>
            <w:r>
              <w:rPr>
                <w:rFonts w:ascii="Arial" w:eastAsia="宋体" w:hAnsi="Arial" w:cs="Arial"/>
                <w:b/>
                <w:bCs/>
                <w:color w:val="0071C5"/>
                <w:sz w:val="18"/>
                <w:szCs w:val="18"/>
              </w:rPr>
              <w:t>Core</w:t>
            </w:r>
            <w:r>
              <w:rPr>
                <w:rFonts w:ascii="Arial" w:eastAsia="宋体" w:hAnsi="Arial" w:cs="Arial"/>
                <w:color w:val="006EBF"/>
                <w:sz w:val="12"/>
                <w:szCs w:val="12"/>
              </w:rPr>
              <w:t>TM</w:t>
            </w:r>
            <w:r>
              <w:rPr>
                <w:rFonts w:ascii="Arial" w:eastAsia="宋体" w:hAnsi="Arial" w:cs="Arial"/>
                <w:b/>
                <w:bCs/>
                <w:color w:val="0071C5"/>
                <w:sz w:val="18"/>
                <w:szCs w:val="18"/>
              </w:rPr>
              <w:t> Shipping</w:t>
            </w:r>
          </w:p>
        </w:tc>
      </w:tr>
      <w:tr w:rsidR="006F587A" w14:paraId="4ACE215F" w14:textId="77777777">
        <w:tc>
          <w:tcPr>
            <w:tcW w:w="0" w:type="auto"/>
            <w:gridSpan w:val="3"/>
            <w:vMerge w:val="restart"/>
            <w:shd w:val="clear" w:color="auto" w:fill="auto"/>
            <w:tcMar>
              <w:top w:w="40" w:type="dxa"/>
              <w:left w:w="40" w:type="dxa"/>
              <w:bottom w:w="40" w:type="dxa"/>
              <w:right w:w="40" w:type="dxa"/>
            </w:tcMar>
          </w:tcPr>
          <w:p w14:paraId="4ACE215C"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We introduced a portfolio of data-centric solutions consisting of 2nd generation Intel</w:t>
            </w:r>
            <w:r>
              <w:rPr>
                <w:rFonts w:ascii="Arial" w:eastAsia="宋体" w:hAnsi="Arial" w:cs="Arial"/>
                <w:color w:val="333333"/>
                <w:sz w:val="12"/>
                <w:szCs w:val="12"/>
              </w:rPr>
              <w:t>®</w:t>
            </w:r>
            <w:r>
              <w:rPr>
                <w:rFonts w:ascii="Arial" w:eastAsia="宋体" w:hAnsi="Arial" w:cs="Arial"/>
                <w:color w:val="333333"/>
                <w:sz w:val="18"/>
                <w:szCs w:val="18"/>
              </w:rPr>
              <w:t> Xeon</w:t>
            </w:r>
            <w:r>
              <w:rPr>
                <w:rFonts w:ascii="Arial" w:eastAsia="宋体" w:hAnsi="Arial" w:cs="Arial"/>
                <w:color w:val="333333"/>
                <w:sz w:val="12"/>
                <w:szCs w:val="12"/>
              </w:rPr>
              <w:t>®</w:t>
            </w:r>
            <w:r>
              <w:rPr>
                <w:rFonts w:ascii="Arial" w:eastAsia="宋体" w:hAnsi="Arial" w:cs="Arial"/>
                <w:color w:val="333333"/>
                <w:sz w:val="18"/>
                <w:szCs w:val="18"/>
              </w:rPr>
              <w:t> Scalable processors, Intel</w:t>
            </w:r>
            <w:r>
              <w:rPr>
                <w:rFonts w:ascii="Arial" w:eastAsia="宋体" w:hAnsi="Arial" w:cs="Arial"/>
                <w:color w:val="333333"/>
                <w:sz w:val="12"/>
                <w:szCs w:val="12"/>
              </w:rPr>
              <w:t>®</w:t>
            </w:r>
            <w:r>
              <w:rPr>
                <w:rFonts w:ascii="Arial" w:eastAsia="宋体" w:hAnsi="Arial" w:cs="Arial"/>
                <w:color w:val="333333"/>
                <w:sz w:val="18"/>
                <w:szCs w:val="18"/>
              </w:rPr>
              <w:t> Optane™ DC memory and storage solutions, and software and platform technologies optimized to help our customers extract more value from their data. Our latest data center solutions target a wide range of use cases within cloud computing, network infrastru</w:t>
            </w:r>
            <w:r>
              <w:rPr>
                <w:rFonts w:ascii="Arial" w:eastAsia="宋体" w:hAnsi="Arial" w:cs="Arial"/>
                <w:color w:val="333333"/>
                <w:sz w:val="18"/>
                <w:szCs w:val="18"/>
              </w:rPr>
              <w:t>cture, and intelligent edge applications, and support high-growth workloads, including AI and 5G.</w:t>
            </w:r>
          </w:p>
        </w:tc>
        <w:tc>
          <w:tcPr>
            <w:tcW w:w="0" w:type="auto"/>
            <w:shd w:val="clear" w:color="auto" w:fill="auto"/>
            <w:tcMar>
              <w:top w:w="40" w:type="dxa"/>
              <w:left w:w="40" w:type="dxa"/>
              <w:bottom w:w="40" w:type="dxa"/>
              <w:right w:w="40" w:type="dxa"/>
            </w:tcMar>
            <w:vAlign w:val="bottom"/>
          </w:tcPr>
          <w:p w14:paraId="4ACE215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vMerge/>
            <w:shd w:val="clear" w:color="auto" w:fill="auto"/>
            <w:tcMar>
              <w:top w:w="40" w:type="dxa"/>
              <w:left w:w="40" w:type="dxa"/>
              <w:bottom w:w="40" w:type="dxa"/>
              <w:right w:w="40" w:type="dxa"/>
            </w:tcMar>
            <w:vAlign w:val="center"/>
          </w:tcPr>
          <w:p w14:paraId="4ACE215E" w14:textId="77777777" w:rsidR="006F587A" w:rsidRDefault="006F587A">
            <w:pPr>
              <w:rPr>
                <w:rFonts w:ascii="Times New Roman" w:hAnsi="Times New Roman"/>
                <w:sz w:val="20"/>
                <w:szCs w:val="20"/>
              </w:rPr>
            </w:pPr>
          </w:p>
        </w:tc>
      </w:tr>
      <w:tr w:rsidR="006F587A" w14:paraId="4ACE2164" w14:textId="77777777">
        <w:tc>
          <w:tcPr>
            <w:tcW w:w="0" w:type="auto"/>
            <w:gridSpan w:val="3"/>
            <w:vMerge/>
            <w:shd w:val="clear" w:color="auto" w:fill="auto"/>
            <w:tcMar>
              <w:top w:w="40" w:type="dxa"/>
              <w:left w:w="40" w:type="dxa"/>
              <w:bottom w:w="40" w:type="dxa"/>
              <w:right w:w="40" w:type="dxa"/>
            </w:tcMar>
          </w:tcPr>
          <w:p w14:paraId="4ACE2160"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16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vMerge w:val="restart"/>
            <w:shd w:val="clear" w:color="auto" w:fill="auto"/>
            <w:tcMar>
              <w:top w:w="40" w:type="dxa"/>
              <w:left w:w="40" w:type="dxa"/>
              <w:bottom w:w="40" w:type="dxa"/>
              <w:right w:w="40" w:type="dxa"/>
            </w:tcMar>
          </w:tcPr>
          <w:p w14:paraId="4ACE2162"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We started shipping our 10nm-based 10th generation Intel</w:t>
            </w:r>
            <w:r>
              <w:rPr>
                <w:rFonts w:ascii="Arial" w:eastAsia="宋体" w:hAnsi="Arial" w:cs="Arial"/>
                <w:color w:val="333333"/>
                <w:sz w:val="12"/>
                <w:szCs w:val="12"/>
              </w:rPr>
              <w:t>®</w:t>
            </w:r>
            <w:r>
              <w:rPr>
                <w:rFonts w:ascii="Arial" w:eastAsia="宋体" w:hAnsi="Arial" w:cs="Arial"/>
                <w:color w:val="333333"/>
                <w:sz w:val="18"/>
                <w:szCs w:val="18"/>
              </w:rPr>
              <w:t> Core</w:t>
            </w:r>
            <w:r>
              <w:rPr>
                <w:rFonts w:ascii="Arial" w:eastAsia="宋体" w:hAnsi="Arial" w:cs="Arial"/>
                <w:color w:val="333333"/>
                <w:sz w:val="12"/>
                <w:szCs w:val="12"/>
              </w:rPr>
              <w:t>TM</w:t>
            </w:r>
            <w:r>
              <w:rPr>
                <w:rFonts w:ascii="Arial" w:eastAsia="宋体" w:hAnsi="Arial" w:cs="Arial"/>
                <w:color w:val="333333"/>
                <w:sz w:val="18"/>
                <w:szCs w:val="18"/>
              </w:rPr>
              <w:t> processors, previously referred to as Ice Lake. Our 10th generation Intel</w:t>
            </w:r>
            <w:r>
              <w:rPr>
                <w:rFonts w:ascii="Arial" w:eastAsia="宋体" w:hAnsi="Arial" w:cs="Arial"/>
                <w:color w:val="333333"/>
                <w:sz w:val="12"/>
                <w:szCs w:val="12"/>
              </w:rPr>
              <w:t>®</w:t>
            </w:r>
            <w:r>
              <w:rPr>
                <w:rFonts w:ascii="Arial" w:eastAsia="宋体" w:hAnsi="Arial" w:cs="Arial"/>
                <w:color w:val="333333"/>
                <w:sz w:val="18"/>
                <w:szCs w:val="18"/>
              </w:rPr>
              <w:t> Core</w:t>
            </w:r>
            <w:r>
              <w:rPr>
                <w:rFonts w:ascii="Arial" w:eastAsia="宋体" w:hAnsi="Arial" w:cs="Arial"/>
                <w:color w:val="333333"/>
                <w:sz w:val="12"/>
                <w:szCs w:val="12"/>
              </w:rPr>
              <w:t>TM</w:t>
            </w:r>
            <w:r>
              <w:rPr>
                <w:rFonts w:ascii="Arial" w:eastAsia="宋体" w:hAnsi="Arial" w:cs="Arial"/>
                <w:color w:val="333333"/>
                <w:sz w:val="18"/>
                <w:szCs w:val="18"/>
              </w:rPr>
              <w:t> processor silicon will enable the first wave of PCs with instructions for AI, includes an all-new CPU Core architecture and Gen 11 graphics engine, and is the first client CPU to integrate Wi-Fi 6 and Thunderbolt™ 3 connectivity modules.</w:t>
            </w:r>
          </w:p>
          <w:p w14:paraId="4ACE2163" w14:textId="77777777" w:rsidR="006F587A" w:rsidRDefault="006F587A">
            <w:pPr>
              <w:textAlignment w:val="top"/>
              <w:rPr>
                <w:rFonts w:ascii="Times New Roman" w:hAnsi="Times New Roman"/>
                <w:sz w:val="18"/>
                <w:szCs w:val="18"/>
              </w:rPr>
            </w:pPr>
          </w:p>
        </w:tc>
      </w:tr>
      <w:tr w:rsidR="006F587A" w14:paraId="4ACE2169" w14:textId="77777777">
        <w:tc>
          <w:tcPr>
            <w:tcW w:w="0" w:type="auto"/>
            <w:vMerge w:val="restart"/>
            <w:shd w:val="clear" w:color="auto" w:fill="auto"/>
            <w:tcMar>
              <w:top w:w="40" w:type="dxa"/>
              <w:left w:w="40" w:type="dxa"/>
              <w:bottom w:w="40" w:type="dxa"/>
              <w:right w:w="40" w:type="dxa"/>
            </w:tcMar>
            <w:vAlign w:val="center"/>
          </w:tcPr>
          <w:p w14:paraId="4ACE2165" w14:textId="77777777" w:rsidR="006F587A" w:rsidRDefault="007B2B61">
            <w:pPr>
              <w:jc w:val="center"/>
              <w:textAlignment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w:instrText>
            </w:r>
            <w:r>
              <w:rPr>
                <w:rFonts w:ascii="Times New Roman" w:eastAsia="宋体" w:hAnsi="Times New Roman"/>
                <w:sz w:val="20"/>
                <w:szCs w:val="20"/>
              </w:rPr>
              <w:instrText xml:space="preserve">\d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Viewer12_files/a006nsgtitleplain_optane.jpg"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39" wp14:editId="4ACE6C3A">
                  <wp:extent cx="304800" cy="304800"/>
                  <wp:effectExtent l="0" t="0" r="0" b="0"/>
                  <wp:docPr id="35" name="图片 53"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3" descr="IMG_26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c>
          <w:tcPr>
            <w:tcW w:w="0" w:type="auto"/>
            <w:gridSpan w:val="2"/>
            <w:vMerge w:val="restart"/>
            <w:shd w:val="clear" w:color="auto" w:fill="auto"/>
            <w:tcMar>
              <w:top w:w="40" w:type="dxa"/>
              <w:left w:w="40" w:type="dxa"/>
              <w:bottom w:w="40" w:type="dxa"/>
              <w:right w:w="40" w:type="dxa"/>
            </w:tcMar>
            <w:vAlign w:val="center"/>
          </w:tcPr>
          <w:p w14:paraId="4ACE2166" w14:textId="77777777" w:rsidR="006F587A" w:rsidRDefault="007B2B61">
            <w:pPr>
              <w:textAlignment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Viewer12_files/a007yirxeonscalable.jpg"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3B" wp14:editId="4ACE6C3C">
                  <wp:extent cx="304800" cy="304800"/>
                  <wp:effectExtent l="0" t="0" r="0" b="0"/>
                  <wp:docPr id="101" name="图片 54"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54" descr="IMG_27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c>
          <w:tcPr>
            <w:tcW w:w="0" w:type="auto"/>
            <w:shd w:val="clear" w:color="auto" w:fill="auto"/>
            <w:tcMar>
              <w:top w:w="40" w:type="dxa"/>
              <w:left w:w="40" w:type="dxa"/>
              <w:bottom w:w="40" w:type="dxa"/>
              <w:right w:w="40" w:type="dxa"/>
            </w:tcMar>
            <w:vAlign w:val="bottom"/>
          </w:tcPr>
          <w:p w14:paraId="4ACE216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vMerge/>
            <w:shd w:val="clear" w:color="auto" w:fill="auto"/>
            <w:tcMar>
              <w:top w:w="40" w:type="dxa"/>
              <w:left w:w="40" w:type="dxa"/>
              <w:bottom w:w="40" w:type="dxa"/>
              <w:right w:w="40" w:type="dxa"/>
            </w:tcMar>
          </w:tcPr>
          <w:p w14:paraId="4ACE2168" w14:textId="77777777" w:rsidR="006F587A" w:rsidRDefault="006F587A">
            <w:pPr>
              <w:rPr>
                <w:rFonts w:ascii="Times New Roman" w:hAnsi="Times New Roman"/>
                <w:sz w:val="20"/>
                <w:szCs w:val="20"/>
              </w:rPr>
            </w:pPr>
          </w:p>
        </w:tc>
      </w:tr>
      <w:tr w:rsidR="006F587A" w14:paraId="4ACE216E" w14:textId="77777777">
        <w:tc>
          <w:tcPr>
            <w:tcW w:w="0" w:type="auto"/>
            <w:vMerge/>
            <w:shd w:val="clear" w:color="auto" w:fill="auto"/>
            <w:tcMar>
              <w:top w:w="40" w:type="dxa"/>
              <w:left w:w="40" w:type="dxa"/>
              <w:bottom w:w="40" w:type="dxa"/>
              <w:right w:w="40" w:type="dxa"/>
            </w:tcMar>
            <w:vAlign w:val="center"/>
          </w:tcPr>
          <w:p w14:paraId="4ACE216A" w14:textId="77777777" w:rsidR="006F587A" w:rsidRDefault="006F587A">
            <w:pPr>
              <w:rPr>
                <w:rFonts w:ascii="Times New Roman" w:hAnsi="Times New Roman"/>
                <w:sz w:val="20"/>
                <w:szCs w:val="20"/>
              </w:rPr>
            </w:pPr>
          </w:p>
        </w:tc>
        <w:tc>
          <w:tcPr>
            <w:tcW w:w="0" w:type="auto"/>
            <w:gridSpan w:val="2"/>
            <w:vMerge/>
            <w:shd w:val="clear" w:color="auto" w:fill="auto"/>
            <w:tcMar>
              <w:top w:w="40" w:type="dxa"/>
              <w:left w:w="40" w:type="dxa"/>
              <w:bottom w:w="40" w:type="dxa"/>
              <w:right w:w="40" w:type="dxa"/>
            </w:tcMar>
            <w:vAlign w:val="center"/>
          </w:tcPr>
          <w:p w14:paraId="4ACE216B"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16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vMerge w:val="restart"/>
            <w:shd w:val="clear" w:color="auto" w:fill="auto"/>
            <w:tcMar>
              <w:top w:w="40" w:type="dxa"/>
              <w:left w:w="40" w:type="dxa"/>
              <w:bottom w:w="40" w:type="dxa"/>
              <w:right w:w="40" w:type="dxa"/>
            </w:tcMar>
            <w:vAlign w:val="center"/>
          </w:tcPr>
          <w:p w14:paraId="4ACE216D" w14:textId="77777777" w:rsidR="006F587A" w:rsidRDefault="007B2B61">
            <w:pPr>
              <w:jc w:val="center"/>
              <w:textAlignment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/INTEL/./Inline XBRL Viewer12_fil</w:instrText>
            </w:r>
            <w:r>
              <w:rPr>
                <w:rFonts w:ascii="Times New Roman" w:eastAsia="宋体" w:hAnsi="Times New Roman"/>
                <w:sz w:val="20"/>
                <w:szCs w:val="20"/>
              </w:rPr>
              <w:instrText xml:space="preserve">es/a009iclbadge.jpg"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3D" wp14:editId="4ACE6C3E">
                  <wp:extent cx="304800" cy="304800"/>
                  <wp:effectExtent l="0" t="0" r="0" b="0"/>
                  <wp:docPr id="102" name="图片 55"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55" descr="IMG_27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r>
      <w:tr w:rsidR="006F587A" w14:paraId="4ACE2173" w14:textId="77777777">
        <w:tc>
          <w:tcPr>
            <w:tcW w:w="0" w:type="auto"/>
            <w:gridSpan w:val="2"/>
            <w:shd w:val="clear" w:color="auto" w:fill="auto"/>
            <w:tcMar>
              <w:top w:w="40" w:type="dxa"/>
              <w:left w:w="40" w:type="dxa"/>
              <w:bottom w:w="40" w:type="dxa"/>
              <w:right w:w="40" w:type="dxa"/>
            </w:tcMar>
            <w:vAlign w:val="center"/>
          </w:tcPr>
          <w:p w14:paraId="4ACE216F" w14:textId="77777777" w:rsidR="006F587A" w:rsidRDefault="007B2B61">
            <w:pPr>
              <w:textAlignment w:val="center"/>
              <w:rPr>
                <w:rFonts w:ascii="Times New Roman" w:hAnsi="Times New Roman"/>
                <w:sz w:val="18"/>
                <w:szCs w:val="18"/>
              </w:rPr>
            </w:pPr>
            <w:r>
              <w:rPr>
                <w:rFonts w:ascii="Arial" w:eastAsia="宋体" w:hAnsi="Arial" w:cs="Arial"/>
                <w:b/>
                <w:bCs/>
                <w:color w:val="0071C5"/>
                <w:sz w:val="18"/>
                <w:szCs w:val="18"/>
              </w:rPr>
              <w:t>10nm FPGAs Shipping</w:t>
            </w:r>
          </w:p>
        </w:tc>
        <w:tc>
          <w:tcPr>
            <w:tcW w:w="0" w:type="auto"/>
            <w:vMerge w:val="restart"/>
            <w:shd w:val="clear" w:color="auto" w:fill="auto"/>
            <w:tcMar>
              <w:top w:w="40" w:type="dxa"/>
              <w:left w:w="40" w:type="dxa"/>
              <w:bottom w:w="40" w:type="dxa"/>
              <w:right w:w="40" w:type="dxa"/>
            </w:tcMar>
            <w:vAlign w:val="center"/>
          </w:tcPr>
          <w:p w14:paraId="4ACE2170" w14:textId="77777777" w:rsidR="006F587A" w:rsidRDefault="007B2B61">
            <w:pPr>
              <w:jc w:val="center"/>
              <w:textAlignment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Viewer12_files/a008psgagilexbadgea01.jpg"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3F" wp14:editId="4ACE6C40">
                  <wp:extent cx="304800" cy="304800"/>
                  <wp:effectExtent l="0" t="0" r="0" b="0"/>
                  <wp:docPr id="76" name="图片 56"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6" descr="IMG_27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c>
          <w:tcPr>
            <w:tcW w:w="0" w:type="auto"/>
            <w:shd w:val="clear" w:color="auto" w:fill="auto"/>
            <w:tcMar>
              <w:top w:w="40" w:type="dxa"/>
              <w:left w:w="40" w:type="dxa"/>
              <w:bottom w:w="40" w:type="dxa"/>
              <w:right w:w="40" w:type="dxa"/>
            </w:tcMar>
            <w:vAlign w:val="bottom"/>
          </w:tcPr>
          <w:p w14:paraId="4ACE217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vMerge/>
            <w:shd w:val="clear" w:color="auto" w:fill="auto"/>
            <w:tcMar>
              <w:top w:w="40" w:type="dxa"/>
              <w:left w:w="40" w:type="dxa"/>
              <w:bottom w:w="40" w:type="dxa"/>
              <w:right w:w="40" w:type="dxa"/>
            </w:tcMar>
            <w:vAlign w:val="center"/>
          </w:tcPr>
          <w:p w14:paraId="4ACE2172" w14:textId="77777777" w:rsidR="006F587A" w:rsidRDefault="006F587A">
            <w:pPr>
              <w:rPr>
                <w:rFonts w:ascii="Times New Roman" w:hAnsi="Times New Roman"/>
                <w:sz w:val="20"/>
                <w:szCs w:val="20"/>
              </w:rPr>
            </w:pPr>
          </w:p>
        </w:tc>
      </w:tr>
      <w:tr w:rsidR="006F587A" w14:paraId="4ACE2178" w14:textId="77777777">
        <w:tc>
          <w:tcPr>
            <w:tcW w:w="0" w:type="auto"/>
            <w:gridSpan w:val="2"/>
            <w:vMerge w:val="restart"/>
            <w:shd w:val="clear" w:color="auto" w:fill="auto"/>
            <w:tcMar>
              <w:top w:w="40" w:type="dxa"/>
              <w:left w:w="40" w:type="dxa"/>
              <w:bottom w:w="40" w:type="dxa"/>
              <w:right w:w="40" w:type="dxa"/>
            </w:tcMar>
          </w:tcPr>
          <w:p w14:paraId="4ACE2174"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We began shipping engineering samples of Intel</w:t>
            </w:r>
            <w:r>
              <w:rPr>
                <w:rFonts w:ascii="Arial" w:eastAsia="宋体" w:hAnsi="Arial" w:cs="Arial"/>
                <w:color w:val="333333"/>
                <w:sz w:val="12"/>
                <w:szCs w:val="12"/>
              </w:rPr>
              <w:t>®</w:t>
            </w:r>
            <w:r>
              <w:rPr>
                <w:rFonts w:ascii="Arial" w:eastAsia="宋体" w:hAnsi="Arial" w:cs="Arial"/>
                <w:color w:val="333333"/>
                <w:sz w:val="18"/>
                <w:szCs w:val="18"/>
              </w:rPr>
              <w:t xml:space="preserve"> Agilex™ FPGAs to customers. The 10nm-based </w:t>
            </w:r>
            <w:r>
              <w:rPr>
                <w:rFonts w:ascii="Arial" w:eastAsia="宋体" w:hAnsi="Arial" w:cs="Arial"/>
                <w:color w:val="333333"/>
                <w:sz w:val="18"/>
                <w:szCs w:val="18"/>
              </w:rPr>
              <w:t>FPGAs are used by our customers to develop advanced solutions for networking, 5G, and accelerated data analytics. The Intel</w:t>
            </w:r>
            <w:r>
              <w:rPr>
                <w:rFonts w:ascii="Arial" w:eastAsia="宋体" w:hAnsi="Arial" w:cs="Arial"/>
                <w:color w:val="333333"/>
                <w:sz w:val="12"/>
                <w:szCs w:val="12"/>
              </w:rPr>
              <w:t>®</w:t>
            </w:r>
            <w:r>
              <w:rPr>
                <w:rFonts w:ascii="Arial" w:eastAsia="宋体" w:hAnsi="Arial" w:cs="Arial"/>
                <w:color w:val="333333"/>
                <w:sz w:val="18"/>
                <w:szCs w:val="18"/>
              </w:rPr>
              <w:t> Agilex™ FPGA family leverages heterogeneous 3D SiP technology to deliver higher performance or higher power efficiency.</w:t>
            </w:r>
          </w:p>
        </w:tc>
        <w:tc>
          <w:tcPr>
            <w:tcW w:w="0" w:type="auto"/>
            <w:vMerge/>
            <w:shd w:val="clear" w:color="auto" w:fill="auto"/>
            <w:tcMar>
              <w:top w:w="40" w:type="dxa"/>
              <w:left w:w="40" w:type="dxa"/>
              <w:bottom w:w="40" w:type="dxa"/>
              <w:right w:w="40" w:type="dxa"/>
            </w:tcMar>
            <w:vAlign w:val="center"/>
          </w:tcPr>
          <w:p w14:paraId="4ACE2175"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17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vMerge/>
            <w:shd w:val="clear" w:color="auto" w:fill="auto"/>
            <w:tcMar>
              <w:top w:w="40" w:type="dxa"/>
              <w:left w:w="40" w:type="dxa"/>
              <w:bottom w:w="40" w:type="dxa"/>
              <w:right w:w="40" w:type="dxa"/>
            </w:tcMar>
            <w:vAlign w:val="center"/>
          </w:tcPr>
          <w:p w14:paraId="4ACE2177" w14:textId="77777777" w:rsidR="006F587A" w:rsidRDefault="006F587A">
            <w:pPr>
              <w:rPr>
                <w:rFonts w:ascii="Times New Roman" w:hAnsi="Times New Roman"/>
                <w:sz w:val="20"/>
                <w:szCs w:val="20"/>
              </w:rPr>
            </w:pPr>
          </w:p>
        </w:tc>
      </w:tr>
      <w:tr w:rsidR="006F587A" w14:paraId="4ACE217D" w14:textId="77777777">
        <w:tc>
          <w:tcPr>
            <w:tcW w:w="0" w:type="auto"/>
            <w:gridSpan w:val="2"/>
            <w:vMerge/>
            <w:shd w:val="clear" w:color="auto" w:fill="auto"/>
            <w:tcMar>
              <w:top w:w="40" w:type="dxa"/>
              <w:left w:w="40" w:type="dxa"/>
              <w:bottom w:w="40" w:type="dxa"/>
              <w:right w:w="40" w:type="dxa"/>
            </w:tcMar>
          </w:tcPr>
          <w:p w14:paraId="4ACE2179" w14:textId="77777777" w:rsidR="006F587A" w:rsidRDefault="006F587A">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center"/>
          </w:tcPr>
          <w:p w14:paraId="4ACE217A"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17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center"/>
          </w:tcPr>
          <w:p w14:paraId="4ACE217C" w14:textId="77777777" w:rsidR="006F587A" w:rsidRDefault="007B2B61">
            <w:pPr>
              <w:textAlignment w:val="center"/>
              <w:rPr>
                <w:rFonts w:ascii="Times New Roman" w:hAnsi="Times New Roman"/>
                <w:sz w:val="18"/>
                <w:szCs w:val="18"/>
              </w:rPr>
            </w:pPr>
            <w:r>
              <w:rPr>
                <w:rFonts w:ascii="Arial" w:eastAsia="宋体" w:hAnsi="Arial" w:cs="Arial"/>
                <w:b/>
                <w:bCs/>
                <w:color w:val="0071C5"/>
                <w:sz w:val="18"/>
                <w:szCs w:val="18"/>
              </w:rPr>
              <w:t>Project Athena Innovation Program</w:t>
            </w:r>
          </w:p>
        </w:tc>
      </w:tr>
      <w:tr w:rsidR="006F587A" w14:paraId="4ACE2183" w14:textId="77777777">
        <w:tc>
          <w:tcPr>
            <w:tcW w:w="0" w:type="auto"/>
            <w:gridSpan w:val="2"/>
            <w:vMerge/>
            <w:shd w:val="clear" w:color="auto" w:fill="auto"/>
            <w:tcMar>
              <w:top w:w="40" w:type="dxa"/>
              <w:left w:w="40" w:type="dxa"/>
              <w:bottom w:w="40" w:type="dxa"/>
              <w:right w:w="40" w:type="dxa"/>
            </w:tcMar>
          </w:tcPr>
          <w:p w14:paraId="4ACE217E" w14:textId="77777777" w:rsidR="006F587A" w:rsidRDefault="006F587A">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center"/>
          </w:tcPr>
          <w:p w14:paraId="4ACE217F"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18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tcPr>
          <w:p w14:paraId="4ACE2181"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Project Athena is a new multi-year innovation program to help the PC ecosystem create advanced laptops that meet ambitious key experience indicators in performance, responsiveness, battery life, form factor, and AI. The first laptops verified through the i</w:t>
            </w:r>
            <w:r>
              <w:rPr>
                <w:rFonts w:ascii="Arial" w:eastAsia="宋体" w:hAnsi="Arial" w:cs="Arial"/>
                <w:color w:val="333333"/>
                <w:sz w:val="18"/>
                <w:szCs w:val="18"/>
              </w:rPr>
              <w:t xml:space="preserve">nnovation program became </w:t>
            </w:r>
          </w:p>
        </w:tc>
        <w:tc>
          <w:tcPr>
            <w:tcW w:w="0" w:type="auto"/>
            <w:vMerge w:val="restart"/>
            <w:shd w:val="clear" w:color="auto" w:fill="auto"/>
            <w:tcMar>
              <w:top w:w="40" w:type="dxa"/>
              <w:left w:w="40" w:type="dxa"/>
              <w:bottom w:w="40" w:type="dxa"/>
              <w:right w:w="40" w:type="dxa"/>
            </w:tcMar>
          </w:tcPr>
          <w:p w14:paraId="4ACE2182" w14:textId="77777777" w:rsidR="006F587A" w:rsidRDefault="007B2B61">
            <w:pPr>
              <w:jc w:val="center"/>
              <w:textAlignment w:val="top"/>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Viewer12_files/a010yirprojectathenaa06.jpg"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41" wp14:editId="4ACE6C42">
                  <wp:extent cx="304800" cy="304800"/>
                  <wp:effectExtent l="0" t="0" r="0" b="0"/>
                  <wp:docPr id="12" name="图片 57"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7" descr="IMG_27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r>
      <w:tr w:rsidR="006F587A" w14:paraId="4ACE2188" w14:textId="77777777">
        <w:tc>
          <w:tcPr>
            <w:tcW w:w="0" w:type="auto"/>
            <w:gridSpan w:val="3"/>
            <w:shd w:val="clear" w:color="auto" w:fill="auto"/>
            <w:tcMar>
              <w:top w:w="40" w:type="dxa"/>
              <w:left w:w="40" w:type="dxa"/>
              <w:bottom w:w="40" w:type="dxa"/>
              <w:right w:w="40" w:type="dxa"/>
            </w:tcMar>
            <w:vAlign w:val="center"/>
          </w:tcPr>
          <w:p w14:paraId="4ACE2184" w14:textId="77777777" w:rsidR="006F587A" w:rsidRDefault="007B2B61">
            <w:pPr>
              <w:textAlignment w:val="center"/>
              <w:rPr>
                <w:rFonts w:ascii="Times New Roman" w:hAnsi="Times New Roman"/>
                <w:sz w:val="18"/>
                <w:szCs w:val="18"/>
              </w:rPr>
            </w:pPr>
            <w:r>
              <w:rPr>
                <w:rFonts w:ascii="Arial" w:eastAsia="宋体" w:hAnsi="Arial" w:cs="Arial"/>
                <w:b/>
                <w:bCs/>
                <w:color w:val="0071C5"/>
                <w:sz w:val="18"/>
                <w:szCs w:val="18"/>
              </w:rPr>
              <w:t>Habana Labs Acquisition</w:t>
            </w:r>
          </w:p>
        </w:tc>
        <w:tc>
          <w:tcPr>
            <w:tcW w:w="0" w:type="auto"/>
            <w:shd w:val="clear" w:color="auto" w:fill="auto"/>
            <w:tcMar>
              <w:top w:w="40" w:type="dxa"/>
              <w:left w:w="40" w:type="dxa"/>
              <w:bottom w:w="40" w:type="dxa"/>
              <w:right w:w="40" w:type="dxa"/>
            </w:tcMar>
            <w:vAlign w:val="bottom"/>
          </w:tcPr>
          <w:p w14:paraId="4ACE218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tcPr>
          <w:p w14:paraId="4ACE2186" w14:textId="77777777" w:rsidR="006F587A" w:rsidRDefault="006F587A">
            <w:pPr>
              <w:rPr>
                <w:rFonts w:ascii="Times New Roman" w:hAnsi="Times New Roman"/>
                <w:sz w:val="20"/>
                <w:szCs w:val="20"/>
              </w:rPr>
            </w:pPr>
          </w:p>
        </w:tc>
        <w:tc>
          <w:tcPr>
            <w:tcW w:w="0" w:type="auto"/>
            <w:vMerge/>
            <w:shd w:val="clear" w:color="auto" w:fill="auto"/>
            <w:tcMar>
              <w:top w:w="40" w:type="dxa"/>
              <w:left w:w="40" w:type="dxa"/>
              <w:bottom w:w="40" w:type="dxa"/>
              <w:right w:w="40" w:type="dxa"/>
            </w:tcMar>
          </w:tcPr>
          <w:p w14:paraId="4ACE2187" w14:textId="77777777" w:rsidR="006F587A" w:rsidRDefault="006F587A">
            <w:pPr>
              <w:rPr>
                <w:rFonts w:ascii="Times New Roman" w:hAnsi="Times New Roman"/>
                <w:sz w:val="20"/>
                <w:szCs w:val="20"/>
              </w:rPr>
            </w:pPr>
          </w:p>
        </w:tc>
      </w:tr>
      <w:tr w:rsidR="006F587A" w14:paraId="4ACE218D" w14:textId="77777777">
        <w:tc>
          <w:tcPr>
            <w:tcW w:w="0" w:type="auto"/>
            <w:gridSpan w:val="3"/>
            <w:vMerge w:val="restart"/>
            <w:shd w:val="clear" w:color="auto" w:fill="auto"/>
            <w:tcMar>
              <w:top w:w="40" w:type="dxa"/>
              <w:left w:w="40" w:type="dxa"/>
              <w:bottom w:w="40" w:type="dxa"/>
              <w:right w:w="40" w:type="dxa"/>
            </w:tcMar>
            <w:vAlign w:val="bottom"/>
          </w:tcPr>
          <w:p w14:paraId="4ACE218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We acquired Habana Labs Ltd., an Israel-based developer of programmable deep learning accelerators for the data center, for approximately $1.7 billion. Habana's AI processors provide data scientists and developers with accelerator hardware that improves pr</w:t>
            </w:r>
            <w:r>
              <w:rPr>
                <w:rFonts w:ascii="Arial" w:eastAsia="宋体" w:hAnsi="Arial" w:cs="Arial"/>
                <w:color w:val="333333"/>
                <w:sz w:val="18"/>
                <w:szCs w:val="18"/>
              </w:rPr>
              <w:t>ocessing performance and reduces power consumption. Habana's Gaudi* AI training processor is currently sampling with select hyperscale customers. Large-node training systems based on Gaudi* are expected to deliver up to four times increase in throughput ve</w:t>
            </w:r>
            <w:r>
              <w:rPr>
                <w:rFonts w:ascii="Arial" w:eastAsia="宋体" w:hAnsi="Arial" w:cs="Arial"/>
                <w:color w:val="333333"/>
                <w:sz w:val="18"/>
                <w:szCs w:val="18"/>
              </w:rPr>
              <w:t xml:space="preserve">rsus systems built with the equivalent number of GPUs. The acquisition strengthens our AI portfolio and accelerates our efforts in the nascent, fast-growing AI silicon market. </w:t>
            </w:r>
          </w:p>
        </w:tc>
        <w:tc>
          <w:tcPr>
            <w:tcW w:w="0" w:type="auto"/>
            <w:shd w:val="clear" w:color="auto" w:fill="auto"/>
            <w:tcMar>
              <w:top w:w="40" w:type="dxa"/>
              <w:left w:w="40" w:type="dxa"/>
              <w:bottom w:w="40" w:type="dxa"/>
              <w:right w:w="40" w:type="dxa"/>
            </w:tcMar>
            <w:vAlign w:val="bottom"/>
          </w:tcPr>
          <w:p w14:paraId="4ACE218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tcPr>
          <w:p w14:paraId="4ACE218B" w14:textId="77777777" w:rsidR="006F587A" w:rsidRDefault="006F587A">
            <w:pPr>
              <w:rPr>
                <w:rFonts w:ascii="Times New Roman" w:hAnsi="Times New Roman"/>
                <w:sz w:val="20"/>
                <w:szCs w:val="20"/>
              </w:rPr>
            </w:pPr>
          </w:p>
        </w:tc>
        <w:tc>
          <w:tcPr>
            <w:tcW w:w="0" w:type="auto"/>
            <w:vMerge/>
            <w:shd w:val="clear" w:color="auto" w:fill="auto"/>
            <w:tcMar>
              <w:top w:w="40" w:type="dxa"/>
              <w:left w:w="40" w:type="dxa"/>
              <w:bottom w:w="40" w:type="dxa"/>
              <w:right w:w="40" w:type="dxa"/>
            </w:tcMar>
          </w:tcPr>
          <w:p w14:paraId="4ACE218C" w14:textId="77777777" w:rsidR="006F587A" w:rsidRDefault="006F587A">
            <w:pPr>
              <w:rPr>
                <w:rFonts w:ascii="Times New Roman" w:hAnsi="Times New Roman"/>
                <w:sz w:val="20"/>
                <w:szCs w:val="20"/>
              </w:rPr>
            </w:pPr>
          </w:p>
        </w:tc>
      </w:tr>
      <w:tr w:rsidR="006F587A" w14:paraId="4ACE2191" w14:textId="77777777">
        <w:tc>
          <w:tcPr>
            <w:tcW w:w="0" w:type="auto"/>
            <w:gridSpan w:val="3"/>
            <w:vMerge/>
            <w:shd w:val="clear" w:color="auto" w:fill="auto"/>
            <w:tcMar>
              <w:top w:w="40" w:type="dxa"/>
              <w:left w:w="40" w:type="dxa"/>
              <w:bottom w:w="40" w:type="dxa"/>
              <w:right w:w="40" w:type="dxa"/>
            </w:tcMar>
            <w:vAlign w:val="bottom"/>
          </w:tcPr>
          <w:p w14:paraId="4ACE218E"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18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vMerge w:val="restart"/>
            <w:shd w:val="clear" w:color="auto" w:fill="auto"/>
            <w:tcMar>
              <w:top w:w="40" w:type="dxa"/>
              <w:left w:w="40" w:type="dxa"/>
              <w:bottom w:w="40" w:type="dxa"/>
              <w:right w:w="40" w:type="dxa"/>
            </w:tcMar>
          </w:tcPr>
          <w:p w14:paraId="4ACE2190"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 xml:space="preserve">available in 2019, identified by the visual marker </w:t>
            </w:r>
            <w:r>
              <w:rPr>
                <w:rFonts w:ascii="Arial" w:eastAsia="宋体" w:hAnsi="Arial" w:cs="Arial"/>
                <w:color w:val="333333"/>
                <w:sz w:val="18"/>
                <w:szCs w:val="18"/>
              </w:rPr>
              <w:t>"Engineered for Mobile Performance."</w:t>
            </w:r>
          </w:p>
        </w:tc>
      </w:tr>
      <w:tr w:rsidR="006F587A" w14:paraId="4ACE2197" w14:textId="77777777">
        <w:tc>
          <w:tcPr>
            <w:tcW w:w="0" w:type="auto"/>
            <w:shd w:val="clear" w:color="auto" w:fill="auto"/>
            <w:tcMar>
              <w:top w:w="40" w:type="dxa"/>
              <w:left w:w="40" w:type="dxa"/>
              <w:bottom w:w="40" w:type="dxa"/>
              <w:right w:w="40" w:type="dxa"/>
            </w:tcMar>
            <w:vAlign w:val="bottom"/>
          </w:tcPr>
          <w:p w14:paraId="4ACE219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19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19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19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vMerge/>
            <w:shd w:val="clear" w:color="auto" w:fill="auto"/>
            <w:tcMar>
              <w:top w:w="40" w:type="dxa"/>
              <w:left w:w="40" w:type="dxa"/>
              <w:bottom w:w="40" w:type="dxa"/>
              <w:right w:w="40" w:type="dxa"/>
            </w:tcMar>
          </w:tcPr>
          <w:p w14:paraId="4ACE2196" w14:textId="77777777" w:rsidR="006F587A" w:rsidRDefault="006F587A">
            <w:pPr>
              <w:rPr>
                <w:rFonts w:ascii="Times New Roman" w:hAnsi="Times New Roman"/>
                <w:sz w:val="20"/>
                <w:szCs w:val="20"/>
              </w:rPr>
            </w:pPr>
          </w:p>
        </w:tc>
      </w:tr>
    </w:tbl>
    <w:p w14:paraId="4ACE2198" w14:textId="77777777" w:rsidR="006F587A" w:rsidRDefault="006F587A">
      <w:pPr>
        <w:rPr>
          <w:vanish/>
        </w:rPr>
      </w:pPr>
    </w:p>
    <w:tbl>
      <w:tblPr>
        <w:tblW w:w="14660" w:type="dxa"/>
        <w:tblCellMar>
          <w:left w:w="0" w:type="dxa"/>
          <w:right w:w="0" w:type="dxa"/>
        </w:tblCellMar>
        <w:tblLook w:val="04A0" w:firstRow="1" w:lastRow="0" w:firstColumn="1" w:lastColumn="0" w:noHBand="0" w:noVBand="1"/>
      </w:tblPr>
      <w:tblGrid>
        <w:gridCol w:w="984"/>
        <w:gridCol w:w="981"/>
        <w:gridCol w:w="958"/>
        <w:gridCol w:w="939"/>
        <w:gridCol w:w="2811"/>
        <w:gridCol w:w="2580"/>
        <w:gridCol w:w="141"/>
        <w:gridCol w:w="5266"/>
      </w:tblGrid>
      <w:tr w:rsidR="006F587A" w14:paraId="4ACE219A" w14:textId="77777777">
        <w:tc>
          <w:tcPr>
            <w:tcW w:w="0" w:type="auto"/>
            <w:gridSpan w:val="8"/>
            <w:shd w:val="clear" w:color="auto" w:fill="auto"/>
            <w:vAlign w:val="center"/>
          </w:tcPr>
          <w:p w14:paraId="4ACE2199" w14:textId="77777777" w:rsidR="006F587A" w:rsidRDefault="006F587A">
            <w:pPr>
              <w:rPr>
                <w:rFonts w:ascii="Times New Roman" w:hAnsi="Times New Roman"/>
                <w:sz w:val="20"/>
                <w:szCs w:val="20"/>
              </w:rPr>
            </w:pPr>
          </w:p>
        </w:tc>
      </w:tr>
      <w:tr w:rsidR="006F587A" w14:paraId="4ACE21A3" w14:textId="77777777">
        <w:tc>
          <w:tcPr>
            <w:tcW w:w="1480" w:type="dxa"/>
            <w:shd w:val="clear" w:color="auto" w:fill="auto"/>
            <w:vAlign w:val="center"/>
          </w:tcPr>
          <w:p w14:paraId="4ACE219B" w14:textId="77777777" w:rsidR="006F587A" w:rsidRDefault="006F587A">
            <w:pPr>
              <w:rPr>
                <w:rFonts w:ascii="Times New Roman" w:hAnsi="Times New Roman"/>
                <w:sz w:val="20"/>
                <w:szCs w:val="20"/>
              </w:rPr>
            </w:pPr>
          </w:p>
        </w:tc>
        <w:tc>
          <w:tcPr>
            <w:tcW w:w="1520" w:type="dxa"/>
            <w:shd w:val="clear" w:color="auto" w:fill="auto"/>
            <w:vAlign w:val="center"/>
          </w:tcPr>
          <w:p w14:paraId="4ACE219C" w14:textId="77777777" w:rsidR="006F587A" w:rsidRDefault="006F587A">
            <w:pPr>
              <w:rPr>
                <w:rFonts w:ascii="Times New Roman" w:hAnsi="Times New Roman"/>
                <w:sz w:val="20"/>
                <w:szCs w:val="20"/>
              </w:rPr>
            </w:pPr>
          </w:p>
        </w:tc>
        <w:tc>
          <w:tcPr>
            <w:tcW w:w="1520" w:type="dxa"/>
            <w:shd w:val="clear" w:color="auto" w:fill="auto"/>
            <w:vAlign w:val="center"/>
          </w:tcPr>
          <w:p w14:paraId="4ACE219D" w14:textId="77777777" w:rsidR="006F587A" w:rsidRDefault="006F587A">
            <w:pPr>
              <w:rPr>
                <w:rFonts w:ascii="Times New Roman" w:hAnsi="Times New Roman"/>
                <w:sz w:val="20"/>
                <w:szCs w:val="20"/>
              </w:rPr>
            </w:pPr>
          </w:p>
        </w:tc>
        <w:tc>
          <w:tcPr>
            <w:tcW w:w="1520" w:type="dxa"/>
            <w:shd w:val="clear" w:color="auto" w:fill="auto"/>
            <w:vAlign w:val="center"/>
          </w:tcPr>
          <w:p w14:paraId="4ACE219E" w14:textId="77777777" w:rsidR="006F587A" w:rsidRDefault="006F587A">
            <w:pPr>
              <w:rPr>
                <w:rFonts w:ascii="Times New Roman" w:hAnsi="Times New Roman"/>
                <w:sz w:val="20"/>
                <w:szCs w:val="20"/>
              </w:rPr>
            </w:pPr>
          </w:p>
        </w:tc>
        <w:tc>
          <w:tcPr>
            <w:tcW w:w="1520" w:type="dxa"/>
            <w:shd w:val="clear" w:color="auto" w:fill="auto"/>
            <w:vAlign w:val="center"/>
          </w:tcPr>
          <w:p w14:paraId="4ACE219F" w14:textId="77777777" w:rsidR="006F587A" w:rsidRDefault="006F587A">
            <w:pPr>
              <w:rPr>
                <w:rFonts w:ascii="Times New Roman" w:hAnsi="Times New Roman"/>
                <w:sz w:val="20"/>
                <w:szCs w:val="20"/>
              </w:rPr>
            </w:pPr>
          </w:p>
        </w:tc>
        <w:tc>
          <w:tcPr>
            <w:tcW w:w="1520" w:type="dxa"/>
            <w:shd w:val="clear" w:color="auto" w:fill="auto"/>
            <w:vAlign w:val="center"/>
          </w:tcPr>
          <w:p w14:paraId="4ACE21A0" w14:textId="77777777" w:rsidR="006F587A" w:rsidRDefault="006F587A">
            <w:pPr>
              <w:rPr>
                <w:rFonts w:ascii="Times New Roman" w:hAnsi="Times New Roman"/>
                <w:sz w:val="20"/>
                <w:szCs w:val="20"/>
              </w:rPr>
            </w:pPr>
          </w:p>
        </w:tc>
        <w:tc>
          <w:tcPr>
            <w:tcW w:w="200" w:type="dxa"/>
            <w:shd w:val="clear" w:color="auto" w:fill="auto"/>
            <w:vAlign w:val="center"/>
          </w:tcPr>
          <w:p w14:paraId="4ACE21A1" w14:textId="77777777" w:rsidR="006F587A" w:rsidRDefault="006F587A">
            <w:pPr>
              <w:rPr>
                <w:rFonts w:ascii="Times New Roman" w:hAnsi="Times New Roman"/>
                <w:sz w:val="20"/>
                <w:szCs w:val="20"/>
              </w:rPr>
            </w:pPr>
          </w:p>
        </w:tc>
        <w:tc>
          <w:tcPr>
            <w:tcW w:w="5320" w:type="dxa"/>
            <w:shd w:val="clear" w:color="auto" w:fill="auto"/>
            <w:vAlign w:val="center"/>
          </w:tcPr>
          <w:p w14:paraId="4ACE21A2" w14:textId="77777777" w:rsidR="006F587A" w:rsidRDefault="006F587A">
            <w:pPr>
              <w:rPr>
                <w:rFonts w:ascii="Times New Roman" w:hAnsi="Times New Roman"/>
                <w:sz w:val="20"/>
                <w:szCs w:val="20"/>
              </w:rPr>
            </w:pPr>
          </w:p>
        </w:tc>
      </w:tr>
      <w:tr w:rsidR="006F587A" w14:paraId="4ACE21A7" w14:textId="77777777">
        <w:tc>
          <w:tcPr>
            <w:tcW w:w="0" w:type="auto"/>
            <w:gridSpan w:val="6"/>
            <w:shd w:val="clear" w:color="auto" w:fill="ACACAC"/>
            <w:tcMar>
              <w:top w:w="40" w:type="dxa"/>
              <w:left w:w="40" w:type="dxa"/>
              <w:bottom w:w="40" w:type="dxa"/>
              <w:right w:w="40" w:type="dxa"/>
            </w:tcMar>
            <w:vAlign w:val="bottom"/>
          </w:tcPr>
          <w:p w14:paraId="4ACE21A4" w14:textId="77777777" w:rsidR="006F587A" w:rsidRDefault="007B2B61">
            <w:pPr>
              <w:textAlignment w:val="bottom"/>
              <w:rPr>
                <w:rFonts w:ascii="Times New Roman" w:hAnsi="Times New Roman"/>
                <w:sz w:val="20"/>
                <w:szCs w:val="20"/>
              </w:rPr>
            </w:pPr>
            <w:r>
              <w:rPr>
                <w:rFonts w:ascii="Arial" w:eastAsia="宋体" w:hAnsi="Arial" w:cs="Arial"/>
                <w:b/>
                <w:bCs/>
                <w:color w:val="FFFFFF"/>
                <w:sz w:val="20"/>
                <w:szCs w:val="20"/>
              </w:rPr>
              <w:t>BIG BETS UPDATE</w:t>
            </w:r>
          </w:p>
        </w:tc>
        <w:tc>
          <w:tcPr>
            <w:tcW w:w="0" w:type="auto"/>
            <w:shd w:val="clear" w:color="auto" w:fill="auto"/>
            <w:tcMar>
              <w:top w:w="40" w:type="dxa"/>
              <w:left w:w="40" w:type="dxa"/>
              <w:bottom w:w="40" w:type="dxa"/>
              <w:right w:w="40" w:type="dxa"/>
            </w:tcMar>
            <w:vAlign w:val="bottom"/>
          </w:tcPr>
          <w:p w14:paraId="4ACE21A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vAlign w:val="center"/>
          </w:tcPr>
          <w:p w14:paraId="4ACE21A6" w14:textId="77777777" w:rsidR="006F587A" w:rsidRDefault="007B2B61">
            <w:pPr>
              <w:textAlignment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Viewer12_files/a011murthyinvestor780.jpg"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43" wp14:editId="4ACE6C44">
                  <wp:extent cx="304800" cy="304800"/>
                  <wp:effectExtent l="0" t="0" r="0" b="0"/>
                  <wp:docPr id="87" name="图片 58"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58" descr="IMG_27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r>
      <w:tr w:rsidR="006F587A" w14:paraId="4ACE21AB" w14:textId="77777777">
        <w:tc>
          <w:tcPr>
            <w:tcW w:w="0" w:type="auto"/>
            <w:gridSpan w:val="6"/>
            <w:shd w:val="clear" w:color="auto" w:fill="auto"/>
            <w:tcMar>
              <w:top w:w="40" w:type="dxa"/>
              <w:left w:w="40" w:type="dxa"/>
              <w:bottom w:w="40" w:type="dxa"/>
              <w:right w:w="40" w:type="dxa"/>
            </w:tcMar>
          </w:tcPr>
          <w:p w14:paraId="4ACE21A8"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We aim to be at the forefront of the constant technological change in our industry. We will evaluate new and existing big bets based on the following criteria: the "bet" is leading the edge of a technology inflection, it plays a significant role in our cus</w:t>
            </w:r>
            <w:r>
              <w:rPr>
                <w:rFonts w:ascii="Arial" w:eastAsia="宋体" w:hAnsi="Arial" w:cs="Arial"/>
                <w:color w:val="333333"/>
                <w:sz w:val="18"/>
                <w:szCs w:val="18"/>
              </w:rPr>
              <w:t xml:space="preserve">tomers' success, and it offers a clear path to profitability and attractive returns. Currently, our big bets are memory, autonomous driving, and 5G. </w:t>
            </w:r>
          </w:p>
        </w:tc>
        <w:tc>
          <w:tcPr>
            <w:tcW w:w="0" w:type="auto"/>
            <w:shd w:val="clear" w:color="auto" w:fill="auto"/>
            <w:tcMar>
              <w:top w:w="40" w:type="dxa"/>
              <w:left w:w="40" w:type="dxa"/>
              <w:bottom w:w="40" w:type="dxa"/>
              <w:right w:w="40" w:type="dxa"/>
            </w:tcMar>
            <w:vAlign w:val="bottom"/>
          </w:tcPr>
          <w:p w14:paraId="4ACE21A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center"/>
          </w:tcPr>
          <w:p w14:paraId="4ACE21AA" w14:textId="77777777" w:rsidR="006F587A" w:rsidRDefault="006F587A">
            <w:pPr>
              <w:rPr>
                <w:rFonts w:ascii="Times New Roman" w:hAnsi="Times New Roman"/>
                <w:sz w:val="20"/>
                <w:szCs w:val="20"/>
              </w:rPr>
            </w:pPr>
          </w:p>
        </w:tc>
      </w:tr>
      <w:tr w:rsidR="006F587A" w14:paraId="4ACE21B0" w14:textId="77777777">
        <w:tc>
          <w:tcPr>
            <w:tcW w:w="0" w:type="auto"/>
            <w:gridSpan w:val="6"/>
            <w:shd w:val="clear" w:color="auto" w:fill="auto"/>
            <w:tcMar>
              <w:top w:w="40" w:type="dxa"/>
              <w:left w:w="40" w:type="dxa"/>
              <w:bottom w:w="40" w:type="dxa"/>
              <w:right w:w="40" w:type="dxa"/>
            </w:tcMar>
            <w:vAlign w:val="center"/>
          </w:tcPr>
          <w:p w14:paraId="4ACE21AC" w14:textId="77777777" w:rsidR="006F587A" w:rsidRDefault="007B2B61">
            <w:pPr>
              <w:textAlignment w:val="center"/>
              <w:rPr>
                <w:rFonts w:ascii="Times New Roman" w:hAnsi="Times New Roman"/>
                <w:sz w:val="18"/>
                <w:szCs w:val="18"/>
              </w:rPr>
            </w:pPr>
            <w:r>
              <w:rPr>
                <w:rFonts w:ascii="Arial" w:eastAsia="宋体" w:hAnsi="Arial" w:cs="Arial"/>
                <w:color w:val="333333"/>
                <w:sz w:val="18"/>
                <w:szCs w:val="18"/>
              </w:rPr>
              <w:t>We exited 5G smartphone modem business to increase the focus of our 5G efforts on the broader opportun</w:t>
            </w:r>
            <w:r>
              <w:rPr>
                <w:rFonts w:ascii="Arial" w:eastAsia="宋体" w:hAnsi="Arial" w:cs="Arial"/>
                <w:color w:val="333333"/>
                <w:sz w:val="18"/>
                <w:szCs w:val="18"/>
              </w:rPr>
              <w:t>ity to modernize network and edge infrastructure.</w:t>
            </w:r>
          </w:p>
          <w:p w14:paraId="4ACE21AD" w14:textId="77777777" w:rsidR="006F587A" w:rsidRDefault="006F587A">
            <w:pPr>
              <w:textAlignment w:val="center"/>
              <w:rPr>
                <w:rFonts w:ascii="Times New Roman" w:hAnsi="Times New Roman"/>
                <w:sz w:val="18"/>
                <w:szCs w:val="18"/>
              </w:rPr>
            </w:pPr>
          </w:p>
        </w:tc>
        <w:tc>
          <w:tcPr>
            <w:tcW w:w="0" w:type="auto"/>
            <w:shd w:val="clear" w:color="auto" w:fill="auto"/>
            <w:tcMar>
              <w:top w:w="40" w:type="dxa"/>
              <w:left w:w="40" w:type="dxa"/>
              <w:bottom w:w="40" w:type="dxa"/>
              <w:right w:w="40" w:type="dxa"/>
            </w:tcMar>
            <w:vAlign w:val="bottom"/>
          </w:tcPr>
          <w:p w14:paraId="4ACE21A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center"/>
          </w:tcPr>
          <w:p w14:paraId="4ACE21AF" w14:textId="77777777" w:rsidR="006F587A" w:rsidRDefault="006F587A">
            <w:pPr>
              <w:rPr>
                <w:rFonts w:ascii="Times New Roman" w:hAnsi="Times New Roman"/>
                <w:sz w:val="20"/>
                <w:szCs w:val="20"/>
              </w:rPr>
            </w:pPr>
          </w:p>
        </w:tc>
      </w:tr>
      <w:tr w:rsidR="006F587A" w14:paraId="4ACE21B5" w14:textId="77777777">
        <w:tc>
          <w:tcPr>
            <w:tcW w:w="0" w:type="auto"/>
            <w:gridSpan w:val="4"/>
            <w:vMerge w:val="restart"/>
            <w:shd w:val="clear" w:color="auto" w:fill="auto"/>
            <w:tcMar>
              <w:top w:w="40" w:type="dxa"/>
              <w:left w:w="40" w:type="dxa"/>
              <w:bottom w:w="40" w:type="dxa"/>
              <w:right w:w="40" w:type="dxa"/>
            </w:tcMar>
            <w:vAlign w:val="center"/>
          </w:tcPr>
          <w:p w14:paraId="4ACE21B1" w14:textId="77777777" w:rsidR="006F587A" w:rsidRDefault="007B2B61">
            <w:pPr>
              <w:jc w:val="center"/>
              <w:textAlignment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Viewer12_files/a012bigbetsv2.jpg"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45" wp14:editId="4ACE6C46">
                  <wp:extent cx="304800" cy="304800"/>
                  <wp:effectExtent l="0" t="0" r="0" b="0"/>
                  <wp:docPr id="139" name="图片 59"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59" descr="IMG_27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c>
          <w:tcPr>
            <w:tcW w:w="0" w:type="auto"/>
            <w:gridSpan w:val="2"/>
            <w:vMerge w:val="restart"/>
            <w:shd w:val="clear" w:color="auto" w:fill="auto"/>
            <w:tcMar>
              <w:top w:w="40" w:type="dxa"/>
              <w:left w:w="40" w:type="dxa"/>
              <w:bottom w:w="40" w:type="dxa"/>
              <w:right w:w="40" w:type="dxa"/>
            </w:tcMar>
          </w:tcPr>
          <w:p w14:paraId="4ACE21B2"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We continue to make progress in memory and autonomous driving. We launched Intel</w:t>
            </w:r>
            <w:r>
              <w:rPr>
                <w:rFonts w:ascii="Arial" w:eastAsia="宋体" w:hAnsi="Arial" w:cs="Arial"/>
                <w:color w:val="333333"/>
                <w:sz w:val="12"/>
                <w:szCs w:val="12"/>
              </w:rPr>
              <w:t>®</w:t>
            </w:r>
            <w:r>
              <w:rPr>
                <w:rFonts w:ascii="Arial" w:eastAsia="宋体" w:hAnsi="Arial" w:cs="Arial"/>
                <w:color w:val="333333"/>
                <w:sz w:val="18"/>
                <w:szCs w:val="18"/>
              </w:rPr>
              <w:t> Optane™ DC persistent memory f</w:t>
            </w:r>
            <w:r>
              <w:rPr>
                <w:rFonts w:ascii="Arial" w:eastAsia="宋体" w:hAnsi="Arial" w:cs="Arial"/>
                <w:color w:val="333333"/>
                <w:sz w:val="18"/>
                <w:szCs w:val="18"/>
              </w:rPr>
              <w:t>or the data center and continue to take steps to improve NAND profitability. Mobileye's EyeQ*5, the vision central computer performing sensor fusion for fully autonomous driving, is operational in Mobileye's autonomous test vehicles.</w:t>
            </w:r>
          </w:p>
        </w:tc>
        <w:tc>
          <w:tcPr>
            <w:tcW w:w="0" w:type="auto"/>
            <w:shd w:val="clear" w:color="auto" w:fill="auto"/>
            <w:tcMar>
              <w:top w:w="40" w:type="dxa"/>
              <w:left w:w="40" w:type="dxa"/>
              <w:bottom w:w="40" w:type="dxa"/>
              <w:right w:w="40" w:type="dxa"/>
            </w:tcMar>
            <w:vAlign w:val="bottom"/>
          </w:tcPr>
          <w:p w14:paraId="4ACE21B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center"/>
          </w:tcPr>
          <w:p w14:paraId="4ACE21B4" w14:textId="77777777" w:rsidR="006F587A" w:rsidRDefault="006F587A">
            <w:pPr>
              <w:rPr>
                <w:rFonts w:ascii="Times New Roman" w:hAnsi="Times New Roman"/>
                <w:sz w:val="20"/>
                <w:szCs w:val="20"/>
              </w:rPr>
            </w:pPr>
          </w:p>
        </w:tc>
      </w:tr>
      <w:tr w:rsidR="006F587A" w14:paraId="4ACE21BC" w14:textId="77777777">
        <w:tc>
          <w:tcPr>
            <w:tcW w:w="0" w:type="auto"/>
            <w:gridSpan w:val="4"/>
            <w:vMerge/>
            <w:shd w:val="clear" w:color="auto" w:fill="auto"/>
            <w:tcMar>
              <w:top w:w="40" w:type="dxa"/>
              <w:left w:w="40" w:type="dxa"/>
              <w:bottom w:w="40" w:type="dxa"/>
              <w:right w:w="40" w:type="dxa"/>
            </w:tcMar>
            <w:vAlign w:val="center"/>
          </w:tcPr>
          <w:p w14:paraId="4ACE21B6" w14:textId="77777777" w:rsidR="006F587A" w:rsidRDefault="006F587A">
            <w:pPr>
              <w:rPr>
                <w:rFonts w:ascii="Times New Roman" w:hAnsi="Times New Roman"/>
                <w:sz w:val="20"/>
                <w:szCs w:val="20"/>
              </w:rPr>
            </w:pPr>
          </w:p>
        </w:tc>
        <w:tc>
          <w:tcPr>
            <w:tcW w:w="0" w:type="auto"/>
            <w:gridSpan w:val="2"/>
            <w:vMerge/>
            <w:shd w:val="clear" w:color="auto" w:fill="auto"/>
            <w:tcMar>
              <w:top w:w="40" w:type="dxa"/>
              <w:left w:w="40" w:type="dxa"/>
              <w:bottom w:w="40" w:type="dxa"/>
              <w:right w:w="40" w:type="dxa"/>
            </w:tcMar>
          </w:tcPr>
          <w:p w14:paraId="4ACE21B7"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1B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vAlign w:val="center"/>
          </w:tcPr>
          <w:p w14:paraId="4ACE21B9" w14:textId="77777777" w:rsidR="006F587A" w:rsidRDefault="007B2B61">
            <w:pPr>
              <w:textAlignment w:val="center"/>
              <w:rPr>
                <w:rFonts w:ascii="Times New Roman" w:hAnsi="Times New Roman"/>
                <w:sz w:val="18"/>
                <w:szCs w:val="18"/>
              </w:rPr>
            </w:pPr>
            <w:r>
              <w:rPr>
                <w:rFonts w:ascii="Arial" w:eastAsia="宋体" w:hAnsi="Arial" w:cs="Arial"/>
                <w:b/>
                <w:bCs/>
                <w:i/>
                <w:iCs/>
                <w:color w:val="333333"/>
                <w:sz w:val="18"/>
                <w:szCs w:val="18"/>
              </w:rPr>
              <w:t>"While process and CPU leadership remain fundamentally important, an extraordinary rate of innovation is required across a combination of foundational building blocks, including architecture, memory, interconnect, security, and software, to take full advan</w:t>
            </w:r>
            <w:r>
              <w:rPr>
                <w:rFonts w:ascii="Arial" w:eastAsia="宋体" w:hAnsi="Arial" w:cs="Arial"/>
                <w:b/>
                <w:bCs/>
                <w:i/>
                <w:iCs/>
                <w:color w:val="333333"/>
                <w:sz w:val="18"/>
                <w:szCs w:val="18"/>
              </w:rPr>
              <w:t xml:space="preserve">tage of the opportunities created by the explosion of data." </w:t>
            </w:r>
          </w:p>
          <w:p w14:paraId="4ACE21BA" w14:textId="77777777" w:rsidR="006F587A" w:rsidRDefault="006F587A">
            <w:pPr>
              <w:textAlignment w:val="center"/>
              <w:rPr>
                <w:rFonts w:ascii="Times New Roman" w:hAnsi="Times New Roman"/>
                <w:sz w:val="18"/>
                <w:szCs w:val="18"/>
              </w:rPr>
            </w:pPr>
          </w:p>
          <w:p w14:paraId="4ACE21BB" w14:textId="77777777" w:rsidR="006F587A" w:rsidRDefault="007B2B61">
            <w:pPr>
              <w:textAlignment w:val="center"/>
              <w:rPr>
                <w:rFonts w:ascii="Times New Roman" w:hAnsi="Times New Roman"/>
                <w:sz w:val="18"/>
                <w:szCs w:val="18"/>
              </w:rPr>
            </w:pPr>
            <w:r>
              <w:rPr>
                <w:rFonts w:ascii="Arial" w:eastAsia="宋体" w:hAnsi="Arial" w:cs="Arial"/>
                <w:b/>
                <w:bCs/>
                <w:i/>
                <w:iCs/>
                <w:color w:val="333333"/>
                <w:sz w:val="18"/>
                <w:szCs w:val="18"/>
              </w:rPr>
              <w:t xml:space="preserve">—Dr. Venkata (Murthy) M. Renduchintala, </w:t>
            </w:r>
            <w:r>
              <w:rPr>
                <w:rFonts w:ascii="Arial" w:eastAsia="宋体" w:hAnsi="Arial" w:cs="Arial"/>
                <w:i/>
                <w:iCs/>
                <w:color w:val="333333"/>
                <w:sz w:val="18"/>
                <w:szCs w:val="18"/>
              </w:rPr>
              <w:t>Group President of the Technology, Systems Architecture and Client Group and Chief Engineering Officer</w:t>
            </w:r>
          </w:p>
        </w:tc>
      </w:tr>
      <w:tr w:rsidR="006F587A" w14:paraId="4ACE21C1" w14:textId="77777777">
        <w:tc>
          <w:tcPr>
            <w:tcW w:w="0" w:type="auto"/>
            <w:gridSpan w:val="4"/>
            <w:vMerge/>
            <w:shd w:val="clear" w:color="auto" w:fill="auto"/>
            <w:tcMar>
              <w:top w:w="40" w:type="dxa"/>
              <w:left w:w="40" w:type="dxa"/>
              <w:bottom w:w="40" w:type="dxa"/>
              <w:right w:w="40" w:type="dxa"/>
            </w:tcMar>
            <w:vAlign w:val="center"/>
          </w:tcPr>
          <w:p w14:paraId="4ACE21BD" w14:textId="77777777" w:rsidR="006F587A" w:rsidRDefault="006F587A">
            <w:pPr>
              <w:rPr>
                <w:rFonts w:ascii="Times New Roman" w:hAnsi="Times New Roman"/>
                <w:sz w:val="20"/>
                <w:szCs w:val="20"/>
              </w:rPr>
            </w:pPr>
          </w:p>
        </w:tc>
        <w:tc>
          <w:tcPr>
            <w:tcW w:w="0" w:type="auto"/>
            <w:gridSpan w:val="2"/>
            <w:vMerge/>
            <w:shd w:val="clear" w:color="auto" w:fill="auto"/>
            <w:tcMar>
              <w:top w:w="40" w:type="dxa"/>
              <w:left w:w="40" w:type="dxa"/>
              <w:bottom w:w="40" w:type="dxa"/>
              <w:right w:w="40" w:type="dxa"/>
            </w:tcMar>
          </w:tcPr>
          <w:p w14:paraId="4ACE21BE"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1B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center"/>
          </w:tcPr>
          <w:p w14:paraId="4ACE21C0" w14:textId="77777777" w:rsidR="006F587A" w:rsidRDefault="006F587A">
            <w:pPr>
              <w:rPr>
                <w:rFonts w:ascii="Times New Roman" w:hAnsi="Times New Roman"/>
                <w:sz w:val="20"/>
                <w:szCs w:val="20"/>
              </w:rPr>
            </w:pPr>
          </w:p>
        </w:tc>
      </w:tr>
      <w:tr w:rsidR="006F587A" w14:paraId="4ACE21C6" w14:textId="77777777">
        <w:tc>
          <w:tcPr>
            <w:tcW w:w="0" w:type="auto"/>
            <w:gridSpan w:val="4"/>
            <w:vMerge/>
            <w:shd w:val="clear" w:color="auto" w:fill="auto"/>
            <w:tcMar>
              <w:top w:w="40" w:type="dxa"/>
              <w:left w:w="40" w:type="dxa"/>
              <w:bottom w:w="40" w:type="dxa"/>
              <w:right w:w="40" w:type="dxa"/>
            </w:tcMar>
            <w:vAlign w:val="center"/>
          </w:tcPr>
          <w:p w14:paraId="4ACE21C2" w14:textId="77777777" w:rsidR="006F587A" w:rsidRDefault="006F587A">
            <w:pPr>
              <w:rPr>
                <w:rFonts w:ascii="Times New Roman" w:hAnsi="Times New Roman"/>
                <w:sz w:val="20"/>
                <w:szCs w:val="20"/>
              </w:rPr>
            </w:pPr>
          </w:p>
        </w:tc>
        <w:tc>
          <w:tcPr>
            <w:tcW w:w="0" w:type="auto"/>
            <w:gridSpan w:val="2"/>
            <w:vMerge/>
            <w:shd w:val="clear" w:color="auto" w:fill="auto"/>
            <w:tcMar>
              <w:top w:w="40" w:type="dxa"/>
              <w:left w:w="40" w:type="dxa"/>
              <w:bottom w:w="40" w:type="dxa"/>
              <w:right w:w="40" w:type="dxa"/>
            </w:tcMar>
          </w:tcPr>
          <w:p w14:paraId="4ACE21C3"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1C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center"/>
          </w:tcPr>
          <w:p w14:paraId="4ACE21C5" w14:textId="77777777" w:rsidR="006F587A" w:rsidRDefault="006F587A">
            <w:pPr>
              <w:rPr>
                <w:rFonts w:ascii="Times New Roman" w:hAnsi="Times New Roman"/>
                <w:sz w:val="20"/>
                <w:szCs w:val="20"/>
              </w:rPr>
            </w:pPr>
          </w:p>
        </w:tc>
      </w:tr>
    </w:tbl>
    <w:p w14:paraId="4ACE21C7"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492"/>
        <w:gridCol w:w="2658"/>
        <w:gridCol w:w="3156"/>
      </w:tblGrid>
      <w:tr w:rsidR="006F587A" w14:paraId="4ACE21C9" w14:textId="77777777">
        <w:tc>
          <w:tcPr>
            <w:tcW w:w="0" w:type="auto"/>
            <w:gridSpan w:val="3"/>
            <w:shd w:val="clear" w:color="auto" w:fill="auto"/>
            <w:vAlign w:val="center"/>
          </w:tcPr>
          <w:p w14:paraId="4ACE21C8" w14:textId="77777777" w:rsidR="006F587A" w:rsidRDefault="006F587A">
            <w:pPr>
              <w:rPr>
                <w:rFonts w:ascii="Times New Roman" w:hAnsi="Times New Roman"/>
                <w:sz w:val="20"/>
                <w:szCs w:val="20"/>
              </w:rPr>
            </w:pPr>
          </w:p>
        </w:tc>
      </w:tr>
      <w:tr w:rsidR="006F587A" w14:paraId="4ACE21CD" w14:textId="77777777">
        <w:tc>
          <w:tcPr>
            <w:tcW w:w="1500" w:type="pct"/>
            <w:shd w:val="clear" w:color="auto" w:fill="auto"/>
            <w:vAlign w:val="center"/>
          </w:tcPr>
          <w:p w14:paraId="4ACE21CA" w14:textId="77777777" w:rsidR="006F587A" w:rsidRDefault="006F587A">
            <w:pPr>
              <w:rPr>
                <w:rFonts w:ascii="Times New Roman" w:hAnsi="Times New Roman"/>
                <w:sz w:val="20"/>
                <w:szCs w:val="20"/>
              </w:rPr>
            </w:pPr>
          </w:p>
        </w:tc>
        <w:tc>
          <w:tcPr>
            <w:tcW w:w="1600" w:type="pct"/>
            <w:shd w:val="clear" w:color="auto" w:fill="auto"/>
            <w:vAlign w:val="center"/>
          </w:tcPr>
          <w:p w14:paraId="4ACE21CB" w14:textId="77777777" w:rsidR="006F587A" w:rsidRDefault="006F587A">
            <w:pPr>
              <w:rPr>
                <w:rFonts w:ascii="Times New Roman" w:hAnsi="Times New Roman"/>
                <w:sz w:val="20"/>
                <w:szCs w:val="20"/>
              </w:rPr>
            </w:pPr>
          </w:p>
        </w:tc>
        <w:tc>
          <w:tcPr>
            <w:tcW w:w="1900" w:type="pct"/>
            <w:shd w:val="clear" w:color="auto" w:fill="auto"/>
            <w:vAlign w:val="center"/>
          </w:tcPr>
          <w:p w14:paraId="4ACE21CC" w14:textId="77777777" w:rsidR="006F587A" w:rsidRDefault="006F587A">
            <w:pPr>
              <w:rPr>
                <w:rFonts w:ascii="Times New Roman" w:hAnsi="Times New Roman"/>
                <w:sz w:val="20"/>
                <w:szCs w:val="20"/>
              </w:rPr>
            </w:pPr>
          </w:p>
        </w:tc>
      </w:tr>
      <w:tr w:rsidR="006F587A" w14:paraId="4ACE21D1"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21CE" w14:textId="77777777" w:rsidR="006F587A" w:rsidRDefault="007B2B61">
            <w:pPr>
              <w:textAlignment w:val="center"/>
              <w:rPr>
                <w:rFonts w:ascii="Times New Roman" w:hAnsi="Times New Roman"/>
                <w:sz w:val="18"/>
                <w:szCs w:val="18"/>
              </w:rPr>
            </w:pP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Viewer12_files/a001intellogo_coverfooter.jpg"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C47" wp14:editId="4ACE6C48">
                  <wp:extent cx="304800" cy="304800"/>
                  <wp:effectExtent l="0" t="0" r="0" b="0"/>
                  <wp:docPr id="37" name="图片 60"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0"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r>
              <w:rPr>
                <w:rFonts w:ascii="Arial" w:eastAsia="宋体" w:hAnsi="Arial" w:cs="Arial"/>
                <w:color w:val="333333"/>
                <w:sz w:val="18"/>
                <w:szCs w:val="18"/>
              </w:rPr>
              <w:t>  </w:t>
            </w:r>
            <w:r>
              <w:rPr>
                <w:rFonts w:ascii="Arial" w:eastAsia="宋体" w:hAnsi="Arial" w:cs="Arial"/>
                <w:color w:val="333333"/>
                <w:sz w:val="16"/>
                <w:szCs w:val="16"/>
              </w:rPr>
              <w:t>FUNDAMENTALS OF OUR BUSINESS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1C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1D0"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5</w:t>
            </w:r>
          </w:p>
        </w:tc>
      </w:tr>
    </w:tbl>
    <w:p w14:paraId="4ACE21D2" w14:textId="77777777" w:rsidR="006F587A" w:rsidRDefault="007B2B61">
      <w:r>
        <w:pict w14:anchorId="4ACE6C49">
          <v:rect id="_x0000_i1031" style="width:415.3pt;height:1.5pt" o:hralign="center" o:hrstd="t" o:hr="t" fillcolor="#a0a0a0" stroked="f"/>
        </w:pict>
      </w:r>
    </w:p>
    <w:p w14:paraId="4ACE21D3" w14:textId="77777777" w:rsidR="006F587A" w:rsidRDefault="007B2B61">
      <w:pPr>
        <w:spacing w:line="288" w:lineRule="auto"/>
        <w:jc w:val="right"/>
        <w:rPr>
          <w:rFonts w:ascii="Times New Roman" w:hAnsi="Times New Roman"/>
          <w:sz w:val="16"/>
          <w:szCs w:val="16"/>
        </w:rPr>
      </w:pPr>
      <w:hyperlink r:id="rId40" w:anchor="s9DB683E2CF52561EB8A73BE37F5BF9BE" w:history="1">
        <w:r>
          <w:rPr>
            <w:rStyle w:val="a5"/>
            <w:rFonts w:ascii="Arial" w:eastAsia="宋体" w:hAnsi="Arial" w:cs="Arial"/>
            <w:b/>
            <w:bCs/>
            <w:sz w:val="16"/>
            <w:szCs w:val="16"/>
          </w:rPr>
          <w:t>Table of Contents</w:t>
        </w:r>
      </w:hyperlink>
    </w:p>
    <w:p w14:paraId="4ACE21D4" w14:textId="77777777" w:rsidR="006F587A" w:rsidRDefault="006F587A">
      <w:pPr>
        <w:spacing w:line="288" w:lineRule="auto"/>
        <w:jc w:val="right"/>
        <w:rPr>
          <w:rFonts w:ascii="Times New Roman" w:hAnsi="Times New Roman"/>
          <w:sz w:val="16"/>
          <w:szCs w:val="16"/>
        </w:rPr>
      </w:pPr>
    </w:p>
    <w:p w14:paraId="4ACE21D5"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6F587A" w14:paraId="4ACE21D7" w14:textId="77777777">
        <w:tc>
          <w:tcPr>
            <w:tcW w:w="0" w:type="auto"/>
            <w:shd w:val="clear" w:color="auto" w:fill="auto"/>
            <w:vAlign w:val="center"/>
          </w:tcPr>
          <w:p w14:paraId="4ACE21D6" w14:textId="77777777" w:rsidR="006F587A" w:rsidRDefault="006F587A">
            <w:pPr>
              <w:rPr>
                <w:rFonts w:ascii="Times New Roman" w:hAnsi="Times New Roman"/>
                <w:sz w:val="20"/>
                <w:szCs w:val="20"/>
              </w:rPr>
            </w:pPr>
          </w:p>
        </w:tc>
      </w:tr>
      <w:tr w:rsidR="006F587A" w14:paraId="4ACE21D9" w14:textId="77777777">
        <w:tc>
          <w:tcPr>
            <w:tcW w:w="5000" w:type="pct"/>
            <w:shd w:val="clear" w:color="auto" w:fill="auto"/>
            <w:vAlign w:val="center"/>
          </w:tcPr>
          <w:p w14:paraId="4ACE21D8" w14:textId="77777777" w:rsidR="006F587A" w:rsidRDefault="006F587A">
            <w:pPr>
              <w:rPr>
                <w:rFonts w:ascii="Times New Roman" w:hAnsi="Times New Roman"/>
                <w:sz w:val="20"/>
                <w:szCs w:val="20"/>
              </w:rPr>
            </w:pPr>
          </w:p>
        </w:tc>
      </w:tr>
      <w:tr w:rsidR="006F587A" w14:paraId="4ACE21DB" w14:textId="77777777">
        <w:tc>
          <w:tcPr>
            <w:tcW w:w="0" w:type="auto"/>
            <w:shd w:val="clear" w:color="auto" w:fill="003C71"/>
            <w:tcMar>
              <w:top w:w="40" w:type="dxa"/>
              <w:left w:w="880" w:type="dxa"/>
              <w:bottom w:w="40" w:type="dxa"/>
              <w:right w:w="40" w:type="dxa"/>
            </w:tcMar>
            <w:vAlign w:val="bottom"/>
          </w:tcPr>
          <w:p w14:paraId="4ACE21DA" w14:textId="77777777" w:rsidR="006F587A" w:rsidRDefault="007B2B61">
            <w:pPr>
              <w:textAlignment w:val="bottom"/>
              <w:rPr>
                <w:rFonts w:ascii="Times New Roman" w:hAnsi="Times New Roman"/>
                <w:sz w:val="36"/>
                <w:szCs w:val="36"/>
              </w:rPr>
            </w:pPr>
            <w:r>
              <w:rPr>
                <w:rFonts w:ascii="Arial" w:eastAsia="宋体" w:hAnsi="Arial" w:cs="Arial"/>
                <w:b/>
                <w:bCs/>
                <w:color w:val="FFFFFF"/>
                <w:sz w:val="36"/>
                <w:szCs w:val="36"/>
              </w:rPr>
              <w:t>OUR STRATEGY</w:t>
            </w:r>
          </w:p>
        </w:tc>
      </w:tr>
    </w:tbl>
    <w:p w14:paraId="4ACE21DC" w14:textId="77777777" w:rsidR="006F587A" w:rsidRDefault="007B2B61">
      <w:pPr>
        <w:spacing w:line="288" w:lineRule="auto"/>
        <w:rPr>
          <w:rFonts w:ascii="Times New Roman" w:hAnsi="Times New Roman"/>
          <w:sz w:val="20"/>
          <w:szCs w:val="20"/>
        </w:rPr>
      </w:pPr>
      <w:r>
        <w:rPr>
          <w:rFonts w:ascii="Arial" w:eastAsia="宋体" w:hAnsi="Arial" w:cs="Arial"/>
          <w:color w:val="333333"/>
          <w:sz w:val="18"/>
          <w:szCs w:val="18"/>
        </w:rPr>
        <w:t>Data has become a driving force in society. Our customers are asking for solutions to turn data into actionable insights, amazing experiences, and operational efficiencies. Intel platforms provide the foundation for these solutions because we have develope</w:t>
      </w:r>
      <w:r>
        <w:rPr>
          <w:rFonts w:ascii="Arial" w:eastAsia="宋体" w:hAnsi="Arial" w:cs="Arial"/>
          <w:color w:val="333333"/>
          <w:sz w:val="18"/>
          <w:szCs w:val="18"/>
        </w:rPr>
        <w:t xml:space="preserve">d a portfolio of data-centric technologies that span the data center to the edge, enabling us to play a differentiated and growing role in the success of our customers. </w:t>
      </w:r>
    </w:p>
    <w:tbl>
      <w:tblPr>
        <w:tblW w:w="5000" w:type="pct"/>
        <w:tblCellMar>
          <w:left w:w="0" w:type="dxa"/>
          <w:right w:w="0" w:type="dxa"/>
        </w:tblCellMar>
        <w:tblLook w:val="04A0" w:firstRow="1" w:lastRow="0" w:firstColumn="1" w:lastColumn="0" w:noHBand="0" w:noVBand="1"/>
      </w:tblPr>
      <w:tblGrid>
        <w:gridCol w:w="8306"/>
      </w:tblGrid>
      <w:tr w:rsidR="006F587A" w14:paraId="4ACE21DE" w14:textId="77777777">
        <w:tc>
          <w:tcPr>
            <w:tcW w:w="0" w:type="auto"/>
            <w:shd w:val="clear" w:color="auto" w:fill="auto"/>
            <w:vAlign w:val="center"/>
          </w:tcPr>
          <w:p w14:paraId="4ACE21DD" w14:textId="77777777" w:rsidR="006F587A" w:rsidRDefault="006F587A">
            <w:pPr>
              <w:rPr>
                <w:rFonts w:ascii="Times New Roman" w:hAnsi="Times New Roman"/>
                <w:sz w:val="20"/>
                <w:szCs w:val="20"/>
              </w:rPr>
            </w:pPr>
          </w:p>
        </w:tc>
      </w:tr>
      <w:tr w:rsidR="006F587A" w14:paraId="4ACE21E0" w14:textId="77777777">
        <w:tc>
          <w:tcPr>
            <w:tcW w:w="5000" w:type="pct"/>
            <w:shd w:val="clear" w:color="auto" w:fill="auto"/>
            <w:vAlign w:val="center"/>
          </w:tcPr>
          <w:p w14:paraId="4ACE21DF" w14:textId="77777777" w:rsidR="006F587A" w:rsidRDefault="006F587A">
            <w:pPr>
              <w:rPr>
                <w:rFonts w:ascii="Times New Roman" w:hAnsi="Times New Roman"/>
                <w:sz w:val="20"/>
                <w:szCs w:val="20"/>
              </w:rPr>
            </w:pPr>
          </w:p>
        </w:tc>
      </w:tr>
      <w:tr w:rsidR="006F587A" w14:paraId="4ACE21E2" w14:textId="77777777">
        <w:tc>
          <w:tcPr>
            <w:tcW w:w="0" w:type="auto"/>
            <w:tcBorders>
              <w:bottom w:val="single" w:sz="8" w:space="0" w:color="333333"/>
            </w:tcBorders>
            <w:shd w:val="clear" w:color="auto" w:fill="auto"/>
            <w:tcMar>
              <w:top w:w="40" w:type="dxa"/>
              <w:left w:w="40" w:type="dxa"/>
              <w:bottom w:w="40" w:type="dxa"/>
              <w:right w:w="40" w:type="dxa"/>
            </w:tcMar>
            <w:vAlign w:val="bottom"/>
          </w:tcPr>
          <w:p w14:paraId="4ACE21E1" w14:textId="77777777" w:rsidR="006F587A" w:rsidRDefault="007B2B61">
            <w:pPr>
              <w:textAlignment w:val="bottom"/>
              <w:rPr>
                <w:rFonts w:ascii="Times New Roman" w:hAnsi="Times New Roman"/>
                <w:sz w:val="20"/>
                <w:szCs w:val="20"/>
              </w:rPr>
            </w:pPr>
            <w:r>
              <w:rPr>
                <w:rFonts w:ascii="Arial" w:eastAsia="宋体" w:hAnsi="Arial" w:cs="Arial"/>
                <w:b/>
                <w:bCs/>
                <w:color w:val="006EBF"/>
                <w:sz w:val="20"/>
                <w:szCs w:val="20"/>
              </w:rPr>
              <w:t>MAKE THE WORLD'S BEST SEMICONDUCTORS</w:t>
            </w:r>
          </w:p>
        </w:tc>
      </w:tr>
    </w:tbl>
    <w:p w14:paraId="4ACE21E3" w14:textId="77777777" w:rsidR="006F587A" w:rsidRDefault="007B2B61">
      <w:r>
        <w:rPr>
          <w:rFonts w:ascii="Arial" w:eastAsia="宋体" w:hAnsi="Arial" w:cs="Arial"/>
          <w:color w:val="333333"/>
          <w:sz w:val="18"/>
          <w:szCs w:val="18"/>
        </w:rPr>
        <w:t>Moore’s Law, a law of economics predicted by Intel’s co-founder Gordon Moore more than 50 years ago, continues to be a strategic priority and differentiator. We make significant investments and innovations in our silicon manufacturing technologies and plat</w:t>
      </w:r>
      <w:r>
        <w:rPr>
          <w:rFonts w:ascii="Arial" w:eastAsia="宋体" w:hAnsi="Arial" w:cs="Arial"/>
          <w:color w:val="333333"/>
          <w:sz w:val="18"/>
          <w:szCs w:val="18"/>
        </w:rPr>
        <w:t>forms. Our proprietary technologies make it possible to integrate products and platforms that address evolving customer needs and expand the markets we serve. However, making the best semiconductors requires more than just the best manufacturing process te</w:t>
      </w:r>
      <w:r>
        <w:rPr>
          <w:rFonts w:ascii="Arial" w:eastAsia="宋体" w:hAnsi="Arial" w:cs="Arial"/>
          <w:color w:val="333333"/>
          <w:sz w:val="18"/>
          <w:szCs w:val="18"/>
        </w:rPr>
        <w:t xml:space="preserve">chnologies. </w:t>
      </w:r>
    </w:p>
    <w:tbl>
      <w:tblPr>
        <w:tblW w:w="5000" w:type="pct"/>
        <w:tblCellMar>
          <w:left w:w="0" w:type="dxa"/>
          <w:right w:w="0" w:type="dxa"/>
        </w:tblCellMar>
        <w:tblLook w:val="04A0" w:firstRow="1" w:lastRow="0" w:firstColumn="1" w:lastColumn="0" w:noHBand="0" w:noVBand="1"/>
      </w:tblPr>
      <w:tblGrid>
        <w:gridCol w:w="2492"/>
        <w:gridCol w:w="5814"/>
      </w:tblGrid>
      <w:tr w:rsidR="006F587A" w14:paraId="4ACE21E5" w14:textId="77777777">
        <w:tc>
          <w:tcPr>
            <w:tcW w:w="0" w:type="auto"/>
            <w:gridSpan w:val="2"/>
            <w:shd w:val="clear" w:color="auto" w:fill="auto"/>
            <w:vAlign w:val="center"/>
          </w:tcPr>
          <w:p w14:paraId="4ACE21E4" w14:textId="77777777" w:rsidR="006F587A" w:rsidRDefault="006F587A">
            <w:pPr>
              <w:rPr>
                <w:rFonts w:ascii="Times New Roman" w:hAnsi="Times New Roman"/>
                <w:sz w:val="20"/>
                <w:szCs w:val="20"/>
              </w:rPr>
            </w:pPr>
          </w:p>
        </w:tc>
      </w:tr>
      <w:tr w:rsidR="006F587A" w14:paraId="4ACE21E8" w14:textId="77777777">
        <w:tc>
          <w:tcPr>
            <w:tcW w:w="1500" w:type="pct"/>
            <w:shd w:val="clear" w:color="auto" w:fill="auto"/>
            <w:vAlign w:val="center"/>
          </w:tcPr>
          <w:p w14:paraId="4ACE21E6" w14:textId="77777777" w:rsidR="006F587A" w:rsidRDefault="006F587A">
            <w:pPr>
              <w:rPr>
                <w:rFonts w:ascii="Times New Roman" w:hAnsi="Times New Roman"/>
                <w:sz w:val="20"/>
                <w:szCs w:val="20"/>
              </w:rPr>
            </w:pPr>
          </w:p>
        </w:tc>
        <w:tc>
          <w:tcPr>
            <w:tcW w:w="3500" w:type="pct"/>
            <w:shd w:val="clear" w:color="auto" w:fill="auto"/>
            <w:vAlign w:val="center"/>
          </w:tcPr>
          <w:p w14:paraId="4ACE21E7" w14:textId="77777777" w:rsidR="006F587A" w:rsidRDefault="006F587A">
            <w:pPr>
              <w:rPr>
                <w:rFonts w:ascii="Times New Roman" w:hAnsi="Times New Roman"/>
                <w:sz w:val="20"/>
                <w:szCs w:val="20"/>
              </w:rPr>
            </w:pPr>
          </w:p>
        </w:tc>
      </w:tr>
      <w:tr w:rsidR="006F587A" w14:paraId="4ACE21EC" w14:textId="77777777">
        <w:tc>
          <w:tcPr>
            <w:tcW w:w="0" w:type="auto"/>
            <w:shd w:val="clear" w:color="auto" w:fill="auto"/>
            <w:tcMar>
              <w:top w:w="40" w:type="dxa"/>
              <w:left w:w="40" w:type="dxa"/>
              <w:bottom w:w="40" w:type="dxa"/>
              <w:right w:w="40" w:type="dxa"/>
            </w:tcMar>
            <w:vAlign w:val="bottom"/>
          </w:tcPr>
          <w:p w14:paraId="4ACE21E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Product leadership is defined by our ability to optimize across six engineering pillars: process technology and packaging, architecture, memory, interconnect, security, and software. With these six pillars, we are accelerating </w:t>
            </w:r>
            <w:r>
              <w:rPr>
                <w:rFonts w:ascii="Arial" w:eastAsia="宋体" w:hAnsi="Arial" w:cs="Arial"/>
                <w:color w:val="333333"/>
                <w:sz w:val="18"/>
                <w:szCs w:val="18"/>
              </w:rPr>
              <w:t>product innovation with a focus on xPU platforms uniquely able to serve diverse new workload opportunities (e.g., CPU, GPU, AI accelerator and FPGA). These innovation efforts will extend Intel’s opportunities to deliver products beyond the CPU that will co</w:t>
            </w:r>
            <w:r>
              <w:rPr>
                <w:rFonts w:ascii="Arial" w:eastAsia="宋体" w:hAnsi="Arial" w:cs="Arial"/>
                <w:color w:val="333333"/>
                <w:sz w:val="18"/>
                <w:szCs w:val="18"/>
              </w:rPr>
              <w:t>ntribute to the success of our customers.</w:t>
            </w:r>
          </w:p>
          <w:p w14:paraId="4ACE21EA" w14:textId="77777777" w:rsidR="006F587A" w:rsidRDefault="006F587A">
            <w:pPr>
              <w:textAlignment w:val="bottom"/>
              <w:rPr>
                <w:rFonts w:ascii="Times New Roman" w:hAnsi="Times New Roman"/>
                <w:sz w:val="18"/>
                <w:szCs w:val="18"/>
              </w:rPr>
            </w:pPr>
          </w:p>
        </w:tc>
        <w:tc>
          <w:tcPr>
            <w:tcW w:w="0" w:type="auto"/>
            <w:shd w:val="clear" w:color="auto" w:fill="auto"/>
            <w:tcMar>
              <w:top w:w="40" w:type="dxa"/>
              <w:left w:w="40" w:type="dxa"/>
              <w:bottom w:w="40" w:type="dxa"/>
              <w:right w:w="40" w:type="dxa"/>
            </w:tcMar>
          </w:tcPr>
          <w:p w14:paraId="4ACE21EB" w14:textId="77777777" w:rsidR="006F587A" w:rsidRDefault="007B2B61">
            <w:pPr>
              <w:jc w:val="center"/>
              <w:textAlignment w:val="top"/>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Viewer12_files/a013cpu_xpuv3.jpg"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4A" wp14:editId="4ACE6C4B">
                  <wp:extent cx="304800" cy="304800"/>
                  <wp:effectExtent l="0" t="0" r="0" b="0"/>
                  <wp:docPr id="38" name="图片 6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2" descr="IMG_27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r>
    </w:tbl>
    <w:p w14:paraId="4ACE21ED" w14:textId="77777777" w:rsidR="006F587A" w:rsidRDefault="007B2B61">
      <w:r>
        <w:rPr>
          <w:rFonts w:ascii="Arial" w:eastAsia="宋体" w:hAnsi="Arial" w:cs="Arial"/>
          <w:color w:val="333333"/>
          <w:sz w:val="18"/>
          <w:szCs w:val="18"/>
        </w:rPr>
        <w:t xml:space="preserve">We manufacture a majority of our products in our own facilities and </w:t>
      </w:r>
      <w:r>
        <w:rPr>
          <w:rFonts w:ascii="Arial" w:eastAsia="宋体" w:hAnsi="Arial" w:cs="Arial"/>
          <w:color w:val="333333"/>
          <w:sz w:val="18"/>
          <w:szCs w:val="18"/>
        </w:rPr>
        <w:t>make significant investments in silicon manufacturing technologies and platforms as an IDM. We are focused on strengthening our IDM position by collaborating with the broader silicon manufacturing and design ecosystem to improve our design efficiency, incl</w:t>
      </w:r>
      <w:r>
        <w:rPr>
          <w:rFonts w:ascii="Arial" w:eastAsia="宋体" w:hAnsi="Arial" w:cs="Arial"/>
          <w:color w:val="333333"/>
          <w:sz w:val="18"/>
          <w:szCs w:val="18"/>
        </w:rPr>
        <w:t>uding increased strategic use of third-party design IP and foundries for certain components to allow us to focus on differentiating technology. We are also pursuing design simplification to accelerate innovation, including a significant reduction of design</w:t>
      </w:r>
      <w:r>
        <w:rPr>
          <w:rFonts w:ascii="Arial" w:eastAsia="宋体" w:hAnsi="Arial" w:cs="Arial"/>
          <w:color w:val="333333"/>
          <w:sz w:val="18"/>
          <w:szCs w:val="18"/>
        </w:rPr>
        <w:t xml:space="preserve"> rules for future process nodes, to allow us to deliver the best solutions for our customer.</w:t>
      </w:r>
    </w:p>
    <w:tbl>
      <w:tblPr>
        <w:tblW w:w="5000" w:type="pct"/>
        <w:tblCellMar>
          <w:left w:w="0" w:type="dxa"/>
          <w:right w:w="0" w:type="dxa"/>
        </w:tblCellMar>
        <w:tblLook w:val="04A0" w:firstRow="1" w:lastRow="0" w:firstColumn="1" w:lastColumn="0" w:noHBand="0" w:noVBand="1"/>
      </w:tblPr>
      <w:tblGrid>
        <w:gridCol w:w="8306"/>
      </w:tblGrid>
      <w:tr w:rsidR="006F587A" w14:paraId="4ACE21EF" w14:textId="77777777">
        <w:tc>
          <w:tcPr>
            <w:tcW w:w="0" w:type="auto"/>
            <w:shd w:val="clear" w:color="auto" w:fill="auto"/>
            <w:vAlign w:val="center"/>
          </w:tcPr>
          <w:p w14:paraId="4ACE21EE" w14:textId="77777777" w:rsidR="006F587A" w:rsidRDefault="006F587A">
            <w:pPr>
              <w:rPr>
                <w:rFonts w:ascii="Times New Roman" w:hAnsi="Times New Roman"/>
                <w:sz w:val="20"/>
                <w:szCs w:val="20"/>
              </w:rPr>
            </w:pPr>
          </w:p>
        </w:tc>
      </w:tr>
      <w:tr w:rsidR="006F587A" w14:paraId="4ACE21F1" w14:textId="77777777">
        <w:tc>
          <w:tcPr>
            <w:tcW w:w="5000" w:type="pct"/>
            <w:shd w:val="clear" w:color="auto" w:fill="auto"/>
            <w:vAlign w:val="center"/>
          </w:tcPr>
          <w:p w14:paraId="4ACE21F0" w14:textId="77777777" w:rsidR="006F587A" w:rsidRDefault="006F587A">
            <w:pPr>
              <w:rPr>
                <w:rFonts w:ascii="Times New Roman" w:hAnsi="Times New Roman"/>
                <w:sz w:val="20"/>
                <w:szCs w:val="20"/>
              </w:rPr>
            </w:pPr>
          </w:p>
        </w:tc>
      </w:tr>
      <w:tr w:rsidR="006F587A" w14:paraId="4ACE21F3" w14:textId="77777777">
        <w:tc>
          <w:tcPr>
            <w:tcW w:w="0" w:type="auto"/>
            <w:tcBorders>
              <w:bottom w:val="single" w:sz="8" w:space="0" w:color="333333"/>
            </w:tcBorders>
            <w:shd w:val="clear" w:color="auto" w:fill="auto"/>
            <w:tcMar>
              <w:top w:w="40" w:type="dxa"/>
              <w:left w:w="40" w:type="dxa"/>
              <w:bottom w:w="40" w:type="dxa"/>
              <w:right w:w="40" w:type="dxa"/>
            </w:tcMar>
            <w:vAlign w:val="bottom"/>
          </w:tcPr>
          <w:p w14:paraId="4ACE21F2" w14:textId="77777777" w:rsidR="006F587A" w:rsidRDefault="007B2B61">
            <w:pPr>
              <w:textAlignment w:val="bottom"/>
              <w:rPr>
                <w:rFonts w:ascii="Times New Roman" w:hAnsi="Times New Roman"/>
                <w:sz w:val="20"/>
                <w:szCs w:val="20"/>
              </w:rPr>
            </w:pPr>
            <w:r>
              <w:rPr>
                <w:rFonts w:ascii="Arial" w:eastAsia="宋体" w:hAnsi="Arial" w:cs="Arial"/>
                <w:b/>
                <w:bCs/>
                <w:color w:val="006EBF"/>
                <w:sz w:val="20"/>
                <w:szCs w:val="20"/>
              </w:rPr>
              <w:t>LEAD TECHNOLOGY INFLECTIONS</w:t>
            </w:r>
          </w:p>
        </w:tc>
      </w:tr>
    </w:tbl>
    <w:p w14:paraId="4ACE21F4"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lastRenderedPageBreak/>
        <w:t>Our strategic intent is to lead in key technology inflections that are fundamentally changing computing and communications. The most important drivers of change we see today are AI, the transformation of networks spearheaded by the transition to 5G, and th</w:t>
      </w:r>
      <w:r>
        <w:rPr>
          <w:rFonts w:ascii="Arial" w:eastAsia="宋体" w:hAnsi="Arial" w:cs="Arial"/>
          <w:color w:val="333333"/>
          <w:sz w:val="18"/>
          <w:szCs w:val="18"/>
        </w:rPr>
        <w:t xml:space="preserve">e rise of the intelligent edge. We see a future where Intel® technologies enable our customers to move faster, store more, and process everything—from large complex applications in the cloud, to autonomous cars and small low-power devices on the edge. </w:t>
      </w:r>
    </w:p>
    <w:p w14:paraId="4ACE21F5"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AI </w:t>
      </w:r>
      <w:r>
        <w:rPr>
          <w:rFonts w:ascii="Arial" w:eastAsia="宋体" w:hAnsi="Arial" w:cs="Arial"/>
          <w:color w:val="333333"/>
          <w:sz w:val="18"/>
          <w:szCs w:val="18"/>
        </w:rPr>
        <w:t>helps our customers make sense of big data to unleash its potential. We offer a combination of hardware and software technologies that deliver broad capabilities to support computing, storage, transmission, and tuning in AI. We have taken a multi-architect</w:t>
      </w:r>
      <w:r>
        <w:rPr>
          <w:rFonts w:ascii="Arial" w:eastAsia="宋体" w:hAnsi="Arial" w:cs="Arial"/>
          <w:color w:val="333333"/>
          <w:sz w:val="18"/>
          <w:szCs w:val="18"/>
        </w:rPr>
        <w:t>ure approach to AI hardware. Intel</w:t>
      </w:r>
      <w:r>
        <w:rPr>
          <w:rFonts w:ascii="Arial" w:eastAsia="宋体" w:hAnsi="Arial" w:cs="Arial"/>
          <w:color w:val="333333"/>
          <w:sz w:val="12"/>
          <w:szCs w:val="12"/>
        </w:rPr>
        <w:t>®</w:t>
      </w:r>
      <w:r>
        <w:rPr>
          <w:rFonts w:ascii="Arial" w:eastAsia="宋体" w:hAnsi="Arial" w:cs="Arial"/>
          <w:color w:val="333333"/>
          <w:sz w:val="18"/>
          <w:szCs w:val="18"/>
        </w:rPr>
        <w:t xml:space="preserve"> Xeon</w:t>
      </w:r>
      <w:r>
        <w:rPr>
          <w:rFonts w:ascii="Arial" w:eastAsia="宋体" w:hAnsi="Arial" w:cs="Arial"/>
          <w:color w:val="333333"/>
          <w:sz w:val="12"/>
          <w:szCs w:val="12"/>
        </w:rPr>
        <w:t>®</w:t>
      </w:r>
      <w:r>
        <w:rPr>
          <w:rFonts w:ascii="Arial" w:eastAsia="宋体" w:hAnsi="Arial" w:cs="Arial"/>
          <w:color w:val="333333"/>
          <w:sz w:val="18"/>
          <w:szCs w:val="18"/>
        </w:rPr>
        <w:t xml:space="preserve"> processors provide a foundation for analytics and AI, and software like the OpenVINO™ toolkit significantly simplifies the deployment of solutions. Intel</w:t>
      </w:r>
      <w:r>
        <w:rPr>
          <w:rFonts w:ascii="Arial" w:eastAsia="宋体" w:hAnsi="Arial" w:cs="Arial"/>
          <w:color w:val="333333"/>
          <w:sz w:val="12"/>
          <w:szCs w:val="12"/>
        </w:rPr>
        <w:t>®</w:t>
      </w:r>
      <w:r>
        <w:rPr>
          <w:rFonts w:ascii="Arial" w:eastAsia="宋体" w:hAnsi="Arial" w:cs="Arial"/>
          <w:color w:val="333333"/>
          <w:sz w:val="18"/>
          <w:szCs w:val="18"/>
        </w:rPr>
        <w:t xml:space="preserve"> FPGAs allow customers to gain access to leading AI inferenc</w:t>
      </w:r>
      <w:r>
        <w:rPr>
          <w:rFonts w:ascii="Arial" w:eastAsia="宋体" w:hAnsi="Arial" w:cs="Arial"/>
          <w:color w:val="333333"/>
          <w:sz w:val="18"/>
          <w:szCs w:val="18"/>
        </w:rPr>
        <w:t>ing performance for their models. Similarly, the Intel</w:t>
      </w:r>
      <w:r>
        <w:rPr>
          <w:rFonts w:ascii="Arial" w:eastAsia="宋体" w:hAnsi="Arial" w:cs="Arial"/>
          <w:color w:val="333333"/>
          <w:sz w:val="12"/>
          <w:szCs w:val="12"/>
        </w:rPr>
        <w:t>®</w:t>
      </w:r>
      <w:r>
        <w:rPr>
          <w:rFonts w:ascii="Arial" w:eastAsia="宋体" w:hAnsi="Arial" w:cs="Arial"/>
          <w:color w:val="333333"/>
          <w:sz w:val="18"/>
          <w:szCs w:val="18"/>
        </w:rPr>
        <w:t xml:space="preserve"> Nervana™ Neural Network Processors and Intel</w:t>
      </w:r>
      <w:r>
        <w:rPr>
          <w:rFonts w:ascii="Arial" w:eastAsia="宋体" w:hAnsi="Arial" w:cs="Arial"/>
          <w:color w:val="333333"/>
          <w:sz w:val="12"/>
          <w:szCs w:val="12"/>
        </w:rPr>
        <w:t>®</w:t>
      </w:r>
      <w:r>
        <w:rPr>
          <w:rFonts w:ascii="Arial" w:eastAsia="宋体" w:hAnsi="Arial" w:cs="Arial"/>
          <w:color w:val="333333"/>
          <w:sz w:val="18"/>
          <w:szCs w:val="18"/>
        </w:rPr>
        <w:t xml:space="preserve"> Movidius™ Myriad™ VPUs are purpose-built for AI and support diverse approaches for innovation in a wide range of applications, from healthcare to autonomo</w:t>
      </w:r>
      <w:r>
        <w:rPr>
          <w:rFonts w:ascii="Arial" w:eastAsia="宋体" w:hAnsi="Arial" w:cs="Arial"/>
          <w:color w:val="333333"/>
          <w:sz w:val="18"/>
          <w:szCs w:val="18"/>
        </w:rPr>
        <w:t>us driving to facial recognition. Habana's Gaudi* AI training Processor and Goya* AI Inference Processor offer an easy-to-program development environment to help customers deploy and differentiate their solutions as AI workloads continue to evolve with gro</w:t>
      </w:r>
      <w:r>
        <w:rPr>
          <w:rFonts w:ascii="Arial" w:eastAsia="宋体" w:hAnsi="Arial" w:cs="Arial"/>
          <w:color w:val="333333"/>
          <w:sz w:val="18"/>
          <w:szCs w:val="18"/>
        </w:rPr>
        <w:t xml:space="preserve">wing demands on compute, memory, and connectivity. </w:t>
      </w:r>
    </w:p>
    <w:p w14:paraId="4ACE21F6" w14:textId="77777777" w:rsidR="006F587A" w:rsidRDefault="007B2B61">
      <w:pPr>
        <w:spacing w:line="288" w:lineRule="auto"/>
        <w:jc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Viewer12_files/a014strategygraphicoptimized.jpg"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4C" wp14:editId="4ACE6C4D">
            <wp:extent cx="304800" cy="304800"/>
            <wp:effectExtent l="0" t="0" r="0" b="0"/>
            <wp:docPr id="10" name="图片 6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3" descr="IMG_2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4ACE21F7"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492"/>
        <w:gridCol w:w="2658"/>
        <w:gridCol w:w="3156"/>
      </w:tblGrid>
      <w:tr w:rsidR="006F587A" w14:paraId="4ACE21F9" w14:textId="77777777">
        <w:tc>
          <w:tcPr>
            <w:tcW w:w="0" w:type="auto"/>
            <w:gridSpan w:val="3"/>
            <w:shd w:val="clear" w:color="auto" w:fill="auto"/>
            <w:vAlign w:val="center"/>
          </w:tcPr>
          <w:p w14:paraId="4ACE21F8" w14:textId="77777777" w:rsidR="006F587A" w:rsidRDefault="006F587A">
            <w:pPr>
              <w:rPr>
                <w:rFonts w:ascii="Times New Roman" w:hAnsi="Times New Roman"/>
                <w:sz w:val="20"/>
                <w:szCs w:val="20"/>
              </w:rPr>
            </w:pPr>
          </w:p>
        </w:tc>
      </w:tr>
      <w:tr w:rsidR="006F587A" w14:paraId="4ACE21FD" w14:textId="77777777">
        <w:tc>
          <w:tcPr>
            <w:tcW w:w="1500" w:type="pct"/>
            <w:shd w:val="clear" w:color="auto" w:fill="auto"/>
            <w:vAlign w:val="center"/>
          </w:tcPr>
          <w:p w14:paraId="4ACE21FA" w14:textId="77777777" w:rsidR="006F587A" w:rsidRDefault="006F587A">
            <w:pPr>
              <w:rPr>
                <w:rFonts w:ascii="Times New Roman" w:hAnsi="Times New Roman"/>
                <w:sz w:val="20"/>
                <w:szCs w:val="20"/>
              </w:rPr>
            </w:pPr>
          </w:p>
        </w:tc>
        <w:tc>
          <w:tcPr>
            <w:tcW w:w="1600" w:type="pct"/>
            <w:shd w:val="clear" w:color="auto" w:fill="auto"/>
            <w:vAlign w:val="center"/>
          </w:tcPr>
          <w:p w14:paraId="4ACE21FB" w14:textId="77777777" w:rsidR="006F587A" w:rsidRDefault="006F587A">
            <w:pPr>
              <w:rPr>
                <w:rFonts w:ascii="Times New Roman" w:hAnsi="Times New Roman"/>
                <w:sz w:val="20"/>
                <w:szCs w:val="20"/>
              </w:rPr>
            </w:pPr>
          </w:p>
        </w:tc>
        <w:tc>
          <w:tcPr>
            <w:tcW w:w="1900" w:type="pct"/>
            <w:shd w:val="clear" w:color="auto" w:fill="auto"/>
            <w:vAlign w:val="center"/>
          </w:tcPr>
          <w:p w14:paraId="4ACE21FC" w14:textId="77777777" w:rsidR="006F587A" w:rsidRDefault="006F587A">
            <w:pPr>
              <w:rPr>
                <w:rFonts w:ascii="Times New Roman" w:hAnsi="Times New Roman"/>
                <w:sz w:val="20"/>
                <w:szCs w:val="20"/>
              </w:rPr>
            </w:pPr>
          </w:p>
        </w:tc>
      </w:tr>
      <w:tr w:rsidR="006F587A" w14:paraId="4ACE2201"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21FE" w14:textId="77777777" w:rsidR="006F587A" w:rsidRDefault="007B2B61">
            <w:pPr>
              <w:textAlignment w:val="center"/>
              <w:rPr>
                <w:rFonts w:ascii="Times New Roman" w:hAnsi="Times New Roman"/>
                <w:sz w:val="18"/>
                <w:szCs w:val="18"/>
              </w:rPr>
            </w:pP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Viewer12_files/a001intellogo_coverfooter.jpg"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C4E" wp14:editId="4ACE6C4F">
                  <wp:extent cx="304800" cy="304800"/>
                  <wp:effectExtent l="0" t="0" r="0" b="0"/>
                  <wp:docPr id="40" name="图片 64"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64"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r>
              <w:rPr>
                <w:rFonts w:ascii="Arial" w:eastAsia="宋体" w:hAnsi="Arial" w:cs="Arial"/>
                <w:color w:val="333333"/>
                <w:sz w:val="18"/>
                <w:szCs w:val="18"/>
              </w:rPr>
              <w:t>  </w:t>
            </w:r>
            <w:r>
              <w:rPr>
                <w:rFonts w:ascii="Arial" w:eastAsia="宋体" w:hAnsi="Arial" w:cs="Arial"/>
                <w:color w:val="333333"/>
                <w:sz w:val="16"/>
                <w:szCs w:val="16"/>
              </w:rPr>
              <w:t>FUNDAMENTALS OF OUR BUSINESS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1F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200"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6</w:t>
            </w:r>
          </w:p>
        </w:tc>
      </w:tr>
    </w:tbl>
    <w:p w14:paraId="4ACE2202" w14:textId="77777777" w:rsidR="006F587A" w:rsidRDefault="007B2B61">
      <w:r>
        <w:pict w14:anchorId="4ACE6C50">
          <v:rect id="_x0000_i1032" style="width:415.3pt;height:1.5pt" o:hralign="center" o:hrstd="t" o:hr="t" fillcolor="#a0a0a0" stroked="f"/>
        </w:pict>
      </w:r>
    </w:p>
    <w:p w14:paraId="4ACE2203" w14:textId="77777777" w:rsidR="006F587A" w:rsidRDefault="007B2B61">
      <w:pPr>
        <w:spacing w:line="288" w:lineRule="auto"/>
        <w:jc w:val="right"/>
        <w:rPr>
          <w:rFonts w:ascii="Times New Roman" w:hAnsi="Times New Roman"/>
          <w:sz w:val="16"/>
          <w:szCs w:val="16"/>
        </w:rPr>
      </w:pPr>
      <w:hyperlink r:id="rId41" w:anchor="s9DB683E2CF52561EB8A73BE37F5BF9BE" w:history="1">
        <w:r>
          <w:rPr>
            <w:rStyle w:val="a5"/>
            <w:rFonts w:ascii="Arial" w:eastAsia="宋体" w:hAnsi="Arial" w:cs="Arial"/>
            <w:b/>
            <w:bCs/>
            <w:sz w:val="16"/>
            <w:szCs w:val="16"/>
          </w:rPr>
          <w:t>Table of Contents</w:t>
        </w:r>
      </w:hyperlink>
    </w:p>
    <w:p w14:paraId="4ACE2204" w14:textId="77777777" w:rsidR="006F587A" w:rsidRDefault="006F587A">
      <w:pPr>
        <w:spacing w:line="288" w:lineRule="auto"/>
        <w:jc w:val="right"/>
        <w:rPr>
          <w:rFonts w:ascii="Times New Roman" w:hAnsi="Times New Roman"/>
          <w:sz w:val="16"/>
          <w:szCs w:val="16"/>
        </w:rPr>
      </w:pPr>
    </w:p>
    <w:p w14:paraId="4ACE2205" w14:textId="77777777" w:rsidR="006F587A" w:rsidRDefault="006F587A">
      <w:pPr>
        <w:rPr>
          <w:rFonts w:ascii="Times New Roman" w:hAnsi="Times New Roman"/>
          <w:sz w:val="20"/>
          <w:szCs w:val="20"/>
        </w:rPr>
      </w:pPr>
    </w:p>
    <w:p w14:paraId="4ACE2206"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are optimistic about the opportunity presented to us by the 5G transitio</w:t>
      </w:r>
      <w:r>
        <w:rPr>
          <w:rFonts w:ascii="Arial" w:eastAsia="宋体" w:hAnsi="Arial" w:cs="Arial"/>
          <w:color w:val="333333"/>
          <w:sz w:val="18"/>
          <w:szCs w:val="18"/>
        </w:rPr>
        <w:t>n and the cloudification</w:t>
      </w:r>
      <w:r>
        <w:rPr>
          <w:rFonts w:ascii="Arial" w:eastAsia="宋体" w:hAnsi="Arial" w:cs="Arial"/>
          <w:color w:val="333333"/>
          <w:sz w:val="12"/>
          <w:szCs w:val="12"/>
        </w:rPr>
        <w:t>1</w:t>
      </w:r>
      <w:r>
        <w:rPr>
          <w:rFonts w:ascii="Arial" w:eastAsia="宋体" w:hAnsi="Arial" w:cs="Arial"/>
          <w:color w:val="333333"/>
          <w:sz w:val="18"/>
          <w:szCs w:val="18"/>
        </w:rPr>
        <w:t xml:space="preserve"> of the network. 5G connectivity will transform industries from all business sectors and it continues to be a strategic priority across Intel. We are collaborating with ecosystem and vertical industry partners to define, prototype,</w:t>
      </w:r>
      <w:r>
        <w:rPr>
          <w:rFonts w:ascii="Arial" w:eastAsia="宋体" w:hAnsi="Arial" w:cs="Arial"/>
          <w:color w:val="333333"/>
          <w:sz w:val="18"/>
          <w:szCs w:val="18"/>
        </w:rPr>
        <w:t xml:space="preserve"> test, and deliver 5G standards and solutions, and our team has developed products designed to support 5G network infrastructure and a valuable IP portfolio. With our exit from the 5G smartphone modem business, our 5G efforts are now focused on network inf</w:t>
      </w:r>
      <w:r>
        <w:rPr>
          <w:rFonts w:ascii="Arial" w:eastAsia="宋体" w:hAnsi="Arial" w:cs="Arial"/>
          <w:color w:val="333333"/>
          <w:sz w:val="18"/>
          <w:szCs w:val="18"/>
        </w:rPr>
        <w:t>rastructure and other data-centric opportunities.</w:t>
      </w:r>
    </w:p>
    <w:p w14:paraId="4ACE2207" w14:textId="77777777" w:rsidR="006F587A" w:rsidRDefault="007B2B61">
      <w:pPr>
        <w:spacing w:line="288" w:lineRule="auto"/>
        <w:rPr>
          <w:rFonts w:ascii="Times New Roman" w:hAnsi="Times New Roman"/>
          <w:sz w:val="20"/>
          <w:szCs w:val="20"/>
        </w:rPr>
      </w:pPr>
      <w:r>
        <w:rPr>
          <w:rFonts w:ascii="Arial" w:eastAsia="宋体" w:hAnsi="Arial" w:cs="Arial"/>
          <w:color w:val="333333"/>
          <w:sz w:val="18"/>
          <w:szCs w:val="18"/>
        </w:rPr>
        <w:t>We provide the automobile industry’s leading solution for ADAS and we continue to build on that leadership in pursuit of higher levels of autonomy, developing Road Experience Management for real-time crowds</w:t>
      </w:r>
      <w:r>
        <w:rPr>
          <w:rFonts w:ascii="Arial" w:eastAsia="宋体" w:hAnsi="Arial" w:cs="Arial"/>
          <w:color w:val="333333"/>
          <w:sz w:val="18"/>
          <w:szCs w:val="18"/>
        </w:rPr>
        <w:t xml:space="preserve">ourced mapping, and the Responsibility Sensitive Safety model for autonomous vehicle safety. As the data explosion creates new opportunities, we continue to assess other service models that will leverage our product leadership and deep technical expertise </w:t>
      </w:r>
      <w:r>
        <w:rPr>
          <w:rFonts w:ascii="Arial" w:eastAsia="宋体" w:hAnsi="Arial" w:cs="Arial"/>
          <w:color w:val="333333"/>
          <w:sz w:val="18"/>
          <w:szCs w:val="18"/>
        </w:rPr>
        <w:t>to drive more value to our customers.</w:t>
      </w:r>
    </w:p>
    <w:tbl>
      <w:tblPr>
        <w:tblW w:w="5000" w:type="pct"/>
        <w:tblCellMar>
          <w:left w:w="0" w:type="dxa"/>
          <w:right w:w="0" w:type="dxa"/>
        </w:tblCellMar>
        <w:tblLook w:val="04A0" w:firstRow="1" w:lastRow="0" w:firstColumn="1" w:lastColumn="0" w:noHBand="0" w:noVBand="1"/>
      </w:tblPr>
      <w:tblGrid>
        <w:gridCol w:w="2990"/>
        <w:gridCol w:w="1910"/>
        <w:gridCol w:w="748"/>
        <w:gridCol w:w="581"/>
        <w:gridCol w:w="2077"/>
      </w:tblGrid>
      <w:tr w:rsidR="006F587A" w14:paraId="4ACE2209" w14:textId="77777777">
        <w:tc>
          <w:tcPr>
            <w:tcW w:w="0" w:type="auto"/>
            <w:gridSpan w:val="5"/>
            <w:shd w:val="clear" w:color="auto" w:fill="auto"/>
            <w:vAlign w:val="center"/>
          </w:tcPr>
          <w:p w14:paraId="4ACE2208" w14:textId="77777777" w:rsidR="006F587A" w:rsidRDefault="006F587A">
            <w:pPr>
              <w:rPr>
                <w:rFonts w:ascii="Times New Roman" w:hAnsi="Times New Roman"/>
                <w:sz w:val="20"/>
                <w:szCs w:val="20"/>
              </w:rPr>
            </w:pPr>
          </w:p>
        </w:tc>
      </w:tr>
      <w:tr w:rsidR="006F587A" w14:paraId="4ACE220F" w14:textId="77777777">
        <w:tc>
          <w:tcPr>
            <w:tcW w:w="1800" w:type="pct"/>
            <w:shd w:val="clear" w:color="auto" w:fill="auto"/>
            <w:vAlign w:val="center"/>
          </w:tcPr>
          <w:p w14:paraId="4ACE220A" w14:textId="77777777" w:rsidR="006F587A" w:rsidRDefault="006F587A">
            <w:pPr>
              <w:rPr>
                <w:rFonts w:ascii="Times New Roman" w:hAnsi="Times New Roman"/>
                <w:sz w:val="20"/>
                <w:szCs w:val="20"/>
              </w:rPr>
            </w:pPr>
          </w:p>
        </w:tc>
        <w:tc>
          <w:tcPr>
            <w:tcW w:w="1150" w:type="pct"/>
            <w:shd w:val="clear" w:color="auto" w:fill="auto"/>
            <w:vAlign w:val="center"/>
          </w:tcPr>
          <w:p w14:paraId="4ACE220B" w14:textId="77777777" w:rsidR="006F587A" w:rsidRDefault="006F587A">
            <w:pPr>
              <w:rPr>
                <w:rFonts w:ascii="Times New Roman" w:hAnsi="Times New Roman"/>
                <w:sz w:val="20"/>
                <w:szCs w:val="20"/>
              </w:rPr>
            </w:pPr>
          </w:p>
        </w:tc>
        <w:tc>
          <w:tcPr>
            <w:tcW w:w="450" w:type="pct"/>
            <w:shd w:val="clear" w:color="auto" w:fill="auto"/>
            <w:vAlign w:val="center"/>
          </w:tcPr>
          <w:p w14:paraId="4ACE220C" w14:textId="77777777" w:rsidR="006F587A" w:rsidRDefault="006F587A">
            <w:pPr>
              <w:rPr>
                <w:rFonts w:ascii="Times New Roman" w:hAnsi="Times New Roman"/>
                <w:sz w:val="20"/>
                <w:szCs w:val="20"/>
              </w:rPr>
            </w:pPr>
          </w:p>
        </w:tc>
        <w:tc>
          <w:tcPr>
            <w:tcW w:w="350" w:type="pct"/>
            <w:shd w:val="clear" w:color="auto" w:fill="auto"/>
            <w:vAlign w:val="center"/>
          </w:tcPr>
          <w:p w14:paraId="4ACE220D" w14:textId="77777777" w:rsidR="006F587A" w:rsidRDefault="006F587A">
            <w:pPr>
              <w:rPr>
                <w:rFonts w:ascii="Times New Roman" w:hAnsi="Times New Roman"/>
                <w:sz w:val="20"/>
                <w:szCs w:val="20"/>
              </w:rPr>
            </w:pPr>
          </w:p>
        </w:tc>
        <w:tc>
          <w:tcPr>
            <w:tcW w:w="1250" w:type="pct"/>
            <w:shd w:val="clear" w:color="auto" w:fill="auto"/>
            <w:vAlign w:val="center"/>
          </w:tcPr>
          <w:p w14:paraId="4ACE220E" w14:textId="77777777" w:rsidR="006F587A" w:rsidRDefault="006F587A">
            <w:pPr>
              <w:rPr>
                <w:rFonts w:ascii="Times New Roman" w:hAnsi="Times New Roman"/>
                <w:sz w:val="20"/>
                <w:szCs w:val="20"/>
              </w:rPr>
            </w:pPr>
          </w:p>
        </w:tc>
      </w:tr>
      <w:tr w:rsidR="006F587A" w14:paraId="4ACE2212" w14:textId="77777777">
        <w:tc>
          <w:tcPr>
            <w:tcW w:w="0" w:type="auto"/>
            <w:gridSpan w:val="4"/>
            <w:tcBorders>
              <w:bottom w:val="single" w:sz="8" w:space="0" w:color="333333"/>
            </w:tcBorders>
            <w:shd w:val="clear" w:color="auto" w:fill="auto"/>
            <w:tcMar>
              <w:top w:w="40" w:type="dxa"/>
              <w:left w:w="40" w:type="dxa"/>
              <w:bottom w:w="40" w:type="dxa"/>
              <w:right w:w="40" w:type="dxa"/>
            </w:tcMar>
            <w:vAlign w:val="bottom"/>
          </w:tcPr>
          <w:p w14:paraId="4ACE2210" w14:textId="77777777" w:rsidR="006F587A" w:rsidRDefault="007B2B61">
            <w:pPr>
              <w:textAlignment w:val="bottom"/>
              <w:rPr>
                <w:rFonts w:ascii="Times New Roman" w:hAnsi="Times New Roman"/>
                <w:sz w:val="20"/>
                <w:szCs w:val="20"/>
              </w:rPr>
            </w:pPr>
            <w:r>
              <w:rPr>
                <w:rFonts w:ascii="Arial" w:eastAsia="宋体" w:hAnsi="Arial" w:cs="Arial"/>
                <w:b/>
                <w:bCs/>
                <w:color w:val="006EBF"/>
                <w:sz w:val="20"/>
                <w:szCs w:val="20"/>
              </w:rPr>
              <w:t>BE THE LEADING END-TO-END PLATFORM PROVIDER FOR THE NEW DATA WORLD</w:t>
            </w:r>
          </w:p>
        </w:tc>
        <w:tc>
          <w:tcPr>
            <w:tcW w:w="0" w:type="auto"/>
            <w:shd w:val="clear" w:color="auto" w:fill="auto"/>
            <w:tcMar>
              <w:top w:w="40" w:type="dxa"/>
              <w:left w:w="40" w:type="dxa"/>
              <w:bottom w:w="40" w:type="dxa"/>
              <w:right w:w="40" w:type="dxa"/>
            </w:tcMar>
            <w:vAlign w:val="bottom"/>
          </w:tcPr>
          <w:p w14:paraId="4ACE221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2215" w14:textId="77777777">
        <w:tc>
          <w:tcPr>
            <w:tcW w:w="0" w:type="auto"/>
            <w:gridSpan w:val="3"/>
            <w:shd w:val="clear" w:color="auto" w:fill="auto"/>
            <w:tcMar>
              <w:top w:w="40" w:type="dxa"/>
              <w:left w:w="40" w:type="dxa"/>
              <w:bottom w:w="40" w:type="dxa"/>
              <w:right w:w="40" w:type="dxa"/>
            </w:tcMar>
          </w:tcPr>
          <w:p w14:paraId="4ACE2213"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 xml:space="preserve">Customers look to Intel for our end-to-end capability to deliver solutions that enable customers to move faster, store more, and </w:t>
            </w:r>
            <w:r>
              <w:rPr>
                <w:rFonts w:ascii="Arial" w:eastAsia="宋体" w:hAnsi="Arial" w:cs="Arial"/>
                <w:color w:val="333333"/>
                <w:sz w:val="18"/>
                <w:szCs w:val="18"/>
              </w:rPr>
              <w:t>process everything. We continue to make investments in optimizing our Intel</w:t>
            </w:r>
            <w:r>
              <w:rPr>
                <w:rFonts w:ascii="Arial" w:eastAsia="宋体" w:hAnsi="Arial" w:cs="Arial"/>
                <w:color w:val="333333"/>
                <w:sz w:val="12"/>
                <w:szCs w:val="12"/>
              </w:rPr>
              <w:t>®</w:t>
            </w:r>
            <w:r>
              <w:rPr>
                <w:rFonts w:ascii="Arial" w:eastAsia="宋体" w:hAnsi="Arial" w:cs="Arial"/>
                <w:color w:val="333333"/>
                <w:sz w:val="18"/>
                <w:szCs w:val="18"/>
              </w:rPr>
              <w:t> Xeon</w:t>
            </w:r>
            <w:r>
              <w:rPr>
                <w:rFonts w:ascii="Arial" w:eastAsia="宋体" w:hAnsi="Arial" w:cs="Arial"/>
                <w:color w:val="333333"/>
                <w:sz w:val="12"/>
                <w:szCs w:val="12"/>
              </w:rPr>
              <w:t>®</w:t>
            </w:r>
            <w:r>
              <w:rPr>
                <w:rFonts w:ascii="Arial" w:eastAsia="宋体" w:hAnsi="Arial" w:cs="Arial"/>
                <w:color w:val="333333"/>
                <w:sz w:val="18"/>
                <w:szCs w:val="18"/>
              </w:rPr>
              <w:t> processors in response to our customers’ need for high-performance computing. We continue to develop innovative memory and storage solutions, including Intel</w:t>
            </w:r>
            <w:r>
              <w:rPr>
                <w:rFonts w:ascii="Arial" w:eastAsia="宋体" w:hAnsi="Arial" w:cs="Arial"/>
                <w:color w:val="333333"/>
                <w:sz w:val="12"/>
                <w:szCs w:val="12"/>
              </w:rPr>
              <w:t>®</w:t>
            </w:r>
            <w:r>
              <w:rPr>
                <w:rFonts w:ascii="Arial" w:eastAsia="宋体" w:hAnsi="Arial" w:cs="Arial"/>
                <w:color w:val="333333"/>
                <w:sz w:val="18"/>
                <w:szCs w:val="18"/>
              </w:rPr>
              <w:t> QLC 3D NAND Te</w:t>
            </w:r>
            <w:r>
              <w:rPr>
                <w:rFonts w:ascii="Arial" w:eastAsia="宋体" w:hAnsi="Arial" w:cs="Arial"/>
                <w:color w:val="333333"/>
                <w:sz w:val="18"/>
                <w:szCs w:val="18"/>
              </w:rPr>
              <w:t>chnology and Intel</w:t>
            </w:r>
            <w:r>
              <w:rPr>
                <w:rFonts w:ascii="Arial" w:eastAsia="宋体" w:hAnsi="Arial" w:cs="Arial"/>
                <w:color w:val="333333"/>
                <w:sz w:val="12"/>
                <w:szCs w:val="12"/>
              </w:rPr>
              <w:t>®</w:t>
            </w:r>
            <w:r>
              <w:rPr>
                <w:rFonts w:ascii="Arial" w:eastAsia="宋体" w:hAnsi="Arial" w:cs="Arial"/>
                <w:color w:val="333333"/>
                <w:sz w:val="18"/>
                <w:szCs w:val="18"/>
              </w:rPr>
              <w:t> Optane</w:t>
            </w:r>
            <w:r>
              <w:rPr>
                <w:rFonts w:ascii="Arial" w:eastAsia="宋体" w:hAnsi="Arial" w:cs="Arial"/>
                <w:color w:val="333333"/>
                <w:sz w:val="12"/>
                <w:szCs w:val="12"/>
              </w:rPr>
              <w:t xml:space="preserve">™ </w:t>
            </w:r>
            <w:r>
              <w:rPr>
                <w:rFonts w:ascii="Arial" w:eastAsia="宋体" w:hAnsi="Arial" w:cs="Arial"/>
                <w:color w:val="333333"/>
                <w:sz w:val="18"/>
                <w:szCs w:val="18"/>
              </w:rPr>
              <w:t>memory, to provide data center products that are optimized to deliver world-class performance and drive lower total cost of ownership for cloud workloads. Our advancements in FPGAs enable efficient management of the changing dem</w:t>
            </w:r>
            <w:r>
              <w:rPr>
                <w:rFonts w:ascii="Arial" w:eastAsia="宋体" w:hAnsi="Arial" w:cs="Arial"/>
                <w:color w:val="333333"/>
                <w:sz w:val="18"/>
                <w:szCs w:val="18"/>
              </w:rPr>
              <w:t>ands of next-generation data centers and accelerate the performance of emerging applications.</w:t>
            </w:r>
          </w:p>
        </w:tc>
        <w:tc>
          <w:tcPr>
            <w:tcW w:w="0" w:type="auto"/>
            <w:gridSpan w:val="2"/>
            <w:vMerge w:val="restart"/>
            <w:shd w:val="clear" w:color="auto" w:fill="auto"/>
            <w:tcMar>
              <w:top w:w="40" w:type="dxa"/>
              <w:left w:w="40" w:type="dxa"/>
              <w:bottom w:w="40" w:type="dxa"/>
              <w:right w:w="40" w:type="dxa"/>
            </w:tcMar>
          </w:tcPr>
          <w:p w14:paraId="4ACE2214" w14:textId="77777777" w:rsidR="006F587A" w:rsidRDefault="007B2B61">
            <w:pPr>
              <w:textAlignment w:val="top"/>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Viewer12_files/a015journeyiconsandlabels.jpg"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51" wp14:editId="4ACE6C52">
                  <wp:extent cx="304800" cy="304800"/>
                  <wp:effectExtent l="0" t="0" r="0" b="0"/>
                  <wp:docPr id="29" name="图片 66"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6" descr="IMG_28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r>
      <w:tr w:rsidR="006F587A" w14:paraId="4ACE2218" w14:textId="77777777">
        <w:tc>
          <w:tcPr>
            <w:tcW w:w="0" w:type="auto"/>
            <w:gridSpan w:val="3"/>
            <w:tcBorders>
              <w:bottom w:val="single" w:sz="8" w:space="0" w:color="333333"/>
            </w:tcBorders>
            <w:shd w:val="clear" w:color="auto" w:fill="auto"/>
            <w:tcMar>
              <w:top w:w="40" w:type="dxa"/>
              <w:left w:w="40" w:type="dxa"/>
              <w:bottom w:w="40" w:type="dxa"/>
              <w:right w:w="40" w:type="dxa"/>
            </w:tcMar>
            <w:vAlign w:val="bottom"/>
          </w:tcPr>
          <w:p w14:paraId="4ACE2216" w14:textId="77777777" w:rsidR="006F587A" w:rsidRDefault="007B2B61">
            <w:pPr>
              <w:textAlignment w:val="bottom"/>
              <w:rPr>
                <w:rFonts w:ascii="Times New Roman" w:hAnsi="Times New Roman"/>
                <w:sz w:val="20"/>
                <w:szCs w:val="20"/>
              </w:rPr>
            </w:pPr>
            <w:r>
              <w:rPr>
                <w:rFonts w:ascii="Arial" w:eastAsia="宋体" w:hAnsi="Arial" w:cs="Arial"/>
                <w:b/>
                <w:bCs/>
                <w:color w:val="006EBF"/>
                <w:sz w:val="20"/>
                <w:szCs w:val="20"/>
              </w:rPr>
              <w:t xml:space="preserve">RELENTLESS FOCUS ON OPERATIONAL EXCELLENCE </w:t>
            </w:r>
            <w:r>
              <w:rPr>
                <w:rFonts w:ascii="Arial" w:eastAsia="宋体" w:hAnsi="Arial" w:cs="Arial"/>
                <w:b/>
                <w:bCs/>
                <w:color w:val="006EBF"/>
                <w:sz w:val="20"/>
                <w:szCs w:val="20"/>
              </w:rPr>
              <w:lastRenderedPageBreak/>
              <w:t>AND EFFICIENCY</w:t>
            </w:r>
          </w:p>
        </w:tc>
        <w:tc>
          <w:tcPr>
            <w:tcW w:w="0" w:type="auto"/>
            <w:gridSpan w:val="2"/>
            <w:vMerge/>
            <w:shd w:val="clear" w:color="auto" w:fill="auto"/>
            <w:tcMar>
              <w:top w:w="40" w:type="dxa"/>
              <w:left w:w="40" w:type="dxa"/>
              <w:bottom w:w="40" w:type="dxa"/>
              <w:right w:w="40" w:type="dxa"/>
            </w:tcMar>
          </w:tcPr>
          <w:p w14:paraId="4ACE2217" w14:textId="77777777" w:rsidR="006F587A" w:rsidRDefault="006F587A">
            <w:pPr>
              <w:rPr>
                <w:rFonts w:ascii="Times New Roman" w:hAnsi="Times New Roman"/>
                <w:sz w:val="20"/>
                <w:szCs w:val="20"/>
              </w:rPr>
            </w:pPr>
          </w:p>
        </w:tc>
      </w:tr>
      <w:tr w:rsidR="006F587A" w14:paraId="4ACE221B" w14:textId="77777777">
        <w:tc>
          <w:tcPr>
            <w:tcW w:w="0" w:type="auto"/>
            <w:gridSpan w:val="3"/>
            <w:shd w:val="clear" w:color="auto" w:fill="auto"/>
            <w:tcMar>
              <w:top w:w="40" w:type="dxa"/>
              <w:left w:w="40" w:type="dxa"/>
              <w:bottom w:w="40" w:type="dxa"/>
              <w:right w:w="40" w:type="dxa"/>
            </w:tcMar>
          </w:tcPr>
          <w:p w14:paraId="4ACE2219"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Underlying our transformation to a data-centric company is a relentless focus on operational excellence and efficiency. This focus includes the elimination of lower growth investments and activiti</w:t>
            </w:r>
            <w:r>
              <w:rPr>
                <w:rFonts w:ascii="Arial" w:eastAsia="宋体" w:hAnsi="Arial" w:cs="Arial"/>
                <w:color w:val="333333"/>
                <w:sz w:val="18"/>
                <w:szCs w:val="18"/>
              </w:rPr>
              <w:t xml:space="preserve">es, and the simplification and automation of routine processes and activities. These efforts also extend to our product design processes, where we are striving to reduce the complexity of our designs to improve our efficiency and enhance quality. </w:t>
            </w:r>
          </w:p>
        </w:tc>
        <w:tc>
          <w:tcPr>
            <w:tcW w:w="0" w:type="auto"/>
            <w:gridSpan w:val="2"/>
            <w:vMerge/>
            <w:shd w:val="clear" w:color="auto" w:fill="auto"/>
            <w:tcMar>
              <w:top w:w="40" w:type="dxa"/>
              <w:left w:w="40" w:type="dxa"/>
              <w:bottom w:w="40" w:type="dxa"/>
              <w:right w:w="40" w:type="dxa"/>
            </w:tcMar>
          </w:tcPr>
          <w:p w14:paraId="4ACE221A" w14:textId="77777777" w:rsidR="006F587A" w:rsidRDefault="006F587A">
            <w:pPr>
              <w:rPr>
                <w:rFonts w:ascii="Times New Roman" w:hAnsi="Times New Roman"/>
                <w:sz w:val="20"/>
                <w:szCs w:val="20"/>
              </w:rPr>
            </w:pPr>
          </w:p>
        </w:tc>
      </w:tr>
      <w:tr w:rsidR="006F587A" w14:paraId="4ACE221D" w14:textId="77777777">
        <w:tc>
          <w:tcPr>
            <w:tcW w:w="0" w:type="auto"/>
            <w:gridSpan w:val="5"/>
            <w:shd w:val="clear" w:color="auto" w:fill="auto"/>
            <w:tcMar>
              <w:top w:w="40" w:type="dxa"/>
              <w:left w:w="40" w:type="dxa"/>
              <w:bottom w:w="40" w:type="dxa"/>
              <w:right w:w="40" w:type="dxa"/>
            </w:tcMar>
          </w:tcPr>
          <w:p w14:paraId="4ACE221C"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These improvements enable us to achieve scale in our core operations, providing a stable and cost-effective platform to support additional investments in the design, development, and delivery of new products. Operational excellence helps us fund the expans</w:t>
            </w:r>
            <w:r>
              <w:rPr>
                <w:rFonts w:ascii="Arial" w:eastAsia="宋体" w:hAnsi="Arial" w:cs="Arial"/>
                <w:color w:val="333333"/>
                <w:sz w:val="18"/>
                <w:szCs w:val="18"/>
              </w:rPr>
              <w:t xml:space="preserve">ion of our TAM through big-bet investments. </w:t>
            </w:r>
          </w:p>
        </w:tc>
      </w:tr>
    </w:tbl>
    <w:p w14:paraId="4ACE221E" w14:textId="77777777" w:rsidR="006F587A" w:rsidRDefault="006F587A">
      <w:pPr>
        <w:rPr>
          <w:vanish/>
        </w:rPr>
      </w:pPr>
    </w:p>
    <w:tbl>
      <w:tblPr>
        <w:tblW w:w="5000" w:type="pct"/>
        <w:tblCellMar>
          <w:left w:w="0" w:type="dxa"/>
          <w:right w:w="0" w:type="dxa"/>
        </w:tblCellMar>
        <w:tblLook w:val="04A0" w:firstRow="1" w:lastRow="0" w:firstColumn="1" w:lastColumn="0" w:noHBand="0" w:noVBand="1"/>
      </w:tblPr>
      <w:tblGrid>
        <w:gridCol w:w="249"/>
        <w:gridCol w:w="8057"/>
      </w:tblGrid>
      <w:tr w:rsidR="006F587A" w14:paraId="4ACE2220" w14:textId="77777777">
        <w:tc>
          <w:tcPr>
            <w:tcW w:w="0" w:type="auto"/>
            <w:gridSpan w:val="2"/>
            <w:shd w:val="clear" w:color="auto" w:fill="auto"/>
            <w:vAlign w:val="center"/>
          </w:tcPr>
          <w:p w14:paraId="4ACE221F" w14:textId="77777777" w:rsidR="006F587A" w:rsidRDefault="006F587A">
            <w:pPr>
              <w:rPr>
                <w:rFonts w:ascii="Times New Roman" w:hAnsi="Times New Roman"/>
                <w:sz w:val="20"/>
                <w:szCs w:val="20"/>
              </w:rPr>
            </w:pPr>
          </w:p>
        </w:tc>
      </w:tr>
      <w:tr w:rsidR="006F587A" w14:paraId="4ACE2223" w14:textId="77777777">
        <w:tc>
          <w:tcPr>
            <w:tcW w:w="150" w:type="pct"/>
            <w:shd w:val="clear" w:color="auto" w:fill="auto"/>
            <w:vAlign w:val="center"/>
          </w:tcPr>
          <w:p w14:paraId="4ACE2221" w14:textId="77777777" w:rsidR="006F587A" w:rsidRDefault="006F587A">
            <w:pPr>
              <w:rPr>
                <w:rFonts w:ascii="Times New Roman" w:hAnsi="Times New Roman"/>
                <w:sz w:val="20"/>
                <w:szCs w:val="20"/>
              </w:rPr>
            </w:pPr>
          </w:p>
        </w:tc>
        <w:tc>
          <w:tcPr>
            <w:tcW w:w="4850" w:type="pct"/>
            <w:shd w:val="clear" w:color="auto" w:fill="auto"/>
            <w:vAlign w:val="center"/>
          </w:tcPr>
          <w:p w14:paraId="4ACE2222" w14:textId="77777777" w:rsidR="006F587A" w:rsidRDefault="006F587A">
            <w:pPr>
              <w:rPr>
                <w:rFonts w:ascii="Times New Roman" w:hAnsi="Times New Roman"/>
                <w:sz w:val="20"/>
                <w:szCs w:val="20"/>
              </w:rPr>
            </w:pPr>
          </w:p>
        </w:tc>
      </w:tr>
      <w:tr w:rsidR="006F587A" w14:paraId="4ACE2225" w14:textId="77777777">
        <w:tc>
          <w:tcPr>
            <w:tcW w:w="0" w:type="auto"/>
            <w:gridSpan w:val="2"/>
            <w:tcBorders>
              <w:bottom w:val="single" w:sz="8" w:space="0" w:color="333333"/>
            </w:tcBorders>
            <w:shd w:val="clear" w:color="auto" w:fill="auto"/>
            <w:tcMar>
              <w:top w:w="40" w:type="dxa"/>
              <w:left w:w="40" w:type="dxa"/>
              <w:bottom w:w="40" w:type="dxa"/>
              <w:right w:w="40" w:type="dxa"/>
            </w:tcMar>
            <w:vAlign w:val="bottom"/>
          </w:tcPr>
          <w:p w14:paraId="4ACE2224" w14:textId="77777777" w:rsidR="006F587A" w:rsidRDefault="007B2B61">
            <w:pPr>
              <w:textAlignment w:val="bottom"/>
              <w:rPr>
                <w:rFonts w:ascii="Times New Roman" w:hAnsi="Times New Roman"/>
                <w:sz w:val="20"/>
                <w:szCs w:val="20"/>
              </w:rPr>
            </w:pPr>
            <w:r>
              <w:rPr>
                <w:rFonts w:ascii="Arial" w:eastAsia="宋体" w:hAnsi="Arial" w:cs="Arial"/>
                <w:b/>
                <w:bCs/>
                <w:color w:val="006EBF"/>
                <w:sz w:val="20"/>
                <w:szCs w:val="20"/>
              </w:rPr>
              <w:t>CONTINUE TO HIRE, DEVELOP, AND RETAIN THE BEST, MOST DIVERSE AND INCLUSIVE TALENT</w:t>
            </w:r>
          </w:p>
        </w:tc>
      </w:tr>
      <w:tr w:rsidR="006F587A" w14:paraId="4ACE2227" w14:textId="77777777">
        <w:tc>
          <w:tcPr>
            <w:tcW w:w="0" w:type="auto"/>
            <w:gridSpan w:val="2"/>
            <w:shd w:val="clear" w:color="auto" w:fill="auto"/>
            <w:tcMar>
              <w:top w:w="40" w:type="dxa"/>
              <w:left w:w="40" w:type="dxa"/>
              <w:bottom w:w="40" w:type="dxa"/>
              <w:right w:w="40" w:type="dxa"/>
            </w:tcMar>
          </w:tcPr>
          <w:p w14:paraId="4ACE2226"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 xml:space="preserve">At the core of our organization are highly skilled, diverse, and talented people capable of accelerating as one team in </w:t>
            </w:r>
            <w:r>
              <w:rPr>
                <w:rFonts w:ascii="Arial" w:eastAsia="宋体" w:hAnsi="Arial" w:cs="Arial"/>
                <w:color w:val="333333"/>
                <w:sz w:val="18"/>
                <w:szCs w:val="18"/>
              </w:rPr>
              <w:t>everything we do. We are proud of our past and inspired by how our employees are rising to the challenge to evolve our culture. Inclusion is the foundation of this evolution and runs through each of our culture attributes. These attributes reinforce:</w:t>
            </w:r>
          </w:p>
        </w:tc>
      </w:tr>
      <w:tr w:rsidR="006F587A" w14:paraId="4ACE222B" w14:textId="77777777">
        <w:tc>
          <w:tcPr>
            <w:tcW w:w="0" w:type="auto"/>
            <w:shd w:val="clear" w:color="auto" w:fill="auto"/>
            <w:tcMar>
              <w:top w:w="40" w:type="dxa"/>
              <w:left w:w="40" w:type="dxa"/>
              <w:bottom w:w="40" w:type="dxa"/>
              <w:right w:w="40" w:type="dxa"/>
            </w:tcMar>
          </w:tcPr>
          <w:p w14:paraId="4ACE2228" w14:textId="77777777" w:rsidR="006F587A" w:rsidRDefault="007B2B61">
            <w:pPr>
              <w:jc w:val="center"/>
              <w:textAlignment w:val="top"/>
              <w:rPr>
                <w:rFonts w:ascii="Times New Roman" w:hAnsi="Times New Roman"/>
                <w:sz w:val="12"/>
                <w:szCs w:val="12"/>
              </w:rPr>
            </w:pPr>
            <w:r>
              <w:rPr>
                <w:rFonts w:ascii="Arial" w:eastAsia="宋体" w:hAnsi="Arial" w:cs="Arial"/>
                <w:color w:val="0071C5"/>
                <w:sz w:val="12"/>
                <w:szCs w:val="12"/>
              </w:rPr>
              <w:t>●</w:t>
            </w:r>
          </w:p>
        </w:tc>
        <w:tc>
          <w:tcPr>
            <w:tcW w:w="0" w:type="auto"/>
            <w:shd w:val="clear" w:color="auto" w:fill="auto"/>
            <w:tcMar>
              <w:top w:w="40" w:type="dxa"/>
              <w:left w:w="40" w:type="dxa"/>
              <w:bottom w:w="40" w:type="dxa"/>
              <w:right w:w="40" w:type="dxa"/>
            </w:tcMar>
          </w:tcPr>
          <w:p w14:paraId="4ACE2229" w14:textId="77777777" w:rsidR="006F587A" w:rsidRDefault="007B2B61">
            <w:pPr>
              <w:textAlignment w:val="top"/>
              <w:rPr>
                <w:rFonts w:ascii="Times New Roman" w:hAnsi="Times New Roman"/>
                <w:sz w:val="18"/>
                <w:szCs w:val="18"/>
              </w:rPr>
            </w:pPr>
            <w:r>
              <w:rPr>
                <w:rFonts w:ascii="Arial" w:eastAsia="宋体" w:hAnsi="Arial" w:cs="Arial"/>
                <w:color w:val="0071C5"/>
                <w:sz w:val="18"/>
                <w:szCs w:val="18"/>
              </w:rPr>
              <w:t>Customer Obsessed:</w:t>
            </w:r>
            <w:r>
              <w:rPr>
                <w:rFonts w:ascii="Arial" w:eastAsia="宋体" w:hAnsi="Arial" w:cs="Arial"/>
                <w:color w:val="333333"/>
                <w:sz w:val="18"/>
                <w:szCs w:val="18"/>
              </w:rPr>
              <w:t> Our customer’s success is our success. We listen, learn, and anticipate our customers’ needs to deliver on their ambitions.</w:t>
            </w:r>
          </w:p>
          <w:p w14:paraId="4ACE222A" w14:textId="77777777" w:rsidR="006F587A" w:rsidRDefault="006F587A">
            <w:pPr>
              <w:textAlignment w:val="top"/>
              <w:rPr>
                <w:rFonts w:ascii="Times New Roman" w:hAnsi="Times New Roman"/>
                <w:sz w:val="18"/>
                <w:szCs w:val="18"/>
              </w:rPr>
            </w:pPr>
          </w:p>
        </w:tc>
      </w:tr>
      <w:tr w:rsidR="006F587A" w14:paraId="4ACE222F" w14:textId="77777777">
        <w:tc>
          <w:tcPr>
            <w:tcW w:w="0" w:type="auto"/>
            <w:shd w:val="clear" w:color="auto" w:fill="auto"/>
            <w:tcMar>
              <w:top w:w="40" w:type="dxa"/>
              <w:left w:w="40" w:type="dxa"/>
              <w:bottom w:w="40" w:type="dxa"/>
              <w:right w:w="40" w:type="dxa"/>
            </w:tcMar>
          </w:tcPr>
          <w:p w14:paraId="4ACE222C" w14:textId="77777777" w:rsidR="006F587A" w:rsidRDefault="007B2B61">
            <w:pPr>
              <w:jc w:val="center"/>
              <w:textAlignment w:val="top"/>
              <w:rPr>
                <w:rFonts w:ascii="Times New Roman" w:hAnsi="Times New Roman"/>
                <w:sz w:val="12"/>
                <w:szCs w:val="12"/>
              </w:rPr>
            </w:pPr>
            <w:r>
              <w:rPr>
                <w:rFonts w:ascii="Arial" w:eastAsia="宋体" w:hAnsi="Arial" w:cs="Arial"/>
                <w:color w:val="0071C5"/>
                <w:sz w:val="12"/>
                <w:szCs w:val="12"/>
              </w:rPr>
              <w:t>●</w:t>
            </w:r>
          </w:p>
        </w:tc>
        <w:tc>
          <w:tcPr>
            <w:tcW w:w="0" w:type="auto"/>
            <w:shd w:val="clear" w:color="auto" w:fill="auto"/>
            <w:tcMar>
              <w:top w:w="40" w:type="dxa"/>
              <w:left w:w="40" w:type="dxa"/>
              <w:bottom w:w="40" w:type="dxa"/>
              <w:right w:w="40" w:type="dxa"/>
            </w:tcMar>
          </w:tcPr>
          <w:p w14:paraId="4ACE222D" w14:textId="77777777" w:rsidR="006F587A" w:rsidRDefault="007B2B61">
            <w:pPr>
              <w:textAlignment w:val="top"/>
              <w:rPr>
                <w:rFonts w:ascii="Times New Roman" w:hAnsi="Times New Roman"/>
                <w:sz w:val="18"/>
                <w:szCs w:val="18"/>
              </w:rPr>
            </w:pPr>
            <w:r>
              <w:rPr>
                <w:rFonts w:ascii="Arial" w:eastAsia="宋体" w:hAnsi="Arial" w:cs="Arial"/>
                <w:color w:val="0071C5"/>
                <w:sz w:val="18"/>
                <w:szCs w:val="18"/>
              </w:rPr>
              <w:t>One Intel:</w:t>
            </w:r>
            <w:r>
              <w:rPr>
                <w:rFonts w:ascii="Arial" w:eastAsia="宋体" w:hAnsi="Arial" w:cs="Arial"/>
                <w:color w:val="333333"/>
                <w:sz w:val="18"/>
                <w:szCs w:val="18"/>
              </w:rPr>
              <w:t> We are stronger together and commit to team over individual success.</w:t>
            </w:r>
          </w:p>
          <w:p w14:paraId="4ACE222E" w14:textId="77777777" w:rsidR="006F587A" w:rsidRDefault="006F587A">
            <w:pPr>
              <w:textAlignment w:val="top"/>
              <w:rPr>
                <w:rFonts w:ascii="Times New Roman" w:hAnsi="Times New Roman"/>
                <w:sz w:val="18"/>
                <w:szCs w:val="18"/>
              </w:rPr>
            </w:pPr>
          </w:p>
        </w:tc>
      </w:tr>
      <w:tr w:rsidR="006F587A" w14:paraId="4ACE2233" w14:textId="77777777">
        <w:tc>
          <w:tcPr>
            <w:tcW w:w="0" w:type="auto"/>
            <w:shd w:val="clear" w:color="auto" w:fill="auto"/>
            <w:tcMar>
              <w:top w:w="40" w:type="dxa"/>
              <w:left w:w="40" w:type="dxa"/>
              <w:bottom w:w="40" w:type="dxa"/>
              <w:right w:w="40" w:type="dxa"/>
            </w:tcMar>
          </w:tcPr>
          <w:p w14:paraId="4ACE2230" w14:textId="77777777" w:rsidR="006F587A" w:rsidRDefault="007B2B61">
            <w:pPr>
              <w:jc w:val="center"/>
              <w:textAlignment w:val="top"/>
              <w:rPr>
                <w:rFonts w:ascii="Times New Roman" w:hAnsi="Times New Roman"/>
                <w:sz w:val="12"/>
                <w:szCs w:val="12"/>
              </w:rPr>
            </w:pPr>
            <w:r>
              <w:rPr>
                <w:rFonts w:ascii="Arial" w:eastAsia="宋体" w:hAnsi="Arial" w:cs="Arial"/>
                <w:color w:val="0071C5"/>
                <w:sz w:val="12"/>
                <w:szCs w:val="12"/>
              </w:rPr>
              <w:t>●</w:t>
            </w:r>
          </w:p>
        </w:tc>
        <w:tc>
          <w:tcPr>
            <w:tcW w:w="0" w:type="auto"/>
            <w:shd w:val="clear" w:color="auto" w:fill="auto"/>
            <w:tcMar>
              <w:top w:w="40" w:type="dxa"/>
              <w:left w:w="40" w:type="dxa"/>
              <w:bottom w:w="40" w:type="dxa"/>
              <w:right w:w="40" w:type="dxa"/>
            </w:tcMar>
          </w:tcPr>
          <w:p w14:paraId="4ACE2231" w14:textId="77777777" w:rsidR="006F587A" w:rsidRDefault="007B2B61">
            <w:pPr>
              <w:textAlignment w:val="top"/>
              <w:rPr>
                <w:rFonts w:ascii="Times New Roman" w:hAnsi="Times New Roman"/>
                <w:sz w:val="18"/>
                <w:szCs w:val="18"/>
              </w:rPr>
            </w:pPr>
            <w:r>
              <w:rPr>
                <w:rFonts w:ascii="Arial" w:eastAsia="宋体" w:hAnsi="Arial" w:cs="Arial"/>
                <w:color w:val="0071C5"/>
                <w:sz w:val="18"/>
                <w:szCs w:val="18"/>
              </w:rPr>
              <w:t xml:space="preserve">Fearless: </w:t>
            </w:r>
            <w:r>
              <w:rPr>
                <w:rFonts w:ascii="Arial" w:eastAsia="宋体" w:hAnsi="Arial" w:cs="Arial"/>
                <w:color w:val="333333"/>
                <w:sz w:val="18"/>
                <w:szCs w:val="18"/>
              </w:rPr>
              <w:t xml:space="preserve">We are bold </w:t>
            </w:r>
            <w:r>
              <w:rPr>
                <w:rFonts w:ascii="Arial" w:eastAsia="宋体" w:hAnsi="Arial" w:cs="Arial"/>
                <w:color w:val="333333"/>
                <w:sz w:val="18"/>
                <w:szCs w:val="18"/>
              </w:rPr>
              <w:t>and innovative. We take risks, fail fast, and learn from mistakes.</w:t>
            </w:r>
          </w:p>
          <w:p w14:paraId="4ACE2232" w14:textId="77777777" w:rsidR="006F587A" w:rsidRDefault="006F587A">
            <w:pPr>
              <w:textAlignment w:val="top"/>
              <w:rPr>
                <w:rFonts w:ascii="Times New Roman" w:hAnsi="Times New Roman"/>
                <w:sz w:val="18"/>
                <w:szCs w:val="18"/>
              </w:rPr>
            </w:pPr>
          </w:p>
        </w:tc>
      </w:tr>
      <w:tr w:rsidR="006F587A" w14:paraId="4ACE2237" w14:textId="77777777">
        <w:tc>
          <w:tcPr>
            <w:tcW w:w="0" w:type="auto"/>
            <w:shd w:val="clear" w:color="auto" w:fill="auto"/>
            <w:tcMar>
              <w:top w:w="40" w:type="dxa"/>
              <w:left w:w="40" w:type="dxa"/>
              <w:bottom w:w="40" w:type="dxa"/>
              <w:right w:w="40" w:type="dxa"/>
            </w:tcMar>
          </w:tcPr>
          <w:p w14:paraId="4ACE2234" w14:textId="77777777" w:rsidR="006F587A" w:rsidRDefault="007B2B61">
            <w:pPr>
              <w:jc w:val="center"/>
              <w:textAlignment w:val="top"/>
              <w:rPr>
                <w:rFonts w:ascii="Times New Roman" w:hAnsi="Times New Roman"/>
                <w:sz w:val="12"/>
                <w:szCs w:val="12"/>
              </w:rPr>
            </w:pPr>
            <w:r>
              <w:rPr>
                <w:rFonts w:ascii="Arial" w:eastAsia="宋体" w:hAnsi="Arial" w:cs="Arial"/>
                <w:color w:val="0071C5"/>
                <w:sz w:val="12"/>
                <w:szCs w:val="12"/>
              </w:rPr>
              <w:t>●</w:t>
            </w:r>
          </w:p>
        </w:tc>
        <w:tc>
          <w:tcPr>
            <w:tcW w:w="0" w:type="auto"/>
            <w:shd w:val="clear" w:color="auto" w:fill="auto"/>
            <w:tcMar>
              <w:top w:w="40" w:type="dxa"/>
              <w:left w:w="40" w:type="dxa"/>
              <w:bottom w:w="40" w:type="dxa"/>
              <w:right w:w="40" w:type="dxa"/>
            </w:tcMar>
          </w:tcPr>
          <w:p w14:paraId="4ACE2235" w14:textId="77777777" w:rsidR="006F587A" w:rsidRDefault="007B2B61">
            <w:pPr>
              <w:textAlignment w:val="top"/>
              <w:rPr>
                <w:rFonts w:ascii="Times New Roman" w:hAnsi="Times New Roman"/>
                <w:sz w:val="18"/>
                <w:szCs w:val="18"/>
              </w:rPr>
            </w:pPr>
            <w:r>
              <w:rPr>
                <w:rFonts w:ascii="Arial" w:eastAsia="宋体" w:hAnsi="Arial" w:cs="Arial"/>
                <w:color w:val="0071C5"/>
                <w:sz w:val="18"/>
                <w:szCs w:val="18"/>
              </w:rPr>
              <w:t xml:space="preserve">Truth and Transparency: </w:t>
            </w:r>
            <w:r>
              <w:rPr>
                <w:rFonts w:ascii="Arial" w:eastAsia="宋体" w:hAnsi="Arial" w:cs="Arial"/>
                <w:color w:val="333333"/>
                <w:sz w:val="18"/>
                <w:szCs w:val="18"/>
              </w:rPr>
              <w:t>We are committed to being open and honest while bringing clarity to complex challenges.</w:t>
            </w:r>
          </w:p>
          <w:p w14:paraId="4ACE2236" w14:textId="77777777" w:rsidR="006F587A" w:rsidRDefault="006F587A">
            <w:pPr>
              <w:textAlignment w:val="top"/>
              <w:rPr>
                <w:rFonts w:ascii="Times New Roman" w:hAnsi="Times New Roman"/>
                <w:sz w:val="18"/>
                <w:szCs w:val="18"/>
              </w:rPr>
            </w:pPr>
          </w:p>
        </w:tc>
      </w:tr>
      <w:tr w:rsidR="006F587A" w14:paraId="4ACE223B" w14:textId="77777777">
        <w:tc>
          <w:tcPr>
            <w:tcW w:w="0" w:type="auto"/>
            <w:shd w:val="clear" w:color="auto" w:fill="auto"/>
            <w:tcMar>
              <w:top w:w="40" w:type="dxa"/>
              <w:left w:w="40" w:type="dxa"/>
              <w:bottom w:w="40" w:type="dxa"/>
              <w:right w:w="40" w:type="dxa"/>
            </w:tcMar>
          </w:tcPr>
          <w:p w14:paraId="4ACE2238" w14:textId="77777777" w:rsidR="006F587A" w:rsidRDefault="007B2B61">
            <w:pPr>
              <w:jc w:val="center"/>
              <w:textAlignment w:val="top"/>
              <w:rPr>
                <w:rFonts w:ascii="Times New Roman" w:hAnsi="Times New Roman"/>
                <w:sz w:val="12"/>
                <w:szCs w:val="12"/>
              </w:rPr>
            </w:pPr>
            <w:r>
              <w:rPr>
                <w:rFonts w:ascii="Arial" w:eastAsia="宋体" w:hAnsi="Arial" w:cs="Arial"/>
                <w:color w:val="0071C5"/>
                <w:sz w:val="12"/>
                <w:szCs w:val="12"/>
              </w:rPr>
              <w:t>●</w:t>
            </w:r>
          </w:p>
        </w:tc>
        <w:tc>
          <w:tcPr>
            <w:tcW w:w="0" w:type="auto"/>
            <w:shd w:val="clear" w:color="auto" w:fill="auto"/>
            <w:tcMar>
              <w:top w:w="40" w:type="dxa"/>
              <w:left w:w="40" w:type="dxa"/>
              <w:bottom w:w="40" w:type="dxa"/>
              <w:right w:w="40" w:type="dxa"/>
            </w:tcMar>
          </w:tcPr>
          <w:p w14:paraId="4ACE2239" w14:textId="77777777" w:rsidR="006F587A" w:rsidRDefault="007B2B61">
            <w:pPr>
              <w:textAlignment w:val="top"/>
              <w:rPr>
                <w:rFonts w:ascii="Times New Roman" w:hAnsi="Times New Roman"/>
                <w:sz w:val="18"/>
                <w:szCs w:val="18"/>
              </w:rPr>
            </w:pPr>
            <w:r>
              <w:rPr>
                <w:rFonts w:ascii="Arial" w:eastAsia="宋体" w:hAnsi="Arial" w:cs="Arial"/>
                <w:color w:val="0071C5"/>
                <w:sz w:val="18"/>
                <w:szCs w:val="18"/>
              </w:rPr>
              <w:t xml:space="preserve">Inclusion: </w:t>
            </w:r>
            <w:r>
              <w:rPr>
                <w:rFonts w:ascii="Arial" w:eastAsia="宋体" w:hAnsi="Arial" w:cs="Arial"/>
                <w:color w:val="333333"/>
                <w:sz w:val="18"/>
                <w:szCs w:val="18"/>
              </w:rPr>
              <w:t>We strive to build a culture of belonging and welcome diff</w:t>
            </w:r>
            <w:r>
              <w:rPr>
                <w:rFonts w:ascii="Arial" w:eastAsia="宋体" w:hAnsi="Arial" w:cs="Arial"/>
                <w:color w:val="333333"/>
                <w:sz w:val="18"/>
                <w:szCs w:val="18"/>
              </w:rPr>
              <w:t xml:space="preserve">erences, knowing it makes us better. </w:t>
            </w:r>
          </w:p>
          <w:p w14:paraId="4ACE223A" w14:textId="77777777" w:rsidR="006F587A" w:rsidRDefault="006F587A">
            <w:pPr>
              <w:textAlignment w:val="top"/>
              <w:rPr>
                <w:rFonts w:ascii="Times New Roman" w:hAnsi="Times New Roman"/>
                <w:sz w:val="18"/>
                <w:szCs w:val="18"/>
              </w:rPr>
            </w:pPr>
          </w:p>
        </w:tc>
      </w:tr>
      <w:tr w:rsidR="006F587A" w14:paraId="4ACE223D" w14:textId="77777777">
        <w:tc>
          <w:tcPr>
            <w:tcW w:w="0" w:type="auto"/>
            <w:gridSpan w:val="2"/>
            <w:shd w:val="clear" w:color="auto" w:fill="auto"/>
            <w:tcMar>
              <w:top w:w="40" w:type="dxa"/>
              <w:left w:w="40" w:type="dxa"/>
              <w:bottom w:w="40" w:type="dxa"/>
              <w:right w:w="40" w:type="dxa"/>
            </w:tcMar>
          </w:tcPr>
          <w:p w14:paraId="4ACE223C"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Our evolution is a multi-year journey, and one that requires new and different thinking, actions, systems, and processes to ensure that our employees are equipped to innovate for a world where all data needs to be pr</w:t>
            </w:r>
            <w:r>
              <w:rPr>
                <w:rFonts w:ascii="Arial" w:eastAsia="宋体" w:hAnsi="Arial" w:cs="Arial"/>
                <w:color w:val="333333"/>
                <w:sz w:val="18"/>
                <w:szCs w:val="18"/>
              </w:rPr>
              <w:t xml:space="preserve">ocessed, moved, stored, and analyzed. </w:t>
            </w:r>
          </w:p>
        </w:tc>
      </w:tr>
    </w:tbl>
    <w:p w14:paraId="4ACE223E" w14:textId="77777777" w:rsidR="006F587A" w:rsidRDefault="006F587A">
      <w:pPr>
        <w:spacing w:line="288" w:lineRule="auto"/>
        <w:rPr>
          <w:rFonts w:ascii="Times New Roman" w:hAnsi="Times New Roman"/>
          <w:sz w:val="18"/>
          <w:szCs w:val="18"/>
        </w:rPr>
      </w:pPr>
    </w:p>
    <w:p w14:paraId="4ACE223F" w14:textId="77777777" w:rsidR="006F587A" w:rsidRDefault="006F587A">
      <w:pPr>
        <w:spacing w:line="288" w:lineRule="auto"/>
        <w:rPr>
          <w:rFonts w:ascii="Times New Roman" w:hAnsi="Times New Roman"/>
          <w:sz w:val="18"/>
          <w:szCs w:val="18"/>
        </w:rPr>
      </w:pPr>
    </w:p>
    <w:p w14:paraId="4ACE2240" w14:textId="77777777" w:rsidR="006F587A" w:rsidRDefault="006F587A">
      <w:pPr>
        <w:spacing w:line="288" w:lineRule="auto"/>
        <w:rPr>
          <w:rFonts w:ascii="Times New Roman" w:hAnsi="Times New Roman"/>
          <w:sz w:val="18"/>
          <w:szCs w:val="18"/>
        </w:rPr>
      </w:pPr>
    </w:p>
    <w:p w14:paraId="4ACE2241" w14:textId="77777777" w:rsidR="006F587A" w:rsidRDefault="006F587A">
      <w:pPr>
        <w:spacing w:line="288" w:lineRule="auto"/>
        <w:rPr>
          <w:rFonts w:ascii="Times New Roman" w:hAnsi="Times New Roman"/>
          <w:sz w:val="18"/>
          <w:szCs w:val="18"/>
        </w:rPr>
      </w:pPr>
    </w:p>
    <w:p w14:paraId="4ACE2242" w14:textId="77777777" w:rsidR="006F587A" w:rsidRDefault="006F587A">
      <w:pPr>
        <w:spacing w:line="288" w:lineRule="auto"/>
        <w:rPr>
          <w:rFonts w:ascii="Times New Roman" w:hAnsi="Times New Roman"/>
          <w:sz w:val="18"/>
          <w:szCs w:val="18"/>
        </w:rPr>
      </w:pPr>
    </w:p>
    <w:p w14:paraId="4ACE2243" w14:textId="77777777" w:rsidR="006F587A" w:rsidRDefault="006F587A">
      <w:pPr>
        <w:spacing w:line="288" w:lineRule="auto"/>
        <w:rPr>
          <w:rFonts w:ascii="Times New Roman" w:hAnsi="Times New Roman"/>
          <w:sz w:val="18"/>
          <w:szCs w:val="18"/>
        </w:rPr>
      </w:pPr>
    </w:p>
    <w:p w14:paraId="4ACE2244" w14:textId="77777777" w:rsidR="006F587A" w:rsidRDefault="006F587A">
      <w:pPr>
        <w:spacing w:line="288" w:lineRule="auto"/>
        <w:rPr>
          <w:rFonts w:ascii="Times New Roman" w:hAnsi="Times New Roman"/>
          <w:sz w:val="18"/>
          <w:szCs w:val="18"/>
        </w:rPr>
      </w:pPr>
    </w:p>
    <w:tbl>
      <w:tblPr>
        <w:tblW w:w="0" w:type="auto"/>
        <w:tblCellSpacing w:w="0" w:type="dxa"/>
        <w:tblCellMar>
          <w:left w:w="0" w:type="dxa"/>
          <w:right w:w="0" w:type="dxa"/>
        </w:tblCellMar>
        <w:tblLook w:val="04A0" w:firstRow="1" w:lastRow="0" w:firstColumn="1" w:lastColumn="0" w:noHBand="0" w:noVBand="1"/>
      </w:tblPr>
      <w:tblGrid>
        <w:gridCol w:w="240"/>
        <w:gridCol w:w="7170"/>
      </w:tblGrid>
      <w:tr w:rsidR="006F587A" w14:paraId="4ACE2247" w14:textId="77777777">
        <w:trPr>
          <w:tblCellSpacing w:w="0" w:type="dxa"/>
        </w:trPr>
        <w:tc>
          <w:tcPr>
            <w:tcW w:w="240" w:type="dxa"/>
            <w:shd w:val="clear" w:color="auto" w:fill="auto"/>
            <w:vAlign w:val="center"/>
          </w:tcPr>
          <w:p w14:paraId="4ACE2245" w14:textId="77777777" w:rsidR="006F587A" w:rsidRDefault="006F587A">
            <w:pPr>
              <w:rPr>
                <w:rFonts w:ascii="Times New Roman" w:hAnsi="Times New Roman"/>
                <w:sz w:val="20"/>
                <w:szCs w:val="20"/>
              </w:rPr>
            </w:pPr>
          </w:p>
        </w:tc>
        <w:tc>
          <w:tcPr>
            <w:tcW w:w="0" w:type="auto"/>
            <w:shd w:val="clear" w:color="auto" w:fill="auto"/>
            <w:vAlign w:val="center"/>
          </w:tcPr>
          <w:p w14:paraId="4ACE2246" w14:textId="77777777" w:rsidR="006F587A" w:rsidRDefault="006F587A">
            <w:pPr>
              <w:rPr>
                <w:rFonts w:ascii="Times New Roman" w:hAnsi="Times New Roman"/>
                <w:sz w:val="20"/>
                <w:szCs w:val="20"/>
              </w:rPr>
            </w:pPr>
          </w:p>
        </w:tc>
      </w:tr>
      <w:tr w:rsidR="006F587A" w14:paraId="4ACE224A" w14:textId="77777777">
        <w:trPr>
          <w:tblCellSpacing w:w="0" w:type="dxa"/>
        </w:trPr>
        <w:tc>
          <w:tcPr>
            <w:tcW w:w="0" w:type="auto"/>
            <w:shd w:val="clear" w:color="auto" w:fill="auto"/>
          </w:tcPr>
          <w:p w14:paraId="4ACE2248"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0"/>
                <w:szCs w:val="10"/>
              </w:rPr>
              <w:t>1</w:t>
            </w:r>
            <w:r>
              <w:rPr>
                <w:rFonts w:ascii="Arial" w:eastAsia="宋体" w:hAnsi="Arial" w:cs="Arial"/>
                <w:i/>
                <w:iCs/>
                <w:color w:val="333333"/>
                <w:sz w:val="16"/>
                <w:szCs w:val="16"/>
              </w:rPr>
              <w:t> </w:t>
            </w:r>
          </w:p>
        </w:tc>
        <w:tc>
          <w:tcPr>
            <w:tcW w:w="0" w:type="auto"/>
            <w:shd w:val="clear" w:color="auto" w:fill="auto"/>
          </w:tcPr>
          <w:p w14:paraId="4ACE2249"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6"/>
                <w:szCs w:val="16"/>
              </w:rPr>
              <w:t>Intel's definition is included in "Key Terms" within the Financial Statements and Supplemental Details.</w:t>
            </w:r>
          </w:p>
        </w:tc>
      </w:tr>
    </w:tbl>
    <w:p w14:paraId="4ACE224B" w14:textId="77777777" w:rsidR="006F587A" w:rsidRDefault="006F587A">
      <w:pPr>
        <w:spacing w:line="288" w:lineRule="auto"/>
        <w:rPr>
          <w:rFonts w:ascii="Times New Roman" w:hAnsi="Times New Roman"/>
          <w:sz w:val="18"/>
          <w:szCs w:val="18"/>
        </w:rPr>
      </w:pPr>
    </w:p>
    <w:p w14:paraId="4ACE224C"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492"/>
        <w:gridCol w:w="2658"/>
        <w:gridCol w:w="3156"/>
      </w:tblGrid>
      <w:tr w:rsidR="006F587A" w14:paraId="4ACE224E" w14:textId="77777777">
        <w:tc>
          <w:tcPr>
            <w:tcW w:w="0" w:type="auto"/>
            <w:gridSpan w:val="3"/>
            <w:shd w:val="clear" w:color="auto" w:fill="auto"/>
            <w:vAlign w:val="center"/>
          </w:tcPr>
          <w:p w14:paraId="4ACE224D" w14:textId="77777777" w:rsidR="006F587A" w:rsidRDefault="006F587A">
            <w:pPr>
              <w:rPr>
                <w:rFonts w:ascii="Times New Roman" w:hAnsi="Times New Roman"/>
                <w:sz w:val="20"/>
                <w:szCs w:val="20"/>
              </w:rPr>
            </w:pPr>
          </w:p>
        </w:tc>
      </w:tr>
      <w:tr w:rsidR="006F587A" w14:paraId="4ACE2252" w14:textId="77777777">
        <w:tc>
          <w:tcPr>
            <w:tcW w:w="1500" w:type="pct"/>
            <w:shd w:val="clear" w:color="auto" w:fill="auto"/>
            <w:vAlign w:val="center"/>
          </w:tcPr>
          <w:p w14:paraId="4ACE224F" w14:textId="77777777" w:rsidR="006F587A" w:rsidRDefault="006F587A">
            <w:pPr>
              <w:rPr>
                <w:rFonts w:ascii="Times New Roman" w:hAnsi="Times New Roman"/>
                <w:sz w:val="20"/>
                <w:szCs w:val="20"/>
              </w:rPr>
            </w:pPr>
          </w:p>
        </w:tc>
        <w:tc>
          <w:tcPr>
            <w:tcW w:w="1600" w:type="pct"/>
            <w:shd w:val="clear" w:color="auto" w:fill="auto"/>
            <w:vAlign w:val="center"/>
          </w:tcPr>
          <w:p w14:paraId="4ACE2250" w14:textId="77777777" w:rsidR="006F587A" w:rsidRDefault="006F587A">
            <w:pPr>
              <w:rPr>
                <w:rFonts w:ascii="Times New Roman" w:hAnsi="Times New Roman"/>
                <w:sz w:val="20"/>
                <w:szCs w:val="20"/>
              </w:rPr>
            </w:pPr>
          </w:p>
        </w:tc>
        <w:tc>
          <w:tcPr>
            <w:tcW w:w="1900" w:type="pct"/>
            <w:shd w:val="clear" w:color="auto" w:fill="auto"/>
            <w:vAlign w:val="center"/>
          </w:tcPr>
          <w:p w14:paraId="4ACE2251" w14:textId="77777777" w:rsidR="006F587A" w:rsidRDefault="006F587A">
            <w:pPr>
              <w:rPr>
                <w:rFonts w:ascii="Times New Roman" w:hAnsi="Times New Roman"/>
                <w:sz w:val="20"/>
                <w:szCs w:val="20"/>
              </w:rPr>
            </w:pPr>
          </w:p>
        </w:tc>
      </w:tr>
      <w:tr w:rsidR="006F587A" w14:paraId="4ACE2256"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2253" w14:textId="77777777" w:rsidR="006F587A" w:rsidRDefault="007B2B61">
            <w:pPr>
              <w:textAlignment w:val="center"/>
              <w:rPr>
                <w:rFonts w:ascii="Times New Roman" w:hAnsi="Times New Roman"/>
                <w:sz w:val="18"/>
                <w:szCs w:val="18"/>
              </w:rPr>
            </w:pP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Viewer12_files/a001intellogo_coverfooter.jpg"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C53" wp14:editId="4ACE6C54">
                  <wp:extent cx="304800" cy="304800"/>
                  <wp:effectExtent l="0" t="0" r="0" b="0"/>
                  <wp:docPr id="36" name="图片 67"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7"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r>
              <w:rPr>
                <w:rFonts w:ascii="Arial" w:eastAsia="宋体" w:hAnsi="Arial" w:cs="Arial"/>
                <w:color w:val="333333"/>
                <w:sz w:val="18"/>
                <w:szCs w:val="18"/>
              </w:rPr>
              <w:t>  </w:t>
            </w:r>
            <w:r>
              <w:rPr>
                <w:rFonts w:ascii="Arial" w:eastAsia="宋体" w:hAnsi="Arial" w:cs="Arial"/>
                <w:color w:val="333333"/>
                <w:sz w:val="16"/>
                <w:szCs w:val="16"/>
              </w:rPr>
              <w:t>FUNDAMENTALS OF OUR BUSINESS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25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255"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7</w:t>
            </w:r>
          </w:p>
        </w:tc>
      </w:tr>
    </w:tbl>
    <w:p w14:paraId="4ACE2257" w14:textId="77777777" w:rsidR="006F587A" w:rsidRDefault="007B2B61">
      <w:r>
        <w:pict w14:anchorId="4ACE6C55">
          <v:rect id="_x0000_i1033" style="width:415.3pt;height:1.5pt" o:hralign="center" o:hrstd="t" o:hr="t" fillcolor="#a0a0a0" stroked="f"/>
        </w:pict>
      </w:r>
    </w:p>
    <w:p w14:paraId="4ACE2258" w14:textId="77777777" w:rsidR="006F587A" w:rsidRDefault="007B2B61">
      <w:pPr>
        <w:spacing w:line="288" w:lineRule="auto"/>
        <w:jc w:val="right"/>
        <w:rPr>
          <w:rFonts w:ascii="Times New Roman" w:hAnsi="Times New Roman"/>
          <w:sz w:val="16"/>
          <w:szCs w:val="16"/>
        </w:rPr>
      </w:pPr>
      <w:hyperlink r:id="rId42" w:anchor="s9DB683E2CF52561EB8A73BE37F5BF9BE" w:history="1">
        <w:r>
          <w:rPr>
            <w:rStyle w:val="a5"/>
            <w:rFonts w:ascii="Arial" w:eastAsia="宋体" w:hAnsi="Arial" w:cs="Arial"/>
            <w:b/>
            <w:bCs/>
            <w:sz w:val="16"/>
            <w:szCs w:val="16"/>
          </w:rPr>
          <w:t>Table of Contents</w:t>
        </w:r>
      </w:hyperlink>
    </w:p>
    <w:p w14:paraId="4ACE2259" w14:textId="77777777" w:rsidR="006F587A" w:rsidRDefault="006F587A">
      <w:pPr>
        <w:spacing w:line="288" w:lineRule="auto"/>
        <w:jc w:val="right"/>
        <w:rPr>
          <w:rFonts w:ascii="Times New Roman" w:hAnsi="Times New Roman"/>
          <w:sz w:val="16"/>
          <w:szCs w:val="16"/>
        </w:rPr>
      </w:pPr>
    </w:p>
    <w:p w14:paraId="4ACE225A" w14:textId="77777777" w:rsidR="006F587A" w:rsidRDefault="006F587A">
      <w:pP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6F587A" w14:paraId="4ACE225C" w14:textId="77777777">
        <w:trPr>
          <w:jc w:val="center"/>
        </w:trPr>
        <w:tc>
          <w:tcPr>
            <w:tcW w:w="0" w:type="auto"/>
            <w:shd w:val="clear" w:color="auto" w:fill="auto"/>
            <w:vAlign w:val="center"/>
          </w:tcPr>
          <w:p w14:paraId="4ACE225B" w14:textId="77777777" w:rsidR="006F587A" w:rsidRDefault="006F587A">
            <w:pPr>
              <w:rPr>
                <w:rFonts w:ascii="Times New Roman" w:hAnsi="Times New Roman"/>
                <w:sz w:val="20"/>
                <w:szCs w:val="20"/>
              </w:rPr>
            </w:pPr>
          </w:p>
        </w:tc>
      </w:tr>
      <w:tr w:rsidR="006F587A" w14:paraId="4ACE225E" w14:textId="77777777">
        <w:trPr>
          <w:jc w:val="center"/>
        </w:trPr>
        <w:tc>
          <w:tcPr>
            <w:tcW w:w="5000" w:type="pct"/>
            <w:shd w:val="clear" w:color="auto" w:fill="auto"/>
            <w:vAlign w:val="center"/>
          </w:tcPr>
          <w:p w14:paraId="4ACE225D" w14:textId="77777777" w:rsidR="006F587A" w:rsidRDefault="006F587A">
            <w:pPr>
              <w:rPr>
                <w:rFonts w:ascii="Times New Roman" w:hAnsi="Times New Roman"/>
                <w:sz w:val="20"/>
                <w:szCs w:val="20"/>
              </w:rPr>
            </w:pPr>
          </w:p>
        </w:tc>
      </w:tr>
      <w:tr w:rsidR="006F587A" w14:paraId="4ACE2260" w14:textId="77777777">
        <w:trPr>
          <w:jc w:val="center"/>
        </w:trPr>
        <w:tc>
          <w:tcPr>
            <w:tcW w:w="0" w:type="auto"/>
            <w:shd w:val="clear" w:color="auto" w:fill="003C71"/>
            <w:tcMar>
              <w:top w:w="40" w:type="dxa"/>
              <w:left w:w="880" w:type="dxa"/>
              <w:bottom w:w="40" w:type="dxa"/>
              <w:right w:w="40" w:type="dxa"/>
            </w:tcMar>
            <w:vAlign w:val="bottom"/>
          </w:tcPr>
          <w:p w14:paraId="4ACE225F" w14:textId="77777777" w:rsidR="006F587A" w:rsidRDefault="007B2B61">
            <w:pPr>
              <w:textAlignment w:val="bottom"/>
              <w:rPr>
                <w:rFonts w:ascii="Times New Roman" w:hAnsi="Times New Roman"/>
                <w:sz w:val="36"/>
                <w:szCs w:val="36"/>
              </w:rPr>
            </w:pPr>
            <w:r>
              <w:rPr>
                <w:rFonts w:ascii="Arial" w:eastAsia="宋体" w:hAnsi="Arial" w:cs="Arial"/>
                <w:b/>
                <w:bCs/>
                <w:color w:val="FFFFFF"/>
                <w:sz w:val="36"/>
                <w:szCs w:val="36"/>
              </w:rPr>
              <w:lastRenderedPageBreak/>
              <w:t>OUR CAPITAL</w:t>
            </w:r>
          </w:p>
        </w:tc>
      </w:tr>
    </w:tbl>
    <w:p w14:paraId="4ACE2261" w14:textId="77777777" w:rsidR="006F587A" w:rsidRDefault="006F587A">
      <w:pPr>
        <w:rPr>
          <w:vanish/>
        </w:rPr>
      </w:pPr>
    </w:p>
    <w:tbl>
      <w:tblPr>
        <w:tblW w:w="5000" w:type="pct"/>
        <w:jc w:val="center"/>
        <w:tblCellMar>
          <w:left w:w="0" w:type="dxa"/>
          <w:right w:w="0" w:type="dxa"/>
        </w:tblCellMar>
        <w:tblLook w:val="04A0" w:firstRow="1" w:lastRow="0" w:firstColumn="1" w:lastColumn="0" w:noHBand="0" w:noVBand="1"/>
      </w:tblPr>
      <w:tblGrid>
        <w:gridCol w:w="8306"/>
      </w:tblGrid>
      <w:tr w:rsidR="006F587A" w14:paraId="4ACE2263" w14:textId="77777777">
        <w:trPr>
          <w:jc w:val="center"/>
        </w:trPr>
        <w:tc>
          <w:tcPr>
            <w:tcW w:w="0" w:type="auto"/>
            <w:shd w:val="clear" w:color="auto" w:fill="auto"/>
            <w:vAlign w:val="center"/>
          </w:tcPr>
          <w:p w14:paraId="4ACE2262" w14:textId="77777777" w:rsidR="006F587A" w:rsidRDefault="006F587A">
            <w:pPr>
              <w:rPr>
                <w:rFonts w:ascii="Times New Roman" w:hAnsi="Times New Roman"/>
                <w:sz w:val="20"/>
                <w:szCs w:val="20"/>
              </w:rPr>
            </w:pPr>
          </w:p>
        </w:tc>
      </w:tr>
      <w:tr w:rsidR="006F587A" w14:paraId="4ACE2265" w14:textId="77777777">
        <w:trPr>
          <w:jc w:val="center"/>
        </w:trPr>
        <w:tc>
          <w:tcPr>
            <w:tcW w:w="5000" w:type="pct"/>
            <w:shd w:val="clear" w:color="auto" w:fill="auto"/>
            <w:vAlign w:val="center"/>
          </w:tcPr>
          <w:p w14:paraId="4ACE2264" w14:textId="77777777" w:rsidR="006F587A" w:rsidRDefault="006F587A">
            <w:pPr>
              <w:rPr>
                <w:rFonts w:ascii="Times New Roman" w:hAnsi="Times New Roman"/>
                <w:sz w:val="20"/>
                <w:szCs w:val="20"/>
              </w:rPr>
            </w:pPr>
          </w:p>
        </w:tc>
      </w:tr>
      <w:tr w:rsidR="006F587A" w14:paraId="4ACE2267" w14:textId="77777777">
        <w:trPr>
          <w:jc w:val="center"/>
        </w:trPr>
        <w:tc>
          <w:tcPr>
            <w:tcW w:w="0" w:type="auto"/>
            <w:shd w:val="clear" w:color="auto" w:fill="auto"/>
            <w:tcMar>
              <w:top w:w="40" w:type="dxa"/>
              <w:left w:w="40" w:type="dxa"/>
              <w:bottom w:w="40" w:type="dxa"/>
              <w:right w:w="40" w:type="dxa"/>
            </w:tcMar>
          </w:tcPr>
          <w:p w14:paraId="4ACE2266"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 xml:space="preserve">We deploy various forms of capital to execute our strategy in a way that seeks to reflect our corporate values, help our customers succeed, and create value for our stakeholders. </w:t>
            </w:r>
          </w:p>
        </w:tc>
      </w:tr>
    </w:tbl>
    <w:p w14:paraId="4ACE2268" w14:textId="77777777" w:rsidR="006F587A" w:rsidRDefault="006F587A">
      <w:pPr>
        <w:rPr>
          <w:vanish/>
        </w:rPr>
      </w:pPr>
    </w:p>
    <w:tbl>
      <w:tblPr>
        <w:tblW w:w="5000" w:type="pct"/>
        <w:tblCellMar>
          <w:left w:w="0" w:type="dxa"/>
          <w:right w:w="0" w:type="dxa"/>
        </w:tblCellMar>
        <w:tblLook w:val="04A0" w:firstRow="1" w:lastRow="0" w:firstColumn="1" w:lastColumn="0" w:noHBand="0" w:noVBand="1"/>
      </w:tblPr>
      <w:tblGrid>
        <w:gridCol w:w="1120"/>
        <w:gridCol w:w="3593"/>
        <w:gridCol w:w="3593"/>
      </w:tblGrid>
      <w:tr w:rsidR="006F587A" w14:paraId="4ACE226A" w14:textId="77777777">
        <w:tc>
          <w:tcPr>
            <w:tcW w:w="0" w:type="auto"/>
            <w:gridSpan w:val="3"/>
            <w:shd w:val="clear" w:color="auto" w:fill="auto"/>
            <w:vAlign w:val="center"/>
          </w:tcPr>
          <w:p w14:paraId="4ACE2269" w14:textId="77777777" w:rsidR="006F587A" w:rsidRDefault="006F587A">
            <w:pPr>
              <w:rPr>
                <w:rFonts w:ascii="Times New Roman" w:hAnsi="Times New Roman"/>
                <w:sz w:val="20"/>
                <w:szCs w:val="20"/>
              </w:rPr>
            </w:pPr>
          </w:p>
        </w:tc>
      </w:tr>
      <w:tr w:rsidR="006F587A" w14:paraId="4ACE226E" w14:textId="77777777">
        <w:tc>
          <w:tcPr>
            <w:tcW w:w="600" w:type="pct"/>
            <w:shd w:val="clear" w:color="auto" w:fill="auto"/>
            <w:vAlign w:val="center"/>
          </w:tcPr>
          <w:p w14:paraId="4ACE226B" w14:textId="77777777" w:rsidR="006F587A" w:rsidRDefault="006F587A">
            <w:pPr>
              <w:rPr>
                <w:rFonts w:ascii="Times New Roman" w:hAnsi="Times New Roman"/>
                <w:sz w:val="20"/>
                <w:szCs w:val="20"/>
              </w:rPr>
            </w:pPr>
          </w:p>
        </w:tc>
        <w:tc>
          <w:tcPr>
            <w:tcW w:w="2200" w:type="pct"/>
            <w:shd w:val="clear" w:color="auto" w:fill="auto"/>
            <w:vAlign w:val="center"/>
          </w:tcPr>
          <w:p w14:paraId="4ACE226C" w14:textId="77777777" w:rsidR="006F587A" w:rsidRDefault="006F587A">
            <w:pPr>
              <w:rPr>
                <w:rFonts w:ascii="Times New Roman" w:hAnsi="Times New Roman"/>
                <w:sz w:val="20"/>
                <w:szCs w:val="20"/>
              </w:rPr>
            </w:pPr>
          </w:p>
        </w:tc>
        <w:tc>
          <w:tcPr>
            <w:tcW w:w="2200" w:type="pct"/>
            <w:shd w:val="clear" w:color="auto" w:fill="auto"/>
            <w:vAlign w:val="center"/>
          </w:tcPr>
          <w:p w14:paraId="4ACE226D" w14:textId="77777777" w:rsidR="006F587A" w:rsidRDefault="006F587A">
            <w:pPr>
              <w:rPr>
                <w:rFonts w:ascii="Times New Roman" w:hAnsi="Times New Roman"/>
                <w:sz w:val="20"/>
                <w:szCs w:val="20"/>
              </w:rPr>
            </w:pPr>
          </w:p>
        </w:tc>
      </w:tr>
      <w:tr w:rsidR="006F587A" w14:paraId="4ACE2272" w14:textId="77777777">
        <w:tc>
          <w:tcPr>
            <w:tcW w:w="0" w:type="auto"/>
            <w:tcBorders>
              <w:top w:val="single" w:sz="8" w:space="0" w:color="0071C5"/>
            </w:tcBorders>
            <w:shd w:val="clear" w:color="auto" w:fill="auto"/>
            <w:tcMar>
              <w:top w:w="40" w:type="dxa"/>
              <w:left w:w="40" w:type="dxa"/>
              <w:bottom w:w="40" w:type="dxa"/>
              <w:right w:w="40" w:type="dxa"/>
            </w:tcMar>
            <w:vAlign w:val="bottom"/>
          </w:tcPr>
          <w:p w14:paraId="4ACE226F" w14:textId="77777777" w:rsidR="006F587A" w:rsidRDefault="007B2B61">
            <w:pPr>
              <w:jc w:val="center"/>
              <w:textAlignment w:val="bottom"/>
              <w:rPr>
                <w:rFonts w:ascii="Times New Roman" w:hAnsi="Times New Roman"/>
              </w:rPr>
            </w:pPr>
            <w:r>
              <w:rPr>
                <w:rFonts w:ascii="Arial" w:eastAsia="宋体" w:hAnsi="Arial" w:cs="Arial"/>
                <w:b/>
                <w:bCs/>
                <w:color w:val="0071C5"/>
              </w:rPr>
              <w:t>CAPITAL</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270" w14:textId="77777777" w:rsidR="006F587A" w:rsidRDefault="007B2B61">
            <w:pPr>
              <w:jc w:val="center"/>
              <w:textAlignment w:val="bottom"/>
              <w:rPr>
                <w:rFonts w:ascii="Times New Roman" w:hAnsi="Times New Roman"/>
              </w:rPr>
            </w:pPr>
            <w:r>
              <w:rPr>
                <w:rFonts w:ascii="Arial" w:eastAsia="宋体" w:hAnsi="Arial" w:cs="Arial"/>
                <w:b/>
                <w:bCs/>
                <w:color w:val="0071C5"/>
              </w:rPr>
              <w:t>STRATEGY</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271" w14:textId="77777777" w:rsidR="006F587A" w:rsidRDefault="007B2B61">
            <w:pPr>
              <w:jc w:val="center"/>
              <w:textAlignment w:val="bottom"/>
              <w:rPr>
                <w:rFonts w:ascii="Times New Roman" w:hAnsi="Times New Roman"/>
              </w:rPr>
            </w:pPr>
            <w:r>
              <w:rPr>
                <w:rFonts w:ascii="Arial" w:eastAsia="宋体" w:hAnsi="Arial" w:cs="Arial"/>
                <w:b/>
                <w:bCs/>
                <w:color w:val="0071C5"/>
              </w:rPr>
              <w:t>VALUE</w:t>
            </w:r>
          </w:p>
        </w:tc>
      </w:tr>
      <w:tr w:rsidR="006F587A" w14:paraId="4ACE2276" w14:textId="77777777">
        <w:tc>
          <w:tcPr>
            <w:tcW w:w="0" w:type="auto"/>
            <w:tcBorders>
              <w:top w:val="single" w:sz="8" w:space="0" w:color="0071C5"/>
            </w:tcBorders>
            <w:shd w:val="clear" w:color="auto" w:fill="auto"/>
            <w:tcMar>
              <w:top w:w="40" w:type="dxa"/>
              <w:left w:w="40" w:type="dxa"/>
              <w:bottom w:w="40" w:type="dxa"/>
              <w:right w:w="40" w:type="dxa"/>
            </w:tcMar>
            <w:vAlign w:val="bottom"/>
          </w:tcPr>
          <w:p w14:paraId="4ACE227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27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27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2278" w14:textId="77777777">
        <w:tc>
          <w:tcPr>
            <w:tcW w:w="0" w:type="auto"/>
            <w:gridSpan w:val="3"/>
            <w:shd w:val="clear" w:color="auto" w:fill="auto"/>
            <w:tcMar>
              <w:top w:w="40" w:type="dxa"/>
              <w:left w:w="40" w:type="dxa"/>
              <w:bottom w:w="40" w:type="dxa"/>
              <w:right w:w="40" w:type="dxa"/>
            </w:tcMar>
            <w:vAlign w:val="center"/>
          </w:tcPr>
          <w:p w14:paraId="4ACE2277" w14:textId="77777777" w:rsidR="006F587A" w:rsidRDefault="007B2B61">
            <w:pPr>
              <w:textAlignment w:val="center"/>
              <w:rPr>
                <w:rFonts w:ascii="Times New Roman" w:hAnsi="Times New Roman"/>
                <w:sz w:val="18"/>
                <w:szCs w:val="18"/>
              </w:rPr>
            </w:pPr>
            <w:r>
              <w:rPr>
                <w:rFonts w:ascii="Arial" w:eastAsia="宋体" w:hAnsi="Arial" w:cs="Arial"/>
                <w:color w:val="0071C5"/>
                <w:sz w:val="18"/>
                <w:szCs w:val="18"/>
              </w:rPr>
              <w:t>FINANCIAL</w:t>
            </w:r>
          </w:p>
        </w:tc>
      </w:tr>
      <w:tr w:rsidR="006F587A" w14:paraId="4ACE227C" w14:textId="77777777">
        <w:tc>
          <w:tcPr>
            <w:tcW w:w="0" w:type="auto"/>
            <w:tcBorders>
              <w:bottom w:val="single" w:sz="8" w:space="0" w:color="0071C5"/>
            </w:tcBorders>
            <w:shd w:val="clear" w:color="auto" w:fill="auto"/>
            <w:tcMar>
              <w:top w:w="40" w:type="dxa"/>
              <w:left w:w="40" w:type="dxa"/>
              <w:bottom w:w="40" w:type="dxa"/>
              <w:right w:w="40" w:type="dxa"/>
            </w:tcMar>
            <w:vAlign w:val="center"/>
          </w:tcPr>
          <w:p w14:paraId="4ACE2279" w14:textId="77777777" w:rsidR="006F587A" w:rsidRDefault="007B2B61">
            <w:pPr>
              <w:jc w:val="center"/>
              <w:textAlignment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Viewer12_files/a016financialiconv2.jpg"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56" wp14:editId="4ACE6C57">
                  <wp:extent cx="304800" cy="304800"/>
                  <wp:effectExtent l="0" t="0" r="0" b="0"/>
                  <wp:docPr id="142" name="图片 69"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69" descr="IMG_28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c>
          <w:tcPr>
            <w:tcW w:w="0" w:type="auto"/>
            <w:tcBorders>
              <w:bottom w:val="single" w:sz="8" w:space="0" w:color="0071C5"/>
            </w:tcBorders>
            <w:shd w:val="clear" w:color="auto" w:fill="auto"/>
            <w:tcMar>
              <w:top w:w="40" w:type="dxa"/>
              <w:left w:w="40" w:type="dxa"/>
              <w:bottom w:w="40" w:type="dxa"/>
              <w:right w:w="40" w:type="dxa"/>
            </w:tcMar>
            <w:vAlign w:val="center"/>
          </w:tcPr>
          <w:p w14:paraId="4ACE227A" w14:textId="77777777" w:rsidR="006F587A" w:rsidRDefault="007B2B61">
            <w:pPr>
              <w:textAlignment w:val="center"/>
              <w:rPr>
                <w:rFonts w:ascii="Times New Roman" w:hAnsi="Times New Roman"/>
                <w:sz w:val="18"/>
                <w:szCs w:val="18"/>
              </w:rPr>
            </w:pPr>
            <w:r>
              <w:rPr>
                <w:rFonts w:ascii="Arial" w:eastAsia="宋体" w:hAnsi="Arial" w:cs="Arial"/>
                <w:color w:val="333333"/>
                <w:sz w:val="18"/>
                <w:szCs w:val="18"/>
              </w:rPr>
              <w:t>Leverage cash flow to invest in ourselves and grow our capabilities, supplement and strengthen our capabil</w:t>
            </w:r>
            <w:r>
              <w:rPr>
                <w:rFonts w:ascii="Arial" w:eastAsia="宋体" w:hAnsi="Arial" w:cs="Arial"/>
                <w:color w:val="333333"/>
                <w:sz w:val="18"/>
                <w:szCs w:val="18"/>
              </w:rPr>
              <w:t>ities through acquisitions and strategic investments, and provide returns to stockholders.</w:t>
            </w:r>
          </w:p>
        </w:tc>
        <w:tc>
          <w:tcPr>
            <w:tcW w:w="0" w:type="auto"/>
            <w:tcBorders>
              <w:bottom w:val="single" w:sz="8" w:space="0" w:color="0071C5"/>
            </w:tcBorders>
            <w:shd w:val="clear" w:color="auto" w:fill="auto"/>
            <w:tcMar>
              <w:top w:w="40" w:type="dxa"/>
              <w:left w:w="40" w:type="dxa"/>
              <w:bottom w:w="40" w:type="dxa"/>
              <w:right w:w="40" w:type="dxa"/>
            </w:tcMar>
            <w:vAlign w:val="center"/>
          </w:tcPr>
          <w:p w14:paraId="4ACE227B" w14:textId="77777777" w:rsidR="006F587A" w:rsidRDefault="007B2B61">
            <w:pPr>
              <w:textAlignment w:val="center"/>
              <w:rPr>
                <w:rFonts w:ascii="Times New Roman" w:hAnsi="Times New Roman"/>
                <w:sz w:val="18"/>
                <w:szCs w:val="18"/>
              </w:rPr>
            </w:pPr>
            <w:r>
              <w:rPr>
                <w:rFonts w:ascii="Arial" w:eastAsia="宋体" w:hAnsi="Arial" w:cs="Arial"/>
                <w:color w:val="333333"/>
                <w:sz w:val="18"/>
                <w:szCs w:val="18"/>
              </w:rPr>
              <w:t>We strategically invest financial capital to create long-term value and provide returns to our stockholders in the form of dividends and buybacks.</w:t>
            </w:r>
          </w:p>
        </w:tc>
      </w:tr>
      <w:tr w:rsidR="006F587A" w14:paraId="4ACE2280" w14:textId="77777777">
        <w:tc>
          <w:tcPr>
            <w:tcW w:w="0" w:type="auto"/>
            <w:shd w:val="clear" w:color="auto" w:fill="auto"/>
            <w:tcMar>
              <w:top w:w="40" w:type="dxa"/>
              <w:left w:w="40" w:type="dxa"/>
              <w:bottom w:w="40" w:type="dxa"/>
              <w:right w:w="40" w:type="dxa"/>
            </w:tcMar>
            <w:vAlign w:val="bottom"/>
          </w:tcPr>
          <w:p w14:paraId="4ACE227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27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27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2282" w14:textId="77777777">
        <w:tc>
          <w:tcPr>
            <w:tcW w:w="0" w:type="auto"/>
            <w:gridSpan w:val="3"/>
            <w:shd w:val="clear" w:color="auto" w:fill="auto"/>
            <w:tcMar>
              <w:top w:w="40" w:type="dxa"/>
              <w:left w:w="40" w:type="dxa"/>
              <w:bottom w:w="40" w:type="dxa"/>
              <w:right w:w="40" w:type="dxa"/>
            </w:tcMar>
            <w:vAlign w:val="center"/>
          </w:tcPr>
          <w:p w14:paraId="4ACE2281" w14:textId="77777777" w:rsidR="006F587A" w:rsidRDefault="007B2B61">
            <w:pPr>
              <w:textAlignment w:val="center"/>
              <w:rPr>
                <w:rFonts w:ascii="Times New Roman" w:hAnsi="Times New Roman"/>
                <w:sz w:val="18"/>
                <w:szCs w:val="18"/>
              </w:rPr>
            </w:pPr>
            <w:r>
              <w:rPr>
                <w:rFonts w:ascii="Arial" w:eastAsia="宋体" w:hAnsi="Arial" w:cs="Arial"/>
                <w:color w:val="0071C5"/>
                <w:sz w:val="18"/>
                <w:szCs w:val="18"/>
              </w:rPr>
              <w:t>INTELLECTUAL</w:t>
            </w:r>
          </w:p>
        </w:tc>
      </w:tr>
      <w:tr w:rsidR="006F587A" w14:paraId="4ACE2286" w14:textId="77777777">
        <w:tc>
          <w:tcPr>
            <w:tcW w:w="0" w:type="auto"/>
            <w:tcBorders>
              <w:bottom w:val="single" w:sz="8" w:space="0" w:color="0071C5"/>
            </w:tcBorders>
            <w:shd w:val="clear" w:color="auto" w:fill="auto"/>
            <w:tcMar>
              <w:top w:w="40" w:type="dxa"/>
              <w:left w:w="40" w:type="dxa"/>
              <w:bottom w:w="40" w:type="dxa"/>
              <w:right w:w="40" w:type="dxa"/>
            </w:tcMar>
            <w:vAlign w:val="center"/>
          </w:tcPr>
          <w:p w14:paraId="4ACE2283" w14:textId="77777777" w:rsidR="006F587A" w:rsidRDefault="007B2B61">
            <w:pPr>
              <w:jc w:val="center"/>
              <w:textAlignment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Viewer12_files/a017intellectualicona15.jpg"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58" wp14:editId="4ACE6C59">
                  <wp:extent cx="304800" cy="304800"/>
                  <wp:effectExtent l="0" t="0" r="0" b="0"/>
                  <wp:docPr id="91" name="图片 7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70" descr="IMG_29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c>
          <w:tcPr>
            <w:tcW w:w="0" w:type="auto"/>
            <w:tcBorders>
              <w:bottom w:val="single" w:sz="8" w:space="0" w:color="0071C5"/>
            </w:tcBorders>
            <w:shd w:val="clear" w:color="auto" w:fill="auto"/>
            <w:tcMar>
              <w:top w:w="40" w:type="dxa"/>
              <w:left w:w="40" w:type="dxa"/>
              <w:bottom w:w="40" w:type="dxa"/>
              <w:right w:w="40" w:type="dxa"/>
            </w:tcMar>
            <w:vAlign w:val="center"/>
          </w:tcPr>
          <w:p w14:paraId="4ACE2284" w14:textId="77777777" w:rsidR="006F587A" w:rsidRDefault="007B2B61">
            <w:pPr>
              <w:textAlignment w:val="center"/>
              <w:rPr>
                <w:rFonts w:ascii="Times New Roman" w:hAnsi="Times New Roman"/>
                <w:sz w:val="18"/>
                <w:szCs w:val="18"/>
              </w:rPr>
            </w:pPr>
            <w:r>
              <w:rPr>
                <w:rFonts w:ascii="Arial" w:eastAsia="宋体" w:hAnsi="Arial" w:cs="Arial"/>
                <w:color w:val="333333"/>
                <w:sz w:val="18"/>
                <w:szCs w:val="18"/>
              </w:rPr>
              <w:t>Invest significantly in R&amp;D and IP to ensure our process and product technologies are competitive in o</w:t>
            </w:r>
            <w:r>
              <w:rPr>
                <w:rFonts w:ascii="Arial" w:eastAsia="宋体" w:hAnsi="Arial" w:cs="Arial"/>
                <w:color w:val="333333"/>
                <w:sz w:val="18"/>
                <w:szCs w:val="18"/>
              </w:rPr>
              <w:t>ur strategic pursuit of making the world’s best semiconductors and realizing data-centric opportunities.</w:t>
            </w:r>
          </w:p>
        </w:tc>
        <w:tc>
          <w:tcPr>
            <w:tcW w:w="0" w:type="auto"/>
            <w:tcBorders>
              <w:bottom w:val="single" w:sz="8" w:space="0" w:color="0071C5"/>
            </w:tcBorders>
            <w:shd w:val="clear" w:color="auto" w:fill="auto"/>
            <w:tcMar>
              <w:top w:w="40" w:type="dxa"/>
              <w:left w:w="40" w:type="dxa"/>
              <w:bottom w:w="40" w:type="dxa"/>
              <w:right w:w="40" w:type="dxa"/>
            </w:tcMar>
            <w:vAlign w:val="center"/>
          </w:tcPr>
          <w:p w14:paraId="4ACE2285" w14:textId="77777777" w:rsidR="006F587A" w:rsidRDefault="007B2B61">
            <w:pPr>
              <w:textAlignment w:val="center"/>
              <w:rPr>
                <w:rFonts w:ascii="Times New Roman" w:hAnsi="Times New Roman"/>
                <w:sz w:val="18"/>
                <w:szCs w:val="18"/>
              </w:rPr>
            </w:pPr>
            <w:r>
              <w:rPr>
                <w:rFonts w:ascii="Arial" w:eastAsia="宋体" w:hAnsi="Arial" w:cs="Arial"/>
                <w:color w:val="333333"/>
                <w:sz w:val="18"/>
                <w:szCs w:val="18"/>
              </w:rPr>
              <w:t>We develop IP for our platforms to enable next-generation products, create synergies across our businesses, provide a higher return as we expand into n</w:t>
            </w:r>
            <w:r>
              <w:rPr>
                <w:rFonts w:ascii="Arial" w:eastAsia="宋体" w:hAnsi="Arial" w:cs="Arial"/>
                <w:color w:val="333333"/>
                <w:sz w:val="18"/>
                <w:szCs w:val="18"/>
              </w:rPr>
              <w:t>ew markets, and establish and support our brands.</w:t>
            </w:r>
          </w:p>
        </w:tc>
      </w:tr>
      <w:tr w:rsidR="006F587A" w14:paraId="4ACE228A" w14:textId="77777777">
        <w:tc>
          <w:tcPr>
            <w:tcW w:w="0" w:type="auto"/>
            <w:shd w:val="clear" w:color="auto" w:fill="auto"/>
            <w:tcMar>
              <w:top w:w="40" w:type="dxa"/>
              <w:left w:w="40" w:type="dxa"/>
              <w:bottom w:w="40" w:type="dxa"/>
              <w:right w:w="40" w:type="dxa"/>
            </w:tcMar>
            <w:vAlign w:val="bottom"/>
          </w:tcPr>
          <w:p w14:paraId="4ACE228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28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28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228C" w14:textId="77777777">
        <w:tc>
          <w:tcPr>
            <w:tcW w:w="0" w:type="auto"/>
            <w:gridSpan w:val="3"/>
            <w:shd w:val="clear" w:color="auto" w:fill="auto"/>
            <w:tcMar>
              <w:top w:w="40" w:type="dxa"/>
              <w:left w:w="40" w:type="dxa"/>
              <w:bottom w:w="40" w:type="dxa"/>
              <w:right w:w="40" w:type="dxa"/>
            </w:tcMar>
            <w:vAlign w:val="center"/>
          </w:tcPr>
          <w:p w14:paraId="4ACE228B" w14:textId="77777777" w:rsidR="006F587A" w:rsidRDefault="007B2B61">
            <w:pPr>
              <w:textAlignment w:val="center"/>
              <w:rPr>
                <w:rFonts w:ascii="Times New Roman" w:hAnsi="Times New Roman"/>
                <w:sz w:val="18"/>
                <w:szCs w:val="18"/>
              </w:rPr>
            </w:pPr>
            <w:r>
              <w:rPr>
                <w:rFonts w:ascii="Arial" w:eastAsia="宋体" w:hAnsi="Arial" w:cs="Arial"/>
                <w:color w:val="0071C5"/>
                <w:sz w:val="18"/>
                <w:szCs w:val="18"/>
              </w:rPr>
              <w:t>MANUFACTURING</w:t>
            </w:r>
          </w:p>
        </w:tc>
      </w:tr>
      <w:tr w:rsidR="006F587A" w14:paraId="4ACE2290" w14:textId="77777777">
        <w:tc>
          <w:tcPr>
            <w:tcW w:w="0" w:type="auto"/>
            <w:tcBorders>
              <w:bottom w:val="single" w:sz="8" w:space="0" w:color="0071C5"/>
            </w:tcBorders>
            <w:shd w:val="clear" w:color="auto" w:fill="auto"/>
            <w:tcMar>
              <w:top w:w="40" w:type="dxa"/>
              <w:left w:w="40" w:type="dxa"/>
              <w:bottom w:w="40" w:type="dxa"/>
              <w:right w:w="40" w:type="dxa"/>
            </w:tcMar>
            <w:vAlign w:val="center"/>
          </w:tcPr>
          <w:p w14:paraId="4ACE228D" w14:textId="77777777" w:rsidR="006F587A" w:rsidRDefault="007B2B61">
            <w:pPr>
              <w:jc w:val="center"/>
              <w:textAlignment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Viewer12_files/a018manufacturedicona14.jpg"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5A" wp14:editId="4ACE6C5B">
                  <wp:extent cx="304800" cy="304800"/>
                  <wp:effectExtent l="0" t="0" r="0" b="0"/>
                  <wp:docPr id="98" name="图片 71"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71" descr="IMG_29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c>
          <w:tcPr>
            <w:tcW w:w="0" w:type="auto"/>
            <w:tcBorders>
              <w:bottom w:val="single" w:sz="8" w:space="0" w:color="0071C5"/>
            </w:tcBorders>
            <w:shd w:val="clear" w:color="auto" w:fill="auto"/>
            <w:tcMar>
              <w:top w:w="40" w:type="dxa"/>
              <w:left w:w="40" w:type="dxa"/>
              <w:bottom w:w="40" w:type="dxa"/>
              <w:right w:w="40" w:type="dxa"/>
            </w:tcMar>
            <w:vAlign w:val="center"/>
          </w:tcPr>
          <w:p w14:paraId="4ACE228E" w14:textId="77777777" w:rsidR="006F587A" w:rsidRDefault="007B2B61">
            <w:pPr>
              <w:textAlignment w:val="center"/>
              <w:rPr>
                <w:rFonts w:ascii="Times New Roman" w:hAnsi="Times New Roman"/>
                <w:sz w:val="18"/>
                <w:szCs w:val="18"/>
              </w:rPr>
            </w:pPr>
            <w:r>
              <w:rPr>
                <w:rFonts w:ascii="Arial" w:eastAsia="宋体" w:hAnsi="Arial" w:cs="Arial"/>
                <w:color w:val="333333"/>
                <w:sz w:val="18"/>
                <w:szCs w:val="18"/>
              </w:rPr>
              <w:t>Invest timely and at a level sufficient to meet customer demand for current technologies and prepare f</w:t>
            </w:r>
            <w:r>
              <w:rPr>
                <w:rFonts w:ascii="Arial" w:eastAsia="宋体" w:hAnsi="Arial" w:cs="Arial"/>
                <w:color w:val="333333"/>
                <w:sz w:val="18"/>
                <w:szCs w:val="18"/>
              </w:rPr>
              <w:t>or future technologies.</w:t>
            </w:r>
          </w:p>
        </w:tc>
        <w:tc>
          <w:tcPr>
            <w:tcW w:w="0" w:type="auto"/>
            <w:tcBorders>
              <w:bottom w:val="single" w:sz="8" w:space="0" w:color="0071C5"/>
            </w:tcBorders>
            <w:shd w:val="clear" w:color="auto" w:fill="auto"/>
            <w:tcMar>
              <w:top w:w="40" w:type="dxa"/>
              <w:left w:w="40" w:type="dxa"/>
              <w:bottom w:w="40" w:type="dxa"/>
              <w:right w:w="40" w:type="dxa"/>
            </w:tcMar>
            <w:vAlign w:val="center"/>
          </w:tcPr>
          <w:p w14:paraId="4ACE228F" w14:textId="77777777" w:rsidR="006F587A" w:rsidRDefault="007B2B61">
            <w:pPr>
              <w:textAlignment w:val="center"/>
              <w:rPr>
                <w:rFonts w:ascii="Times New Roman" w:hAnsi="Times New Roman"/>
                <w:sz w:val="18"/>
                <w:szCs w:val="18"/>
              </w:rPr>
            </w:pPr>
            <w:r>
              <w:rPr>
                <w:rFonts w:ascii="Arial" w:eastAsia="宋体" w:hAnsi="Arial" w:cs="Arial"/>
                <w:color w:val="333333"/>
                <w:sz w:val="18"/>
                <w:szCs w:val="18"/>
              </w:rPr>
              <w:t>Our manufacturing scope and scale enables innovations to provide our customers and consumers with a broad range of leading-edge products.</w:t>
            </w:r>
          </w:p>
        </w:tc>
      </w:tr>
      <w:tr w:rsidR="006F587A" w14:paraId="4ACE2294" w14:textId="77777777">
        <w:tc>
          <w:tcPr>
            <w:tcW w:w="0" w:type="auto"/>
            <w:shd w:val="clear" w:color="auto" w:fill="auto"/>
            <w:tcMar>
              <w:top w:w="40" w:type="dxa"/>
              <w:left w:w="40" w:type="dxa"/>
              <w:bottom w:w="40" w:type="dxa"/>
              <w:right w:w="40" w:type="dxa"/>
            </w:tcMar>
            <w:vAlign w:val="bottom"/>
          </w:tcPr>
          <w:p w14:paraId="4ACE229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29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29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2296" w14:textId="77777777">
        <w:tc>
          <w:tcPr>
            <w:tcW w:w="0" w:type="auto"/>
            <w:gridSpan w:val="3"/>
            <w:shd w:val="clear" w:color="auto" w:fill="auto"/>
            <w:tcMar>
              <w:top w:w="40" w:type="dxa"/>
              <w:left w:w="40" w:type="dxa"/>
              <w:bottom w:w="40" w:type="dxa"/>
              <w:right w:w="40" w:type="dxa"/>
            </w:tcMar>
            <w:vAlign w:val="center"/>
          </w:tcPr>
          <w:p w14:paraId="4ACE2295" w14:textId="77777777" w:rsidR="006F587A" w:rsidRDefault="007B2B61">
            <w:pPr>
              <w:textAlignment w:val="center"/>
              <w:rPr>
                <w:rFonts w:ascii="Times New Roman" w:hAnsi="Times New Roman"/>
                <w:sz w:val="18"/>
                <w:szCs w:val="18"/>
              </w:rPr>
            </w:pPr>
            <w:r>
              <w:rPr>
                <w:rFonts w:ascii="Arial" w:eastAsia="宋体" w:hAnsi="Arial" w:cs="Arial"/>
                <w:color w:val="0071C5"/>
                <w:sz w:val="18"/>
                <w:szCs w:val="18"/>
              </w:rPr>
              <w:t>HUMAN</w:t>
            </w:r>
          </w:p>
        </w:tc>
      </w:tr>
      <w:tr w:rsidR="006F587A" w14:paraId="4ACE229A" w14:textId="77777777">
        <w:tc>
          <w:tcPr>
            <w:tcW w:w="0" w:type="auto"/>
            <w:tcBorders>
              <w:bottom w:val="single" w:sz="8" w:space="0" w:color="0071C5"/>
            </w:tcBorders>
            <w:shd w:val="clear" w:color="auto" w:fill="auto"/>
            <w:tcMar>
              <w:top w:w="40" w:type="dxa"/>
              <w:left w:w="40" w:type="dxa"/>
              <w:bottom w:w="40" w:type="dxa"/>
              <w:right w:w="40" w:type="dxa"/>
            </w:tcMar>
            <w:vAlign w:val="center"/>
          </w:tcPr>
          <w:p w14:paraId="4ACE2297" w14:textId="77777777" w:rsidR="006F587A" w:rsidRDefault="007B2B61">
            <w:pPr>
              <w:jc w:val="center"/>
              <w:textAlignment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Viewer12_files/a019humanicona13.jpg"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5C" wp14:editId="4ACE6C5D">
                  <wp:extent cx="304800" cy="304800"/>
                  <wp:effectExtent l="0" t="0" r="0" b="0"/>
                  <wp:docPr id="14" name="图片 72"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2" descr="IMG_30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c>
          <w:tcPr>
            <w:tcW w:w="0" w:type="auto"/>
            <w:tcBorders>
              <w:bottom w:val="single" w:sz="8" w:space="0" w:color="0071C5"/>
            </w:tcBorders>
            <w:shd w:val="clear" w:color="auto" w:fill="auto"/>
            <w:tcMar>
              <w:top w:w="40" w:type="dxa"/>
              <w:left w:w="40" w:type="dxa"/>
              <w:bottom w:w="40" w:type="dxa"/>
              <w:right w:w="40" w:type="dxa"/>
            </w:tcMar>
            <w:vAlign w:val="center"/>
          </w:tcPr>
          <w:p w14:paraId="4ACE2298" w14:textId="77777777" w:rsidR="006F587A" w:rsidRDefault="007B2B61">
            <w:pPr>
              <w:textAlignment w:val="center"/>
              <w:rPr>
                <w:rFonts w:ascii="Times New Roman" w:hAnsi="Times New Roman"/>
                <w:sz w:val="18"/>
                <w:szCs w:val="18"/>
              </w:rPr>
            </w:pPr>
            <w:r>
              <w:rPr>
                <w:rFonts w:ascii="Arial" w:eastAsia="宋体" w:hAnsi="Arial" w:cs="Arial"/>
                <w:color w:val="333333"/>
                <w:sz w:val="18"/>
                <w:szCs w:val="18"/>
              </w:rPr>
              <w:t xml:space="preserve">Develop the talent needed to remain at the forefront of innovation and create a diverse, inclusive, and safe </w:t>
            </w:r>
            <w:r>
              <w:rPr>
                <w:rFonts w:ascii="Arial" w:eastAsia="宋体" w:hAnsi="Arial" w:cs="Arial"/>
                <w:color w:val="333333"/>
                <w:sz w:val="18"/>
                <w:szCs w:val="18"/>
              </w:rPr>
              <w:t>workplace.</w:t>
            </w:r>
          </w:p>
        </w:tc>
        <w:tc>
          <w:tcPr>
            <w:tcW w:w="0" w:type="auto"/>
            <w:tcBorders>
              <w:bottom w:val="single" w:sz="8" w:space="0" w:color="0071C5"/>
            </w:tcBorders>
            <w:shd w:val="clear" w:color="auto" w:fill="auto"/>
            <w:tcMar>
              <w:top w:w="40" w:type="dxa"/>
              <w:left w:w="40" w:type="dxa"/>
              <w:bottom w:w="40" w:type="dxa"/>
              <w:right w:w="40" w:type="dxa"/>
            </w:tcMar>
            <w:vAlign w:val="center"/>
          </w:tcPr>
          <w:p w14:paraId="4ACE2299" w14:textId="77777777" w:rsidR="006F587A" w:rsidRDefault="007B2B61">
            <w:pPr>
              <w:textAlignment w:val="center"/>
              <w:rPr>
                <w:rFonts w:ascii="Times New Roman" w:hAnsi="Times New Roman"/>
                <w:sz w:val="18"/>
                <w:szCs w:val="18"/>
              </w:rPr>
            </w:pPr>
            <w:r>
              <w:rPr>
                <w:rFonts w:ascii="Arial" w:eastAsia="宋体" w:hAnsi="Arial" w:cs="Arial"/>
                <w:color w:val="333333"/>
                <w:sz w:val="18"/>
                <w:szCs w:val="18"/>
              </w:rPr>
              <w:t>We attract and retain talented employees who enable the development of solutions and enhance the intellectual and manufacturing capital critical to helping our customers win the technology inflections of the future.</w:t>
            </w:r>
          </w:p>
        </w:tc>
      </w:tr>
      <w:tr w:rsidR="006F587A" w14:paraId="4ACE229E" w14:textId="77777777">
        <w:tc>
          <w:tcPr>
            <w:tcW w:w="0" w:type="auto"/>
            <w:shd w:val="clear" w:color="auto" w:fill="auto"/>
            <w:tcMar>
              <w:top w:w="40" w:type="dxa"/>
              <w:left w:w="40" w:type="dxa"/>
              <w:bottom w:w="40" w:type="dxa"/>
              <w:right w:w="40" w:type="dxa"/>
            </w:tcMar>
            <w:vAlign w:val="bottom"/>
          </w:tcPr>
          <w:p w14:paraId="4ACE229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29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29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22A0" w14:textId="77777777">
        <w:tc>
          <w:tcPr>
            <w:tcW w:w="0" w:type="auto"/>
            <w:gridSpan w:val="3"/>
            <w:shd w:val="clear" w:color="auto" w:fill="auto"/>
            <w:tcMar>
              <w:top w:w="40" w:type="dxa"/>
              <w:left w:w="40" w:type="dxa"/>
              <w:bottom w:w="40" w:type="dxa"/>
              <w:right w:w="40" w:type="dxa"/>
            </w:tcMar>
            <w:vAlign w:val="center"/>
          </w:tcPr>
          <w:p w14:paraId="4ACE229F" w14:textId="77777777" w:rsidR="006F587A" w:rsidRDefault="007B2B61">
            <w:pPr>
              <w:textAlignment w:val="center"/>
              <w:rPr>
                <w:rFonts w:ascii="Times New Roman" w:hAnsi="Times New Roman"/>
                <w:sz w:val="18"/>
                <w:szCs w:val="18"/>
              </w:rPr>
            </w:pPr>
            <w:r>
              <w:rPr>
                <w:rFonts w:ascii="Arial" w:eastAsia="宋体" w:hAnsi="Arial" w:cs="Arial"/>
                <w:color w:val="0071C5"/>
                <w:sz w:val="18"/>
                <w:szCs w:val="18"/>
              </w:rPr>
              <w:t xml:space="preserve">SOCIAL AND RELATIONSHIP </w:t>
            </w:r>
          </w:p>
        </w:tc>
      </w:tr>
      <w:tr w:rsidR="006F587A" w14:paraId="4ACE22A5" w14:textId="77777777">
        <w:tc>
          <w:tcPr>
            <w:tcW w:w="0" w:type="auto"/>
            <w:tcBorders>
              <w:bottom w:val="single" w:sz="8" w:space="0" w:color="0071C5"/>
            </w:tcBorders>
            <w:shd w:val="clear" w:color="auto" w:fill="auto"/>
            <w:tcMar>
              <w:top w:w="40" w:type="dxa"/>
              <w:left w:w="40" w:type="dxa"/>
              <w:bottom w:w="40" w:type="dxa"/>
              <w:right w:w="40" w:type="dxa"/>
            </w:tcMar>
            <w:vAlign w:val="center"/>
          </w:tcPr>
          <w:p w14:paraId="4ACE22A1" w14:textId="77777777" w:rsidR="006F587A" w:rsidRDefault="007B2B61">
            <w:pPr>
              <w:jc w:val="center"/>
              <w:textAlignment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Viewer12_files/a020socialicona12.jpg"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5E" wp14:editId="4ACE6C5F">
                  <wp:extent cx="304800" cy="304800"/>
                  <wp:effectExtent l="0" t="0" r="0" b="0"/>
                  <wp:docPr id="65" name="图片 7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73" descr="IMG_30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c>
          <w:tcPr>
            <w:tcW w:w="0" w:type="auto"/>
            <w:tcBorders>
              <w:bottom w:val="single" w:sz="8" w:space="0" w:color="0071C5"/>
            </w:tcBorders>
            <w:shd w:val="clear" w:color="auto" w:fill="auto"/>
            <w:tcMar>
              <w:top w:w="40" w:type="dxa"/>
              <w:left w:w="40" w:type="dxa"/>
              <w:bottom w:w="40" w:type="dxa"/>
              <w:right w:w="40" w:type="dxa"/>
            </w:tcMar>
            <w:vAlign w:val="center"/>
          </w:tcPr>
          <w:p w14:paraId="4ACE22A2" w14:textId="77777777" w:rsidR="006F587A" w:rsidRDefault="007B2B61">
            <w:pPr>
              <w:textAlignment w:val="center"/>
              <w:rPr>
                <w:rFonts w:ascii="Times New Roman" w:hAnsi="Times New Roman"/>
                <w:sz w:val="18"/>
                <w:szCs w:val="18"/>
              </w:rPr>
            </w:pPr>
            <w:r>
              <w:rPr>
                <w:rFonts w:ascii="Arial" w:eastAsia="宋体" w:hAnsi="Arial" w:cs="Arial"/>
                <w:color w:val="333333"/>
                <w:sz w:val="18"/>
                <w:szCs w:val="18"/>
              </w:rPr>
              <w:t>Build trusted relationships for both Intel and our stakeholders, including employe</w:t>
            </w:r>
            <w:r>
              <w:rPr>
                <w:rFonts w:ascii="Arial" w:eastAsia="宋体" w:hAnsi="Arial" w:cs="Arial"/>
                <w:color w:val="333333"/>
                <w:sz w:val="18"/>
                <w:szCs w:val="18"/>
              </w:rPr>
              <w:t>es, suppliers, customers, local communities, and governments.</w:t>
            </w:r>
          </w:p>
        </w:tc>
        <w:tc>
          <w:tcPr>
            <w:tcW w:w="0" w:type="auto"/>
            <w:tcBorders>
              <w:bottom w:val="single" w:sz="8" w:space="0" w:color="0071C5"/>
            </w:tcBorders>
            <w:shd w:val="clear" w:color="auto" w:fill="auto"/>
            <w:tcMar>
              <w:top w:w="40" w:type="dxa"/>
              <w:left w:w="40" w:type="dxa"/>
              <w:bottom w:w="40" w:type="dxa"/>
              <w:right w:w="40" w:type="dxa"/>
            </w:tcMar>
            <w:vAlign w:val="center"/>
          </w:tcPr>
          <w:p w14:paraId="4ACE22A3" w14:textId="77777777" w:rsidR="006F587A" w:rsidRDefault="007B2B61">
            <w:pPr>
              <w:textAlignment w:val="center"/>
              <w:rPr>
                <w:rFonts w:ascii="Times New Roman" w:hAnsi="Times New Roman"/>
                <w:sz w:val="18"/>
                <w:szCs w:val="18"/>
              </w:rPr>
            </w:pPr>
            <w:r>
              <w:rPr>
                <w:rFonts w:ascii="Arial" w:eastAsia="宋体" w:hAnsi="Arial" w:cs="Arial"/>
                <w:color w:val="333333"/>
                <w:sz w:val="18"/>
                <w:szCs w:val="18"/>
              </w:rPr>
              <w:t xml:space="preserve">We collaborate with stakeholders on programs to empower underserved communities through education and technology, and on initiatives to advance accountability and capabilities across our global </w:t>
            </w:r>
            <w:r>
              <w:rPr>
                <w:rFonts w:ascii="Arial" w:eastAsia="宋体" w:hAnsi="Arial" w:cs="Arial"/>
                <w:color w:val="333333"/>
                <w:sz w:val="18"/>
                <w:szCs w:val="18"/>
              </w:rPr>
              <w:t>supply chain, including accountability for the respect of human rights.</w:t>
            </w:r>
          </w:p>
          <w:p w14:paraId="4ACE22A4" w14:textId="77777777" w:rsidR="006F587A" w:rsidRDefault="006F587A">
            <w:pPr>
              <w:textAlignment w:val="center"/>
              <w:rPr>
                <w:rFonts w:ascii="Times New Roman" w:hAnsi="Times New Roman"/>
                <w:sz w:val="18"/>
                <w:szCs w:val="18"/>
              </w:rPr>
            </w:pPr>
          </w:p>
        </w:tc>
      </w:tr>
      <w:tr w:rsidR="006F587A" w14:paraId="4ACE22A9" w14:textId="77777777">
        <w:tc>
          <w:tcPr>
            <w:tcW w:w="0" w:type="auto"/>
            <w:shd w:val="clear" w:color="auto" w:fill="auto"/>
            <w:tcMar>
              <w:top w:w="40" w:type="dxa"/>
              <w:left w:w="40" w:type="dxa"/>
              <w:bottom w:w="40" w:type="dxa"/>
              <w:right w:w="40" w:type="dxa"/>
            </w:tcMar>
            <w:vAlign w:val="bottom"/>
          </w:tcPr>
          <w:p w14:paraId="4ACE22A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2A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2A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22AB" w14:textId="77777777">
        <w:tc>
          <w:tcPr>
            <w:tcW w:w="0" w:type="auto"/>
            <w:gridSpan w:val="3"/>
            <w:shd w:val="clear" w:color="auto" w:fill="auto"/>
            <w:tcMar>
              <w:top w:w="40" w:type="dxa"/>
              <w:left w:w="40" w:type="dxa"/>
              <w:bottom w:w="40" w:type="dxa"/>
              <w:right w:w="40" w:type="dxa"/>
            </w:tcMar>
            <w:vAlign w:val="center"/>
          </w:tcPr>
          <w:p w14:paraId="4ACE22AA" w14:textId="77777777" w:rsidR="006F587A" w:rsidRDefault="007B2B61">
            <w:pPr>
              <w:textAlignment w:val="center"/>
              <w:rPr>
                <w:rFonts w:ascii="Times New Roman" w:hAnsi="Times New Roman"/>
                <w:sz w:val="18"/>
                <w:szCs w:val="18"/>
              </w:rPr>
            </w:pPr>
            <w:r>
              <w:rPr>
                <w:rFonts w:ascii="Arial" w:eastAsia="宋体" w:hAnsi="Arial" w:cs="Arial"/>
                <w:color w:val="0071C5"/>
                <w:sz w:val="18"/>
                <w:szCs w:val="18"/>
              </w:rPr>
              <w:t>NATURAL</w:t>
            </w:r>
          </w:p>
        </w:tc>
      </w:tr>
      <w:tr w:rsidR="006F587A" w14:paraId="4ACE22AF" w14:textId="77777777">
        <w:tc>
          <w:tcPr>
            <w:tcW w:w="0" w:type="auto"/>
            <w:tcBorders>
              <w:bottom w:val="single" w:sz="8" w:space="0" w:color="0071C5"/>
            </w:tcBorders>
            <w:shd w:val="clear" w:color="auto" w:fill="auto"/>
            <w:tcMar>
              <w:top w:w="40" w:type="dxa"/>
              <w:left w:w="40" w:type="dxa"/>
              <w:bottom w:w="40" w:type="dxa"/>
              <w:right w:w="40" w:type="dxa"/>
            </w:tcMar>
            <w:vAlign w:val="center"/>
          </w:tcPr>
          <w:p w14:paraId="4ACE22AC" w14:textId="77777777" w:rsidR="006F587A" w:rsidRDefault="007B2B61">
            <w:pPr>
              <w:jc w:val="center"/>
              <w:textAlignment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Viewer12_files/a021naturaliconblueglobea01.jpg"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60" wp14:editId="4ACE6C61">
                  <wp:extent cx="304800" cy="304800"/>
                  <wp:effectExtent l="0" t="0" r="0" b="0"/>
                  <wp:docPr id="86" name="图片 74"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74" descr="IMG_31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c>
          <w:tcPr>
            <w:tcW w:w="0" w:type="auto"/>
            <w:tcBorders>
              <w:bottom w:val="single" w:sz="8" w:space="0" w:color="0071C5"/>
            </w:tcBorders>
            <w:shd w:val="clear" w:color="auto" w:fill="auto"/>
            <w:tcMar>
              <w:top w:w="40" w:type="dxa"/>
              <w:left w:w="40" w:type="dxa"/>
              <w:bottom w:w="40" w:type="dxa"/>
              <w:right w:w="40" w:type="dxa"/>
            </w:tcMar>
            <w:vAlign w:val="center"/>
          </w:tcPr>
          <w:p w14:paraId="4ACE22AD" w14:textId="77777777" w:rsidR="006F587A" w:rsidRDefault="007B2B61">
            <w:pPr>
              <w:textAlignment w:val="center"/>
              <w:rPr>
                <w:rFonts w:ascii="Times New Roman" w:hAnsi="Times New Roman"/>
                <w:sz w:val="18"/>
                <w:szCs w:val="18"/>
              </w:rPr>
            </w:pPr>
            <w:r>
              <w:rPr>
                <w:rFonts w:ascii="Arial" w:eastAsia="宋体" w:hAnsi="Arial" w:cs="Arial"/>
                <w:color w:val="333333"/>
                <w:sz w:val="18"/>
                <w:szCs w:val="18"/>
              </w:rPr>
              <w:t xml:space="preserve">Continually strive to reduce our environmental footprint through efficient and responsible use of </w:t>
            </w:r>
            <w:r>
              <w:rPr>
                <w:rFonts w:ascii="Arial" w:eastAsia="宋体" w:hAnsi="Arial" w:cs="Arial"/>
                <w:color w:val="333333"/>
                <w:sz w:val="18"/>
                <w:szCs w:val="18"/>
              </w:rPr>
              <w:t>natural resources and materials used to create our products.</w:t>
            </w:r>
          </w:p>
        </w:tc>
        <w:tc>
          <w:tcPr>
            <w:tcW w:w="0" w:type="auto"/>
            <w:tcBorders>
              <w:bottom w:val="single" w:sz="8" w:space="0" w:color="0071C5"/>
            </w:tcBorders>
            <w:shd w:val="clear" w:color="auto" w:fill="auto"/>
            <w:tcMar>
              <w:top w:w="40" w:type="dxa"/>
              <w:left w:w="40" w:type="dxa"/>
              <w:bottom w:w="40" w:type="dxa"/>
              <w:right w:w="40" w:type="dxa"/>
            </w:tcMar>
            <w:vAlign w:val="center"/>
          </w:tcPr>
          <w:p w14:paraId="4ACE22AE" w14:textId="77777777" w:rsidR="006F587A" w:rsidRDefault="007B2B61">
            <w:pPr>
              <w:textAlignment w:val="center"/>
              <w:rPr>
                <w:rFonts w:ascii="Times New Roman" w:hAnsi="Times New Roman"/>
                <w:sz w:val="18"/>
                <w:szCs w:val="18"/>
              </w:rPr>
            </w:pPr>
            <w:r>
              <w:rPr>
                <w:rFonts w:ascii="Arial" w:eastAsia="宋体" w:hAnsi="Arial" w:cs="Arial"/>
                <w:color w:val="333333"/>
                <w:sz w:val="18"/>
                <w:szCs w:val="18"/>
              </w:rPr>
              <w:t>Our proactive efforts help us mitigate climate and water impacts, achieve efficiencies and lower costs, and position us to respond to the expectations of our stakeholders.</w:t>
            </w:r>
          </w:p>
        </w:tc>
      </w:tr>
    </w:tbl>
    <w:p w14:paraId="4ACE22B0"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492"/>
        <w:gridCol w:w="2658"/>
        <w:gridCol w:w="3156"/>
      </w:tblGrid>
      <w:tr w:rsidR="006F587A" w14:paraId="4ACE22B2" w14:textId="77777777">
        <w:tc>
          <w:tcPr>
            <w:tcW w:w="0" w:type="auto"/>
            <w:gridSpan w:val="3"/>
            <w:shd w:val="clear" w:color="auto" w:fill="auto"/>
            <w:vAlign w:val="center"/>
          </w:tcPr>
          <w:p w14:paraId="4ACE22B1" w14:textId="77777777" w:rsidR="006F587A" w:rsidRDefault="006F587A">
            <w:pPr>
              <w:rPr>
                <w:rFonts w:ascii="Times New Roman" w:hAnsi="Times New Roman"/>
                <w:sz w:val="20"/>
                <w:szCs w:val="20"/>
              </w:rPr>
            </w:pPr>
          </w:p>
        </w:tc>
      </w:tr>
      <w:tr w:rsidR="006F587A" w14:paraId="4ACE22B6" w14:textId="77777777">
        <w:tc>
          <w:tcPr>
            <w:tcW w:w="1500" w:type="pct"/>
            <w:shd w:val="clear" w:color="auto" w:fill="auto"/>
            <w:vAlign w:val="center"/>
          </w:tcPr>
          <w:p w14:paraId="4ACE22B3" w14:textId="77777777" w:rsidR="006F587A" w:rsidRDefault="006F587A">
            <w:pPr>
              <w:rPr>
                <w:rFonts w:ascii="Times New Roman" w:hAnsi="Times New Roman"/>
                <w:sz w:val="20"/>
                <w:szCs w:val="20"/>
              </w:rPr>
            </w:pPr>
          </w:p>
        </w:tc>
        <w:tc>
          <w:tcPr>
            <w:tcW w:w="1600" w:type="pct"/>
            <w:shd w:val="clear" w:color="auto" w:fill="auto"/>
            <w:vAlign w:val="center"/>
          </w:tcPr>
          <w:p w14:paraId="4ACE22B4" w14:textId="77777777" w:rsidR="006F587A" w:rsidRDefault="006F587A">
            <w:pPr>
              <w:rPr>
                <w:rFonts w:ascii="Times New Roman" w:hAnsi="Times New Roman"/>
                <w:sz w:val="20"/>
                <w:szCs w:val="20"/>
              </w:rPr>
            </w:pPr>
          </w:p>
        </w:tc>
        <w:tc>
          <w:tcPr>
            <w:tcW w:w="1900" w:type="pct"/>
            <w:shd w:val="clear" w:color="auto" w:fill="auto"/>
            <w:vAlign w:val="center"/>
          </w:tcPr>
          <w:p w14:paraId="4ACE22B5" w14:textId="77777777" w:rsidR="006F587A" w:rsidRDefault="006F587A">
            <w:pPr>
              <w:rPr>
                <w:rFonts w:ascii="Times New Roman" w:hAnsi="Times New Roman"/>
                <w:sz w:val="20"/>
                <w:szCs w:val="20"/>
              </w:rPr>
            </w:pPr>
          </w:p>
        </w:tc>
      </w:tr>
      <w:tr w:rsidR="006F587A" w14:paraId="4ACE22BA"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22B7" w14:textId="77777777" w:rsidR="006F587A" w:rsidRDefault="007B2B61">
            <w:pPr>
              <w:textAlignment w:val="center"/>
              <w:rPr>
                <w:rFonts w:ascii="Times New Roman" w:hAnsi="Times New Roman"/>
                <w:sz w:val="18"/>
                <w:szCs w:val="18"/>
              </w:rPr>
            </w:pPr>
            <w:r>
              <w:rPr>
                <w:rFonts w:ascii="Times New Roman" w:eastAsia="宋体" w:hAnsi="Times New Roman"/>
                <w:sz w:val="18"/>
                <w:szCs w:val="18"/>
              </w:rPr>
              <w:lastRenderedPageBreak/>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Viewer12_files/a001intellogo_coverfooter.jpg"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C62" wp14:editId="4ACE6C63">
                  <wp:extent cx="304800" cy="304800"/>
                  <wp:effectExtent l="0" t="0" r="0" b="0"/>
                  <wp:docPr id="95" name="图片 75"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75"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r>
              <w:rPr>
                <w:rFonts w:ascii="Arial" w:eastAsia="宋体" w:hAnsi="Arial" w:cs="Arial"/>
                <w:color w:val="333333"/>
                <w:sz w:val="18"/>
                <w:szCs w:val="18"/>
              </w:rPr>
              <w:t>  </w:t>
            </w:r>
            <w:r>
              <w:rPr>
                <w:rFonts w:ascii="Arial" w:eastAsia="宋体" w:hAnsi="Arial" w:cs="Arial"/>
                <w:color w:val="333333"/>
                <w:sz w:val="16"/>
                <w:szCs w:val="16"/>
              </w:rPr>
              <w:t>FUNDAMENTALS OF OUR BUSINESS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2B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2B9"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8</w:t>
            </w:r>
          </w:p>
        </w:tc>
      </w:tr>
    </w:tbl>
    <w:p w14:paraId="4ACE22BB" w14:textId="77777777" w:rsidR="006F587A" w:rsidRDefault="007B2B61">
      <w:r>
        <w:pict w14:anchorId="4ACE6C64">
          <v:rect id="_x0000_i1034" style="width:415.3pt;height:1.5pt" o:hralign="center" o:hrstd="t" o:hr="t" fillcolor="#a0a0a0" stroked="f"/>
        </w:pict>
      </w:r>
    </w:p>
    <w:p w14:paraId="4ACE22BC" w14:textId="77777777" w:rsidR="006F587A" w:rsidRDefault="007B2B61">
      <w:pPr>
        <w:spacing w:line="288" w:lineRule="auto"/>
        <w:jc w:val="right"/>
        <w:rPr>
          <w:rFonts w:ascii="Times New Roman" w:hAnsi="Times New Roman"/>
          <w:sz w:val="16"/>
          <w:szCs w:val="16"/>
        </w:rPr>
      </w:pPr>
      <w:hyperlink r:id="rId43" w:anchor="s9DB683E2CF52561EB8A73BE37F5BF9BE" w:history="1">
        <w:r>
          <w:rPr>
            <w:rStyle w:val="a5"/>
            <w:rFonts w:ascii="Arial" w:eastAsia="宋体" w:hAnsi="Arial" w:cs="Arial"/>
            <w:b/>
            <w:bCs/>
            <w:sz w:val="16"/>
            <w:szCs w:val="16"/>
          </w:rPr>
          <w:t>Table of Contents</w:t>
        </w:r>
      </w:hyperlink>
    </w:p>
    <w:p w14:paraId="4ACE22BD" w14:textId="77777777" w:rsidR="006F587A" w:rsidRDefault="006F587A">
      <w:pPr>
        <w:spacing w:line="288" w:lineRule="auto"/>
        <w:jc w:val="right"/>
        <w:rPr>
          <w:rFonts w:ascii="Times New Roman" w:hAnsi="Times New Roman"/>
          <w:sz w:val="16"/>
          <w:szCs w:val="16"/>
        </w:rPr>
      </w:pPr>
    </w:p>
    <w:p w14:paraId="4ACE22BE" w14:textId="77777777" w:rsidR="006F587A" w:rsidRDefault="006F587A">
      <w:pPr>
        <w:rPr>
          <w:rFonts w:ascii="Times New Roman" w:hAnsi="Times New Roman"/>
          <w:sz w:val="20"/>
          <w:szCs w:val="20"/>
        </w:rPr>
      </w:pPr>
    </w:p>
    <w:tbl>
      <w:tblPr>
        <w:tblW w:w="14640" w:type="dxa"/>
        <w:tblCellMar>
          <w:left w:w="0" w:type="dxa"/>
          <w:right w:w="0" w:type="dxa"/>
        </w:tblCellMar>
        <w:tblLook w:val="04A0" w:firstRow="1" w:lastRow="0" w:firstColumn="1" w:lastColumn="0" w:noHBand="0" w:noVBand="1"/>
      </w:tblPr>
      <w:tblGrid>
        <w:gridCol w:w="1222"/>
        <w:gridCol w:w="13418"/>
      </w:tblGrid>
      <w:tr w:rsidR="006F587A" w14:paraId="4ACE22C0" w14:textId="77777777">
        <w:tc>
          <w:tcPr>
            <w:tcW w:w="0" w:type="auto"/>
            <w:gridSpan w:val="2"/>
            <w:shd w:val="clear" w:color="auto" w:fill="auto"/>
            <w:vAlign w:val="center"/>
          </w:tcPr>
          <w:p w14:paraId="4ACE22BF" w14:textId="77777777" w:rsidR="006F587A" w:rsidRDefault="006F587A">
            <w:pPr>
              <w:rPr>
                <w:rFonts w:ascii="Times New Roman" w:hAnsi="Times New Roman"/>
                <w:sz w:val="20"/>
                <w:szCs w:val="20"/>
              </w:rPr>
            </w:pPr>
          </w:p>
        </w:tc>
      </w:tr>
      <w:tr w:rsidR="006F587A" w14:paraId="4ACE22C3" w14:textId="77777777">
        <w:tc>
          <w:tcPr>
            <w:tcW w:w="1220" w:type="dxa"/>
            <w:shd w:val="clear" w:color="auto" w:fill="auto"/>
            <w:vAlign w:val="center"/>
          </w:tcPr>
          <w:p w14:paraId="4ACE22C1" w14:textId="77777777" w:rsidR="006F587A" w:rsidRDefault="006F587A">
            <w:pPr>
              <w:rPr>
                <w:rFonts w:ascii="Times New Roman" w:hAnsi="Times New Roman"/>
                <w:sz w:val="20"/>
                <w:szCs w:val="20"/>
              </w:rPr>
            </w:pPr>
          </w:p>
        </w:tc>
        <w:tc>
          <w:tcPr>
            <w:tcW w:w="13400" w:type="dxa"/>
            <w:shd w:val="clear" w:color="auto" w:fill="auto"/>
            <w:vAlign w:val="center"/>
          </w:tcPr>
          <w:p w14:paraId="4ACE22C2" w14:textId="77777777" w:rsidR="006F587A" w:rsidRDefault="006F587A">
            <w:pPr>
              <w:rPr>
                <w:rFonts w:ascii="Times New Roman" w:hAnsi="Times New Roman"/>
                <w:sz w:val="20"/>
                <w:szCs w:val="20"/>
              </w:rPr>
            </w:pPr>
          </w:p>
        </w:tc>
      </w:tr>
      <w:tr w:rsidR="006F587A" w14:paraId="4ACE22C6" w14:textId="77777777">
        <w:tc>
          <w:tcPr>
            <w:tcW w:w="0" w:type="auto"/>
            <w:shd w:val="clear" w:color="auto" w:fill="auto"/>
            <w:tcMar>
              <w:top w:w="40" w:type="dxa"/>
              <w:left w:w="40" w:type="dxa"/>
              <w:bottom w:w="40" w:type="dxa"/>
              <w:right w:w="40" w:type="dxa"/>
            </w:tcMar>
            <w:vAlign w:val="center"/>
          </w:tcPr>
          <w:p w14:paraId="4ACE22C4" w14:textId="77777777" w:rsidR="006F587A" w:rsidRDefault="007B2B61">
            <w:pPr>
              <w:jc w:val="center"/>
              <w:textAlignment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Viewer12_files/a016financialiconv2.jpg"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65" wp14:editId="4ACE6C66">
                  <wp:extent cx="304800" cy="304800"/>
                  <wp:effectExtent l="0" t="0" r="0" b="0"/>
                  <wp:docPr id="71" name="图片 77"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7" descr="IMG_28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c>
          <w:tcPr>
            <w:tcW w:w="0" w:type="auto"/>
            <w:shd w:val="clear" w:color="auto" w:fill="auto"/>
            <w:tcMar>
              <w:top w:w="40" w:type="dxa"/>
              <w:left w:w="40" w:type="dxa"/>
              <w:bottom w:w="40" w:type="dxa"/>
              <w:right w:w="40" w:type="dxa"/>
            </w:tcMar>
            <w:vAlign w:val="bottom"/>
          </w:tcPr>
          <w:p w14:paraId="4ACE22C5" w14:textId="77777777" w:rsidR="006F587A" w:rsidRDefault="007B2B61">
            <w:pPr>
              <w:textAlignment w:val="bottom"/>
              <w:rPr>
                <w:rFonts w:ascii="Times New Roman" w:hAnsi="Times New Roman"/>
                <w:sz w:val="28"/>
                <w:szCs w:val="28"/>
              </w:rPr>
            </w:pPr>
            <w:r>
              <w:rPr>
                <w:rFonts w:ascii="Arial" w:eastAsia="宋体" w:hAnsi="Arial" w:cs="Arial"/>
                <w:b/>
                <w:bCs/>
                <w:color w:val="0071C5"/>
                <w:sz w:val="28"/>
                <w:szCs w:val="28"/>
              </w:rPr>
              <w:t>FINANCIAL CAPITAL</w:t>
            </w:r>
          </w:p>
        </w:tc>
      </w:tr>
    </w:tbl>
    <w:p w14:paraId="4ACE22C7"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Our financial capital allocation strategy focuses on building stockholder value. We hav</w:t>
      </w:r>
      <w:r>
        <w:rPr>
          <w:rFonts w:ascii="Arial" w:eastAsia="宋体" w:hAnsi="Arial" w:cs="Arial"/>
          <w:color w:val="333333"/>
          <w:sz w:val="18"/>
          <w:szCs w:val="18"/>
        </w:rPr>
        <w:t xml:space="preserve">e returned approximately 90% of free cash flow to investors over the past five years and expect to return approximately 100% in 2020. </w:t>
      </w:r>
    </w:p>
    <w:tbl>
      <w:tblPr>
        <w:tblW w:w="14640" w:type="dxa"/>
        <w:tblCellMar>
          <w:left w:w="0" w:type="dxa"/>
          <w:right w:w="0" w:type="dxa"/>
        </w:tblCellMar>
        <w:tblLook w:val="04A0" w:firstRow="1" w:lastRow="0" w:firstColumn="1" w:lastColumn="0" w:noHBand="0" w:noVBand="1"/>
      </w:tblPr>
      <w:tblGrid>
        <w:gridCol w:w="14640"/>
      </w:tblGrid>
      <w:tr w:rsidR="006F587A" w14:paraId="4ACE22C9" w14:textId="77777777">
        <w:tc>
          <w:tcPr>
            <w:tcW w:w="0" w:type="auto"/>
            <w:shd w:val="clear" w:color="auto" w:fill="auto"/>
            <w:vAlign w:val="center"/>
          </w:tcPr>
          <w:p w14:paraId="4ACE22C8" w14:textId="77777777" w:rsidR="006F587A" w:rsidRDefault="006F587A">
            <w:pPr>
              <w:rPr>
                <w:rFonts w:ascii="Times New Roman" w:hAnsi="Times New Roman"/>
                <w:sz w:val="20"/>
                <w:szCs w:val="20"/>
              </w:rPr>
            </w:pPr>
          </w:p>
        </w:tc>
      </w:tr>
      <w:tr w:rsidR="006F587A" w14:paraId="4ACE22CB" w14:textId="77777777">
        <w:tc>
          <w:tcPr>
            <w:tcW w:w="14640" w:type="dxa"/>
            <w:shd w:val="clear" w:color="auto" w:fill="auto"/>
            <w:vAlign w:val="center"/>
          </w:tcPr>
          <w:p w14:paraId="4ACE22CA" w14:textId="77777777" w:rsidR="006F587A" w:rsidRDefault="006F587A">
            <w:pPr>
              <w:rPr>
                <w:rFonts w:ascii="Times New Roman" w:hAnsi="Times New Roman"/>
                <w:sz w:val="20"/>
                <w:szCs w:val="20"/>
              </w:rPr>
            </w:pPr>
          </w:p>
        </w:tc>
      </w:tr>
      <w:tr w:rsidR="006F587A" w14:paraId="4ACE22CD" w14:textId="77777777">
        <w:tc>
          <w:tcPr>
            <w:tcW w:w="0" w:type="auto"/>
            <w:tcBorders>
              <w:bottom w:val="single" w:sz="8" w:space="0" w:color="333333"/>
            </w:tcBorders>
            <w:shd w:val="clear" w:color="auto" w:fill="auto"/>
            <w:tcMar>
              <w:top w:w="40" w:type="dxa"/>
              <w:left w:w="40" w:type="dxa"/>
              <w:bottom w:w="40" w:type="dxa"/>
              <w:right w:w="40" w:type="dxa"/>
            </w:tcMar>
            <w:vAlign w:val="bottom"/>
          </w:tcPr>
          <w:p w14:paraId="4ACE22CC" w14:textId="77777777" w:rsidR="006F587A" w:rsidRDefault="007B2B61">
            <w:pPr>
              <w:jc w:val="center"/>
              <w:textAlignment w:val="bottom"/>
              <w:rPr>
                <w:rFonts w:ascii="Times New Roman" w:hAnsi="Times New Roman"/>
                <w:sz w:val="18"/>
                <w:szCs w:val="18"/>
              </w:rPr>
            </w:pPr>
            <w:r>
              <w:rPr>
                <w:rFonts w:ascii="Arial" w:eastAsia="宋体" w:hAnsi="Arial" w:cs="Arial"/>
                <w:b/>
                <w:bCs/>
                <w:color w:val="0071C5"/>
                <w:sz w:val="18"/>
                <w:szCs w:val="18"/>
              </w:rPr>
              <w:t>CASH FROM OPERATING ACTIVITIES $B</w:t>
            </w:r>
          </w:p>
        </w:tc>
      </w:tr>
    </w:tbl>
    <w:p w14:paraId="4ACE22CE" w14:textId="77777777" w:rsidR="006F587A" w:rsidRDefault="007B2B61">
      <w:pPr>
        <w:spacing w:line="288" w:lineRule="auto"/>
        <w:ind w:firstLine="3600"/>
        <w:rPr>
          <w:rFonts w:ascii="Times New Roman" w:hAnsi="Times New Roman"/>
          <w:sz w:val="18"/>
          <w:szCs w:val="18"/>
        </w:rPr>
      </w:pPr>
      <w:r>
        <w:rPr>
          <w:rFonts w:ascii="Arial" w:eastAsia="宋体" w:hAnsi="Arial" w:cs="Arial"/>
          <w:color w:val="333333"/>
          <w:sz w:val="18"/>
          <w:szCs w:val="18"/>
        </w:rPr>
        <w:t>    </w:t>
      </w: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Viewer12_files/chart5_cashfromops.jpg"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C67" wp14:editId="4ACE6C68">
            <wp:extent cx="304800" cy="304800"/>
            <wp:effectExtent l="0" t="0" r="0" b="0"/>
            <wp:docPr id="70" name="图片 78"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8" descr="IMG_29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p>
    <w:tbl>
      <w:tblPr>
        <w:tblW w:w="10260" w:type="dxa"/>
        <w:tblCellMar>
          <w:left w:w="0" w:type="dxa"/>
          <w:right w:w="0" w:type="dxa"/>
        </w:tblCellMar>
        <w:tblLook w:val="04A0" w:firstRow="1" w:lastRow="0" w:firstColumn="1" w:lastColumn="0" w:noHBand="0" w:noVBand="1"/>
      </w:tblPr>
      <w:tblGrid>
        <w:gridCol w:w="5331"/>
        <w:gridCol w:w="2264"/>
        <w:gridCol w:w="2665"/>
      </w:tblGrid>
      <w:tr w:rsidR="006F587A" w14:paraId="4ACE22D0" w14:textId="77777777">
        <w:tc>
          <w:tcPr>
            <w:tcW w:w="0" w:type="auto"/>
            <w:gridSpan w:val="3"/>
            <w:shd w:val="clear" w:color="auto" w:fill="auto"/>
            <w:vAlign w:val="center"/>
          </w:tcPr>
          <w:p w14:paraId="4ACE22CF" w14:textId="77777777" w:rsidR="006F587A" w:rsidRDefault="006F587A">
            <w:pPr>
              <w:rPr>
                <w:rFonts w:ascii="Times New Roman" w:hAnsi="Times New Roman"/>
                <w:sz w:val="20"/>
                <w:szCs w:val="20"/>
              </w:rPr>
            </w:pPr>
          </w:p>
        </w:tc>
      </w:tr>
      <w:tr w:rsidR="006F587A" w14:paraId="4ACE22D4" w14:textId="77777777">
        <w:tc>
          <w:tcPr>
            <w:tcW w:w="5320" w:type="dxa"/>
            <w:shd w:val="clear" w:color="auto" w:fill="auto"/>
            <w:vAlign w:val="center"/>
          </w:tcPr>
          <w:p w14:paraId="4ACE22D1" w14:textId="77777777" w:rsidR="006F587A" w:rsidRDefault="006F587A">
            <w:pPr>
              <w:rPr>
                <w:rFonts w:ascii="Times New Roman" w:hAnsi="Times New Roman"/>
                <w:sz w:val="20"/>
                <w:szCs w:val="20"/>
              </w:rPr>
            </w:pPr>
          </w:p>
        </w:tc>
        <w:tc>
          <w:tcPr>
            <w:tcW w:w="2260" w:type="dxa"/>
            <w:shd w:val="clear" w:color="auto" w:fill="auto"/>
            <w:vAlign w:val="center"/>
          </w:tcPr>
          <w:p w14:paraId="4ACE22D2" w14:textId="77777777" w:rsidR="006F587A" w:rsidRDefault="006F587A">
            <w:pPr>
              <w:rPr>
                <w:rFonts w:ascii="Times New Roman" w:hAnsi="Times New Roman"/>
                <w:sz w:val="20"/>
                <w:szCs w:val="20"/>
              </w:rPr>
            </w:pPr>
          </w:p>
        </w:tc>
        <w:tc>
          <w:tcPr>
            <w:tcW w:w="2660" w:type="dxa"/>
            <w:shd w:val="clear" w:color="auto" w:fill="auto"/>
            <w:vAlign w:val="center"/>
          </w:tcPr>
          <w:p w14:paraId="4ACE22D3" w14:textId="77777777" w:rsidR="006F587A" w:rsidRDefault="006F587A">
            <w:pPr>
              <w:rPr>
                <w:rFonts w:ascii="Times New Roman" w:hAnsi="Times New Roman"/>
                <w:sz w:val="20"/>
                <w:szCs w:val="20"/>
              </w:rPr>
            </w:pPr>
          </w:p>
        </w:tc>
      </w:tr>
      <w:tr w:rsidR="006F587A" w14:paraId="4ACE22D8" w14:textId="77777777">
        <w:tc>
          <w:tcPr>
            <w:tcW w:w="0" w:type="auto"/>
            <w:shd w:val="clear" w:color="auto" w:fill="auto"/>
            <w:tcMar>
              <w:top w:w="40" w:type="dxa"/>
              <w:left w:w="40" w:type="dxa"/>
              <w:bottom w:w="40" w:type="dxa"/>
              <w:right w:w="40" w:type="dxa"/>
            </w:tcMar>
            <w:vAlign w:val="bottom"/>
          </w:tcPr>
          <w:p w14:paraId="4ACE22D5" w14:textId="77777777" w:rsidR="006F587A" w:rsidRDefault="006F587A">
            <w:pPr>
              <w:textAlignment w:val="bottom"/>
              <w:rPr>
                <w:rFonts w:ascii="Times New Roman" w:hAnsi="Times New Roman"/>
                <w:sz w:val="16"/>
                <w:szCs w:val="16"/>
              </w:rPr>
            </w:pPr>
          </w:p>
        </w:tc>
        <w:tc>
          <w:tcPr>
            <w:tcW w:w="0" w:type="auto"/>
            <w:shd w:val="clear" w:color="auto" w:fill="auto"/>
            <w:tcMar>
              <w:top w:w="40" w:type="dxa"/>
              <w:left w:w="40" w:type="dxa"/>
              <w:bottom w:w="40" w:type="dxa"/>
              <w:right w:w="40" w:type="dxa"/>
            </w:tcMar>
            <w:vAlign w:val="bottom"/>
          </w:tcPr>
          <w:p w14:paraId="4ACE22D6" w14:textId="77777777" w:rsidR="006F587A" w:rsidRDefault="007B2B61">
            <w:pPr>
              <w:textAlignment w:val="bottom"/>
              <w:rPr>
                <w:rFonts w:ascii="Times New Roman" w:hAnsi="Times New Roman"/>
                <w:sz w:val="16"/>
                <w:szCs w:val="16"/>
              </w:rPr>
            </w:pPr>
            <w:r>
              <w:rPr>
                <w:rFonts w:ascii="Arial" w:eastAsia="宋体" w:hAnsi="Arial" w:cs="Arial"/>
                <w:color w:val="003C71"/>
                <w:sz w:val="16"/>
                <w:szCs w:val="16"/>
              </w:rPr>
              <w:t>■</w:t>
            </w:r>
            <w:r>
              <w:rPr>
                <w:rFonts w:ascii="Arial" w:eastAsia="宋体" w:hAnsi="Arial" w:cs="Arial"/>
                <w:color w:val="0071C5"/>
                <w:sz w:val="16"/>
                <w:szCs w:val="16"/>
              </w:rPr>
              <w:t> </w:t>
            </w:r>
            <w:r>
              <w:rPr>
                <w:rFonts w:ascii="Arial" w:eastAsia="宋体" w:hAnsi="Arial" w:cs="Arial"/>
                <w:color w:val="333333"/>
                <w:sz w:val="16"/>
                <w:szCs w:val="16"/>
              </w:rPr>
              <w:t>Capital Investment</w:t>
            </w:r>
          </w:p>
        </w:tc>
        <w:tc>
          <w:tcPr>
            <w:tcW w:w="0" w:type="auto"/>
            <w:shd w:val="clear" w:color="auto" w:fill="auto"/>
            <w:tcMar>
              <w:top w:w="40" w:type="dxa"/>
              <w:left w:w="40" w:type="dxa"/>
              <w:bottom w:w="40" w:type="dxa"/>
              <w:right w:w="40" w:type="dxa"/>
            </w:tcMar>
            <w:vAlign w:val="bottom"/>
          </w:tcPr>
          <w:p w14:paraId="4ACE22D7" w14:textId="77777777" w:rsidR="006F587A" w:rsidRDefault="007B2B61">
            <w:pPr>
              <w:textAlignment w:val="bottom"/>
              <w:rPr>
                <w:rFonts w:ascii="Times New Roman" w:hAnsi="Times New Roman"/>
                <w:sz w:val="16"/>
                <w:szCs w:val="16"/>
              </w:rPr>
            </w:pPr>
            <w:r>
              <w:rPr>
                <w:rFonts w:ascii="Arial" w:eastAsia="宋体" w:hAnsi="Arial" w:cs="Arial"/>
                <w:color w:val="00AEEF"/>
                <w:sz w:val="16"/>
                <w:szCs w:val="16"/>
              </w:rPr>
              <w:t>■</w:t>
            </w:r>
            <w:r>
              <w:rPr>
                <w:rFonts w:ascii="Arial" w:eastAsia="宋体" w:hAnsi="Arial" w:cs="Arial"/>
                <w:color w:val="0071C5"/>
                <w:sz w:val="16"/>
                <w:szCs w:val="16"/>
              </w:rPr>
              <w:t> </w:t>
            </w:r>
            <w:r>
              <w:rPr>
                <w:rFonts w:ascii="Arial" w:eastAsia="宋体" w:hAnsi="Arial" w:cs="Arial"/>
                <w:color w:val="333333"/>
                <w:sz w:val="16"/>
                <w:szCs w:val="16"/>
              </w:rPr>
              <w:t>Free Cash Flow</w:t>
            </w:r>
            <w:r>
              <w:rPr>
                <w:rFonts w:ascii="Arial" w:eastAsia="宋体" w:hAnsi="Arial" w:cs="Arial"/>
                <w:color w:val="333333"/>
                <w:sz w:val="10"/>
                <w:szCs w:val="10"/>
              </w:rPr>
              <w:t>1</w:t>
            </w:r>
          </w:p>
        </w:tc>
      </w:tr>
    </w:tbl>
    <w:p w14:paraId="4ACE22D9" w14:textId="77777777" w:rsidR="006F587A" w:rsidRDefault="006F587A">
      <w:pPr>
        <w:rPr>
          <w:vanish/>
        </w:rPr>
      </w:pPr>
    </w:p>
    <w:tbl>
      <w:tblPr>
        <w:tblW w:w="5000" w:type="pct"/>
        <w:tblCellMar>
          <w:left w:w="0" w:type="dxa"/>
          <w:right w:w="0" w:type="dxa"/>
        </w:tblCellMar>
        <w:tblLook w:val="04A0" w:firstRow="1" w:lastRow="0" w:firstColumn="1" w:lastColumn="0" w:noHBand="0" w:noVBand="1"/>
      </w:tblPr>
      <w:tblGrid>
        <w:gridCol w:w="8306"/>
      </w:tblGrid>
      <w:tr w:rsidR="006F587A" w14:paraId="4ACE22DB" w14:textId="77777777">
        <w:tc>
          <w:tcPr>
            <w:tcW w:w="0" w:type="auto"/>
            <w:shd w:val="clear" w:color="auto" w:fill="auto"/>
            <w:vAlign w:val="center"/>
          </w:tcPr>
          <w:p w14:paraId="4ACE22DA" w14:textId="77777777" w:rsidR="006F587A" w:rsidRDefault="006F587A">
            <w:pPr>
              <w:rPr>
                <w:rFonts w:ascii="Times New Roman" w:hAnsi="Times New Roman"/>
                <w:sz w:val="20"/>
                <w:szCs w:val="20"/>
              </w:rPr>
            </w:pPr>
          </w:p>
        </w:tc>
      </w:tr>
      <w:tr w:rsidR="006F587A" w14:paraId="4ACE22DD" w14:textId="77777777">
        <w:tc>
          <w:tcPr>
            <w:tcW w:w="5000" w:type="pct"/>
            <w:shd w:val="clear" w:color="auto" w:fill="auto"/>
            <w:vAlign w:val="center"/>
          </w:tcPr>
          <w:p w14:paraId="4ACE22DC" w14:textId="77777777" w:rsidR="006F587A" w:rsidRDefault="006F587A">
            <w:pPr>
              <w:rPr>
                <w:rFonts w:ascii="Times New Roman" w:hAnsi="Times New Roman"/>
                <w:sz w:val="20"/>
                <w:szCs w:val="20"/>
              </w:rPr>
            </w:pPr>
          </w:p>
        </w:tc>
      </w:tr>
      <w:tr w:rsidR="006F587A" w14:paraId="4ACE22DF" w14:textId="77777777">
        <w:tc>
          <w:tcPr>
            <w:tcW w:w="0" w:type="auto"/>
            <w:shd w:val="clear" w:color="auto" w:fill="auto"/>
            <w:tcMar>
              <w:top w:w="40" w:type="dxa"/>
              <w:left w:w="40" w:type="dxa"/>
              <w:bottom w:w="40" w:type="dxa"/>
              <w:right w:w="40" w:type="dxa"/>
            </w:tcMar>
            <w:vAlign w:val="center"/>
          </w:tcPr>
          <w:p w14:paraId="4ACE22DE" w14:textId="77777777" w:rsidR="006F587A" w:rsidRDefault="007B2B61">
            <w:pPr>
              <w:textAlignment w:val="center"/>
              <w:rPr>
                <w:rFonts w:ascii="Times New Roman" w:hAnsi="Times New Roman"/>
              </w:rPr>
            </w:pPr>
            <w:r>
              <w:rPr>
                <w:rFonts w:ascii="Arial" w:eastAsia="宋体" w:hAnsi="Arial" w:cs="Arial"/>
                <w:b/>
                <w:bCs/>
                <w:color w:val="0071C5"/>
              </w:rPr>
              <w:t xml:space="preserve">OUR FINANCIAL CAPITAL ALLOCATION DECISIONS ARE </w:t>
            </w:r>
            <w:r>
              <w:rPr>
                <w:rFonts w:ascii="Arial" w:eastAsia="宋体" w:hAnsi="Arial" w:cs="Arial"/>
                <w:b/>
                <w:bCs/>
                <w:color w:val="0071C5"/>
              </w:rPr>
              <w:t>DRIVEN BY THREE PRIORITIES</w:t>
            </w:r>
          </w:p>
        </w:tc>
      </w:tr>
    </w:tbl>
    <w:p w14:paraId="4ACE22E0" w14:textId="77777777" w:rsidR="006F587A" w:rsidRDefault="006F587A">
      <w:pPr>
        <w:rPr>
          <w:vanish/>
        </w:rPr>
      </w:pPr>
    </w:p>
    <w:tbl>
      <w:tblPr>
        <w:tblW w:w="14600" w:type="dxa"/>
        <w:tblCellMar>
          <w:left w:w="0" w:type="dxa"/>
          <w:right w:w="0" w:type="dxa"/>
        </w:tblCellMar>
        <w:tblLook w:val="04A0" w:firstRow="1" w:lastRow="0" w:firstColumn="1" w:lastColumn="0" w:noHBand="0" w:noVBand="1"/>
      </w:tblPr>
      <w:tblGrid>
        <w:gridCol w:w="4177"/>
        <w:gridCol w:w="130"/>
        <w:gridCol w:w="4136"/>
        <w:gridCol w:w="130"/>
        <w:gridCol w:w="837"/>
        <w:gridCol w:w="1746"/>
        <w:gridCol w:w="190"/>
        <w:gridCol w:w="982"/>
        <w:gridCol w:w="2272"/>
      </w:tblGrid>
      <w:tr w:rsidR="006F587A" w14:paraId="4ACE22E2" w14:textId="77777777">
        <w:tc>
          <w:tcPr>
            <w:tcW w:w="0" w:type="auto"/>
            <w:gridSpan w:val="9"/>
            <w:shd w:val="clear" w:color="auto" w:fill="auto"/>
            <w:vAlign w:val="center"/>
          </w:tcPr>
          <w:p w14:paraId="4ACE22E1" w14:textId="77777777" w:rsidR="006F587A" w:rsidRDefault="006F587A">
            <w:pPr>
              <w:rPr>
                <w:rFonts w:ascii="Times New Roman" w:hAnsi="Times New Roman"/>
                <w:sz w:val="20"/>
                <w:szCs w:val="20"/>
              </w:rPr>
            </w:pPr>
          </w:p>
        </w:tc>
      </w:tr>
      <w:tr w:rsidR="006F587A" w14:paraId="4ACE22EC" w14:textId="77777777">
        <w:tc>
          <w:tcPr>
            <w:tcW w:w="4820" w:type="dxa"/>
            <w:shd w:val="clear" w:color="auto" w:fill="auto"/>
            <w:vAlign w:val="center"/>
          </w:tcPr>
          <w:p w14:paraId="4ACE22E3" w14:textId="77777777" w:rsidR="006F587A" w:rsidRDefault="006F587A">
            <w:pPr>
              <w:rPr>
                <w:rFonts w:ascii="Times New Roman" w:hAnsi="Times New Roman"/>
                <w:sz w:val="20"/>
                <w:szCs w:val="20"/>
              </w:rPr>
            </w:pPr>
          </w:p>
        </w:tc>
        <w:tc>
          <w:tcPr>
            <w:tcW w:w="100" w:type="dxa"/>
            <w:shd w:val="clear" w:color="auto" w:fill="auto"/>
            <w:vAlign w:val="center"/>
          </w:tcPr>
          <w:p w14:paraId="4ACE22E4" w14:textId="77777777" w:rsidR="006F587A" w:rsidRDefault="006F587A">
            <w:pPr>
              <w:rPr>
                <w:rFonts w:ascii="Times New Roman" w:hAnsi="Times New Roman"/>
                <w:sz w:val="20"/>
                <w:szCs w:val="20"/>
              </w:rPr>
            </w:pPr>
          </w:p>
        </w:tc>
        <w:tc>
          <w:tcPr>
            <w:tcW w:w="4740" w:type="dxa"/>
            <w:shd w:val="clear" w:color="auto" w:fill="auto"/>
            <w:vAlign w:val="center"/>
          </w:tcPr>
          <w:p w14:paraId="4ACE22E5" w14:textId="77777777" w:rsidR="006F587A" w:rsidRDefault="006F587A">
            <w:pPr>
              <w:rPr>
                <w:rFonts w:ascii="Times New Roman" w:hAnsi="Times New Roman"/>
                <w:sz w:val="20"/>
                <w:szCs w:val="20"/>
              </w:rPr>
            </w:pPr>
          </w:p>
        </w:tc>
        <w:tc>
          <w:tcPr>
            <w:tcW w:w="100" w:type="dxa"/>
            <w:shd w:val="clear" w:color="auto" w:fill="auto"/>
            <w:vAlign w:val="center"/>
          </w:tcPr>
          <w:p w14:paraId="4ACE22E6" w14:textId="77777777" w:rsidR="006F587A" w:rsidRDefault="006F587A">
            <w:pPr>
              <w:rPr>
                <w:rFonts w:ascii="Times New Roman" w:hAnsi="Times New Roman"/>
                <w:sz w:val="20"/>
                <w:szCs w:val="20"/>
              </w:rPr>
            </w:pPr>
          </w:p>
        </w:tc>
        <w:tc>
          <w:tcPr>
            <w:tcW w:w="720" w:type="dxa"/>
            <w:shd w:val="clear" w:color="auto" w:fill="auto"/>
            <w:vAlign w:val="center"/>
          </w:tcPr>
          <w:p w14:paraId="4ACE22E7" w14:textId="77777777" w:rsidR="006F587A" w:rsidRDefault="006F587A">
            <w:pPr>
              <w:rPr>
                <w:rFonts w:ascii="Times New Roman" w:hAnsi="Times New Roman"/>
                <w:sz w:val="20"/>
                <w:szCs w:val="20"/>
              </w:rPr>
            </w:pPr>
          </w:p>
        </w:tc>
        <w:tc>
          <w:tcPr>
            <w:tcW w:w="1360" w:type="dxa"/>
            <w:shd w:val="clear" w:color="auto" w:fill="auto"/>
            <w:vAlign w:val="center"/>
          </w:tcPr>
          <w:p w14:paraId="4ACE22E8" w14:textId="77777777" w:rsidR="006F587A" w:rsidRDefault="006F587A">
            <w:pPr>
              <w:rPr>
                <w:rFonts w:ascii="Times New Roman" w:hAnsi="Times New Roman"/>
                <w:sz w:val="20"/>
                <w:szCs w:val="20"/>
              </w:rPr>
            </w:pPr>
          </w:p>
        </w:tc>
        <w:tc>
          <w:tcPr>
            <w:tcW w:w="100" w:type="dxa"/>
            <w:shd w:val="clear" w:color="auto" w:fill="auto"/>
            <w:vAlign w:val="center"/>
          </w:tcPr>
          <w:p w14:paraId="4ACE22E9" w14:textId="77777777" w:rsidR="006F587A" w:rsidRDefault="006F587A">
            <w:pPr>
              <w:rPr>
                <w:rFonts w:ascii="Times New Roman" w:hAnsi="Times New Roman"/>
                <w:sz w:val="20"/>
                <w:szCs w:val="20"/>
              </w:rPr>
            </w:pPr>
          </w:p>
        </w:tc>
        <w:tc>
          <w:tcPr>
            <w:tcW w:w="880" w:type="dxa"/>
            <w:shd w:val="clear" w:color="auto" w:fill="auto"/>
            <w:vAlign w:val="center"/>
          </w:tcPr>
          <w:p w14:paraId="4ACE22EA" w14:textId="77777777" w:rsidR="006F587A" w:rsidRDefault="006F587A">
            <w:pPr>
              <w:rPr>
                <w:rFonts w:ascii="Times New Roman" w:hAnsi="Times New Roman"/>
                <w:sz w:val="20"/>
                <w:szCs w:val="20"/>
              </w:rPr>
            </w:pPr>
          </w:p>
        </w:tc>
        <w:tc>
          <w:tcPr>
            <w:tcW w:w="1780" w:type="dxa"/>
            <w:shd w:val="clear" w:color="auto" w:fill="auto"/>
            <w:vAlign w:val="center"/>
          </w:tcPr>
          <w:p w14:paraId="4ACE22EB" w14:textId="77777777" w:rsidR="006F587A" w:rsidRDefault="006F587A">
            <w:pPr>
              <w:rPr>
                <w:rFonts w:ascii="Times New Roman" w:hAnsi="Times New Roman"/>
                <w:sz w:val="20"/>
                <w:szCs w:val="20"/>
              </w:rPr>
            </w:pPr>
          </w:p>
        </w:tc>
      </w:tr>
      <w:tr w:rsidR="006F587A" w14:paraId="4ACE22F2" w14:textId="77777777">
        <w:tc>
          <w:tcPr>
            <w:tcW w:w="0" w:type="auto"/>
            <w:shd w:val="clear" w:color="auto" w:fill="ACACAC"/>
            <w:tcMar>
              <w:top w:w="40" w:type="dxa"/>
              <w:left w:w="40" w:type="dxa"/>
              <w:bottom w:w="40" w:type="dxa"/>
              <w:right w:w="40" w:type="dxa"/>
            </w:tcMar>
            <w:vAlign w:val="bottom"/>
          </w:tcPr>
          <w:p w14:paraId="4ACE22ED" w14:textId="77777777" w:rsidR="006F587A" w:rsidRDefault="007B2B61">
            <w:pPr>
              <w:textAlignment w:val="bottom"/>
              <w:rPr>
                <w:rFonts w:ascii="Times New Roman" w:hAnsi="Times New Roman"/>
                <w:sz w:val="20"/>
                <w:szCs w:val="20"/>
              </w:rPr>
            </w:pPr>
            <w:r>
              <w:rPr>
                <w:rFonts w:ascii="Arial" w:eastAsia="宋体" w:hAnsi="Arial" w:cs="Arial"/>
                <w:b/>
                <w:bCs/>
                <w:color w:val="FFFFFF"/>
                <w:sz w:val="20"/>
                <w:szCs w:val="20"/>
              </w:rPr>
              <w:t>INVEST IN THE BUSINESS</w:t>
            </w:r>
          </w:p>
        </w:tc>
        <w:tc>
          <w:tcPr>
            <w:tcW w:w="0" w:type="auto"/>
            <w:shd w:val="clear" w:color="auto" w:fill="auto"/>
            <w:tcMar>
              <w:top w:w="40" w:type="dxa"/>
              <w:left w:w="40" w:type="dxa"/>
              <w:bottom w:w="40" w:type="dxa"/>
              <w:right w:w="40" w:type="dxa"/>
            </w:tcMar>
            <w:vAlign w:val="bottom"/>
          </w:tcPr>
          <w:p w14:paraId="4ACE22E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CACAC"/>
            <w:tcMar>
              <w:top w:w="40" w:type="dxa"/>
              <w:left w:w="40" w:type="dxa"/>
              <w:bottom w:w="40" w:type="dxa"/>
              <w:right w:w="40" w:type="dxa"/>
            </w:tcMar>
            <w:vAlign w:val="bottom"/>
          </w:tcPr>
          <w:p w14:paraId="4ACE22EF" w14:textId="77777777" w:rsidR="006F587A" w:rsidRDefault="007B2B61">
            <w:pPr>
              <w:textAlignment w:val="bottom"/>
              <w:rPr>
                <w:rFonts w:ascii="Times New Roman" w:hAnsi="Times New Roman"/>
                <w:sz w:val="20"/>
                <w:szCs w:val="20"/>
              </w:rPr>
            </w:pPr>
            <w:r>
              <w:rPr>
                <w:rFonts w:ascii="Arial" w:eastAsia="宋体" w:hAnsi="Arial" w:cs="Arial"/>
                <w:b/>
                <w:bCs/>
                <w:color w:val="FFFFFF"/>
                <w:sz w:val="20"/>
                <w:szCs w:val="20"/>
              </w:rPr>
              <w:t>ACQUIRE AND INTEGRATE</w:t>
            </w:r>
          </w:p>
        </w:tc>
        <w:tc>
          <w:tcPr>
            <w:tcW w:w="0" w:type="auto"/>
            <w:shd w:val="clear" w:color="auto" w:fill="auto"/>
            <w:tcMar>
              <w:top w:w="40" w:type="dxa"/>
              <w:left w:w="40" w:type="dxa"/>
              <w:bottom w:w="40" w:type="dxa"/>
              <w:right w:w="40" w:type="dxa"/>
            </w:tcMar>
            <w:vAlign w:val="bottom"/>
          </w:tcPr>
          <w:p w14:paraId="4ACE22F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shd w:val="clear" w:color="auto" w:fill="ACACAC"/>
            <w:tcMar>
              <w:top w:w="40" w:type="dxa"/>
              <w:left w:w="40" w:type="dxa"/>
              <w:bottom w:w="40" w:type="dxa"/>
              <w:right w:w="40" w:type="dxa"/>
            </w:tcMar>
            <w:vAlign w:val="bottom"/>
          </w:tcPr>
          <w:p w14:paraId="4ACE22F1" w14:textId="77777777" w:rsidR="006F587A" w:rsidRDefault="007B2B61">
            <w:pPr>
              <w:textAlignment w:val="bottom"/>
              <w:rPr>
                <w:rFonts w:ascii="Times New Roman" w:hAnsi="Times New Roman"/>
                <w:sz w:val="20"/>
                <w:szCs w:val="20"/>
              </w:rPr>
            </w:pPr>
            <w:r>
              <w:rPr>
                <w:rFonts w:ascii="Arial" w:eastAsia="宋体" w:hAnsi="Arial" w:cs="Arial"/>
                <w:b/>
                <w:bCs/>
                <w:color w:val="FFFFFF"/>
                <w:sz w:val="20"/>
                <w:szCs w:val="20"/>
              </w:rPr>
              <w:t>RETURN CASH TO STOCKHOLDERS</w:t>
            </w:r>
          </w:p>
        </w:tc>
      </w:tr>
      <w:tr w:rsidR="006F587A" w14:paraId="4ACE22F9" w14:textId="77777777">
        <w:tc>
          <w:tcPr>
            <w:tcW w:w="0" w:type="auto"/>
            <w:vMerge w:val="restart"/>
            <w:shd w:val="clear" w:color="auto" w:fill="auto"/>
            <w:tcMar>
              <w:top w:w="40" w:type="dxa"/>
              <w:left w:w="40" w:type="dxa"/>
              <w:bottom w:w="40" w:type="dxa"/>
              <w:right w:w="40" w:type="dxa"/>
            </w:tcMar>
          </w:tcPr>
          <w:p w14:paraId="4ACE22F3"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Our first allocation priority is to invest in R&amp;D and capital spending to strengthen our competitive position. We shifted our R&amp;D focus as we began a transformation to a data-centric company, while efficiently maintaining our investment at approximately 20</w:t>
            </w:r>
            <w:r>
              <w:rPr>
                <w:rFonts w:ascii="Arial" w:eastAsia="宋体" w:hAnsi="Arial" w:cs="Arial"/>
                <w:color w:val="333333"/>
                <w:sz w:val="18"/>
                <w:szCs w:val="18"/>
              </w:rPr>
              <w:t xml:space="preserve">% of revenue. We invested record levels of capital in logic (primarily platform wafer manufacturing) during the last two years to expand our capacity. With that investment, we increased our 14nm wafer capacity while also ramping 10nm production. We expect </w:t>
            </w:r>
            <w:r>
              <w:rPr>
                <w:rFonts w:ascii="Arial" w:eastAsia="宋体" w:hAnsi="Arial" w:cs="Arial"/>
                <w:color w:val="333333"/>
                <w:sz w:val="18"/>
                <w:szCs w:val="18"/>
              </w:rPr>
              <w:t xml:space="preserve">to further increase our PC client supply on both process nodes in 2020. </w:t>
            </w:r>
          </w:p>
          <w:p w14:paraId="4ACE22F4"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 </w:t>
            </w:r>
          </w:p>
        </w:tc>
        <w:tc>
          <w:tcPr>
            <w:tcW w:w="0" w:type="auto"/>
            <w:shd w:val="clear" w:color="auto" w:fill="auto"/>
            <w:tcMar>
              <w:top w:w="40" w:type="dxa"/>
              <w:left w:w="40" w:type="dxa"/>
              <w:bottom w:w="40" w:type="dxa"/>
              <w:right w:w="40" w:type="dxa"/>
            </w:tcMar>
            <w:vAlign w:val="bottom"/>
          </w:tcPr>
          <w:p w14:paraId="4ACE22F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tcPr>
          <w:p w14:paraId="4ACE22F6"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Our second allocation priority is to invest in companies around the world that will complement our strategic objectives and stimulate growth of data-centric opportunities. We look</w:t>
            </w:r>
            <w:r>
              <w:rPr>
                <w:rFonts w:ascii="Arial" w:eastAsia="宋体" w:hAnsi="Arial" w:cs="Arial"/>
                <w:color w:val="333333"/>
                <w:sz w:val="18"/>
                <w:szCs w:val="18"/>
              </w:rPr>
              <w:t xml:space="preserve"> for acquisitions that leverage and strengthen our capital and R&amp;D investments. In 2019, we completed various acquisitions, including Habana Labs and Barefoot Networks, to expand our product offerings and the markets we serve. We take action when investmen</w:t>
            </w:r>
            <w:r>
              <w:rPr>
                <w:rFonts w:ascii="Arial" w:eastAsia="宋体" w:hAnsi="Arial" w:cs="Arial"/>
                <w:color w:val="333333"/>
                <w:sz w:val="18"/>
                <w:szCs w:val="18"/>
              </w:rPr>
              <w:t>ts do not meet our criteria, and in 2019 we divested the majority of our 5G smartphone modem business for this reason.</w:t>
            </w:r>
          </w:p>
        </w:tc>
        <w:tc>
          <w:tcPr>
            <w:tcW w:w="0" w:type="auto"/>
            <w:shd w:val="clear" w:color="auto" w:fill="auto"/>
            <w:tcMar>
              <w:top w:w="40" w:type="dxa"/>
              <w:left w:w="40" w:type="dxa"/>
              <w:bottom w:w="40" w:type="dxa"/>
              <w:right w:w="40" w:type="dxa"/>
            </w:tcMar>
            <w:vAlign w:val="bottom"/>
          </w:tcPr>
          <w:p w14:paraId="4ACE22F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shd w:val="clear" w:color="auto" w:fill="auto"/>
            <w:tcMar>
              <w:top w:w="40" w:type="dxa"/>
              <w:left w:w="40" w:type="dxa"/>
              <w:bottom w:w="40" w:type="dxa"/>
              <w:right w:w="40" w:type="dxa"/>
            </w:tcMar>
          </w:tcPr>
          <w:p w14:paraId="4ACE22F8"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Our third allocation priority is to return cash to stockholders. We achieve this through our dividend and share repurchase programs. Du</w:t>
            </w:r>
            <w:r>
              <w:rPr>
                <w:rFonts w:ascii="Arial" w:eastAsia="宋体" w:hAnsi="Arial" w:cs="Arial"/>
                <w:color w:val="333333"/>
                <w:sz w:val="18"/>
                <w:szCs w:val="18"/>
              </w:rPr>
              <w:t>ring 2019, we paid $5.6 billion in dividends and repurchased $13.6 billion in shares, up from 2018. In October 2019, we announced that we expect to repurchase $20.0 billion in shares over the next 15 to 18 months. Our approach has reduced diluted shares ou</w:t>
            </w:r>
            <w:r>
              <w:rPr>
                <w:rFonts w:ascii="Arial" w:eastAsia="宋体" w:hAnsi="Arial" w:cs="Arial"/>
                <w:color w:val="333333"/>
                <w:sz w:val="18"/>
                <w:szCs w:val="18"/>
              </w:rPr>
              <w:t xml:space="preserve">tstanding over time. </w:t>
            </w:r>
          </w:p>
        </w:tc>
      </w:tr>
      <w:tr w:rsidR="006F587A" w14:paraId="4ACE2303" w14:textId="77777777">
        <w:tc>
          <w:tcPr>
            <w:tcW w:w="0" w:type="auto"/>
            <w:vMerge/>
            <w:shd w:val="clear" w:color="auto" w:fill="auto"/>
            <w:tcMar>
              <w:top w:w="40" w:type="dxa"/>
              <w:left w:w="40" w:type="dxa"/>
              <w:bottom w:w="40" w:type="dxa"/>
              <w:right w:w="40" w:type="dxa"/>
            </w:tcMar>
          </w:tcPr>
          <w:p w14:paraId="4ACE22FA"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2F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tcPr>
          <w:p w14:paraId="4ACE22FC"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2F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ACE22FE" w14:textId="77777777" w:rsidR="006F587A" w:rsidRDefault="007B2B61">
            <w:pPr>
              <w:jc w:val="center"/>
              <w:textAlignment w:val="bottom"/>
              <w:rPr>
                <w:rFonts w:ascii="Times New Roman" w:hAnsi="Times New Roman"/>
                <w:sz w:val="17"/>
                <w:szCs w:val="17"/>
              </w:rPr>
            </w:pPr>
            <w:r>
              <w:rPr>
                <w:rFonts w:ascii="Arial" w:eastAsia="宋体" w:hAnsi="Arial" w:cs="Arial"/>
                <w:b/>
                <w:bCs/>
                <w:color w:val="333333"/>
                <w:sz w:val="17"/>
                <w:szCs w:val="17"/>
              </w:rPr>
              <w:t>Dividends Per Share</w:t>
            </w:r>
          </w:p>
        </w:tc>
        <w:tc>
          <w:tcPr>
            <w:tcW w:w="0" w:type="auto"/>
            <w:shd w:val="clear" w:color="auto" w:fill="auto"/>
            <w:tcMar>
              <w:top w:w="40" w:type="dxa"/>
              <w:left w:w="40" w:type="dxa"/>
              <w:bottom w:w="40" w:type="dxa"/>
              <w:right w:w="40" w:type="dxa"/>
            </w:tcMar>
            <w:vAlign w:val="bottom"/>
          </w:tcPr>
          <w:p w14:paraId="4ACE22F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30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301" w14:textId="77777777" w:rsidR="006F587A" w:rsidRDefault="007B2B61">
            <w:pPr>
              <w:jc w:val="center"/>
              <w:textAlignment w:val="bottom"/>
              <w:rPr>
                <w:rFonts w:ascii="Times New Roman" w:hAnsi="Times New Roman"/>
                <w:sz w:val="17"/>
                <w:szCs w:val="17"/>
              </w:rPr>
            </w:pPr>
            <w:r>
              <w:rPr>
                <w:rFonts w:ascii="Arial" w:eastAsia="宋体" w:hAnsi="Arial" w:cs="Arial"/>
                <w:b/>
                <w:bCs/>
                <w:color w:val="333333"/>
                <w:sz w:val="17"/>
                <w:szCs w:val="17"/>
              </w:rPr>
              <w:t xml:space="preserve">Diluted Shares Outstanding </w:t>
            </w:r>
          </w:p>
          <w:p w14:paraId="4ACE2302" w14:textId="77777777" w:rsidR="006F587A" w:rsidRDefault="007B2B61">
            <w:pPr>
              <w:jc w:val="center"/>
              <w:textAlignment w:val="bottom"/>
              <w:rPr>
                <w:rFonts w:ascii="Times New Roman" w:hAnsi="Times New Roman"/>
                <w:sz w:val="15"/>
                <w:szCs w:val="15"/>
              </w:rPr>
            </w:pPr>
            <w:r>
              <w:rPr>
                <w:rFonts w:ascii="Arial" w:eastAsia="宋体" w:hAnsi="Arial" w:cs="Arial"/>
                <w:b/>
                <w:bCs/>
                <w:color w:val="333333"/>
                <w:sz w:val="15"/>
                <w:szCs w:val="15"/>
              </w:rPr>
              <w:t>(In Millions)</w:t>
            </w:r>
          </w:p>
        </w:tc>
      </w:tr>
      <w:tr w:rsidR="006F587A" w14:paraId="4ACE230D" w14:textId="77777777">
        <w:tc>
          <w:tcPr>
            <w:tcW w:w="0" w:type="auto"/>
            <w:vMerge/>
            <w:shd w:val="clear" w:color="auto" w:fill="auto"/>
            <w:tcMar>
              <w:top w:w="40" w:type="dxa"/>
              <w:left w:w="40" w:type="dxa"/>
              <w:bottom w:w="40" w:type="dxa"/>
              <w:right w:w="40" w:type="dxa"/>
            </w:tcMar>
          </w:tcPr>
          <w:p w14:paraId="4ACE2304"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30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tcPr>
          <w:p w14:paraId="4ACE2306"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30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CCCCCC"/>
            </w:tcBorders>
            <w:shd w:val="clear" w:color="auto" w:fill="auto"/>
            <w:tcMar>
              <w:top w:w="40" w:type="dxa"/>
              <w:left w:w="40" w:type="dxa"/>
              <w:bottom w:w="40" w:type="dxa"/>
              <w:right w:w="40" w:type="dxa"/>
            </w:tcMar>
            <w:vAlign w:val="bottom"/>
          </w:tcPr>
          <w:p w14:paraId="4ACE230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CCCCCC"/>
            </w:tcBorders>
            <w:shd w:val="clear" w:color="auto" w:fill="auto"/>
            <w:tcMar>
              <w:top w:w="40" w:type="dxa"/>
              <w:left w:w="40" w:type="dxa"/>
              <w:bottom w:w="40" w:type="dxa"/>
              <w:right w:w="40" w:type="dxa"/>
            </w:tcMar>
            <w:vAlign w:val="bottom"/>
          </w:tcPr>
          <w:p w14:paraId="4ACE230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right w:val="single" w:sz="8" w:space="0" w:color="333333"/>
            </w:tcBorders>
            <w:shd w:val="clear" w:color="auto" w:fill="auto"/>
            <w:tcMar>
              <w:top w:w="40" w:type="dxa"/>
              <w:left w:w="40" w:type="dxa"/>
              <w:bottom w:w="40" w:type="dxa"/>
              <w:right w:w="40" w:type="dxa"/>
            </w:tcMar>
            <w:vAlign w:val="bottom"/>
          </w:tcPr>
          <w:p w14:paraId="4ACE230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30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CCCCCC"/>
            </w:tcBorders>
            <w:shd w:val="clear" w:color="auto" w:fill="auto"/>
            <w:tcMar>
              <w:top w:w="40" w:type="dxa"/>
              <w:left w:w="40" w:type="dxa"/>
              <w:bottom w:w="40" w:type="dxa"/>
              <w:right w:w="40" w:type="dxa"/>
            </w:tcMar>
            <w:vAlign w:val="bottom"/>
          </w:tcPr>
          <w:p w14:paraId="4ACE230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2317" w14:textId="77777777">
        <w:tc>
          <w:tcPr>
            <w:tcW w:w="0" w:type="auto"/>
            <w:vMerge/>
            <w:shd w:val="clear" w:color="auto" w:fill="auto"/>
            <w:tcMar>
              <w:top w:w="40" w:type="dxa"/>
              <w:left w:w="40" w:type="dxa"/>
              <w:bottom w:w="40" w:type="dxa"/>
              <w:right w:w="40" w:type="dxa"/>
            </w:tcMar>
          </w:tcPr>
          <w:p w14:paraId="4ACE230E"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30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tcPr>
          <w:p w14:paraId="4ACE2310"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31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CCCCCC"/>
            </w:tcBorders>
            <w:shd w:val="clear" w:color="auto" w:fill="auto"/>
            <w:tcMar>
              <w:top w:w="40" w:type="dxa"/>
              <w:left w:w="40" w:type="dxa"/>
              <w:bottom w:w="40" w:type="dxa"/>
              <w:right w:w="40" w:type="dxa"/>
            </w:tcMar>
            <w:vAlign w:val="bottom"/>
          </w:tcPr>
          <w:p w14:paraId="4ACE2312" w14:textId="77777777" w:rsidR="006F587A" w:rsidRDefault="007B2B61">
            <w:pPr>
              <w:jc w:val="center"/>
              <w:textAlignment w:val="bottom"/>
              <w:rPr>
                <w:rFonts w:ascii="Times New Roman" w:hAnsi="Times New Roman"/>
                <w:sz w:val="18"/>
                <w:szCs w:val="18"/>
              </w:rPr>
            </w:pPr>
            <w:r>
              <w:rPr>
                <w:rFonts w:ascii="Arial" w:eastAsia="宋体" w:hAnsi="Arial" w:cs="Arial"/>
                <w:color w:val="333333"/>
                <w:sz w:val="18"/>
                <w:szCs w:val="18"/>
              </w:rPr>
              <w:t>2019</w:t>
            </w:r>
          </w:p>
        </w:tc>
        <w:tc>
          <w:tcPr>
            <w:tcW w:w="0" w:type="auto"/>
            <w:tcBorders>
              <w:top w:val="single" w:sz="8" w:space="0" w:color="CCCCCC"/>
              <w:bottom w:val="single" w:sz="8" w:space="0" w:color="CCCCCC"/>
            </w:tcBorders>
            <w:shd w:val="clear" w:color="auto" w:fill="auto"/>
            <w:tcMar>
              <w:top w:w="40" w:type="dxa"/>
              <w:left w:w="400" w:type="dxa"/>
              <w:bottom w:w="40" w:type="dxa"/>
              <w:right w:w="40" w:type="dxa"/>
            </w:tcMar>
            <w:vAlign w:val="bottom"/>
          </w:tcPr>
          <w:p w14:paraId="4ACE231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$1.26</w:t>
            </w:r>
          </w:p>
        </w:tc>
        <w:tc>
          <w:tcPr>
            <w:tcW w:w="0" w:type="auto"/>
            <w:tcBorders>
              <w:right w:val="single" w:sz="8" w:space="0" w:color="333333"/>
            </w:tcBorders>
            <w:shd w:val="clear" w:color="auto" w:fill="auto"/>
            <w:tcMar>
              <w:top w:w="40" w:type="dxa"/>
              <w:left w:w="40" w:type="dxa"/>
              <w:bottom w:w="40" w:type="dxa"/>
              <w:right w:w="40" w:type="dxa"/>
            </w:tcMar>
            <w:vAlign w:val="bottom"/>
          </w:tcPr>
          <w:p w14:paraId="4ACE231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tcBorders>
              <w:left w:val="single" w:sz="8" w:space="0" w:color="333333"/>
            </w:tcBorders>
            <w:shd w:val="clear" w:color="auto" w:fill="auto"/>
            <w:tcMar>
              <w:top w:w="40" w:type="dxa"/>
              <w:left w:w="40" w:type="dxa"/>
              <w:bottom w:w="40" w:type="dxa"/>
              <w:right w:w="40" w:type="dxa"/>
            </w:tcMar>
            <w:vAlign w:val="center"/>
          </w:tcPr>
          <w:p w14:paraId="4ACE2315" w14:textId="77777777" w:rsidR="006F587A" w:rsidRDefault="007B2B61">
            <w:pPr>
              <w:jc w:val="center"/>
              <w:textAlignment w:val="center"/>
              <w:rPr>
                <w:rFonts w:ascii="Times New Roman" w:hAnsi="Times New Roman"/>
                <w:sz w:val="16"/>
                <w:szCs w:val="16"/>
              </w:rPr>
            </w:pPr>
            <w:r>
              <w:rPr>
                <w:rFonts w:ascii="Arial" w:eastAsia="宋体" w:hAnsi="Arial" w:cs="Arial"/>
                <w:color w:val="333333"/>
                <w:sz w:val="16"/>
                <w:szCs w:val="16"/>
              </w:rPr>
              <w:t>8% CAGR</w:t>
            </w:r>
          </w:p>
        </w:tc>
        <w:tc>
          <w:tcPr>
            <w:tcW w:w="0" w:type="auto"/>
            <w:tcBorders>
              <w:top w:val="single" w:sz="8" w:space="0" w:color="CCCCCC"/>
              <w:bottom w:val="single" w:sz="8" w:space="0" w:color="CCCCCC"/>
            </w:tcBorders>
            <w:shd w:val="clear" w:color="auto" w:fill="auto"/>
            <w:tcMar>
              <w:top w:w="40" w:type="dxa"/>
              <w:left w:w="40" w:type="dxa"/>
              <w:bottom w:w="40" w:type="dxa"/>
              <w:right w:w="40" w:type="dxa"/>
            </w:tcMar>
            <w:vAlign w:val="bottom"/>
          </w:tcPr>
          <w:p w14:paraId="4ACE2316" w14:textId="77777777" w:rsidR="006F587A" w:rsidRDefault="007B2B61">
            <w:pPr>
              <w:jc w:val="center"/>
              <w:textAlignment w:val="bottom"/>
              <w:rPr>
                <w:rFonts w:ascii="Times New Roman" w:hAnsi="Times New Roman"/>
                <w:sz w:val="18"/>
                <w:szCs w:val="18"/>
              </w:rPr>
            </w:pPr>
            <w:r>
              <w:rPr>
                <w:rFonts w:ascii="Arial" w:eastAsia="宋体" w:hAnsi="Arial" w:cs="Arial"/>
                <w:color w:val="333333"/>
                <w:sz w:val="18"/>
                <w:szCs w:val="18"/>
              </w:rPr>
              <w:t>4,473</w:t>
            </w:r>
          </w:p>
        </w:tc>
      </w:tr>
      <w:tr w:rsidR="006F587A" w14:paraId="4ACE2321" w14:textId="77777777">
        <w:tc>
          <w:tcPr>
            <w:tcW w:w="0" w:type="auto"/>
            <w:vMerge/>
            <w:shd w:val="clear" w:color="auto" w:fill="auto"/>
            <w:tcMar>
              <w:top w:w="40" w:type="dxa"/>
              <w:left w:w="40" w:type="dxa"/>
              <w:bottom w:w="40" w:type="dxa"/>
              <w:right w:w="40" w:type="dxa"/>
            </w:tcMar>
          </w:tcPr>
          <w:p w14:paraId="4ACE2318"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31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tcPr>
          <w:p w14:paraId="4ACE231A"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31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CCCCCC"/>
            </w:tcBorders>
            <w:shd w:val="clear" w:color="auto" w:fill="auto"/>
            <w:tcMar>
              <w:top w:w="40" w:type="dxa"/>
              <w:left w:w="40" w:type="dxa"/>
              <w:bottom w:w="40" w:type="dxa"/>
              <w:right w:w="40" w:type="dxa"/>
            </w:tcMar>
            <w:vAlign w:val="bottom"/>
          </w:tcPr>
          <w:p w14:paraId="4ACE231C" w14:textId="77777777" w:rsidR="006F587A" w:rsidRDefault="007B2B61">
            <w:pPr>
              <w:jc w:val="center"/>
              <w:textAlignment w:val="bottom"/>
              <w:rPr>
                <w:rFonts w:ascii="Times New Roman" w:hAnsi="Times New Roman"/>
                <w:sz w:val="18"/>
                <w:szCs w:val="18"/>
              </w:rPr>
            </w:pPr>
            <w:r>
              <w:rPr>
                <w:rFonts w:ascii="Arial" w:eastAsia="宋体" w:hAnsi="Arial" w:cs="Arial"/>
                <w:color w:val="333333"/>
                <w:sz w:val="18"/>
                <w:szCs w:val="18"/>
              </w:rPr>
              <w:t>2018</w:t>
            </w:r>
          </w:p>
        </w:tc>
        <w:tc>
          <w:tcPr>
            <w:tcW w:w="0" w:type="auto"/>
            <w:tcBorders>
              <w:top w:val="single" w:sz="8" w:space="0" w:color="CCCCCC"/>
            </w:tcBorders>
            <w:shd w:val="clear" w:color="auto" w:fill="auto"/>
            <w:tcMar>
              <w:top w:w="40" w:type="dxa"/>
              <w:left w:w="400" w:type="dxa"/>
              <w:bottom w:w="40" w:type="dxa"/>
              <w:right w:w="40" w:type="dxa"/>
            </w:tcMar>
            <w:vAlign w:val="bottom"/>
          </w:tcPr>
          <w:p w14:paraId="4ACE231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$1.20</w:t>
            </w:r>
          </w:p>
        </w:tc>
        <w:tc>
          <w:tcPr>
            <w:tcW w:w="0" w:type="auto"/>
            <w:tcBorders>
              <w:right w:val="single" w:sz="8" w:space="0" w:color="333333"/>
            </w:tcBorders>
            <w:shd w:val="clear" w:color="auto" w:fill="auto"/>
            <w:tcMar>
              <w:top w:w="40" w:type="dxa"/>
              <w:left w:w="40" w:type="dxa"/>
              <w:bottom w:w="40" w:type="dxa"/>
              <w:right w:w="40" w:type="dxa"/>
            </w:tcMar>
            <w:vAlign w:val="bottom"/>
          </w:tcPr>
          <w:p w14:paraId="4ACE231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tcBorders>
              <w:left w:val="single" w:sz="8" w:space="0" w:color="333333"/>
            </w:tcBorders>
            <w:shd w:val="clear" w:color="auto" w:fill="auto"/>
            <w:tcMar>
              <w:top w:w="40" w:type="dxa"/>
              <w:left w:w="40" w:type="dxa"/>
              <w:bottom w:w="40" w:type="dxa"/>
              <w:right w:w="40" w:type="dxa"/>
            </w:tcMar>
            <w:vAlign w:val="center"/>
          </w:tcPr>
          <w:p w14:paraId="4ACE231F" w14:textId="77777777" w:rsidR="006F587A" w:rsidRDefault="006F587A">
            <w:pPr>
              <w:rPr>
                <w:rFonts w:ascii="Times New Roman" w:hAnsi="Times New Roman"/>
                <w:sz w:val="20"/>
                <w:szCs w:val="20"/>
              </w:rPr>
            </w:pPr>
          </w:p>
        </w:tc>
        <w:tc>
          <w:tcPr>
            <w:tcW w:w="0" w:type="auto"/>
            <w:tcBorders>
              <w:top w:val="single" w:sz="8" w:space="0" w:color="CCCCCC"/>
              <w:bottom w:val="single" w:sz="8" w:space="0" w:color="CCCCCC"/>
            </w:tcBorders>
            <w:shd w:val="clear" w:color="auto" w:fill="auto"/>
            <w:tcMar>
              <w:top w:w="40" w:type="dxa"/>
              <w:left w:w="40" w:type="dxa"/>
              <w:bottom w:w="40" w:type="dxa"/>
              <w:right w:w="40" w:type="dxa"/>
            </w:tcMar>
            <w:vAlign w:val="bottom"/>
          </w:tcPr>
          <w:p w14:paraId="4ACE2320" w14:textId="77777777" w:rsidR="006F587A" w:rsidRDefault="007B2B61">
            <w:pPr>
              <w:jc w:val="center"/>
              <w:textAlignment w:val="bottom"/>
              <w:rPr>
                <w:rFonts w:ascii="Times New Roman" w:hAnsi="Times New Roman"/>
                <w:sz w:val="18"/>
                <w:szCs w:val="18"/>
              </w:rPr>
            </w:pPr>
            <w:r>
              <w:rPr>
                <w:rFonts w:ascii="Arial" w:eastAsia="宋体" w:hAnsi="Arial" w:cs="Arial"/>
                <w:color w:val="333333"/>
                <w:sz w:val="18"/>
                <w:szCs w:val="18"/>
              </w:rPr>
              <w:t>4,701</w:t>
            </w:r>
          </w:p>
        </w:tc>
      </w:tr>
      <w:tr w:rsidR="006F587A" w14:paraId="4ACE232B" w14:textId="77777777">
        <w:tc>
          <w:tcPr>
            <w:tcW w:w="0" w:type="auto"/>
            <w:vMerge/>
            <w:shd w:val="clear" w:color="auto" w:fill="auto"/>
            <w:tcMar>
              <w:top w:w="40" w:type="dxa"/>
              <w:left w:w="40" w:type="dxa"/>
              <w:bottom w:w="40" w:type="dxa"/>
              <w:right w:w="40" w:type="dxa"/>
            </w:tcMar>
          </w:tcPr>
          <w:p w14:paraId="4ACE2322"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32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tcPr>
          <w:p w14:paraId="4ACE2324"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32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CCCCCC"/>
            </w:tcBorders>
            <w:shd w:val="clear" w:color="auto" w:fill="auto"/>
            <w:tcMar>
              <w:top w:w="40" w:type="dxa"/>
              <w:left w:w="40" w:type="dxa"/>
              <w:bottom w:w="40" w:type="dxa"/>
              <w:right w:w="40" w:type="dxa"/>
            </w:tcMar>
            <w:vAlign w:val="bottom"/>
          </w:tcPr>
          <w:p w14:paraId="4ACE2326" w14:textId="77777777" w:rsidR="006F587A" w:rsidRDefault="007B2B61">
            <w:pPr>
              <w:jc w:val="center"/>
              <w:textAlignment w:val="bottom"/>
              <w:rPr>
                <w:rFonts w:ascii="Times New Roman" w:hAnsi="Times New Roman"/>
                <w:sz w:val="18"/>
                <w:szCs w:val="18"/>
              </w:rPr>
            </w:pPr>
            <w:r>
              <w:rPr>
                <w:rFonts w:ascii="Arial" w:eastAsia="宋体" w:hAnsi="Arial" w:cs="Arial"/>
                <w:color w:val="333333"/>
                <w:sz w:val="18"/>
                <w:szCs w:val="18"/>
              </w:rPr>
              <w:t>2017</w:t>
            </w:r>
          </w:p>
        </w:tc>
        <w:tc>
          <w:tcPr>
            <w:tcW w:w="0" w:type="auto"/>
            <w:tcBorders>
              <w:top w:val="single" w:sz="8" w:space="0" w:color="CCCCCC"/>
            </w:tcBorders>
            <w:shd w:val="clear" w:color="auto" w:fill="auto"/>
            <w:tcMar>
              <w:top w:w="40" w:type="dxa"/>
              <w:left w:w="400" w:type="dxa"/>
              <w:bottom w:w="40" w:type="dxa"/>
              <w:right w:w="40" w:type="dxa"/>
            </w:tcMar>
            <w:vAlign w:val="bottom"/>
          </w:tcPr>
          <w:p w14:paraId="4ACE232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$1.0775</w:t>
            </w:r>
          </w:p>
        </w:tc>
        <w:tc>
          <w:tcPr>
            <w:tcW w:w="0" w:type="auto"/>
            <w:tcBorders>
              <w:right w:val="single" w:sz="8" w:space="0" w:color="333333"/>
            </w:tcBorders>
            <w:shd w:val="clear" w:color="auto" w:fill="auto"/>
            <w:tcMar>
              <w:top w:w="40" w:type="dxa"/>
              <w:left w:w="40" w:type="dxa"/>
              <w:bottom w:w="40" w:type="dxa"/>
              <w:right w:w="40" w:type="dxa"/>
            </w:tcMar>
            <w:vAlign w:val="bottom"/>
          </w:tcPr>
          <w:p w14:paraId="4ACE232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tcBorders>
              <w:left w:val="single" w:sz="8" w:space="0" w:color="333333"/>
            </w:tcBorders>
            <w:shd w:val="clear" w:color="auto" w:fill="auto"/>
            <w:tcMar>
              <w:top w:w="40" w:type="dxa"/>
              <w:left w:w="40" w:type="dxa"/>
              <w:bottom w:w="40" w:type="dxa"/>
              <w:right w:w="40" w:type="dxa"/>
            </w:tcMar>
            <w:vAlign w:val="center"/>
          </w:tcPr>
          <w:p w14:paraId="4ACE2329" w14:textId="77777777" w:rsidR="006F587A" w:rsidRDefault="006F587A">
            <w:pPr>
              <w:rPr>
                <w:rFonts w:ascii="Times New Roman" w:hAnsi="Times New Roman"/>
                <w:sz w:val="20"/>
                <w:szCs w:val="20"/>
              </w:rPr>
            </w:pPr>
          </w:p>
        </w:tc>
        <w:tc>
          <w:tcPr>
            <w:tcW w:w="0" w:type="auto"/>
            <w:tcBorders>
              <w:top w:val="single" w:sz="8" w:space="0" w:color="CCCCCC"/>
            </w:tcBorders>
            <w:shd w:val="clear" w:color="auto" w:fill="auto"/>
            <w:tcMar>
              <w:top w:w="40" w:type="dxa"/>
              <w:left w:w="40" w:type="dxa"/>
              <w:bottom w:w="40" w:type="dxa"/>
              <w:right w:w="40" w:type="dxa"/>
            </w:tcMar>
            <w:vAlign w:val="bottom"/>
          </w:tcPr>
          <w:p w14:paraId="4ACE232A" w14:textId="77777777" w:rsidR="006F587A" w:rsidRDefault="007B2B61">
            <w:pPr>
              <w:jc w:val="center"/>
              <w:textAlignment w:val="bottom"/>
              <w:rPr>
                <w:rFonts w:ascii="Times New Roman" w:hAnsi="Times New Roman"/>
                <w:sz w:val="18"/>
                <w:szCs w:val="18"/>
              </w:rPr>
            </w:pPr>
            <w:r>
              <w:rPr>
                <w:rFonts w:ascii="Arial" w:eastAsia="宋体" w:hAnsi="Arial" w:cs="Arial"/>
                <w:color w:val="333333"/>
                <w:sz w:val="18"/>
                <w:szCs w:val="18"/>
              </w:rPr>
              <w:t>4,835</w:t>
            </w:r>
          </w:p>
        </w:tc>
      </w:tr>
      <w:tr w:rsidR="006F587A" w14:paraId="4ACE2335" w14:textId="77777777">
        <w:tc>
          <w:tcPr>
            <w:tcW w:w="0" w:type="auto"/>
            <w:vMerge/>
            <w:shd w:val="clear" w:color="auto" w:fill="auto"/>
            <w:tcMar>
              <w:top w:w="40" w:type="dxa"/>
              <w:left w:w="40" w:type="dxa"/>
              <w:bottom w:w="40" w:type="dxa"/>
              <w:right w:w="40" w:type="dxa"/>
            </w:tcMar>
          </w:tcPr>
          <w:p w14:paraId="4ACE232C"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32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32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32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33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33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right w:val="single" w:sz="8" w:space="0" w:color="333333"/>
            </w:tcBorders>
            <w:shd w:val="clear" w:color="auto" w:fill="auto"/>
            <w:tcMar>
              <w:top w:w="40" w:type="dxa"/>
              <w:left w:w="40" w:type="dxa"/>
              <w:bottom w:w="40" w:type="dxa"/>
              <w:right w:w="40" w:type="dxa"/>
            </w:tcMar>
            <w:vAlign w:val="bottom"/>
          </w:tcPr>
          <w:p w14:paraId="4ACE233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33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33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bl>
    <w:p w14:paraId="4ACE2336" w14:textId="77777777" w:rsidR="006F587A" w:rsidRDefault="006F587A">
      <w:pPr>
        <w:rPr>
          <w:vanish/>
        </w:rPr>
      </w:pPr>
    </w:p>
    <w:tbl>
      <w:tblPr>
        <w:tblW w:w="14120" w:type="dxa"/>
        <w:tblCellMar>
          <w:left w:w="0" w:type="dxa"/>
          <w:right w:w="0" w:type="dxa"/>
        </w:tblCellMar>
        <w:tblLook w:val="04A0" w:firstRow="1" w:lastRow="0" w:firstColumn="1" w:lastColumn="0" w:noHBand="0" w:noVBand="1"/>
      </w:tblPr>
      <w:tblGrid>
        <w:gridCol w:w="132"/>
        <w:gridCol w:w="4522"/>
        <w:gridCol w:w="663"/>
        <w:gridCol w:w="4060"/>
        <w:gridCol w:w="683"/>
        <w:gridCol w:w="4060"/>
      </w:tblGrid>
      <w:tr w:rsidR="006F587A" w14:paraId="4ACE2338" w14:textId="77777777">
        <w:tc>
          <w:tcPr>
            <w:tcW w:w="0" w:type="auto"/>
            <w:gridSpan w:val="6"/>
            <w:shd w:val="clear" w:color="auto" w:fill="auto"/>
            <w:vAlign w:val="center"/>
          </w:tcPr>
          <w:p w14:paraId="4ACE2337" w14:textId="77777777" w:rsidR="006F587A" w:rsidRDefault="006F587A">
            <w:pPr>
              <w:rPr>
                <w:rFonts w:ascii="Times New Roman" w:hAnsi="Times New Roman"/>
                <w:sz w:val="20"/>
                <w:szCs w:val="20"/>
              </w:rPr>
            </w:pPr>
          </w:p>
        </w:tc>
      </w:tr>
      <w:tr w:rsidR="006F587A" w14:paraId="4ACE233F" w14:textId="77777777">
        <w:tc>
          <w:tcPr>
            <w:tcW w:w="120" w:type="dxa"/>
            <w:shd w:val="clear" w:color="auto" w:fill="auto"/>
            <w:vAlign w:val="center"/>
          </w:tcPr>
          <w:p w14:paraId="4ACE2339" w14:textId="77777777" w:rsidR="006F587A" w:rsidRDefault="006F587A">
            <w:pPr>
              <w:rPr>
                <w:rFonts w:ascii="Times New Roman" w:hAnsi="Times New Roman"/>
                <w:sz w:val="20"/>
                <w:szCs w:val="20"/>
              </w:rPr>
            </w:pPr>
          </w:p>
        </w:tc>
        <w:tc>
          <w:tcPr>
            <w:tcW w:w="4500" w:type="dxa"/>
            <w:shd w:val="clear" w:color="auto" w:fill="auto"/>
            <w:vAlign w:val="center"/>
          </w:tcPr>
          <w:p w14:paraId="4ACE233A" w14:textId="77777777" w:rsidR="006F587A" w:rsidRDefault="006F587A">
            <w:pPr>
              <w:rPr>
                <w:rFonts w:ascii="Times New Roman" w:hAnsi="Times New Roman"/>
                <w:sz w:val="20"/>
                <w:szCs w:val="20"/>
              </w:rPr>
            </w:pPr>
          </w:p>
        </w:tc>
        <w:tc>
          <w:tcPr>
            <w:tcW w:w="660" w:type="dxa"/>
            <w:shd w:val="clear" w:color="auto" w:fill="auto"/>
            <w:vAlign w:val="center"/>
          </w:tcPr>
          <w:p w14:paraId="4ACE233B" w14:textId="77777777" w:rsidR="006F587A" w:rsidRDefault="006F587A">
            <w:pPr>
              <w:rPr>
                <w:rFonts w:ascii="Times New Roman" w:hAnsi="Times New Roman"/>
                <w:sz w:val="20"/>
                <w:szCs w:val="20"/>
              </w:rPr>
            </w:pPr>
          </w:p>
        </w:tc>
        <w:tc>
          <w:tcPr>
            <w:tcW w:w="4040" w:type="dxa"/>
            <w:shd w:val="clear" w:color="auto" w:fill="auto"/>
            <w:vAlign w:val="center"/>
          </w:tcPr>
          <w:p w14:paraId="4ACE233C" w14:textId="77777777" w:rsidR="006F587A" w:rsidRDefault="006F587A">
            <w:pPr>
              <w:rPr>
                <w:rFonts w:ascii="Times New Roman" w:hAnsi="Times New Roman"/>
                <w:sz w:val="20"/>
                <w:szCs w:val="20"/>
              </w:rPr>
            </w:pPr>
          </w:p>
        </w:tc>
        <w:tc>
          <w:tcPr>
            <w:tcW w:w="680" w:type="dxa"/>
            <w:shd w:val="clear" w:color="auto" w:fill="auto"/>
            <w:vAlign w:val="center"/>
          </w:tcPr>
          <w:p w14:paraId="4ACE233D" w14:textId="77777777" w:rsidR="006F587A" w:rsidRDefault="006F587A">
            <w:pPr>
              <w:rPr>
                <w:rFonts w:ascii="Times New Roman" w:hAnsi="Times New Roman"/>
                <w:sz w:val="20"/>
                <w:szCs w:val="20"/>
              </w:rPr>
            </w:pPr>
          </w:p>
        </w:tc>
        <w:tc>
          <w:tcPr>
            <w:tcW w:w="4040" w:type="dxa"/>
            <w:shd w:val="clear" w:color="auto" w:fill="auto"/>
            <w:vAlign w:val="center"/>
          </w:tcPr>
          <w:p w14:paraId="4ACE233E" w14:textId="77777777" w:rsidR="006F587A" w:rsidRDefault="006F587A">
            <w:pPr>
              <w:rPr>
                <w:rFonts w:ascii="Times New Roman" w:hAnsi="Times New Roman"/>
                <w:sz w:val="20"/>
                <w:szCs w:val="20"/>
              </w:rPr>
            </w:pPr>
          </w:p>
        </w:tc>
      </w:tr>
      <w:tr w:rsidR="006F587A" w14:paraId="4ACE2346" w14:textId="77777777">
        <w:tc>
          <w:tcPr>
            <w:tcW w:w="0" w:type="auto"/>
            <w:shd w:val="clear" w:color="auto" w:fill="auto"/>
            <w:tcMar>
              <w:top w:w="40" w:type="dxa"/>
              <w:left w:w="40" w:type="dxa"/>
              <w:bottom w:w="40" w:type="dxa"/>
              <w:right w:w="40" w:type="dxa"/>
            </w:tcMar>
            <w:vAlign w:val="bottom"/>
          </w:tcPr>
          <w:p w14:paraId="4ACE234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2341"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 xml:space="preserve">R&amp;D AND CAPITAL </w:t>
            </w:r>
            <w:r>
              <w:rPr>
                <w:rFonts w:ascii="Arial" w:eastAsia="宋体" w:hAnsi="Arial" w:cs="Arial"/>
                <w:b/>
                <w:bCs/>
                <w:color w:val="0071C5"/>
                <w:sz w:val="18"/>
                <w:szCs w:val="18"/>
              </w:rPr>
              <w:t>INVESTMENTS $B</w:t>
            </w:r>
          </w:p>
        </w:tc>
        <w:tc>
          <w:tcPr>
            <w:tcW w:w="0" w:type="auto"/>
            <w:shd w:val="clear" w:color="auto" w:fill="auto"/>
            <w:tcMar>
              <w:top w:w="40" w:type="dxa"/>
              <w:left w:w="40" w:type="dxa"/>
              <w:bottom w:w="40" w:type="dxa"/>
              <w:right w:w="40" w:type="dxa"/>
            </w:tcMar>
            <w:vAlign w:val="bottom"/>
          </w:tcPr>
          <w:p w14:paraId="4ACE234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2343" w14:textId="77777777" w:rsidR="006F587A" w:rsidRDefault="007B2B61">
            <w:pPr>
              <w:jc w:val="center"/>
              <w:textAlignment w:val="bottom"/>
              <w:rPr>
                <w:rFonts w:ascii="Times New Roman" w:hAnsi="Times New Roman"/>
                <w:sz w:val="18"/>
                <w:szCs w:val="18"/>
              </w:rPr>
            </w:pPr>
            <w:r>
              <w:rPr>
                <w:rFonts w:ascii="Arial" w:eastAsia="宋体" w:hAnsi="Arial" w:cs="Arial"/>
                <w:b/>
                <w:bCs/>
                <w:color w:val="0071C5"/>
                <w:sz w:val="18"/>
                <w:szCs w:val="18"/>
              </w:rPr>
              <w:t>ACQUISITIONS</w:t>
            </w:r>
          </w:p>
        </w:tc>
        <w:tc>
          <w:tcPr>
            <w:tcW w:w="0" w:type="auto"/>
            <w:shd w:val="clear" w:color="auto" w:fill="auto"/>
            <w:tcMar>
              <w:top w:w="40" w:type="dxa"/>
              <w:left w:w="40" w:type="dxa"/>
              <w:bottom w:w="40" w:type="dxa"/>
              <w:right w:w="40" w:type="dxa"/>
            </w:tcMar>
            <w:vAlign w:val="bottom"/>
          </w:tcPr>
          <w:p w14:paraId="4ACE234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2345" w14:textId="77777777" w:rsidR="006F587A" w:rsidRDefault="007B2B61">
            <w:pPr>
              <w:jc w:val="center"/>
              <w:textAlignment w:val="bottom"/>
              <w:rPr>
                <w:rFonts w:ascii="Times New Roman" w:hAnsi="Times New Roman"/>
                <w:sz w:val="18"/>
                <w:szCs w:val="18"/>
              </w:rPr>
            </w:pPr>
            <w:r>
              <w:rPr>
                <w:rFonts w:ascii="Arial" w:eastAsia="宋体" w:hAnsi="Arial" w:cs="Arial"/>
                <w:b/>
                <w:bCs/>
                <w:color w:val="0071C5"/>
                <w:sz w:val="18"/>
                <w:szCs w:val="18"/>
              </w:rPr>
              <w:t>CASH TO STOCKHOLDERS $B</w:t>
            </w:r>
          </w:p>
        </w:tc>
      </w:tr>
    </w:tbl>
    <w:p w14:paraId="4ACE2347" w14:textId="77777777" w:rsidR="006F587A" w:rsidRDefault="007B2B61">
      <w:pPr>
        <w:spacing w:line="288" w:lineRule="auto"/>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Viewer12_files/chart6_capinvestments.jpg"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69" wp14:editId="4ACE6C6A">
            <wp:extent cx="304800" cy="304800"/>
            <wp:effectExtent l="0" t="0" r="0" b="0"/>
            <wp:docPr id="77" name="图片 79"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9" descr="IMG_29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/INTEL/./Inline XBRL Viewer12_files/char</w:instrText>
      </w:r>
      <w:r>
        <w:rPr>
          <w:rFonts w:ascii="Times New Roman" w:eastAsia="宋体" w:hAnsi="Times New Roman"/>
          <w:sz w:val="20"/>
          <w:szCs w:val="20"/>
        </w:rPr>
        <w:instrText xml:space="preserve">t7_acquistions.jpg"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6B" wp14:editId="4ACE6C6C">
            <wp:extent cx="304800" cy="304800"/>
            <wp:effectExtent l="0" t="0" r="0" b="0"/>
            <wp:docPr id="78" name="图片 80"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80" descr="IMG_29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Viewer12_files/chart8_cashtostockholders.jpg"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6D" wp14:editId="4ACE6C6E">
            <wp:extent cx="304800" cy="304800"/>
            <wp:effectExtent l="0" t="0" r="0" b="0"/>
            <wp:docPr id="79" name="图片 81"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81" descr="IMG_29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bl>
      <w:tblPr>
        <w:tblW w:w="13320" w:type="dxa"/>
        <w:tblCellMar>
          <w:left w:w="0" w:type="dxa"/>
          <w:right w:w="0" w:type="dxa"/>
        </w:tblCellMar>
        <w:tblLook w:val="04A0" w:firstRow="1" w:lastRow="0" w:firstColumn="1" w:lastColumn="0" w:noHBand="0" w:noVBand="1"/>
      </w:tblPr>
      <w:tblGrid>
        <w:gridCol w:w="924"/>
        <w:gridCol w:w="904"/>
        <w:gridCol w:w="904"/>
        <w:gridCol w:w="1226"/>
        <w:gridCol w:w="1447"/>
        <w:gridCol w:w="2130"/>
        <w:gridCol w:w="2270"/>
        <w:gridCol w:w="1145"/>
        <w:gridCol w:w="1165"/>
        <w:gridCol w:w="1205"/>
      </w:tblGrid>
      <w:tr w:rsidR="006F587A" w14:paraId="4ACE2349" w14:textId="77777777">
        <w:tc>
          <w:tcPr>
            <w:tcW w:w="0" w:type="auto"/>
            <w:gridSpan w:val="10"/>
            <w:shd w:val="clear" w:color="auto" w:fill="auto"/>
            <w:vAlign w:val="center"/>
          </w:tcPr>
          <w:p w14:paraId="4ACE2348" w14:textId="77777777" w:rsidR="006F587A" w:rsidRDefault="006F587A">
            <w:pPr>
              <w:rPr>
                <w:rFonts w:ascii="Times New Roman" w:hAnsi="Times New Roman"/>
                <w:sz w:val="20"/>
                <w:szCs w:val="20"/>
              </w:rPr>
            </w:pPr>
          </w:p>
        </w:tc>
      </w:tr>
      <w:tr w:rsidR="006F587A" w14:paraId="4ACE2354" w14:textId="77777777">
        <w:tc>
          <w:tcPr>
            <w:tcW w:w="920" w:type="dxa"/>
            <w:shd w:val="clear" w:color="auto" w:fill="auto"/>
            <w:vAlign w:val="center"/>
          </w:tcPr>
          <w:p w14:paraId="4ACE234A" w14:textId="77777777" w:rsidR="006F587A" w:rsidRDefault="006F587A">
            <w:pPr>
              <w:rPr>
                <w:rFonts w:ascii="Times New Roman" w:hAnsi="Times New Roman"/>
                <w:sz w:val="20"/>
                <w:szCs w:val="20"/>
              </w:rPr>
            </w:pPr>
          </w:p>
        </w:tc>
        <w:tc>
          <w:tcPr>
            <w:tcW w:w="900" w:type="dxa"/>
            <w:shd w:val="clear" w:color="auto" w:fill="auto"/>
            <w:vAlign w:val="center"/>
          </w:tcPr>
          <w:p w14:paraId="4ACE234B" w14:textId="77777777" w:rsidR="006F587A" w:rsidRDefault="006F587A">
            <w:pPr>
              <w:rPr>
                <w:rFonts w:ascii="Times New Roman" w:hAnsi="Times New Roman"/>
                <w:sz w:val="20"/>
                <w:szCs w:val="20"/>
              </w:rPr>
            </w:pPr>
          </w:p>
        </w:tc>
        <w:tc>
          <w:tcPr>
            <w:tcW w:w="900" w:type="dxa"/>
            <w:shd w:val="clear" w:color="auto" w:fill="auto"/>
            <w:vAlign w:val="center"/>
          </w:tcPr>
          <w:p w14:paraId="4ACE234C" w14:textId="77777777" w:rsidR="006F587A" w:rsidRDefault="006F587A">
            <w:pPr>
              <w:rPr>
                <w:rFonts w:ascii="Times New Roman" w:hAnsi="Times New Roman"/>
                <w:sz w:val="20"/>
                <w:szCs w:val="20"/>
              </w:rPr>
            </w:pPr>
          </w:p>
        </w:tc>
        <w:tc>
          <w:tcPr>
            <w:tcW w:w="1220" w:type="dxa"/>
            <w:shd w:val="clear" w:color="auto" w:fill="auto"/>
            <w:vAlign w:val="center"/>
          </w:tcPr>
          <w:p w14:paraId="4ACE234D" w14:textId="77777777" w:rsidR="006F587A" w:rsidRDefault="006F587A">
            <w:pPr>
              <w:rPr>
                <w:rFonts w:ascii="Times New Roman" w:hAnsi="Times New Roman"/>
                <w:sz w:val="20"/>
                <w:szCs w:val="20"/>
              </w:rPr>
            </w:pPr>
          </w:p>
        </w:tc>
        <w:tc>
          <w:tcPr>
            <w:tcW w:w="1440" w:type="dxa"/>
            <w:shd w:val="clear" w:color="auto" w:fill="auto"/>
            <w:vAlign w:val="center"/>
          </w:tcPr>
          <w:p w14:paraId="4ACE234E" w14:textId="77777777" w:rsidR="006F587A" w:rsidRDefault="006F587A">
            <w:pPr>
              <w:rPr>
                <w:rFonts w:ascii="Times New Roman" w:hAnsi="Times New Roman"/>
                <w:sz w:val="20"/>
                <w:szCs w:val="20"/>
              </w:rPr>
            </w:pPr>
          </w:p>
        </w:tc>
        <w:tc>
          <w:tcPr>
            <w:tcW w:w="2120" w:type="dxa"/>
            <w:shd w:val="clear" w:color="auto" w:fill="auto"/>
            <w:vAlign w:val="center"/>
          </w:tcPr>
          <w:p w14:paraId="4ACE234F" w14:textId="77777777" w:rsidR="006F587A" w:rsidRDefault="006F587A">
            <w:pPr>
              <w:rPr>
                <w:rFonts w:ascii="Times New Roman" w:hAnsi="Times New Roman"/>
                <w:sz w:val="20"/>
                <w:szCs w:val="20"/>
              </w:rPr>
            </w:pPr>
          </w:p>
        </w:tc>
        <w:tc>
          <w:tcPr>
            <w:tcW w:w="2260" w:type="dxa"/>
            <w:shd w:val="clear" w:color="auto" w:fill="auto"/>
            <w:vAlign w:val="center"/>
          </w:tcPr>
          <w:p w14:paraId="4ACE2350" w14:textId="77777777" w:rsidR="006F587A" w:rsidRDefault="006F587A">
            <w:pPr>
              <w:rPr>
                <w:rFonts w:ascii="Times New Roman" w:hAnsi="Times New Roman"/>
                <w:sz w:val="20"/>
                <w:szCs w:val="20"/>
              </w:rPr>
            </w:pPr>
          </w:p>
        </w:tc>
        <w:tc>
          <w:tcPr>
            <w:tcW w:w="1140" w:type="dxa"/>
            <w:shd w:val="clear" w:color="auto" w:fill="auto"/>
            <w:vAlign w:val="center"/>
          </w:tcPr>
          <w:p w14:paraId="4ACE2351" w14:textId="77777777" w:rsidR="006F587A" w:rsidRDefault="006F587A">
            <w:pPr>
              <w:rPr>
                <w:rFonts w:ascii="Times New Roman" w:hAnsi="Times New Roman"/>
                <w:sz w:val="20"/>
                <w:szCs w:val="20"/>
              </w:rPr>
            </w:pPr>
          </w:p>
        </w:tc>
        <w:tc>
          <w:tcPr>
            <w:tcW w:w="1160" w:type="dxa"/>
            <w:shd w:val="clear" w:color="auto" w:fill="auto"/>
            <w:vAlign w:val="center"/>
          </w:tcPr>
          <w:p w14:paraId="4ACE2352" w14:textId="77777777" w:rsidR="006F587A" w:rsidRDefault="006F587A">
            <w:pPr>
              <w:rPr>
                <w:rFonts w:ascii="Times New Roman" w:hAnsi="Times New Roman"/>
                <w:sz w:val="20"/>
                <w:szCs w:val="20"/>
              </w:rPr>
            </w:pPr>
          </w:p>
        </w:tc>
        <w:tc>
          <w:tcPr>
            <w:tcW w:w="1200" w:type="dxa"/>
            <w:shd w:val="clear" w:color="auto" w:fill="auto"/>
            <w:vAlign w:val="center"/>
          </w:tcPr>
          <w:p w14:paraId="4ACE2353" w14:textId="77777777" w:rsidR="006F587A" w:rsidRDefault="006F587A">
            <w:pPr>
              <w:rPr>
                <w:rFonts w:ascii="Times New Roman" w:hAnsi="Times New Roman"/>
                <w:sz w:val="20"/>
                <w:szCs w:val="20"/>
              </w:rPr>
            </w:pPr>
          </w:p>
        </w:tc>
      </w:tr>
      <w:tr w:rsidR="006F587A" w14:paraId="4ACE235F" w14:textId="77777777">
        <w:tc>
          <w:tcPr>
            <w:tcW w:w="0" w:type="auto"/>
            <w:shd w:val="clear" w:color="auto" w:fill="auto"/>
            <w:tcMar>
              <w:top w:w="40" w:type="dxa"/>
              <w:left w:w="40" w:type="dxa"/>
              <w:bottom w:w="40" w:type="dxa"/>
              <w:right w:w="40" w:type="dxa"/>
            </w:tcMar>
            <w:vAlign w:val="bottom"/>
          </w:tcPr>
          <w:p w14:paraId="4ACE235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2356" w14:textId="77777777" w:rsidR="006F587A" w:rsidRDefault="007B2B61">
            <w:pPr>
              <w:textAlignment w:val="top"/>
              <w:rPr>
                <w:rFonts w:ascii="Times New Roman" w:hAnsi="Times New Roman"/>
                <w:sz w:val="16"/>
                <w:szCs w:val="16"/>
              </w:rPr>
            </w:pPr>
            <w:r>
              <w:rPr>
                <w:rFonts w:ascii="Arial" w:eastAsia="宋体" w:hAnsi="Arial" w:cs="Arial"/>
                <w:color w:val="003C71"/>
                <w:sz w:val="16"/>
                <w:szCs w:val="16"/>
              </w:rPr>
              <w:t>■</w:t>
            </w:r>
            <w:r>
              <w:rPr>
                <w:rFonts w:ascii="Arial" w:eastAsia="宋体" w:hAnsi="Arial" w:cs="Arial"/>
                <w:color w:val="333333"/>
                <w:sz w:val="16"/>
                <w:szCs w:val="16"/>
              </w:rPr>
              <w:t> R&amp;D</w:t>
            </w:r>
          </w:p>
        </w:tc>
        <w:tc>
          <w:tcPr>
            <w:tcW w:w="0" w:type="auto"/>
            <w:shd w:val="clear" w:color="auto" w:fill="auto"/>
            <w:tcMar>
              <w:top w:w="40" w:type="dxa"/>
              <w:left w:w="40" w:type="dxa"/>
              <w:bottom w:w="40" w:type="dxa"/>
              <w:right w:w="40" w:type="dxa"/>
            </w:tcMar>
          </w:tcPr>
          <w:p w14:paraId="4ACE2357" w14:textId="77777777" w:rsidR="006F587A" w:rsidRDefault="007B2B61">
            <w:pPr>
              <w:textAlignment w:val="top"/>
              <w:rPr>
                <w:rFonts w:ascii="Times New Roman" w:hAnsi="Times New Roman"/>
                <w:sz w:val="16"/>
                <w:szCs w:val="16"/>
              </w:rPr>
            </w:pPr>
            <w:r>
              <w:rPr>
                <w:rFonts w:ascii="Arial" w:eastAsia="宋体" w:hAnsi="Arial" w:cs="Arial"/>
                <w:color w:val="00AEEF"/>
                <w:sz w:val="16"/>
                <w:szCs w:val="16"/>
              </w:rPr>
              <w:t>■</w:t>
            </w:r>
            <w:r>
              <w:rPr>
                <w:rFonts w:ascii="Arial" w:eastAsia="宋体" w:hAnsi="Arial" w:cs="Arial"/>
                <w:color w:val="003C71"/>
                <w:sz w:val="16"/>
                <w:szCs w:val="16"/>
              </w:rPr>
              <w:t> </w:t>
            </w:r>
            <w:r>
              <w:rPr>
                <w:rFonts w:ascii="Arial" w:eastAsia="宋体" w:hAnsi="Arial" w:cs="Arial"/>
                <w:color w:val="333333"/>
                <w:sz w:val="16"/>
                <w:szCs w:val="16"/>
              </w:rPr>
              <w:t>Logic</w:t>
            </w:r>
          </w:p>
        </w:tc>
        <w:tc>
          <w:tcPr>
            <w:tcW w:w="0" w:type="auto"/>
            <w:shd w:val="clear" w:color="auto" w:fill="auto"/>
            <w:tcMar>
              <w:top w:w="40" w:type="dxa"/>
              <w:left w:w="40" w:type="dxa"/>
              <w:bottom w:w="40" w:type="dxa"/>
              <w:right w:w="40" w:type="dxa"/>
            </w:tcMar>
          </w:tcPr>
          <w:p w14:paraId="4ACE2358" w14:textId="77777777" w:rsidR="006F587A" w:rsidRDefault="007B2B61">
            <w:pPr>
              <w:textAlignment w:val="top"/>
              <w:rPr>
                <w:rFonts w:ascii="Times New Roman" w:hAnsi="Times New Roman"/>
                <w:sz w:val="16"/>
                <w:szCs w:val="16"/>
              </w:rPr>
            </w:pPr>
            <w:r>
              <w:rPr>
                <w:rFonts w:ascii="Arial" w:eastAsia="宋体" w:hAnsi="Arial" w:cs="Arial"/>
                <w:color w:val="7F7F7F"/>
                <w:sz w:val="16"/>
                <w:szCs w:val="16"/>
              </w:rPr>
              <w:t xml:space="preserve">■ </w:t>
            </w:r>
            <w:r>
              <w:rPr>
                <w:rFonts w:ascii="Arial" w:eastAsia="宋体" w:hAnsi="Arial" w:cs="Arial"/>
                <w:color w:val="333333"/>
                <w:sz w:val="16"/>
                <w:szCs w:val="16"/>
              </w:rPr>
              <w:t>Memory</w:t>
            </w:r>
          </w:p>
        </w:tc>
        <w:tc>
          <w:tcPr>
            <w:tcW w:w="0" w:type="auto"/>
            <w:shd w:val="clear" w:color="auto" w:fill="auto"/>
            <w:tcMar>
              <w:top w:w="40" w:type="dxa"/>
              <w:left w:w="40" w:type="dxa"/>
              <w:bottom w:w="40" w:type="dxa"/>
              <w:right w:w="40" w:type="dxa"/>
            </w:tcMar>
            <w:vAlign w:val="bottom"/>
          </w:tcPr>
          <w:p w14:paraId="4ACE235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235A" w14:textId="77777777" w:rsidR="006F587A" w:rsidRDefault="007B2B61">
            <w:pPr>
              <w:textAlignment w:val="top"/>
              <w:rPr>
                <w:rFonts w:ascii="Times New Roman" w:hAnsi="Times New Roman"/>
                <w:sz w:val="16"/>
                <w:szCs w:val="16"/>
              </w:rPr>
            </w:pPr>
            <w:r>
              <w:rPr>
                <w:rFonts w:ascii="Arial" w:eastAsia="宋体" w:hAnsi="Arial" w:cs="Arial"/>
                <w:b/>
                <w:bCs/>
                <w:color w:val="FAAC16"/>
                <w:sz w:val="16"/>
                <w:szCs w:val="16"/>
              </w:rPr>
              <w:t xml:space="preserve">— </w:t>
            </w:r>
            <w:r>
              <w:rPr>
                <w:rFonts w:ascii="Arial" w:eastAsia="宋体" w:hAnsi="Arial" w:cs="Arial"/>
                <w:color w:val="333333"/>
                <w:sz w:val="16"/>
                <w:szCs w:val="16"/>
              </w:rPr>
              <w:t xml:space="preserve"># of </w:t>
            </w:r>
            <w:r>
              <w:rPr>
                <w:rFonts w:ascii="Arial" w:eastAsia="宋体" w:hAnsi="Arial" w:cs="Arial"/>
                <w:color w:val="333333"/>
                <w:sz w:val="16"/>
                <w:szCs w:val="16"/>
              </w:rPr>
              <w:t>Acquisitions</w:t>
            </w:r>
          </w:p>
        </w:tc>
        <w:tc>
          <w:tcPr>
            <w:tcW w:w="0" w:type="auto"/>
            <w:shd w:val="clear" w:color="auto" w:fill="auto"/>
            <w:tcMar>
              <w:top w:w="40" w:type="dxa"/>
              <w:left w:w="40" w:type="dxa"/>
              <w:bottom w:w="40" w:type="dxa"/>
              <w:right w:w="40" w:type="dxa"/>
            </w:tcMar>
          </w:tcPr>
          <w:p w14:paraId="4ACE235B" w14:textId="77777777" w:rsidR="006F587A" w:rsidRDefault="007B2B61">
            <w:pPr>
              <w:textAlignment w:val="top"/>
              <w:rPr>
                <w:rFonts w:ascii="Times New Roman" w:hAnsi="Times New Roman"/>
                <w:sz w:val="16"/>
                <w:szCs w:val="16"/>
              </w:rPr>
            </w:pPr>
            <w:r>
              <w:rPr>
                <w:rFonts w:ascii="Arial" w:eastAsia="宋体" w:hAnsi="Arial" w:cs="Arial"/>
                <w:color w:val="003C71"/>
                <w:sz w:val="16"/>
                <w:szCs w:val="16"/>
              </w:rPr>
              <w:t xml:space="preserve">■ </w:t>
            </w:r>
            <w:r>
              <w:rPr>
                <w:rFonts w:ascii="Arial" w:eastAsia="宋体" w:hAnsi="Arial" w:cs="Arial"/>
                <w:color w:val="333333"/>
                <w:sz w:val="16"/>
                <w:szCs w:val="16"/>
              </w:rPr>
              <w:t>Total Spent $B</w:t>
            </w:r>
          </w:p>
        </w:tc>
        <w:tc>
          <w:tcPr>
            <w:tcW w:w="0" w:type="auto"/>
            <w:shd w:val="clear" w:color="auto" w:fill="auto"/>
            <w:tcMar>
              <w:top w:w="40" w:type="dxa"/>
              <w:left w:w="40" w:type="dxa"/>
              <w:bottom w:w="40" w:type="dxa"/>
              <w:right w:w="40" w:type="dxa"/>
            </w:tcMar>
            <w:vAlign w:val="bottom"/>
          </w:tcPr>
          <w:p w14:paraId="4ACE235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235D" w14:textId="77777777" w:rsidR="006F587A" w:rsidRDefault="007B2B61">
            <w:pPr>
              <w:textAlignment w:val="top"/>
              <w:rPr>
                <w:rFonts w:ascii="Times New Roman" w:hAnsi="Times New Roman"/>
                <w:sz w:val="16"/>
                <w:szCs w:val="16"/>
              </w:rPr>
            </w:pPr>
            <w:r>
              <w:rPr>
                <w:rFonts w:ascii="Arial" w:eastAsia="宋体" w:hAnsi="Arial" w:cs="Arial"/>
                <w:color w:val="003C71"/>
                <w:sz w:val="16"/>
                <w:szCs w:val="16"/>
              </w:rPr>
              <w:t xml:space="preserve">■ </w:t>
            </w:r>
            <w:r>
              <w:rPr>
                <w:rFonts w:ascii="Arial" w:eastAsia="宋体" w:hAnsi="Arial" w:cs="Arial"/>
                <w:color w:val="333333"/>
                <w:sz w:val="16"/>
                <w:szCs w:val="16"/>
              </w:rPr>
              <w:t>Buyback</w:t>
            </w:r>
          </w:p>
        </w:tc>
        <w:tc>
          <w:tcPr>
            <w:tcW w:w="0" w:type="auto"/>
            <w:shd w:val="clear" w:color="auto" w:fill="auto"/>
            <w:tcMar>
              <w:top w:w="40" w:type="dxa"/>
              <w:left w:w="40" w:type="dxa"/>
              <w:bottom w:w="40" w:type="dxa"/>
              <w:right w:w="40" w:type="dxa"/>
            </w:tcMar>
          </w:tcPr>
          <w:p w14:paraId="4ACE235E" w14:textId="77777777" w:rsidR="006F587A" w:rsidRDefault="007B2B61">
            <w:pPr>
              <w:textAlignment w:val="top"/>
              <w:rPr>
                <w:rFonts w:ascii="Times New Roman" w:hAnsi="Times New Roman"/>
                <w:sz w:val="16"/>
                <w:szCs w:val="16"/>
              </w:rPr>
            </w:pPr>
            <w:r>
              <w:rPr>
                <w:rFonts w:ascii="Arial" w:eastAsia="宋体" w:hAnsi="Arial" w:cs="Arial"/>
                <w:color w:val="00AEEF"/>
                <w:sz w:val="16"/>
                <w:szCs w:val="16"/>
              </w:rPr>
              <w:t>■</w:t>
            </w:r>
            <w:r>
              <w:rPr>
                <w:rFonts w:ascii="Arial" w:eastAsia="宋体" w:hAnsi="Arial" w:cs="Arial"/>
                <w:color w:val="003C71"/>
                <w:sz w:val="16"/>
                <w:szCs w:val="16"/>
              </w:rPr>
              <w:t> </w:t>
            </w:r>
            <w:r>
              <w:rPr>
                <w:rFonts w:ascii="Arial" w:eastAsia="宋体" w:hAnsi="Arial" w:cs="Arial"/>
                <w:color w:val="333333"/>
                <w:sz w:val="16"/>
                <w:szCs w:val="16"/>
              </w:rPr>
              <w:t>Dividend</w:t>
            </w:r>
          </w:p>
        </w:tc>
      </w:tr>
    </w:tbl>
    <w:p w14:paraId="4ACE2360" w14:textId="77777777" w:rsidR="006F587A" w:rsidRDefault="006F587A">
      <w:pPr>
        <w:rPr>
          <w:vanish/>
        </w:rPr>
      </w:pPr>
    </w:p>
    <w:tbl>
      <w:tblPr>
        <w:tblW w:w="0" w:type="auto"/>
        <w:tblCellSpacing w:w="0" w:type="dxa"/>
        <w:tblCellMar>
          <w:left w:w="0" w:type="dxa"/>
          <w:bottom w:w="160" w:type="dxa"/>
          <w:right w:w="0" w:type="dxa"/>
        </w:tblCellMar>
        <w:tblLook w:val="04A0" w:firstRow="1" w:lastRow="0" w:firstColumn="1" w:lastColumn="0" w:noHBand="0" w:noVBand="1"/>
      </w:tblPr>
      <w:tblGrid>
        <w:gridCol w:w="240"/>
        <w:gridCol w:w="3671"/>
      </w:tblGrid>
      <w:tr w:rsidR="006F587A" w14:paraId="4ACE2363" w14:textId="77777777">
        <w:trPr>
          <w:tblCellSpacing w:w="0" w:type="dxa"/>
        </w:trPr>
        <w:tc>
          <w:tcPr>
            <w:tcW w:w="240" w:type="dxa"/>
            <w:shd w:val="clear" w:color="auto" w:fill="auto"/>
            <w:vAlign w:val="center"/>
          </w:tcPr>
          <w:p w14:paraId="4ACE2361" w14:textId="77777777" w:rsidR="006F587A" w:rsidRDefault="006F587A">
            <w:pPr>
              <w:rPr>
                <w:rFonts w:ascii="Times New Roman" w:hAnsi="Times New Roman"/>
                <w:sz w:val="20"/>
                <w:szCs w:val="20"/>
              </w:rPr>
            </w:pPr>
          </w:p>
        </w:tc>
        <w:tc>
          <w:tcPr>
            <w:tcW w:w="0" w:type="auto"/>
            <w:shd w:val="clear" w:color="auto" w:fill="auto"/>
            <w:vAlign w:val="center"/>
          </w:tcPr>
          <w:p w14:paraId="4ACE2362" w14:textId="77777777" w:rsidR="006F587A" w:rsidRDefault="006F587A">
            <w:pPr>
              <w:rPr>
                <w:rFonts w:ascii="Times New Roman" w:hAnsi="Times New Roman"/>
                <w:sz w:val="20"/>
                <w:szCs w:val="20"/>
              </w:rPr>
            </w:pPr>
          </w:p>
        </w:tc>
      </w:tr>
      <w:tr w:rsidR="006F587A" w14:paraId="4ACE2366" w14:textId="77777777">
        <w:trPr>
          <w:tblCellSpacing w:w="0" w:type="dxa"/>
        </w:trPr>
        <w:tc>
          <w:tcPr>
            <w:tcW w:w="0" w:type="auto"/>
            <w:shd w:val="clear" w:color="auto" w:fill="auto"/>
          </w:tcPr>
          <w:p w14:paraId="4ACE2364"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0"/>
                <w:szCs w:val="10"/>
              </w:rPr>
              <w:t>1</w:t>
            </w:r>
            <w:r>
              <w:rPr>
                <w:rFonts w:ascii="Arial" w:eastAsia="宋体" w:hAnsi="Arial" w:cs="Arial"/>
                <w:i/>
                <w:iCs/>
                <w:color w:val="333333"/>
                <w:sz w:val="16"/>
                <w:szCs w:val="16"/>
              </w:rPr>
              <w:t> </w:t>
            </w:r>
          </w:p>
        </w:tc>
        <w:tc>
          <w:tcPr>
            <w:tcW w:w="0" w:type="auto"/>
            <w:shd w:val="clear" w:color="auto" w:fill="auto"/>
          </w:tcPr>
          <w:p w14:paraId="4ACE2365"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6"/>
                <w:szCs w:val="16"/>
              </w:rPr>
              <w:t>See "Non-GAAP Financial Measures" within MD&amp;A.</w:t>
            </w:r>
          </w:p>
        </w:tc>
      </w:tr>
    </w:tbl>
    <w:p w14:paraId="4ACE2367"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492"/>
        <w:gridCol w:w="2658"/>
        <w:gridCol w:w="3156"/>
      </w:tblGrid>
      <w:tr w:rsidR="006F587A" w14:paraId="4ACE2369" w14:textId="77777777">
        <w:tc>
          <w:tcPr>
            <w:tcW w:w="0" w:type="auto"/>
            <w:gridSpan w:val="3"/>
            <w:shd w:val="clear" w:color="auto" w:fill="auto"/>
            <w:vAlign w:val="center"/>
          </w:tcPr>
          <w:p w14:paraId="4ACE2368" w14:textId="77777777" w:rsidR="006F587A" w:rsidRDefault="006F587A">
            <w:pPr>
              <w:rPr>
                <w:rFonts w:ascii="Times New Roman" w:hAnsi="Times New Roman"/>
                <w:sz w:val="20"/>
                <w:szCs w:val="20"/>
              </w:rPr>
            </w:pPr>
          </w:p>
        </w:tc>
      </w:tr>
      <w:tr w:rsidR="006F587A" w14:paraId="4ACE236D" w14:textId="77777777">
        <w:tc>
          <w:tcPr>
            <w:tcW w:w="1500" w:type="pct"/>
            <w:shd w:val="clear" w:color="auto" w:fill="auto"/>
            <w:vAlign w:val="center"/>
          </w:tcPr>
          <w:p w14:paraId="4ACE236A" w14:textId="77777777" w:rsidR="006F587A" w:rsidRDefault="006F587A">
            <w:pPr>
              <w:rPr>
                <w:rFonts w:ascii="Times New Roman" w:hAnsi="Times New Roman"/>
                <w:sz w:val="20"/>
                <w:szCs w:val="20"/>
              </w:rPr>
            </w:pPr>
          </w:p>
        </w:tc>
        <w:tc>
          <w:tcPr>
            <w:tcW w:w="1600" w:type="pct"/>
            <w:shd w:val="clear" w:color="auto" w:fill="auto"/>
            <w:vAlign w:val="center"/>
          </w:tcPr>
          <w:p w14:paraId="4ACE236B" w14:textId="77777777" w:rsidR="006F587A" w:rsidRDefault="006F587A">
            <w:pPr>
              <w:rPr>
                <w:rFonts w:ascii="Times New Roman" w:hAnsi="Times New Roman"/>
                <w:sz w:val="20"/>
                <w:szCs w:val="20"/>
              </w:rPr>
            </w:pPr>
          </w:p>
        </w:tc>
        <w:tc>
          <w:tcPr>
            <w:tcW w:w="1900" w:type="pct"/>
            <w:shd w:val="clear" w:color="auto" w:fill="auto"/>
            <w:vAlign w:val="center"/>
          </w:tcPr>
          <w:p w14:paraId="4ACE236C" w14:textId="77777777" w:rsidR="006F587A" w:rsidRDefault="006F587A">
            <w:pPr>
              <w:rPr>
                <w:rFonts w:ascii="Times New Roman" w:hAnsi="Times New Roman"/>
                <w:sz w:val="20"/>
                <w:szCs w:val="20"/>
              </w:rPr>
            </w:pPr>
          </w:p>
        </w:tc>
      </w:tr>
      <w:tr w:rsidR="006F587A" w14:paraId="4ACE2372" w14:textId="77777777">
        <w:tc>
          <w:tcPr>
            <w:tcW w:w="0" w:type="auto"/>
            <w:tcBorders>
              <w:top w:val="single" w:sz="8" w:space="0" w:color="0071C5"/>
              <w:right w:val="single" w:sz="36" w:space="0" w:color="0071C5"/>
            </w:tcBorders>
            <w:shd w:val="clear" w:color="auto" w:fill="auto"/>
            <w:tcMar>
              <w:top w:w="40" w:type="dxa"/>
              <w:left w:w="40" w:type="dxa"/>
              <w:bottom w:w="40" w:type="dxa"/>
              <w:right w:w="40" w:type="dxa"/>
            </w:tcMar>
            <w:vAlign w:val="center"/>
          </w:tcPr>
          <w:p w14:paraId="4ACE236E" w14:textId="77777777" w:rsidR="006F587A" w:rsidRDefault="007B2B61">
            <w:pPr>
              <w:textAlignment w:val="center"/>
              <w:rPr>
                <w:rFonts w:ascii="Times New Roman" w:hAnsi="Times New Roman"/>
                <w:sz w:val="18"/>
                <w:szCs w:val="18"/>
              </w:rPr>
            </w:pP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Viewer12_files/a001intellogo_coverfooter.jpg"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C6F" wp14:editId="4ACE6C70">
                  <wp:extent cx="304800" cy="304800"/>
                  <wp:effectExtent l="0" t="0" r="0" b="0"/>
                  <wp:docPr id="90" name="图片 82"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82"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r>
              <w:rPr>
                <w:rFonts w:ascii="Arial" w:eastAsia="宋体" w:hAnsi="Arial" w:cs="Arial"/>
                <w:color w:val="333333"/>
                <w:sz w:val="18"/>
                <w:szCs w:val="18"/>
              </w:rPr>
              <w:t>  </w:t>
            </w:r>
            <w:r>
              <w:rPr>
                <w:rFonts w:ascii="Arial" w:eastAsia="宋体" w:hAnsi="Arial" w:cs="Arial"/>
                <w:color w:val="333333"/>
                <w:sz w:val="16"/>
                <w:szCs w:val="16"/>
              </w:rPr>
              <w:t>FUNDAMENTALS OF OUR BUSINESS</w:t>
            </w:r>
          </w:p>
        </w:tc>
        <w:tc>
          <w:tcPr>
            <w:tcW w:w="0" w:type="auto"/>
            <w:tcBorders>
              <w:top w:val="single" w:sz="8" w:space="0" w:color="0071C5"/>
            </w:tcBorders>
            <w:shd w:val="clear" w:color="auto" w:fill="auto"/>
            <w:tcMar>
              <w:top w:w="40" w:type="dxa"/>
              <w:left w:w="40" w:type="dxa"/>
              <w:bottom w:w="40" w:type="dxa"/>
              <w:right w:w="40" w:type="dxa"/>
            </w:tcMar>
            <w:vAlign w:val="center"/>
          </w:tcPr>
          <w:p w14:paraId="4ACE236F" w14:textId="77777777" w:rsidR="006F587A" w:rsidRDefault="007B2B61">
            <w:pPr>
              <w:textAlignment w:val="center"/>
              <w:rPr>
                <w:rFonts w:ascii="Times New Roman" w:hAnsi="Times New Roman"/>
                <w:sz w:val="16"/>
                <w:szCs w:val="16"/>
              </w:rPr>
            </w:pPr>
            <w:r>
              <w:rPr>
                <w:rFonts w:ascii="Arial" w:eastAsia="宋体" w:hAnsi="Arial" w:cs="Arial"/>
                <w:color w:val="333333"/>
                <w:sz w:val="16"/>
                <w:szCs w:val="16"/>
              </w:rPr>
              <w:t xml:space="preserve"> Our Capital </w:t>
            </w:r>
          </w:p>
        </w:tc>
        <w:tc>
          <w:tcPr>
            <w:tcW w:w="0" w:type="auto"/>
            <w:tcBorders>
              <w:top w:val="single" w:sz="8" w:space="0" w:color="0071C5"/>
            </w:tcBorders>
            <w:shd w:val="clear" w:color="auto" w:fill="auto"/>
            <w:tcMar>
              <w:top w:w="40" w:type="dxa"/>
              <w:left w:w="40" w:type="dxa"/>
              <w:bottom w:w="40" w:type="dxa"/>
              <w:right w:w="40" w:type="dxa"/>
            </w:tcMar>
            <w:vAlign w:val="center"/>
          </w:tcPr>
          <w:p w14:paraId="4ACE2370" w14:textId="77777777" w:rsidR="006F587A" w:rsidRDefault="007B2B61">
            <w:pPr>
              <w:jc w:val="right"/>
              <w:textAlignment w:val="center"/>
              <w:rPr>
                <w:rFonts w:ascii="Times New Roman" w:hAnsi="Times New Roman"/>
                <w:sz w:val="16"/>
                <w:szCs w:val="16"/>
              </w:rPr>
            </w:pPr>
            <w:r>
              <w:rPr>
                <w:rFonts w:ascii="Arial" w:eastAsia="宋体" w:hAnsi="Arial" w:cs="Arial"/>
                <w:color w:val="333333"/>
                <w:sz w:val="16"/>
                <w:szCs w:val="16"/>
              </w:rPr>
              <w:t>9</w:t>
            </w:r>
          </w:p>
          <w:p w14:paraId="4ACE2371" w14:textId="77777777" w:rsidR="006F587A" w:rsidRDefault="006F587A">
            <w:pPr>
              <w:jc w:val="right"/>
              <w:textAlignment w:val="center"/>
              <w:rPr>
                <w:rFonts w:ascii="Times New Roman" w:hAnsi="Times New Roman"/>
                <w:sz w:val="16"/>
                <w:szCs w:val="16"/>
              </w:rPr>
            </w:pPr>
          </w:p>
        </w:tc>
      </w:tr>
    </w:tbl>
    <w:p w14:paraId="4ACE2373" w14:textId="77777777" w:rsidR="006F587A" w:rsidRDefault="007B2B61">
      <w:r>
        <w:pict w14:anchorId="4ACE6C71">
          <v:rect id="_x0000_i1035" style="width:415.3pt;height:1.5pt" o:hralign="center" o:hrstd="t" o:hr="t" fillcolor="#a0a0a0" stroked="f"/>
        </w:pict>
      </w:r>
    </w:p>
    <w:p w14:paraId="4ACE2374" w14:textId="77777777" w:rsidR="006F587A" w:rsidRDefault="007B2B61">
      <w:pPr>
        <w:spacing w:line="288" w:lineRule="auto"/>
        <w:jc w:val="right"/>
        <w:rPr>
          <w:rFonts w:ascii="Times New Roman" w:hAnsi="Times New Roman"/>
          <w:sz w:val="16"/>
          <w:szCs w:val="16"/>
        </w:rPr>
      </w:pPr>
      <w:hyperlink r:id="rId44" w:anchor="s9DB683E2CF52561EB8A73BE37F5BF9BE" w:history="1">
        <w:r>
          <w:rPr>
            <w:rStyle w:val="a5"/>
            <w:rFonts w:ascii="Arial" w:eastAsia="宋体" w:hAnsi="Arial" w:cs="Arial"/>
            <w:b/>
            <w:bCs/>
            <w:sz w:val="16"/>
            <w:szCs w:val="16"/>
          </w:rPr>
          <w:t>Table of Contents</w:t>
        </w:r>
      </w:hyperlink>
    </w:p>
    <w:p w14:paraId="4ACE2375" w14:textId="77777777" w:rsidR="006F587A" w:rsidRDefault="006F587A">
      <w:pPr>
        <w:spacing w:line="288" w:lineRule="auto"/>
        <w:jc w:val="right"/>
        <w:rPr>
          <w:rFonts w:ascii="Times New Roman" w:hAnsi="Times New Roman"/>
          <w:sz w:val="16"/>
          <w:szCs w:val="16"/>
        </w:rPr>
      </w:pPr>
    </w:p>
    <w:p w14:paraId="4ACE2376" w14:textId="77777777" w:rsidR="006F587A" w:rsidRDefault="006F587A">
      <w:pPr>
        <w:rPr>
          <w:rFonts w:ascii="Times New Roman" w:hAnsi="Times New Roman"/>
          <w:sz w:val="20"/>
          <w:szCs w:val="20"/>
        </w:rPr>
      </w:pPr>
    </w:p>
    <w:tbl>
      <w:tblPr>
        <w:tblW w:w="14560" w:type="dxa"/>
        <w:tblCellMar>
          <w:left w:w="0" w:type="dxa"/>
          <w:right w:w="0" w:type="dxa"/>
        </w:tblCellMar>
        <w:tblLook w:val="04A0" w:firstRow="1" w:lastRow="0" w:firstColumn="1" w:lastColumn="0" w:noHBand="0" w:noVBand="1"/>
      </w:tblPr>
      <w:tblGrid>
        <w:gridCol w:w="1142"/>
        <w:gridCol w:w="13418"/>
      </w:tblGrid>
      <w:tr w:rsidR="006F587A" w14:paraId="4ACE2378" w14:textId="77777777">
        <w:tc>
          <w:tcPr>
            <w:tcW w:w="0" w:type="auto"/>
            <w:gridSpan w:val="2"/>
            <w:shd w:val="clear" w:color="auto" w:fill="auto"/>
            <w:vAlign w:val="center"/>
          </w:tcPr>
          <w:p w14:paraId="4ACE2377" w14:textId="77777777" w:rsidR="006F587A" w:rsidRDefault="006F587A">
            <w:pPr>
              <w:rPr>
                <w:rFonts w:ascii="Times New Roman" w:hAnsi="Times New Roman"/>
                <w:sz w:val="20"/>
                <w:szCs w:val="20"/>
              </w:rPr>
            </w:pPr>
          </w:p>
        </w:tc>
      </w:tr>
      <w:tr w:rsidR="006F587A" w14:paraId="4ACE237B" w14:textId="77777777">
        <w:tc>
          <w:tcPr>
            <w:tcW w:w="1140" w:type="dxa"/>
            <w:shd w:val="clear" w:color="auto" w:fill="auto"/>
            <w:vAlign w:val="center"/>
          </w:tcPr>
          <w:p w14:paraId="4ACE2379" w14:textId="77777777" w:rsidR="006F587A" w:rsidRDefault="006F587A">
            <w:pPr>
              <w:rPr>
                <w:rFonts w:ascii="Times New Roman" w:hAnsi="Times New Roman"/>
                <w:sz w:val="20"/>
                <w:szCs w:val="20"/>
              </w:rPr>
            </w:pPr>
          </w:p>
        </w:tc>
        <w:tc>
          <w:tcPr>
            <w:tcW w:w="13400" w:type="dxa"/>
            <w:shd w:val="clear" w:color="auto" w:fill="auto"/>
            <w:vAlign w:val="center"/>
          </w:tcPr>
          <w:p w14:paraId="4ACE237A" w14:textId="77777777" w:rsidR="006F587A" w:rsidRDefault="006F587A">
            <w:pPr>
              <w:rPr>
                <w:rFonts w:ascii="Times New Roman" w:hAnsi="Times New Roman"/>
                <w:sz w:val="20"/>
                <w:szCs w:val="20"/>
              </w:rPr>
            </w:pPr>
          </w:p>
        </w:tc>
      </w:tr>
      <w:tr w:rsidR="006F587A" w14:paraId="4ACE237E" w14:textId="77777777">
        <w:tc>
          <w:tcPr>
            <w:tcW w:w="0" w:type="auto"/>
            <w:shd w:val="clear" w:color="auto" w:fill="auto"/>
            <w:tcMar>
              <w:top w:w="40" w:type="dxa"/>
              <w:left w:w="40" w:type="dxa"/>
              <w:bottom w:w="40" w:type="dxa"/>
              <w:right w:w="40" w:type="dxa"/>
            </w:tcMar>
            <w:vAlign w:val="center"/>
          </w:tcPr>
          <w:p w14:paraId="4ACE237C" w14:textId="77777777" w:rsidR="006F587A" w:rsidRDefault="007B2B61">
            <w:pPr>
              <w:jc w:val="center"/>
              <w:textAlignment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Viewer12_files/a017intellectualicona15.jpg"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72" wp14:editId="4ACE6C73">
                  <wp:extent cx="304800" cy="304800"/>
                  <wp:effectExtent l="0" t="0" r="0" b="0"/>
                  <wp:docPr id="132" name="图片 84"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84" descr="IMG_29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c>
          <w:tcPr>
            <w:tcW w:w="0" w:type="auto"/>
            <w:shd w:val="clear" w:color="auto" w:fill="auto"/>
            <w:tcMar>
              <w:top w:w="40" w:type="dxa"/>
              <w:left w:w="40" w:type="dxa"/>
              <w:bottom w:w="40" w:type="dxa"/>
              <w:right w:w="40" w:type="dxa"/>
            </w:tcMar>
            <w:vAlign w:val="bottom"/>
          </w:tcPr>
          <w:p w14:paraId="4ACE237D" w14:textId="77777777" w:rsidR="006F587A" w:rsidRDefault="007B2B61">
            <w:pPr>
              <w:textAlignment w:val="bottom"/>
              <w:rPr>
                <w:rFonts w:ascii="Times New Roman" w:hAnsi="Times New Roman"/>
                <w:sz w:val="28"/>
                <w:szCs w:val="28"/>
              </w:rPr>
            </w:pPr>
            <w:r>
              <w:rPr>
                <w:rFonts w:ascii="Arial" w:eastAsia="宋体" w:hAnsi="Arial" w:cs="Arial"/>
                <w:b/>
                <w:bCs/>
                <w:color w:val="0071C5"/>
                <w:sz w:val="28"/>
                <w:szCs w:val="28"/>
              </w:rPr>
              <w:t>INTELLECTUAL CAPITAL</w:t>
            </w:r>
          </w:p>
        </w:tc>
      </w:tr>
    </w:tbl>
    <w:p w14:paraId="4ACE237F" w14:textId="77777777" w:rsidR="006F587A" w:rsidRDefault="007B2B61">
      <w:pPr>
        <w:spacing w:line="288" w:lineRule="auto"/>
        <w:rPr>
          <w:rFonts w:ascii="Times New Roman" w:hAnsi="Times New Roman"/>
        </w:rPr>
      </w:pPr>
      <w:r>
        <w:rPr>
          <w:rFonts w:ascii="Arial" w:eastAsia="宋体" w:hAnsi="Arial" w:cs="Arial"/>
          <w:b/>
          <w:bCs/>
          <w:color w:val="0071C5"/>
        </w:rPr>
        <w:t>RESEARCH AND DEVELOPMENT</w:t>
      </w:r>
    </w:p>
    <w:p w14:paraId="4ACE2380"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R&amp;D is a critical factor in achieving our </w:t>
      </w:r>
      <w:r>
        <w:rPr>
          <w:rFonts w:ascii="Arial" w:eastAsia="宋体" w:hAnsi="Arial" w:cs="Arial"/>
          <w:color w:val="333333"/>
          <w:sz w:val="18"/>
          <w:szCs w:val="18"/>
        </w:rPr>
        <w:t xml:space="preserve">strategic objectives to make the world's best semiconductors, to lead technology inflections, and to provide leading end-to-end platform solutions. Successful R&amp;D efforts can lead to new products and technologies or improvements to existing ones, which we </w:t>
      </w:r>
      <w:r>
        <w:rPr>
          <w:rFonts w:ascii="Arial" w:eastAsia="宋体" w:hAnsi="Arial" w:cs="Arial"/>
          <w:color w:val="333333"/>
          <w:sz w:val="18"/>
          <w:szCs w:val="18"/>
        </w:rPr>
        <w:t>seek to protect through our IP rights. We may augment our R&amp;D initiatives through the following methods: acquiring or investing in companies, entering into R&amp;D agreements, and directly purchasing or licensing technology.</w:t>
      </w:r>
    </w:p>
    <w:p w14:paraId="4ACE2381" w14:textId="77777777" w:rsidR="006F587A" w:rsidRDefault="007B2B61">
      <w:pPr>
        <w:spacing w:line="288" w:lineRule="auto"/>
        <w:rPr>
          <w:rFonts w:ascii="Times New Roman" w:hAnsi="Times New Roman"/>
        </w:rPr>
      </w:pPr>
      <w:r>
        <w:rPr>
          <w:rFonts w:ascii="Arial" w:eastAsia="宋体" w:hAnsi="Arial" w:cs="Arial"/>
          <w:b/>
          <w:bCs/>
          <w:color w:val="0071C5"/>
        </w:rPr>
        <w:t>PRODUCT TECHNOLOGY</w:t>
      </w:r>
    </w:p>
    <w:tbl>
      <w:tblPr>
        <w:tblW w:w="5000" w:type="pct"/>
        <w:tblCellMar>
          <w:left w:w="0" w:type="dxa"/>
          <w:right w:w="0" w:type="dxa"/>
        </w:tblCellMar>
        <w:tblLook w:val="04A0" w:firstRow="1" w:lastRow="0" w:firstColumn="1" w:lastColumn="0" w:noHBand="0" w:noVBand="1"/>
      </w:tblPr>
      <w:tblGrid>
        <w:gridCol w:w="4627"/>
        <w:gridCol w:w="130"/>
        <w:gridCol w:w="3549"/>
      </w:tblGrid>
      <w:tr w:rsidR="006F587A" w14:paraId="4ACE2383" w14:textId="77777777">
        <w:tc>
          <w:tcPr>
            <w:tcW w:w="0" w:type="auto"/>
            <w:gridSpan w:val="3"/>
            <w:shd w:val="clear" w:color="auto" w:fill="auto"/>
            <w:vAlign w:val="center"/>
          </w:tcPr>
          <w:p w14:paraId="4ACE2382" w14:textId="77777777" w:rsidR="006F587A" w:rsidRDefault="006F587A">
            <w:pPr>
              <w:rPr>
                <w:rFonts w:ascii="Times New Roman" w:hAnsi="Times New Roman"/>
                <w:sz w:val="20"/>
                <w:szCs w:val="20"/>
              </w:rPr>
            </w:pPr>
          </w:p>
        </w:tc>
      </w:tr>
      <w:tr w:rsidR="006F587A" w14:paraId="4ACE2387" w14:textId="77777777">
        <w:tc>
          <w:tcPr>
            <w:tcW w:w="2800" w:type="pct"/>
            <w:shd w:val="clear" w:color="auto" w:fill="auto"/>
            <w:vAlign w:val="center"/>
          </w:tcPr>
          <w:p w14:paraId="4ACE2384" w14:textId="77777777" w:rsidR="006F587A" w:rsidRDefault="006F587A">
            <w:pPr>
              <w:rPr>
                <w:rFonts w:ascii="Times New Roman" w:hAnsi="Times New Roman"/>
                <w:sz w:val="20"/>
                <w:szCs w:val="20"/>
              </w:rPr>
            </w:pPr>
          </w:p>
        </w:tc>
        <w:tc>
          <w:tcPr>
            <w:tcW w:w="50" w:type="pct"/>
            <w:shd w:val="clear" w:color="auto" w:fill="auto"/>
            <w:vAlign w:val="center"/>
          </w:tcPr>
          <w:p w14:paraId="4ACE2385" w14:textId="77777777" w:rsidR="006F587A" w:rsidRDefault="006F587A">
            <w:pPr>
              <w:rPr>
                <w:rFonts w:ascii="Times New Roman" w:hAnsi="Times New Roman"/>
                <w:sz w:val="20"/>
                <w:szCs w:val="20"/>
              </w:rPr>
            </w:pPr>
          </w:p>
        </w:tc>
        <w:tc>
          <w:tcPr>
            <w:tcW w:w="2150" w:type="pct"/>
            <w:shd w:val="clear" w:color="auto" w:fill="auto"/>
            <w:vAlign w:val="center"/>
          </w:tcPr>
          <w:p w14:paraId="4ACE2386" w14:textId="77777777" w:rsidR="006F587A" w:rsidRDefault="006F587A">
            <w:pPr>
              <w:rPr>
                <w:rFonts w:ascii="Times New Roman" w:hAnsi="Times New Roman"/>
                <w:sz w:val="20"/>
                <w:szCs w:val="20"/>
              </w:rPr>
            </w:pPr>
          </w:p>
        </w:tc>
      </w:tr>
      <w:tr w:rsidR="006F587A" w14:paraId="4ACE238B" w14:textId="77777777">
        <w:tc>
          <w:tcPr>
            <w:tcW w:w="0" w:type="auto"/>
            <w:shd w:val="clear" w:color="auto" w:fill="auto"/>
            <w:tcMar>
              <w:top w:w="40" w:type="dxa"/>
              <w:left w:w="40" w:type="dxa"/>
              <w:bottom w:w="40" w:type="dxa"/>
              <w:right w:w="40" w:type="dxa"/>
            </w:tcMar>
          </w:tcPr>
          <w:p w14:paraId="4ACE2388"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 xml:space="preserve">Every </w:t>
            </w:r>
            <w:r>
              <w:rPr>
                <w:rFonts w:ascii="Arial" w:eastAsia="宋体" w:hAnsi="Arial" w:cs="Arial"/>
                <w:color w:val="333333"/>
                <w:sz w:val="18"/>
                <w:szCs w:val="18"/>
              </w:rPr>
              <w:t>year we make significant investments in R&amp;D and we have intensified our focus on six engineering pillars to advance our product capabilities. Our objective is to improve user experiences and value through advances in performance, power, cost, connectivity,</w:t>
            </w:r>
            <w:r>
              <w:rPr>
                <w:rFonts w:ascii="Arial" w:eastAsia="宋体" w:hAnsi="Arial" w:cs="Arial"/>
                <w:color w:val="333333"/>
                <w:sz w:val="18"/>
                <w:szCs w:val="18"/>
              </w:rPr>
              <w:t xml:space="preserve"> security, form factor, and other features with each new generation of products. We are also focused on reducing our design complexity to improve our efficiency, including a significant reduction of design rules for future process nodes.</w:t>
            </w:r>
          </w:p>
        </w:tc>
        <w:tc>
          <w:tcPr>
            <w:tcW w:w="0" w:type="auto"/>
            <w:shd w:val="clear" w:color="auto" w:fill="auto"/>
            <w:tcMar>
              <w:top w:w="40" w:type="dxa"/>
              <w:left w:w="40" w:type="dxa"/>
              <w:bottom w:w="40" w:type="dxa"/>
              <w:right w:w="40" w:type="dxa"/>
            </w:tcMar>
            <w:vAlign w:val="bottom"/>
          </w:tcPr>
          <w:p w14:paraId="4ACE238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tcPr>
          <w:p w14:paraId="4ACE238A" w14:textId="77777777" w:rsidR="006F587A" w:rsidRDefault="007B2B61">
            <w:pPr>
              <w:jc w:val="center"/>
              <w:textAlignment w:val="top"/>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INCLUDEPICTURE \</w:instrText>
            </w:r>
            <w:r>
              <w:rPr>
                <w:rFonts w:ascii="Times New Roman" w:eastAsia="宋体" w:hAnsi="Times New Roman"/>
                <w:sz w:val="20"/>
                <w:szCs w:val="20"/>
              </w:rPr>
              <w:instrText xml:space="preserve">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Viewer12_files/a022sixpillars.jpg"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74" wp14:editId="4ACE6C75">
                  <wp:extent cx="304800" cy="304800"/>
                  <wp:effectExtent l="0" t="0" r="0" b="0"/>
                  <wp:docPr id="136" name="图片 85"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85" descr="IMG_29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r>
      <w:tr w:rsidR="006F587A" w14:paraId="4ACE238F" w14:textId="77777777">
        <w:tc>
          <w:tcPr>
            <w:tcW w:w="0" w:type="auto"/>
            <w:vMerge w:val="restart"/>
            <w:shd w:val="clear" w:color="auto" w:fill="auto"/>
            <w:tcMar>
              <w:top w:w="40" w:type="dxa"/>
              <w:left w:w="40" w:type="dxa"/>
              <w:bottom w:w="40" w:type="dxa"/>
              <w:right w:w="40" w:type="dxa"/>
            </w:tcMar>
          </w:tcPr>
          <w:p w14:paraId="4ACE238C" w14:textId="77777777" w:rsidR="006F587A" w:rsidRDefault="007B2B61">
            <w:pPr>
              <w:textAlignment w:val="top"/>
              <w:rPr>
                <w:rFonts w:ascii="Times New Roman" w:hAnsi="Times New Roman"/>
                <w:sz w:val="18"/>
                <w:szCs w:val="18"/>
              </w:rPr>
            </w:pPr>
            <w:r>
              <w:rPr>
                <w:rFonts w:ascii="Arial" w:eastAsia="宋体" w:hAnsi="Arial" w:cs="Arial"/>
                <w:color w:val="0071C5"/>
                <w:sz w:val="18"/>
                <w:szCs w:val="18"/>
              </w:rPr>
              <w:t>Process.</w:t>
            </w:r>
            <w:r>
              <w:rPr>
                <w:rFonts w:ascii="Arial" w:eastAsia="宋体" w:hAnsi="Arial" w:cs="Arial"/>
                <w:color w:val="333333"/>
                <w:sz w:val="18"/>
                <w:szCs w:val="18"/>
              </w:rPr>
              <w:t xml:space="preserve"> Development of next-generation manufacturing processes remains a critical and fundamental pillar. We </w:t>
            </w:r>
            <w:r>
              <w:rPr>
                <w:rFonts w:ascii="Arial" w:eastAsia="宋体" w:hAnsi="Arial" w:cs="Arial"/>
                <w:color w:val="333333"/>
                <w:sz w:val="18"/>
                <w:szCs w:val="18"/>
              </w:rPr>
              <w:t xml:space="preserve">announced that we are planning multiple waves of 10nm process, progressively increasing transistor performance. We also announced advances in our next-generation 2.5D (EMIB) and 3D (Foveros) packaging technology which will enable us to mix and match chips </w:t>
            </w:r>
            <w:r>
              <w:rPr>
                <w:rFonts w:ascii="Arial" w:eastAsia="宋体" w:hAnsi="Arial" w:cs="Arial"/>
                <w:color w:val="333333"/>
                <w:sz w:val="18"/>
                <w:szCs w:val="18"/>
              </w:rPr>
              <w:t>made on different processes into a single SiP, enabling new design flexibility and new device form factors. The Intel 10nm product era is underway, as we began shipping our new 10th generation Intel</w:t>
            </w:r>
            <w:r>
              <w:rPr>
                <w:rFonts w:ascii="Arial" w:eastAsia="宋体" w:hAnsi="Arial" w:cs="Arial"/>
                <w:color w:val="333333"/>
                <w:sz w:val="12"/>
                <w:szCs w:val="12"/>
              </w:rPr>
              <w:t xml:space="preserve">® </w:t>
            </w:r>
            <w:r>
              <w:rPr>
                <w:rFonts w:ascii="Arial" w:eastAsia="宋体" w:hAnsi="Arial" w:cs="Arial"/>
                <w:color w:val="333333"/>
                <w:sz w:val="18"/>
                <w:szCs w:val="18"/>
              </w:rPr>
              <w:t>Core</w:t>
            </w:r>
            <w:r>
              <w:rPr>
                <w:rFonts w:ascii="Arial" w:eastAsia="宋体" w:hAnsi="Arial" w:cs="Arial"/>
                <w:color w:val="333333"/>
                <w:sz w:val="12"/>
                <w:szCs w:val="12"/>
              </w:rPr>
              <w:t xml:space="preserve">TM </w:t>
            </w:r>
            <w:r>
              <w:rPr>
                <w:rFonts w:ascii="Arial" w:eastAsia="宋体" w:hAnsi="Arial" w:cs="Arial"/>
                <w:color w:val="333333"/>
                <w:sz w:val="18"/>
                <w:szCs w:val="18"/>
              </w:rPr>
              <w:t>processors, previously referred to as Ice Lake.</w:t>
            </w:r>
          </w:p>
        </w:tc>
        <w:tc>
          <w:tcPr>
            <w:tcW w:w="0" w:type="auto"/>
            <w:shd w:val="clear" w:color="auto" w:fill="auto"/>
            <w:tcMar>
              <w:top w:w="40" w:type="dxa"/>
              <w:left w:w="40" w:type="dxa"/>
              <w:bottom w:w="40" w:type="dxa"/>
              <w:right w:w="40" w:type="dxa"/>
            </w:tcMar>
            <w:vAlign w:val="bottom"/>
          </w:tcPr>
          <w:p w14:paraId="4ACE238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tcPr>
          <w:p w14:paraId="4ACE238E" w14:textId="77777777" w:rsidR="006F587A" w:rsidRDefault="006F587A">
            <w:pPr>
              <w:rPr>
                <w:rFonts w:ascii="Times New Roman" w:hAnsi="Times New Roman"/>
                <w:sz w:val="20"/>
                <w:szCs w:val="20"/>
              </w:rPr>
            </w:pPr>
          </w:p>
        </w:tc>
      </w:tr>
      <w:tr w:rsidR="006F587A" w14:paraId="4ACE2393" w14:textId="77777777">
        <w:tc>
          <w:tcPr>
            <w:tcW w:w="0" w:type="auto"/>
            <w:vMerge/>
            <w:shd w:val="clear" w:color="auto" w:fill="auto"/>
            <w:tcMar>
              <w:top w:w="40" w:type="dxa"/>
              <w:left w:w="40" w:type="dxa"/>
              <w:bottom w:w="40" w:type="dxa"/>
              <w:right w:w="40" w:type="dxa"/>
            </w:tcMar>
          </w:tcPr>
          <w:p w14:paraId="4ACE2390"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39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2392" w14:textId="77777777" w:rsidR="006F587A" w:rsidRDefault="007B2B61">
            <w:pPr>
              <w:jc w:val="center"/>
              <w:textAlignment w:val="top"/>
              <w:rPr>
                <w:rFonts w:ascii="Times New Roman" w:hAnsi="Times New Roman"/>
                <w:sz w:val="18"/>
                <w:szCs w:val="18"/>
              </w:rPr>
            </w:pPr>
            <w:r>
              <w:rPr>
                <w:rFonts w:ascii="Arial" w:eastAsia="宋体" w:hAnsi="Arial" w:cs="Arial"/>
                <w:b/>
                <w:bCs/>
                <w:color w:val="333333"/>
                <w:sz w:val="18"/>
                <w:szCs w:val="18"/>
              </w:rPr>
              <w:t>Six Pillars of Product Leadership</w:t>
            </w:r>
          </w:p>
        </w:tc>
      </w:tr>
    </w:tbl>
    <w:p w14:paraId="4ACE2394" w14:textId="77777777" w:rsidR="006F587A" w:rsidRDefault="007B2B61">
      <w:r>
        <w:rPr>
          <w:rFonts w:ascii="Arial" w:eastAsia="宋体" w:hAnsi="Arial" w:cs="Arial"/>
          <w:color w:val="0071C5"/>
          <w:sz w:val="18"/>
          <w:szCs w:val="18"/>
        </w:rPr>
        <w:t>Architecture.</w:t>
      </w:r>
      <w:r>
        <w:rPr>
          <w:rFonts w:ascii="Arial" w:eastAsia="宋体" w:hAnsi="Arial" w:cs="Arial"/>
          <w:color w:val="0071C5"/>
          <w:sz w:val="18"/>
          <w:szCs w:val="18"/>
        </w:rPr>
        <w:t xml:space="preserve"> </w:t>
      </w:r>
      <w:r>
        <w:rPr>
          <w:rFonts w:ascii="Arial" w:eastAsia="宋体" w:hAnsi="Arial" w:cs="Arial"/>
          <w:color w:val="333333"/>
          <w:sz w:val="18"/>
          <w:szCs w:val="18"/>
        </w:rPr>
        <w:t xml:space="preserve">We are designing products for four major computing architectures—CPU, GPU, AI accelerator, and FPGA products—as we move toward a model of providing multiple "xPU" compute platforms for a more </w:t>
      </w:r>
      <w:r>
        <w:rPr>
          <w:rFonts w:ascii="Arial" w:eastAsia="宋体" w:hAnsi="Arial" w:cs="Arial"/>
          <w:color w:val="333333"/>
          <w:sz w:val="18"/>
          <w:szCs w:val="18"/>
        </w:rPr>
        <w:t>diverse era of computing. We shipped the 10th generation Intel</w:t>
      </w:r>
      <w:r>
        <w:rPr>
          <w:rFonts w:ascii="Arial" w:eastAsia="宋体" w:hAnsi="Arial" w:cs="Arial"/>
          <w:color w:val="333333"/>
          <w:sz w:val="12"/>
          <w:szCs w:val="12"/>
        </w:rPr>
        <w:t>®</w:t>
      </w:r>
      <w:r>
        <w:rPr>
          <w:rFonts w:ascii="Arial" w:eastAsia="宋体" w:hAnsi="Arial" w:cs="Arial"/>
          <w:color w:val="333333"/>
          <w:sz w:val="18"/>
          <w:szCs w:val="18"/>
        </w:rPr>
        <w:t xml:space="preserve"> Core</w:t>
      </w:r>
      <w:r>
        <w:rPr>
          <w:rFonts w:ascii="Arial" w:eastAsia="宋体" w:hAnsi="Arial" w:cs="Arial"/>
          <w:color w:val="333333"/>
          <w:sz w:val="12"/>
          <w:szCs w:val="12"/>
        </w:rPr>
        <w:t>TM</w:t>
      </w:r>
      <w:r>
        <w:rPr>
          <w:rFonts w:ascii="Arial" w:eastAsia="宋体" w:hAnsi="Arial" w:cs="Arial"/>
          <w:color w:val="333333"/>
          <w:sz w:val="18"/>
          <w:szCs w:val="18"/>
        </w:rPr>
        <w:t xml:space="preserve"> processors with our next-generation CPU microarchitecture, which has architectural extensions designed for special-purpose computing tasks such as AI and cryptography, among other featu</w:t>
      </w:r>
      <w:r>
        <w:rPr>
          <w:rFonts w:ascii="Arial" w:eastAsia="宋体" w:hAnsi="Arial" w:cs="Arial"/>
          <w:color w:val="333333"/>
          <w:sz w:val="18"/>
          <w:szCs w:val="18"/>
        </w:rPr>
        <w:t>res. These processors also include the next generation of graphics microarchitecture, with performance and feature upgrades. We also continue to make progress on the development of our first discrete GPU.</w:t>
      </w:r>
    </w:p>
    <w:p w14:paraId="4ACE2395" w14:textId="77777777" w:rsidR="006F587A" w:rsidRDefault="007B2B61">
      <w:pPr>
        <w:spacing w:line="288" w:lineRule="auto"/>
        <w:rPr>
          <w:rFonts w:ascii="Times New Roman" w:hAnsi="Times New Roman"/>
          <w:sz w:val="18"/>
          <w:szCs w:val="18"/>
        </w:rPr>
      </w:pPr>
      <w:r>
        <w:rPr>
          <w:rFonts w:ascii="Arial" w:eastAsia="宋体" w:hAnsi="Arial" w:cs="Arial"/>
          <w:color w:val="0071C5"/>
          <w:sz w:val="18"/>
          <w:szCs w:val="18"/>
        </w:rPr>
        <w:t>Memory.</w:t>
      </w:r>
      <w:r>
        <w:rPr>
          <w:rFonts w:ascii="Arial" w:eastAsia="宋体" w:hAnsi="Arial" w:cs="Arial"/>
          <w:color w:val="0071C5"/>
          <w:sz w:val="18"/>
          <w:szCs w:val="18"/>
        </w:rPr>
        <w:t xml:space="preserve"> </w:t>
      </w:r>
      <w:r>
        <w:rPr>
          <w:rFonts w:ascii="Arial" w:eastAsia="宋体" w:hAnsi="Arial" w:cs="Arial"/>
          <w:color w:val="333333"/>
          <w:sz w:val="18"/>
          <w:szCs w:val="18"/>
        </w:rPr>
        <w:t>With our Intel</w:t>
      </w:r>
      <w:r>
        <w:rPr>
          <w:rFonts w:ascii="Arial" w:eastAsia="宋体" w:hAnsi="Arial" w:cs="Arial"/>
          <w:color w:val="333333"/>
          <w:sz w:val="12"/>
          <w:szCs w:val="12"/>
        </w:rPr>
        <w:t>®</w:t>
      </w:r>
      <w:r>
        <w:rPr>
          <w:rFonts w:ascii="Arial" w:eastAsia="宋体" w:hAnsi="Arial" w:cs="Arial"/>
          <w:color w:val="333333"/>
          <w:sz w:val="18"/>
          <w:szCs w:val="18"/>
        </w:rPr>
        <w:t xml:space="preserve"> 3D NAND technology and Inte</w:t>
      </w:r>
      <w:r>
        <w:rPr>
          <w:rFonts w:ascii="Arial" w:eastAsia="宋体" w:hAnsi="Arial" w:cs="Arial"/>
          <w:color w:val="333333"/>
          <w:sz w:val="18"/>
          <w:szCs w:val="18"/>
        </w:rPr>
        <w:t>l</w:t>
      </w:r>
      <w:r>
        <w:rPr>
          <w:rFonts w:ascii="Arial" w:eastAsia="宋体" w:hAnsi="Arial" w:cs="Arial"/>
          <w:color w:val="333333"/>
          <w:sz w:val="12"/>
          <w:szCs w:val="12"/>
        </w:rPr>
        <w:t>®</w:t>
      </w:r>
      <w:r>
        <w:rPr>
          <w:rFonts w:ascii="Arial" w:eastAsia="宋体" w:hAnsi="Arial" w:cs="Arial"/>
          <w:color w:val="333333"/>
          <w:sz w:val="18"/>
          <w:szCs w:val="18"/>
        </w:rPr>
        <w:t xml:space="preserve"> Optane™ technology, we are developing products to disrupt the memory and storage hierarchy. The 4th generation of Intel</w:t>
      </w:r>
      <w:r>
        <w:rPr>
          <w:rFonts w:ascii="Arial" w:eastAsia="宋体" w:hAnsi="Arial" w:cs="Arial"/>
          <w:color w:val="333333"/>
          <w:sz w:val="12"/>
          <w:szCs w:val="12"/>
        </w:rPr>
        <w:t>®</w:t>
      </w:r>
      <w:r>
        <w:rPr>
          <w:rFonts w:ascii="Arial" w:eastAsia="宋体" w:hAnsi="Arial" w:cs="Arial"/>
          <w:color w:val="333333"/>
          <w:sz w:val="18"/>
          <w:szCs w:val="18"/>
        </w:rPr>
        <w:t>-based SSDs are scheduled to launch in 2020 with 144-layer QLC memory technology. These SSDs are also Intel’s first NAND memory techn</w:t>
      </w:r>
      <w:r>
        <w:rPr>
          <w:rFonts w:ascii="Arial" w:eastAsia="宋体" w:hAnsi="Arial" w:cs="Arial"/>
          <w:color w:val="333333"/>
          <w:sz w:val="18"/>
          <w:szCs w:val="18"/>
        </w:rPr>
        <w:t>ology created independently by Intel since the conclusion of our partnership with Micron Technology, Inc. (Micron). The 2nd generation Intel</w:t>
      </w:r>
      <w:r>
        <w:rPr>
          <w:rFonts w:ascii="Arial" w:eastAsia="宋体" w:hAnsi="Arial" w:cs="Arial"/>
          <w:color w:val="333333"/>
          <w:sz w:val="12"/>
          <w:szCs w:val="12"/>
        </w:rPr>
        <w:t xml:space="preserve">® </w:t>
      </w:r>
      <w:r>
        <w:rPr>
          <w:rFonts w:ascii="Arial" w:eastAsia="宋体" w:hAnsi="Arial" w:cs="Arial"/>
          <w:color w:val="333333"/>
          <w:sz w:val="18"/>
          <w:szCs w:val="18"/>
        </w:rPr>
        <w:t>Optane</w:t>
      </w:r>
      <w:r>
        <w:rPr>
          <w:rFonts w:ascii="Arial" w:eastAsia="宋体" w:hAnsi="Arial" w:cs="Arial"/>
          <w:color w:val="333333"/>
          <w:sz w:val="12"/>
          <w:szCs w:val="12"/>
        </w:rPr>
        <w:t>TM</w:t>
      </w:r>
      <w:r>
        <w:rPr>
          <w:rFonts w:ascii="Arial" w:eastAsia="宋体" w:hAnsi="Arial" w:cs="Arial"/>
          <w:color w:val="333333"/>
          <w:sz w:val="18"/>
          <w:szCs w:val="18"/>
        </w:rPr>
        <w:t xml:space="preserve"> SSDs for data centers are scheduled to start shipping samples in 2020, and are designed to deliver three </w:t>
      </w:r>
      <w:r>
        <w:rPr>
          <w:rFonts w:ascii="Arial" w:eastAsia="宋体" w:hAnsi="Arial" w:cs="Arial"/>
          <w:color w:val="333333"/>
          <w:sz w:val="18"/>
          <w:szCs w:val="18"/>
        </w:rPr>
        <w:t>times the throughput while reducing application latency by four times. In addition, the second-generation Intel</w:t>
      </w:r>
      <w:r>
        <w:rPr>
          <w:rFonts w:ascii="Arial" w:eastAsia="宋体" w:hAnsi="Arial" w:cs="Arial"/>
          <w:color w:val="333333"/>
          <w:sz w:val="12"/>
          <w:szCs w:val="12"/>
        </w:rPr>
        <w:t xml:space="preserve">® </w:t>
      </w:r>
      <w:r>
        <w:rPr>
          <w:rFonts w:ascii="Arial" w:eastAsia="宋体" w:hAnsi="Arial" w:cs="Arial"/>
          <w:color w:val="333333"/>
          <w:sz w:val="18"/>
          <w:szCs w:val="18"/>
        </w:rPr>
        <w:t>Optane</w:t>
      </w:r>
      <w:r>
        <w:rPr>
          <w:rFonts w:ascii="Arial" w:eastAsia="宋体" w:hAnsi="Arial" w:cs="Arial"/>
          <w:color w:val="333333"/>
          <w:sz w:val="12"/>
          <w:szCs w:val="12"/>
        </w:rPr>
        <w:t>TM</w:t>
      </w:r>
      <w:r>
        <w:rPr>
          <w:rFonts w:ascii="Arial" w:eastAsia="宋体" w:hAnsi="Arial" w:cs="Arial"/>
          <w:color w:val="333333"/>
          <w:sz w:val="18"/>
          <w:szCs w:val="18"/>
        </w:rPr>
        <w:t xml:space="preserve"> DC </w:t>
      </w:r>
      <w:r>
        <w:rPr>
          <w:rFonts w:ascii="Arial" w:eastAsia="宋体" w:hAnsi="Arial" w:cs="Arial"/>
          <w:color w:val="333333"/>
          <w:sz w:val="18"/>
          <w:szCs w:val="18"/>
        </w:rPr>
        <w:lastRenderedPageBreak/>
        <w:t>persistent memory is expected to achieve PRQ in 2020, and is designed for use with our future Intel</w:t>
      </w:r>
      <w:r>
        <w:rPr>
          <w:rFonts w:ascii="Arial" w:eastAsia="宋体" w:hAnsi="Arial" w:cs="Arial"/>
          <w:color w:val="333333"/>
          <w:sz w:val="12"/>
          <w:szCs w:val="12"/>
        </w:rPr>
        <w:t>®</w:t>
      </w:r>
      <w:r>
        <w:rPr>
          <w:rFonts w:ascii="Arial" w:eastAsia="宋体" w:hAnsi="Arial" w:cs="Arial"/>
          <w:color w:val="333333"/>
          <w:sz w:val="18"/>
          <w:szCs w:val="18"/>
        </w:rPr>
        <w:t xml:space="preserve"> Xeon</w:t>
      </w:r>
      <w:r>
        <w:rPr>
          <w:rFonts w:ascii="Arial" w:eastAsia="宋体" w:hAnsi="Arial" w:cs="Arial"/>
          <w:color w:val="333333"/>
          <w:sz w:val="12"/>
          <w:szCs w:val="12"/>
        </w:rPr>
        <w:t>®</w:t>
      </w:r>
      <w:r>
        <w:rPr>
          <w:rFonts w:ascii="Arial" w:eastAsia="宋体" w:hAnsi="Arial" w:cs="Arial"/>
          <w:color w:val="333333"/>
          <w:sz w:val="18"/>
          <w:szCs w:val="18"/>
        </w:rPr>
        <w:t xml:space="preserve"> CPUs.</w:t>
      </w:r>
    </w:p>
    <w:p w14:paraId="4ACE2396" w14:textId="77777777" w:rsidR="006F587A" w:rsidRDefault="007B2B61">
      <w:pPr>
        <w:spacing w:line="288" w:lineRule="auto"/>
        <w:rPr>
          <w:rFonts w:ascii="Times New Roman" w:hAnsi="Times New Roman"/>
          <w:sz w:val="18"/>
          <w:szCs w:val="18"/>
        </w:rPr>
      </w:pPr>
      <w:r>
        <w:rPr>
          <w:rFonts w:ascii="Arial" w:eastAsia="宋体" w:hAnsi="Arial" w:cs="Arial"/>
          <w:color w:val="0071C5"/>
          <w:sz w:val="18"/>
          <w:szCs w:val="18"/>
        </w:rPr>
        <w:t>Interconnect.</w:t>
      </w:r>
      <w:r>
        <w:rPr>
          <w:rFonts w:ascii="Arial" w:eastAsia="宋体" w:hAnsi="Arial" w:cs="Arial"/>
          <w:color w:val="0071C5"/>
          <w:sz w:val="18"/>
          <w:szCs w:val="18"/>
        </w:rPr>
        <w:t xml:space="preserve"> </w:t>
      </w:r>
      <w:r>
        <w:rPr>
          <w:rFonts w:ascii="Arial" w:eastAsia="宋体" w:hAnsi="Arial" w:cs="Arial"/>
          <w:color w:val="333333"/>
          <w:sz w:val="18"/>
          <w:szCs w:val="18"/>
        </w:rPr>
        <w:t>We have a broad portfolio of interconnect solutions, ranging from silicon to the data center to wireless. Our silicon photonics technology integrates lasers into silicon to create high-speed optical connections that can help remove networking</w:t>
      </w:r>
      <w:r>
        <w:rPr>
          <w:rFonts w:ascii="Arial" w:eastAsia="宋体" w:hAnsi="Arial" w:cs="Arial"/>
          <w:color w:val="333333"/>
          <w:sz w:val="18"/>
          <w:szCs w:val="18"/>
        </w:rPr>
        <w:t xml:space="preserve"> bottlenecks in the data center. We announced two initiatives to help influence the industry</w:t>
      </w:r>
      <w:r>
        <w:rPr>
          <w:rFonts w:ascii="Arial" w:eastAsia="宋体" w:hAnsi="Arial" w:cs="Arial"/>
          <w:color w:val="000000"/>
          <w:sz w:val="18"/>
          <w:szCs w:val="18"/>
        </w:rPr>
        <w:t>—</w:t>
      </w:r>
      <w:r>
        <w:rPr>
          <w:rFonts w:ascii="Arial" w:eastAsia="宋体" w:hAnsi="Arial" w:cs="Arial"/>
          <w:color w:val="333333"/>
          <w:sz w:val="18"/>
          <w:szCs w:val="18"/>
        </w:rPr>
        <w:t xml:space="preserve">USB4 and CXL. USB4 advances the speed and capability for interconnect in client platforms. CXL, an open interconnect technology, creates a high-speed, low latency </w:t>
      </w:r>
      <w:r>
        <w:rPr>
          <w:rFonts w:ascii="Arial" w:eastAsia="宋体" w:hAnsi="Arial" w:cs="Arial"/>
          <w:color w:val="333333"/>
          <w:sz w:val="18"/>
          <w:szCs w:val="18"/>
        </w:rPr>
        <w:t>interconnect between the CPU and accelerators, such as GPUs, FPGAs, and networking.</w:t>
      </w:r>
    </w:p>
    <w:p w14:paraId="4ACE2397" w14:textId="77777777" w:rsidR="006F587A" w:rsidRDefault="007B2B61">
      <w:pPr>
        <w:spacing w:line="288" w:lineRule="auto"/>
        <w:rPr>
          <w:rFonts w:ascii="Times New Roman" w:hAnsi="Times New Roman"/>
          <w:sz w:val="18"/>
          <w:szCs w:val="18"/>
        </w:rPr>
      </w:pPr>
      <w:r>
        <w:rPr>
          <w:rFonts w:ascii="Arial" w:eastAsia="宋体" w:hAnsi="Arial" w:cs="Arial"/>
          <w:color w:val="0071C5"/>
          <w:sz w:val="18"/>
          <w:szCs w:val="18"/>
        </w:rPr>
        <w:t>Security.</w:t>
      </w:r>
      <w:r>
        <w:rPr>
          <w:rFonts w:ascii="Arial" w:eastAsia="宋体" w:hAnsi="Arial" w:cs="Arial"/>
          <w:color w:val="0071C5"/>
          <w:sz w:val="18"/>
          <w:szCs w:val="18"/>
        </w:rPr>
        <w:t xml:space="preserve"> </w:t>
      </w:r>
      <w:r>
        <w:rPr>
          <w:rFonts w:ascii="Arial" w:eastAsia="宋体" w:hAnsi="Arial" w:cs="Arial"/>
          <w:color w:val="333333"/>
          <w:sz w:val="18"/>
          <w:szCs w:val="18"/>
        </w:rPr>
        <w:t>We continue to make significant investments in security technologies. We created the Intel Security Architecture and Technologies Group to serve as a center for s</w:t>
      </w:r>
      <w:r>
        <w:rPr>
          <w:rFonts w:ascii="Arial" w:eastAsia="宋体" w:hAnsi="Arial" w:cs="Arial"/>
          <w:color w:val="333333"/>
          <w:sz w:val="18"/>
          <w:szCs w:val="18"/>
        </w:rPr>
        <w:t>ecurity architecture across our products to design world-class product security architecture for the years ahead.</w:t>
      </w:r>
    </w:p>
    <w:p w14:paraId="4ACE2398" w14:textId="77777777" w:rsidR="006F587A" w:rsidRDefault="007B2B61">
      <w:pPr>
        <w:spacing w:line="288" w:lineRule="auto"/>
        <w:rPr>
          <w:rFonts w:ascii="Times New Roman" w:hAnsi="Times New Roman"/>
          <w:sz w:val="18"/>
          <w:szCs w:val="18"/>
        </w:rPr>
      </w:pPr>
      <w:r>
        <w:rPr>
          <w:rFonts w:ascii="Arial" w:eastAsia="宋体" w:hAnsi="Arial" w:cs="Arial"/>
          <w:color w:val="0071C5"/>
          <w:sz w:val="18"/>
          <w:szCs w:val="18"/>
        </w:rPr>
        <w:t>Software.</w:t>
      </w:r>
      <w:r>
        <w:rPr>
          <w:rFonts w:ascii="Arial" w:eastAsia="宋体" w:hAnsi="Arial" w:cs="Arial"/>
          <w:color w:val="0071C5"/>
          <w:sz w:val="18"/>
          <w:szCs w:val="18"/>
        </w:rPr>
        <w:t xml:space="preserve"> </w:t>
      </w:r>
      <w:r>
        <w:rPr>
          <w:rFonts w:ascii="Arial" w:eastAsia="宋体" w:hAnsi="Arial" w:cs="Arial"/>
          <w:color w:val="333333"/>
          <w:sz w:val="18"/>
          <w:szCs w:val="18"/>
        </w:rPr>
        <w:t>The performance potential of our hardware products is unlocked with software. Our vision is to unify our software abstractions acros</w:t>
      </w:r>
      <w:r>
        <w:rPr>
          <w:rFonts w:ascii="Arial" w:eastAsia="宋体" w:hAnsi="Arial" w:cs="Arial"/>
          <w:color w:val="333333"/>
          <w:sz w:val="18"/>
          <w:szCs w:val="18"/>
        </w:rPr>
        <w:t>s all our xPU platforms. We are developing a project called oneAPI to simplify programming for developers across our CPU, GPU, FPGA, AI accelerator, and other accelerator products, providing a unified portfolio of developer tools for mapping software to th</w:t>
      </w:r>
      <w:r>
        <w:rPr>
          <w:rFonts w:ascii="Arial" w:eastAsia="宋体" w:hAnsi="Arial" w:cs="Arial"/>
          <w:color w:val="333333"/>
          <w:sz w:val="18"/>
          <w:szCs w:val="18"/>
        </w:rPr>
        <w:t>e hardware that can best accelerate the code.</w:t>
      </w:r>
    </w:p>
    <w:p w14:paraId="4ACE2399" w14:textId="77777777" w:rsidR="006F587A" w:rsidRDefault="007B2B61">
      <w:pPr>
        <w:spacing w:line="288" w:lineRule="auto"/>
        <w:rPr>
          <w:rFonts w:ascii="Times New Roman" w:hAnsi="Times New Roman"/>
        </w:rPr>
      </w:pPr>
      <w:r>
        <w:rPr>
          <w:rFonts w:ascii="Arial" w:eastAsia="宋体" w:hAnsi="Arial" w:cs="Arial"/>
          <w:b/>
          <w:bCs/>
          <w:color w:val="0071C5"/>
        </w:rPr>
        <w:t>IP RIGHTS</w:t>
      </w:r>
    </w:p>
    <w:p w14:paraId="4ACE239A"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own and develop significant IP and related IP rights around the world that support our products, services, R&amp;D, and other activities and assets. Our IP portfolio includes patents, copyrights, trade</w:t>
      </w:r>
      <w:r>
        <w:rPr>
          <w:rFonts w:ascii="Arial" w:eastAsia="宋体" w:hAnsi="Arial" w:cs="Arial"/>
          <w:color w:val="333333"/>
          <w:sz w:val="18"/>
          <w:szCs w:val="18"/>
        </w:rPr>
        <w:t xml:space="preserve"> secrets, trademarks, mask work, and other rights. We actively seek to protect our global IP rights and to deter unauthorized use of our IP and other assets. For a detailed discussion of our IP rights, see "Intellectual Property Rights and Licensing" withi</w:t>
      </w:r>
      <w:r>
        <w:rPr>
          <w:rFonts w:ascii="Arial" w:eastAsia="宋体" w:hAnsi="Arial" w:cs="Arial"/>
          <w:color w:val="333333"/>
          <w:sz w:val="18"/>
          <w:szCs w:val="18"/>
        </w:rPr>
        <w:t>n Other Key Information.</w:t>
      </w:r>
    </w:p>
    <w:p w14:paraId="4ACE239B"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492"/>
        <w:gridCol w:w="2658"/>
        <w:gridCol w:w="3156"/>
      </w:tblGrid>
      <w:tr w:rsidR="006F587A" w14:paraId="4ACE239D" w14:textId="77777777">
        <w:tc>
          <w:tcPr>
            <w:tcW w:w="0" w:type="auto"/>
            <w:gridSpan w:val="3"/>
            <w:shd w:val="clear" w:color="auto" w:fill="auto"/>
            <w:vAlign w:val="center"/>
          </w:tcPr>
          <w:p w14:paraId="4ACE239C" w14:textId="77777777" w:rsidR="006F587A" w:rsidRDefault="006F587A">
            <w:pPr>
              <w:rPr>
                <w:rFonts w:ascii="Times New Roman" w:hAnsi="Times New Roman"/>
                <w:sz w:val="20"/>
                <w:szCs w:val="20"/>
              </w:rPr>
            </w:pPr>
          </w:p>
        </w:tc>
      </w:tr>
      <w:tr w:rsidR="006F587A" w14:paraId="4ACE23A1" w14:textId="77777777">
        <w:tc>
          <w:tcPr>
            <w:tcW w:w="1500" w:type="pct"/>
            <w:shd w:val="clear" w:color="auto" w:fill="auto"/>
            <w:vAlign w:val="center"/>
          </w:tcPr>
          <w:p w14:paraId="4ACE239E" w14:textId="77777777" w:rsidR="006F587A" w:rsidRDefault="006F587A">
            <w:pPr>
              <w:rPr>
                <w:rFonts w:ascii="Times New Roman" w:hAnsi="Times New Roman"/>
                <w:sz w:val="20"/>
                <w:szCs w:val="20"/>
              </w:rPr>
            </w:pPr>
          </w:p>
        </w:tc>
        <w:tc>
          <w:tcPr>
            <w:tcW w:w="1600" w:type="pct"/>
            <w:shd w:val="clear" w:color="auto" w:fill="auto"/>
            <w:vAlign w:val="center"/>
          </w:tcPr>
          <w:p w14:paraId="4ACE239F" w14:textId="77777777" w:rsidR="006F587A" w:rsidRDefault="006F587A">
            <w:pPr>
              <w:rPr>
                <w:rFonts w:ascii="Times New Roman" w:hAnsi="Times New Roman"/>
                <w:sz w:val="20"/>
                <w:szCs w:val="20"/>
              </w:rPr>
            </w:pPr>
          </w:p>
        </w:tc>
        <w:tc>
          <w:tcPr>
            <w:tcW w:w="1900" w:type="pct"/>
            <w:shd w:val="clear" w:color="auto" w:fill="auto"/>
            <w:vAlign w:val="center"/>
          </w:tcPr>
          <w:p w14:paraId="4ACE23A0" w14:textId="77777777" w:rsidR="006F587A" w:rsidRDefault="006F587A">
            <w:pPr>
              <w:rPr>
                <w:rFonts w:ascii="Times New Roman" w:hAnsi="Times New Roman"/>
                <w:sz w:val="20"/>
                <w:szCs w:val="20"/>
              </w:rPr>
            </w:pPr>
          </w:p>
        </w:tc>
      </w:tr>
      <w:tr w:rsidR="006F587A" w14:paraId="4ACE23A6" w14:textId="77777777">
        <w:tc>
          <w:tcPr>
            <w:tcW w:w="0" w:type="auto"/>
            <w:tcBorders>
              <w:top w:val="single" w:sz="8" w:space="0" w:color="0071C5"/>
              <w:right w:val="single" w:sz="36" w:space="0" w:color="0071C5"/>
            </w:tcBorders>
            <w:shd w:val="clear" w:color="auto" w:fill="auto"/>
            <w:tcMar>
              <w:top w:w="40" w:type="dxa"/>
              <w:left w:w="40" w:type="dxa"/>
              <w:bottom w:w="40" w:type="dxa"/>
              <w:right w:w="40" w:type="dxa"/>
            </w:tcMar>
            <w:vAlign w:val="center"/>
          </w:tcPr>
          <w:p w14:paraId="4ACE23A2" w14:textId="77777777" w:rsidR="006F587A" w:rsidRDefault="007B2B61">
            <w:pPr>
              <w:textAlignment w:val="center"/>
              <w:rPr>
                <w:rFonts w:ascii="Times New Roman" w:hAnsi="Times New Roman"/>
                <w:sz w:val="18"/>
                <w:szCs w:val="18"/>
              </w:rPr>
            </w:pP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Viewer12_files/a001intellogo_coverfooter.jpg"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C76" wp14:editId="4ACE6C77">
                  <wp:extent cx="304800" cy="304800"/>
                  <wp:effectExtent l="0" t="0" r="0" b="0"/>
                  <wp:docPr id="115" name="图片 86"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86"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r>
              <w:rPr>
                <w:rFonts w:ascii="Arial" w:eastAsia="宋体" w:hAnsi="Arial" w:cs="Arial"/>
                <w:color w:val="333333"/>
                <w:sz w:val="18"/>
                <w:szCs w:val="18"/>
              </w:rPr>
              <w:t>  </w:t>
            </w:r>
            <w:r>
              <w:rPr>
                <w:rFonts w:ascii="Arial" w:eastAsia="宋体" w:hAnsi="Arial" w:cs="Arial"/>
                <w:color w:val="333333"/>
                <w:sz w:val="16"/>
                <w:szCs w:val="16"/>
              </w:rPr>
              <w:t>FUNDAMENTALS OF OUR BUSINESS</w:t>
            </w:r>
          </w:p>
        </w:tc>
        <w:tc>
          <w:tcPr>
            <w:tcW w:w="0" w:type="auto"/>
            <w:tcBorders>
              <w:top w:val="single" w:sz="8" w:space="0" w:color="0071C5"/>
            </w:tcBorders>
            <w:shd w:val="clear" w:color="auto" w:fill="auto"/>
            <w:tcMar>
              <w:top w:w="40" w:type="dxa"/>
              <w:left w:w="40" w:type="dxa"/>
              <w:bottom w:w="40" w:type="dxa"/>
              <w:right w:w="40" w:type="dxa"/>
            </w:tcMar>
            <w:vAlign w:val="center"/>
          </w:tcPr>
          <w:p w14:paraId="4ACE23A3" w14:textId="77777777" w:rsidR="006F587A" w:rsidRDefault="007B2B61">
            <w:pPr>
              <w:textAlignment w:val="center"/>
              <w:rPr>
                <w:rFonts w:ascii="Times New Roman" w:hAnsi="Times New Roman"/>
                <w:sz w:val="16"/>
                <w:szCs w:val="16"/>
              </w:rPr>
            </w:pPr>
            <w:r>
              <w:rPr>
                <w:rFonts w:ascii="Arial" w:eastAsia="宋体" w:hAnsi="Arial" w:cs="Arial"/>
                <w:color w:val="333333"/>
                <w:sz w:val="16"/>
                <w:szCs w:val="16"/>
              </w:rPr>
              <w:t xml:space="preserve"> Our Capital </w:t>
            </w:r>
          </w:p>
        </w:tc>
        <w:tc>
          <w:tcPr>
            <w:tcW w:w="0" w:type="auto"/>
            <w:tcBorders>
              <w:top w:val="single" w:sz="8" w:space="0" w:color="0071C5"/>
            </w:tcBorders>
            <w:shd w:val="clear" w:color="auto" w:fill="auto"/>
            <w:tcMar>
              <w:top w:w="40" w:type="dxa"/>
              <w:left w:w="40" w:type="dxa"/>
              <w:bottom w:w="40" w:type="dxa"/>
              <w:right w:w="40" w:type="dxa"/>
            </w:tcMar>
            <w:vAlign w:val="center"/>
          </w:tcPr>
          <w:p w14:paraId="4ACE23A4" w14:textId="77777777" w:rsidR="006F587A" w:rsidRDefault="007B2B61">
            <w:pPr>
              <w:jc w:val="right"/>
              <w:textAlignment w:val="center"/>
              <w:rPr>
                <w:rFonts w:ascii="Times New Roman" w:hAnsi="Times New Roman"/>
                <w:sz w:val="16"/>
                <w:szCs w:val="16"/>
              </w:rPr>
            </w:pPr>
            <w:r>
              <w:rPr>
                <w:rFonts w:ascii="Arial" w:eastAsia="宋体" w:hAnsi="Arial" w:cs="Arial"/>
                <w:color w:val="333333"/>
                <w:sz w:val="16"/>
                <w:szCs w:val="16"/>
              </w:rPr>
              <w:t>10</w:t>
            </w:r>
          </w:p>
          <w:p w14:paraId="4ACE23A5" w14:textId="77777777" w:rsidR="006F587A" w:rsidRDefault="006F587A">
            <w:pPr>
              <w:jc w:val="right"/>
              <w:textAlignment w:val="center"/>
              <w:rPr>
                <w:rFonts w:ascii="Times New Roman" w:hAnsi="Times New Roman"/>
                <w:sz w:val="16"/>
                <w:szCs w:val="16"/>
              </w:rPr>
            </w:pPr>
          </w:p>
        </w:tc>
      </w:tr>
    </w:tbl>
    <w:p w14:paraId="4ACE23A7" w14:textId="77777777" w:rsidR="006F587A" w:rsidRDefault="007B2B61">
      <w:r>
        <w:pict w14:anchorId="4ACE6C78">
          <v:rect id="_x0000_i1036" style="width:415.3pt;height:1.5pt" o:hralign="center" o:hrstd="t" o:hr="t" fillcolor="#a0a0a0" stroked="f"/>
        </w:pict>
      </w:r>
    </w:p>
    <w:p w14:paraId="4ACE23A8" w14:textId="77777777" w:rsidR="006F587A" w:rsidRDefault="007B2B61">
      <w:pPr>
        <w:spacing w:line="288" w:lineRule="auto"/>
        <w:jc w:val="right"/>
        <w:rPr>
          <w:rFonts w:ascii="Times New Roman" w:hAnsi="Times New Roman"/>
          <w:sz w:val="16"/>
          <w:szCs w:val="16"/>
        </w:rPr>
      </w:pPr>
      <w:hyperlink r:id="rId45" w:anchor="s9DB683E2CF52561EB8A73BE37F5BF9BE" w:history="1">
        <w:r>
          <w:rPr>
            <w:rStyle w:val="a5"/>
            <w:rFonts w:ascii="Arial" w:eastAsia="宋体" w:hAnsi="Arial" w:cs="Arial"/>
            <w:b/>
            <w:bCs/>
            <w:sz w:val="16"/>
            <w:szCs w:val="16"/>
          </w:rPr>
          <w:t>Table of Contents</w:t>
        </w:r>
      </w:hyperlink>
    </w:p>
    <w:p w14:paraId="4ACE23A9" w14:textId="77777777" w:rsidR="006F587A" w:rsidRDefault="006F587A">
      <w:pPr>
        <w:spacing w:line="288" w:lineRule="auto"/>
        <w:jc w:val="right"/>
        <w:rPr>
          <w:rFonts w:ascii="Times New Roman" w:hAnsi="Times New Roman"/>
          <w:sz w:val="16"/>
          <w:szCs w:val="16"/>
        </w:rPr>
      </w:pPr>
    </w:p>
    <w:p w14:paraId="4ACE23AA" w14:textId="77777777" w:rsidR="006F587A" w:rsidRDefault="006F587A">
      <w:pPr>
        <w:rPr>
          <w:rFonts w:ascii="Times New Roman" w:hAnsi="Times New Roman"/>
          <w:sz w:val="20"/>
          <w:szCs w:val="20"/>
        </w:rPr>
      </w:pPr>
    </w:p>
    <w:tbl>
      <w:tblPr>
        <w:tblW w:w="14480" w:type="dxa"/>
        <w:tblCellMar>
          <w:left w:w="0" w:type="dxa"/>
          <w:right w:w="0" w:type="dxa"/>
        </w:tblCellMar>
        <w:tblLook w:val="04A0" w:firstRow="1" w:lastRow="0" w:firstColumn="1" w:lastColumn="0" w:noHBand="0" w:noVBand="1"/>
      </w:tblPr>
      <w:tblGrid>
        <w:gridCol w:w="1061"/>
        <w:gridCol w:w="13419"/>
      </w:tblGrid>
      <w:tr w:rsidR="006F587A" w14:paraId="4ACE23AC" w14:textId="77777777">
        <w:tc>
          <w:tcPr>
            <w:tcW w:w="0" w:type="auto"/>
            <w:gridSpan w:val="2"/>
            <w:shd w:val="clear" w:color="auto" w:fill="auto"/>
            <w:vAlign w:val="center"/>
          </w:tcPr>
          <w:p w14:paraId="4ACE23AB" w14:textId="77777777" w:rsidR="006F587A" w:rsidRDefault="006F587A">
            <w:pPr>
              <w:rPr>
                <w:rFonts w:ascii="Times New Roman" w:hAnsi="Times New Roman"/>
                <w:sz w:val="20"/>
                <w:szCs w:val="20"/>
              </w:rPr>
            </w:pPr>
          </w:p>
        </w:tc>
      </w:tr>
      <w:tr w:rsidR="006F587A" w14:paraId="4ACE23AF" w14:textId="77777777">
        <w:tc>
          <w:tcPr>
            <w:tcW w:w="1060" w:type="dxa"/>
            <w:shd w:val="clear" w:color="auto" w:fill="auto"/>
            <w:vAlign w:val="center"/>
          </w:tcPr>
          <w:p w14:paraId="4ACE23AD" w14:textId="77777777" w:rsidR="006F587A" w:rsidRDefault="006F587A">
            <w:pPr>
              <w:rPr>
                <w:rFonts w:ascii="Times New Roman" w:hAnsi="Times New Roman"/>
                <w:sz w:val="20"/>
                <w:szCs w:val="20"/>
              </w:rPr>
            </w:pPr>
          </w:p>
        </w:tc>
        <w:tc>
          <w:tcPr>
            <w:tcW w:w="13400" w:type="dxa"/>
            <w:shd w:val="clear" w:color="auto" w:fill="auto"/>
            <w:vAlign w:val="center"/>
          </w:tcPr>
          <w:p w14:paraId="4ACE23AE" w14:textId="77777777" w:rsidR="006F587A" w:rsidRDefault="006F587A">
            <w:pPr>
              <w:rPr>
                <w:rFonts w:ascii="Times New Roman" w:hAnsi="Times New Roman"/>
                <w:sz w:val="20"/>
                <w:szCs w:val="20"/>
              </w:rPr>
            </w:pPr>
          </w:p>
        </w:tc>
      </w:tr>
      <w:tr w:rsidR="006F587A" w14:paraId="4ACE23B2" w14:textId="77777777">
        <w:tc>
          <w:tcPr>
            <w:tcW w:w="0" w:type="auto"/>
            <w:shd w:val="clear" w:color="auto" w:fill="auto"/>
            <w:tcMar>
              <w:top w:w="40" w:type="dxa"/>
              <w:left w:w="40" w:type="dxa"/>
              <w:bottom w:w="40" w:type="dxa"/>
              <w:right w:w="40" w:type="dxa"/>
            </w:tcMar>
            <w:vAlign w:val="center"/>
          </w:tcPr>
          <w:p w14:paraId="4ACE23B0" w14:textId="77777777" w:rsidR="006F587A" w:rsidRDefault="007B2B61">
            <w:pPr>
              <w:jc w:val="center"/>
              <w:textAlignment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Viewer12_files/a018manufacturedicona14.jpg"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79" wp14:editId="4ACE6C7A">
                  <wp:extent cx="304800" cy="304800"/>
                  <wp:effectExtent l="0" t="0" r="0" b="0"/>
                  <wp:docPr id="96" name="图片 88"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88" descr="IMG_29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c>
          <w:tcPr>
            <w:tcW w:w="0" w:type="auto"/>
            <w:shd w:val="clear" w:color="auto" w:fill="auto"/>
            <w:tcMar>
              <w:top w:w="40" w:type="dxa"/>
              <w:left w:w="40" w:type="dxa"/>
              <w:bottom w:w="40" w:type="dxa"/>
              <w:right w:w="40" w:type="dxa"/>
            </w:tcMar>
            <w:vAlign w:val="bottom"/>
          </w:tcPr>
          <w:p w14:paraId="4ACE23B1" w14:textId="77777777" w:rsidR="006F587A" w:rsidRDefault="007B2B61">
            <w:pPr>
              <w:textAlignment w:val="bottom"/>
              <w:rPr>
                <w:rFonts w:ascii="Times New Roman" w:hAnsi="Times New Roman"/>
                <w:sz w:val="28"/>
                <w:szCs w:val="28"/>
              </w:rPr>
            </w:pPr>
            <w:r>
              <w:rPr>
                <w:rFonts w:ascii="Arial" w:eastAsia="宋体" w:hAnsi="Arial" w:cs="Arial"/>
                <w:b/>
                <w:bCs/>
                <w:color w:val="0071C5"/>
                <w:sz w:val="28"/>
                <w:szCs w:val="28"/>
              </w:rPr>
              <w:t>MANUFACTURING CAPITAL</w:t>
            </w:r>
          </w:p>
        </w:tc>
      </w:tr>
    </w:tbl>
    <w:p w14:paraId="4ACE23B3" w14:textId="77777777" w:rsidR="006F587A" w:rsidRDefault="007B2B61">
      <w:pPr>
        <w:spacing w:line="288" w:lineRule="auto"/>
        <w:rPr>
          <w:rFonts w:ascii="Times New Roman" w:hAnsi="Times New Roman"/>
          <w:sz w:val="20"/>
          <w:szCs w:val="20"/>
        </w:rPr>
      </w:pPr>
      <w:r>
        <w:rPr>
          <w:rFonts w:ascii="Arial" w:eastAsia="宋体" w:hAnsi="Arial" w:cs="Arial"/>
          <w:color w:val="333333"/>
          <w:sz w:val="18"/>
          <w:szCs w:val="18"/>
        </w:rPr>
        <w:t xml:space="preserve">We are an IDM. Unlike many other semiconductor companies, we primarily </w:t>
      </w:r>
      <w:r>
        <w:rPr>
          <w:rFonts w:ascii="Arial" w:eastAsia="宋体" w:hAnsi="Arial" w:cs="Arial"/>
          <w:color w:val="333333"/>
          <w:sz w:val="18"/>
          <w:szCs w:val="18"/>
        </w:rPr>
        <w:t>design and manufacture our products in our own manufacturing facilities, and we see our in-house manufacturing as an important advantage. We continue to develop new generations of manufacturing process technology as we seek to realize the benefits from Moo</w:t>
      </w:r>
      <w:r>
        <w:rPr>
          <w:rFonts w:ascii="Arial" w:eastAsia="宋体" w:hAnsi="Arial" w:cs="Arial"/>
          <w:color w:val="333333"/>
          <w:sz w:val="18"/>
          <w:szCs w:val="18"/>
        </w:rPr>
        <w:t>re’s Law. Realizing Moore’s Law results in economic benefits as we are able to either reduce a chip's cost as we shrink its size, or increase functionality and performance of a chip while maintaining the same cost with higher density. This makes possible t</w:t>
      </w:r>
      <w:r>
        <w:rPr>
          <w:rFonts w:ascii="Arial" w:eastAsia="宋体" w:hAnsi="Arial" w:cs="Arial"/>
          <w:color w:val="333333"/>
          <w:sz w:val="18"/>
          <w:szCs w:val="18"/>
        </w:rPr>
        <w:t>he innovation of new products with higher performance while balancing power efficiency, cost, and size to meet customers' needs. Our ability to optimize and apply our manufacturing expertise to deliver more advanced, differentiated products is foundational</w:t>
      </w:r>
      <w:r>
        <w:rPr>
          <w:rFonts w:ascii="Arial" w:eastAsia="宋体" w:hAnsi="Arial" w:cs="Arial"/>
          <w:color w:val="333333"/>
          <w:sz w:val="18"/>
          <w:szCs w:val="18"/>
        </w:rPr>
        <w:t xml:space="preserve"> to our current and future success.</w:t>
      </w:r>
    </w:p>
    <w:tbl>
      <w:tblPr>
        <w:tblW w:w="5000" w:type="pct"/>
        <w:tblCellMar>
          <w:left w:w="0" w:type="dxa"/>
          <w:right w:w="0" w:type="dxa"/>
        </w:tblCellMar>
        <w:tblLook w:val="04A0" w:firstRow="1" w:lastRow="0" w:firstColumn="1" w:lastColumn="0" w:noHBand="0" w:noVBand="1"/>
      </w:tblPr>
      <w:tblGrid>
        <w:gridCol w:w="50"/>
        <w:gridCol w:w="2641"/>
        <w:gridCol w:w="1644"/>
        <w:gridCol w:w="3971"/>
      </w:tblGrid>
      <w:tr w:rsidR="006F587A" w14:paraId="4ACE23B5" w14:textId="77777777">
        <w:tc>
          <w:tcPr>
            <w:tcW w:w="0" w:type="auto"/>
            <w:gridSpan w:val="4"/>
            <w:shd w:val="clear" w:color="auto" w:fill="auto"/>
            <w:vAlign w:val="center"/>
          </w:tcPr>
          <w:p w14:paraId="4ACE23B4" w14:textId="77777777" w:rsidR="006F587A" w:rsidRDefault="006F587A">
            <w:pPr>
              <w:rPr>
                <w:rFonts w:ascii="Times New Roman" w:hAnsi="Times New Roman"/>
                <w:sz w:val="20"/>
                <w:szCs w:val="20"/>
              </w:rPr>
            </w:pPr>
          </w:p>
        </w:tc>
      </w:tr>
      <w:tr w:rsidR="006F587A" w14:paraId="4ACE23BA" w14:textId="77777777">
        <w:tc>
          <w:tcPr>
            <w:tcW w:w="0" w:type="pct"/>
            <w:shd w:val="clear" w:color="auto" w:fill="auto"/>
            <w:vAlign w:val="center"/>
          </w:tcPr>
          <w:p w14:paraId="4ACE23B6" w14:textId="77777777" w:rsidR="006F587A" w:rsidRDefault="006F587A">
            <w:pPr>
              <w:rPr>
                <w:rFonts w:ascii="Times New Roman" w:hAnsi="Times New Roman"/>
                <w:sz w:val="20"/>
                <w:szCs w:val="20"/>
              </w:rPr>
            </w:pPr>
          </w:p>
        </w:tc>
        <w:tc>
          <w:tcPr>
            <w:tcW w:w="1600" w:type="pct"/>
            <w:shd w:val="clear" w:color="auto" w:fill="auto"/>
            <w:vAlign w:val="center"/>
          </w:tcPr>
          <w:p w14:paraId="4ACE23B7" w14:textId="77777777" w:rsidR="006F587A" w:rsidRDefault="006F587A">
            <w:pPr>
              <w:rPr>
                <w:rFonts w:ascii="Times New Roman" w:hAnsi="Times New Roman"/>
                <w:sz w:val="20"/>
                <w:szCs w:val="20"/>
              </w:rPr>
            </w:pPr>
          </w:p>
        </w:tc>
        <w:tc>
          <w:tcPr>
            <w:tcW w:w="1000" w:type="pct"/>
            <w:shd w:val="clear" w:color="auto" w:fill="auto"/>
            <w:vAlign w:val="center"/>
          </w:tcPr>
          <w:p w14:paraId="4ACE23B8" w14:textId="77777777" w:rsidR="006F587A" w:rsidRDefault="006F587A">
            <w:pPr>
              <w:rPr>
                <w:rFonts w:ascii="Times New Roman" w:hAnsi="Times New Roman"/>
                <w:sz w:val="20"/>
                <w:szCs w:val="20"/>
              </w:rPr>
            </w:pPr>
          </w:p>
        </w:tc>
        <w:tc>
          <w:tcPr>
            <w:tcW w:w="2400" w:type="pct"/>
            <w:shd w:val="clear" w:color="auto" w:fill="auto"/>
            <w:vAlign w:val="center"/>
          </w:tcPr>
          <w:p w14:paraId="4ACE23B9" w14:textId="77777777" w:rsidR="006F587A" w:rsidRDefault="006F587A">
            <w:pPr>
              <w:rPr>
                <w:rFonts w:ascii="Times New Roman" w:hAnsi="Times New Roman"/>
                <w:sz w:val="20"/>
                <w:szCs w:val="20"/>
              </w:rPr>
            </w:pPr>
          </w:p>
        </w:tc>
      </w:tr>
      <w:tr w:rsidR="006F587A" w14:paraId="4ACE23C4" w14:textId="77777777">
        <w:tc>
          <w:tcPr>
            <w:tcW w:w="0" w:type="auto"/>
            <w:shd w:val="clear" w:color="auto" w:fill="auto"/>
            <w:vAlign w:val="center"/>
          </w:tcPr>
          <w:p w14:paraId="4ACE23BB" w14:textId="77777777" w:rsidR="006F587A" w:rsidRDefault="007B2B61">
            <w:pPr>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tcPr>
          <w:p w14:paraId="4ACE23BC"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We improved our 10nm factory production, yield, and volume during 2019, and launched 10th-generation Intel</w:t>
            </w:r>
            <w:r>
              <w:rPr>
                <w:rFonts w:ascii="Arial" w:eastAsia="宋体" w:hAnsi="Arial" w:cs="Arial"/>
                <w:color w:val="333333"/>
                <w:sz w:val="12"/>
                <w:szCs w:val="12"/>
              </w:rPr>
              <w:t>®</w:t>
            </w:r>
            <w:r>
              <w:rPr>
                <w:rFonts w:ascii="Arial" w:eastAsia="宋体" w:hAnsi="Arial" w:cs="Arial"/>
                <w:color w:val="333333"/>
                <w:sz w:val="18"/>
                <w:szCs w:val="18"/>
              </w:rPr>
              <w:t> Core</w:t>
            </w:r>
            <w:r>
              <w:rPr>
                <w:rFonts w:ascii="Arial" w:eastAsia="宋体" w:hAnsi="Arial" w:cs="Arial"/>
                <w:color w:val="333333"/>
                <w:sz w:val="12"/>
                <w:szCs w:val="12"/>
              </w:rPr>
              <w:t>TM</w:t>
            </w:r>
            <w:r>
              <w:rPr>
                <w:rFonts w:ascii="Arial" w:eastAsia="宋体" w:hAnsi="Arial" w:cs="Arial"/>
                <w:color w:val="333333"/>
                <w:sz w:val="18"/>
                <w:szCs w:val="18"/>
              </w:rPr>
              <w:t> processors, our first 10nm volume product, and Intel</w:t>
            </w:r>
            <w:r>
              <w:rPr>
                <w:rFonts w:ascii="Arial" w:eastAsia="宋体" w:hAnsi="Arial" w:cs="Arial"/>
                <w:color w:val="333333"/>
                <w:sz w:val="12"/>
                <w:szCs w:val="12"/>
              </w:rPr>
              <w:t>®</w:t>
            </w:r>
            <w:r>
              <w:rPr>
                <w:rFonts w:ascii="Arial" w:eastAsia="宋体" w:hAnsi="Arial" w:cs="Arial"/>
                <w:color w:val="333333"/>
                <w:sz w:val="18"/>
                <w:szCs w:val="18"/>
              </w:rPr>
              <w:t> Agilex</w:t>
            </w:r>
            <w:r>
              <w:rPr>
                <w:rFonts w:ascii="Arial" w:eastAsia="宋体" w:hAnsi="Arial" w:cs="Arial"/>
                <w:color w:val="333333"/>
                <w:sz w:val="12"/>
                <w:szCs w:val="12"/>
              </w:rPr>
              <w:t>TM</w:t>
            </w:r>
            <w:r>
              <w:rPr>
                <w:rFonts w:ascii="Arial" w:eastAsia="宋体" w:hAnsi="Arial" w:cs="Arial"/>
                <w:color w:val="333333"/>
                <w:sz w:val="18"/>
                <w:szCs w:val="18"/>
              </w:rPr>
              <w:t xml:space="preserve">, our first 10nm FPGA. We </w:t>
            </w:r>
            <w:r>
              <w:rPr>
                <w:rFonts w:ascii="Arial" w:eastAsia="宋体" w:hAnsi="Arial" w:cs="Arial"/>
                <w:color w:val="333333"/>
                <w:sz w:val="18"/>
                <w:szCs w:val="18"/>
              </w:rPr>
              <w:t xml:space="preserve">expect to deliver initial production shipments of our first 10nm-based </w:t>
            </w:r>
            <w:r>
              <w:rPr>
                <w:rFonts w:ascii="Arial" w:eastAsia="宋体" w:hAnsi="Arial" w:cs="Arial"/>
                <w:color w:val="333333"/>
                <w:sz w:val="18"/>
                <w:szCs w:val="18"/>
              </w:rPr>
              <w:lastRenderedPageBreak/>
              <w:t>Intel</w:t>
            </w:r>
            <w:r>
              <w:rPr>
                <w:rFonts w:ascii="Arial" w:eastAsia="宋体" w:hAnsi="Arial" w:cs="Arial"/>
                <w:color w:val="333333"/>
                <w:sz w:val="12"/>
                <w:szCs w:val="12"/>
              </w:rPr>
              <w:t>®</w:t>
            </w:r>
            <w:r>
              <w:rPr>
                <w:rFonts w:ascii="Arial" w:eastAsia="宋体" w:hAnsi="Arial" w:cs="Arial"/>
                <w:color w:val="333333"/>
                <w:sz w:val="18"/>
                <w:szCs w:val="18"/>
              </w:rPr>
              <w:t> Xeon</w:t>
            </w:r>
            <w:r>
              <w:rPr>
                <w:rFonts w:ascii="Arial" w:eastAsia="宋体" w:hAnsi="Arial" w:cs="Arial"/>
                <w:color w:val="333333"/>
                <w:sz w:val="12"/>
                <w:szCs w:val="12"/>
              </w:rPr>
              <w:t>®</w:t>
            </w:r>
            <w:r>
              <w:rPr>
                <w:rFonts w:ascii="Arial" w:eastAsia="宋体" w:hAnsi="Arial" w:cs="Arial"/>
                <w:color w:val="333333"/>
                <w:sz w:val="18"/>
                <w:szCs w:val="18"/>
              </w:rPr>
              <w:t> Scalable product, Ice Lake, in the latter part of 2020.</w:t>
            </w:r>
          </w:p>
          <w:p w14:paraId="4ACE23BD" w14:textId="77777777" w:rsidR="006F587A" w:rsidRDefault="006F587A">
            <w:pPr>
              <w:textAlignment w:val="top"/>
              <w:rPr>
                <w:rFonts w:ascii="Times New Roman" w:hAnsi="Times New Roman"/>
                <w:sz w:val="18"/>
                <w:szCs w:val="18"/>
              </w:rPr>
            </w:pPr>
          </w:p>
          <w:p w14:paraId="4ACE23BE" w14:textId="77777777" w:rsidR="006F587A" w:rsidRDefault="006F587A">
            <w:pPr>
              <w:textAlignment w:val="top"/>
              <w:rPr>
                <w:rFonts w:ascii="Times New Roman" w:hAnsi="Times New Roman"/>
                <w:sz w:val="18"/>
                <w:szCs w:val="18"/>
              </w:rPr>
            </w:pPr>
          </w:p>
          <w:p w14:paraId="4ACE23BF" w14:textId="77777777" w:rsidR="006F587A" w:rsidRDefault="006F587A">
            <w:pPr>
              <w:textAlignment w:val="top"/>
              <w:rPr>
                <w:rFonts w:ascii="Times New Roman" w:hAnsi="Times New Roman"/>
                <w:sz w:val="18"/>
                <w:szCs w:val="18"/>
              </w:rPr>
            </w:pPr>
          </w:p>
          <w:p w14:paraId="4ACE23C0" w14:textId="77777777" w:rsidR="006F587A" w:rsidRDefault="006F587A">
            <w:pPr>
              <w:textAlignment w:val="top"/>
              <w:rPr>
                <w:rFonts w:ascii="Times New Roman" w:hAnsi="Times New Roman"/>
                <w:sz w:val="18"/>
                <w:szCs w:val="18"/>
              </w:rPr>
            </w:pPr>
          </w:p>
          <w:p w14:paraId="4ACE23C1" w14:textId="77777777" w:rsidR="006F587A" w:rsidRDefault="006F587A">
            <w:pPr>
              <w:textAlignment w:val="top"/>
              <w:rPr>
                <w:rFonts w:ascii="Times New Roman" w:hAnsi="Times New Roman"/>
                <w:sz w:val="18"/>
                <w:szCs w:val="18"/>
              </w:rPr>
            </w:pPr>
          </w:p>
        </w:tc>
        <w:tc>
          <w:tcPr>
            <w:tcW w:w="0" w:type="auto"/>
            <w:vMerge w:val="restart"/>
            <w:shd w:val="clear" w:color="auto" w:fill="auto"/>
            <w:tcMar>
              <w:top w:w="40" w:type="dxa"/>
              <w:left w:w="40" w:type="dxa"/>
              <w:bottom w:w="40" w:type="dxa"/>
              <w:right w:w="40" w:type="dxa"/>
            </w:tcMar>
            <w:vAlign w:val="center"/>
          </w:tcPr>
          <w:p w14:paraId="4ACE23C2" w14:textId="77777777" w:rsidR="006F587A" w:rsidRDefault="007B2B61">
            <w:pPr>
              <w:jc w:val="center"/>
              <w:textAlignment w:val="center"/>
              <w:rPr>
                <w:rFonts w:ascii="Times New Roman" w:hAnsi="Times New Roman"/>
                <w:sz w:val="18"/>
                <w:szCs w:val="18"/>
              </w:rPr>
            </w:pPr>
            <w:r>
              <w:rPr>
                <w:rFonts w:ascii="Arial" w:eastAsia="宋体" w:hAnsi="Arial" w:cs="Arial"/>
                <w:color w:val="333333"/>
                <w:sz w:val="18"/>
                <w:szCs w:val="18"/>
              </w:rPr>
              <w:lastRenderedPageBreak/>
              <w:t>  </w:t>
            </w: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Viewer12_files/a023mikemayberrycircles.jpg"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C7B" wp14:editId="4ACE6C7C">
                  <wp:extent cx="304800" cy="304800"/>
                  <wp:effectExtent l="0" t="0" r="0" b="0"/>
                  <wp:docPr id="63" name="图片 89"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89" descr="IMG_29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p>
        </w:tc>
        <w:tc>
          <w:tcPr>
            <w:tcW w:w="0" w:type="auto"/>
            <w:vMerge w:val="restart"/>
            <w:shd w:val="clear" w:color="auto" w:fill="auto"/>
            <w:tcMar>
              <w:top w:w="40" w:type="dxa"/>
              <w:left w:w="40" w:type="dxa"/>
              <w:bottom w:w="40" w:type="dxa"/>
              <w:right w:w="40" w:type="dxa"/>
            </w:tcMar>
            <w:vAlign w:val="center"/>
          </w:tcPr>
          <w:p w14:paraId="4ACE23C3" w14:textId="77777777" w:rsidR="006F587A" w:rsidRDefault="007B2B61">
            <w:pPr>
              <w:textAlignment w:val="center"/>
              <w:rPr>
                <w:rFonts w:ascii="Times New Roman" w:hAnsi="Times New Roman"/>
                <w:sz w:val="18"/>
                <w:szCs w:val="18"/>
              </w:rPr>
            </w:pPr>
            <w:r>
              <w:rPr>
                <w:rFonts w:ascii="Arial" w:eastAsia="宋体" w:hAnsi="Arial" w:cs="Arial"/>
                <w:b/>
                <w:bCs/>
                <w:i/>
                <w:iCs/>
                <w:color w:val="333333"/>
                <w:sz w:val="18"/>
                <w:szCs w:val="18"/>
              </w:rPr>
              <w:t>"Our technology and innovation pipeline is as full and as strong as it’s ever been. By embracing our e</w:t>
            </w:r>
            <w:r>
              <w:rPr>
                <w:rFonts w:ascii="Arial" w:eastAsia="宋体" w:hAnsi="Arial" w:cs="Arial"/>
                <w:b/>
                <w:bCs/>
                <w:i/>
                <w:iCs/>
                <w:color w:val="333333"/>
                <w:sz w:val="18"/>
                <w:szCs w:val="18"/>
              </w:rPr>
              <w:t>cosystems and delivering new capability on a predictable cadence, we will continue to drive Moore’s Law forward and create compelling products for our customers.”</w:t>
            </w:r>
            <w:r>
              <w:rPr>
                <w:rFonts w:ascii="Arial" w:eastAsia="宋体" w:hAnsi="Arial" w:cs="Arial"/>
                <w:b/>
                <w:bCs/>
                <w:i/>
                <w:iCs/>
                <w:color w:val="333333"/>
                <w:sz w:val="18"/>
                <w:szCs w:val="18"/>
              </w:rPr>
              <w:br/>
            </w:r>
            <w:r>
              <w:rPr>
                <w:rFonts w:ascii="Arial" w:eastAsia="宋体" w:hAnsi="Arial" w:cs="Arial"/>
                <w:b/>
                <w:bCs/>
                <w:color w:val="333333"/>
                <w:sz w:val="18"/>
                <w:szCs w:val="18"/>
              </w:rPr>
              <w:br/>
              <w:t xml:space="preserve">—Mike Mayberry, </w:t>
            </w:r>
            <w:r>
              <w:rPr>
                <w:rFonts w:ascii="Arial" w:eastAsia="宋体" w:hAnsi="Arial" w:cs="Arial"/>
                <w:color w:val="333333"/>
                <w:sz w:val="18"/>
                <w:szCs w:val="18"/>
              </w:rPr>
              <w:t xml:space="preserve">Senior Vice President, Chief Technology Officer and General Manager of </w:t>
            </w:r>
            <w:r>
              <w:rPr>
                <w:rFonts w:ascii="Arial" w:eastAsia="宋体" w:hAnsi="Arial" w:cs="Arial"/>
                <w:color w:val="333333"/>
                <w:sz w:val="18"/>
                <w:szCs w:val="18"/>
              </w:rPr>
              <w:lastRenderedPageBreak/>
              <w:t>Techn</w:t>
            </w:r>
            <w:r>
              <w:rPr>
                <w:rFonts w:ascii="Arial" w:eastAsia="宋体" w:hAnsi="Arial" w:cs="Arial"/>
                <w:color w:val="333333"/>
                <w:sz w:val="18"/>
                <w:szCs w:val="18"/>
              </w:rPr>
              <w:t>ology Development</w:t>
            </w:r>
          </w:p>
        </w:tc>
      </w:tr>
      <w:tr w:rsidR="006F587A" w14:paraId="4ACE23C9" w14:textId="77777777">
        <w:tc>
          <w:tcPr>
            <w:tcW w:w="0" w:type="auto"/>
            <w:shd w:val="clear" w:color="auto" w:fill="auto"/>
            <w:vAlign w:val="center"/>
          </w:tcPr>
          <w:p w14:paraId="4ACE23C5" w14:textId="77777777" w:rsidR="006F587A" w:rsidRDefault="007B2B61">
            <w:pPr>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tcPr>
          <w:p w14:paraId="4ACE23C6" w14:textId="77777777" w:rsidR="006F587A" w:rsidRDefault="006F587A">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center"/>
          </w:tcPr>
          <w:p w14:paraId="4ACE23C7" w14:textId="77777777" w:rsidR="006F587A" w:rsidRDefault="006F587A">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center"/>
          </w:tcPr>
          <w:p w14:paraId="4ACE23C8" w14:textId="77777777" w:rsidR="006F587A" w:rsidRDefault="006F587A">
            <w:pPr>
              <w:rPr>
                <w:rFonts w:ascii="Times New Roman" w:hAnsi="Times New Roman"/>
                <w:sz w:val="20"/>
                <w:szCs w:val="20"/>
              </w:rPr>
            </w:pPr>
          </w:p>
        </w:tc>
      </w:tr>
    </w:tbl>
    <w:p w14:paraId="4ACE23CA" w14:textId="77777777" w:rsidR="006F587A" w:rsidRDefault="007B2B61">
      <w:r>
        <w:rPr>
          <w:rFonts w:ascii="Arial" w:eastAsia="宋体" w:hAnsi="Arial" w:cs="Arial"/>
          <w:color w:val="333333"/>
          <w:sz w:val="18"/>
          <w:szCs w:val="18"/>
        </w:rPr>
        <w:t xml:space="preserve">We are on track to deliver our first 7nm-based product, a data center-focused discrete GPU, at the end of 2021. We are approaching next-generation process nodes with a focus on striking an optimal balance between schedule, </w:t>
      </w:r>
      <w:r>
        <w:rPr>
          <w:rFonts w:ascii="Arial" w:eastAsia="宋体" w:hAnsi="Arial" w:cs="Arial"/>
          <w:color w:val="333333"/>
          <w:sz w:val="18"/>
          <w:szCs w:val="18"/>
        </w:rPr>
        <w:t>performance, power, and cost and will continue to drive intra-node advancement.</w:t>
      </w:r>
    </w:p>
    <w:p w14:paraId="4ACE23CB" w14:textId="77777777" w:rsidR="006F587A" w:rsidRDefault="007B2B61">
      <w:pPr>
        <w:spacing w:line="288" w:lineRule="auto"/>
        <w:rPr>
          <w:rFonts w:ascii="Times New Roman" w:hAnsi="Times New Roman"/>
        </w:rPr>
      </w:pPr>
      <w:r>
        <w:rPr>
          <w:rFonts w:ascii="Arial" w:eastAsia="宋体" w:hAnsi="Arial" w:cs="Arial"/>
          <w:b/>
          <w:bCs/>
          <w:color w:val="0071C5"/>
        </w:rPr>
        <w:t>NETWORK AND SUPPLY CHAIN</w:t>
      </w:r>
    </w:p>
    <w:p w14:paraId="4ACE23CC"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We previously announced multiple manufacturing site expansions with multi-year construction activities that began in 2019. In addition to </w:t>
      </w:r>
      <w:r>
        <w:rPr>
          <w:rFonts w:ascii="Arial" w:eastAsia="宋体" w:hAnsi="Arial" w:cs="Arial"/>
          <w:color w:val="333333"/>
          <w:sz w:val="18"/>
          <w:szCs w:val="18"/>
        </w:rPr>
        <w:t>expanding our own manufacturing capability, we are increasing our use of foundries to enable our differentiated manufacturing to produce more CPU products. We use third-party foundries to manufacture wafers for certain components and leverage subcontractor</w:t>
      </w:r>
      <w:r>
        <w:rPr>
          <w:rFonts w:ascii="Arial" w:eastAsia="宋体" w:hAnsi="Arial" w:cs="Arial"/>
          <w:color w:val="333333"/>
          <w:sz w:val="18"/>
          <w:szCs w:val="18"/>
        </w:rPr>
        <w:t>s to augment capacity to perform assembly and test in addition to our in-house manufacturing, primarily for chipsets and adjacent products. As we considered the estimated $300 billion TAM</w:t>
      </w:r>
      <w:r>
        <w:rPr>
          <w:rFonts w:ascii="Arial" w:eastAsia="宋体" w:hAnsi="Arial" w:cs="Arial"/>
          <w:color w:val="333333"/>
          <w:sz w:val="12"/>
          <w:szCs w:val="12"/>
        </w:rPr>
        <w:t>1</w:t>
      </w:r>
      <w:r>
        <w:rPr>
          <w:rFonts w:ascii="Arial" w:eastAsia="宋体" w:hAnsi="Arial" w:cs="Arial"/>
          <w:color w:val="333333"/>
          <w:sz w:val="18"/>
          <w:szCs w:val="18"/>
        </w:rPr>
        <w:t xml:space="preserve"> opportunity ahead of us, it was imperative that we prepare our global manufacturing network to be responsive to changes in demand. However, despite increasing 14nm wafer capacity, we did not see a commensurate increase in client CPU unit volume as wafer c</w:t>
      </w:r>
      <w:r>
        <w:rPr>
          <w:rFonts w:ascii="Arial" w:eastAsia="宋体" w:hAnsi="Arial" w:cs="Arial"/>
          <w:color w:val="333333"/>
          <w:sz w:val="18"/>
          <w:szCs w:val="18"/>
        </w:rPr>
        <w:t xml:space="preserve">apacity was largely consumed by increases in modem and chipset volumes, and unit die sizes. Our focus on capacity expansion and meeting customer expectations is critical as we move into 2020. </w:t>
      </w:r>
    </w:p>
    <w:tbl>
      <w:tblPr>
        <w:tblW w:w="5000" w:type="pct"/>
        <w:tblCellMar>
          <w:left w:w="0" w:type="dxa"/>
          <w:right w:w="0" w:type="dxa"/>
        </w:tblCellMar>
        <w:tblLook w:val="04A0" w:firstRow="1" w:lastRow="0" w:firstColumn="1" w:lastColumn="0" w:noHBand="0" w:noVBand="1"/>
      </w:tblPr>
      <w:tblGrid>
        <w:gridCol w:w="2243"/>
        <w:gridCol w:w="6063"/>
      </w:tblGrid>
      <w:tr w:rsidR="006F587A" w14:paraId="4ACE23CE" w14:textId="77777777">
        <w:tc>
          <w:tcPr>
            <w:tcW w:w="0" w:type="auto"/>
            <w:gridSpan w:val="2"/>
            <w:shd w:val="clear" w:color="auto" w:fill="auto"/>
            <w:vAlign w:val="center"/>
          </w:tcPr>
          <w:p w14:paraId="4ACE23CD" w14:textId="77777777" w:rsidR="006F587A" w:rsidRDefault="006F587A">
            <w:pPr>
              <w:rPr>
                <w:rFonts w:ascii="Times New Roman" w:hAnsi="Times New Roman"/>
                <w:sz w:val="20"/>
                <w:szCs w:val="20"/>
              </w:rPr>
            </w:pPr>
          </w:p>
        </w:tc>
      </w:tr>
      <w:tr w:rsidR="006F587A" w14:paraId="4ACE23D1" w14:textId="77777777">
        <w:tc>
          <w:tcPr>
            <w:tcW w:w="1350" w:type="pct"/>
            <w:shd w:val="clear" w:color="auto" w:fill="auto"/>
            <w:vAlign w:val="center"/>
          </w:tcPr>
          <w:p w14:paraId="4ACE23CF" w14:textId="77777777" w:rsidR="006F587A" w:rsidRDefault="006F587A">
            <w:pPr>
              <w:rPr>
                <w:rFonts w:ascii="Times New Roman" w:hAnsi="Times New Roman"/>
                <w:sz w:val="20"/>
                <w:szCs w:val="20"/>
              </w:rPr>
            </w:pPr>
          </w:p>
        </w:tc>
        <w:tc>
          <w:tcPr>
            <w:tcW w:w="3650" w:type="pct"/>
            <w:shd w:val="clear" w:color="auto" w:fill="auto"/>
            <w:vAlign w:val="center"/>
          </w:tcPr>
          <w:p w14:paraId="4ACE23D0" w14:textId="77777777" w:rsidR="006F587A" w:rsidRDefault="006F587A">
            <w:pPr>
              <w:rPr>
                <w:rFonts w:ascii="Times New Roman" w:hAnsi="Times New Roman"/>
                <w:sz w:val="20"/>
                <w:szCs w:val="20"/>
              </w:rPr>
            </w:pPr>
          </w:p>
        </w:tc>
      </w:tr>
      <w:tr w:rsidR="006F587A" w14:paraId="4ACE23D8" w14:textId="77777777">
        <w:tc>
          <w:tcPr>
            <w:tcW w:w="0" w:type="auto"/>
            <w:shd w:val="clear" w:color="auto" w:fill="auto"/>
            <w:tcMar>
              <w:top w:w="40" w:type="dxa"/>
              <w:left w:w="40" w:type="dxa"/>
              <w:bottom w:w="40" w:type="dxa"/>
              <w:right w:w="40" w:type="dxa"/>
            </w:tcMar>
          </w:tcPr>
          <w:p w14:paraId="4ACE23D2"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We have nine manufacturing sites—six are wafer fabrication</w:t>
            </w:r>
            <w:r>
              <w:rPr>
                <w:rFonts w:ascii="Arial" w:eastAsia="宋体" w:hAnsi="Arial" w:cs="Arial"/>
                <w:color w:val="333333"/>
                <w:sz w:val="18"/>
                <w:szCs w:val="18"/>
              </w:rPr>
              <w:t xml:space="preserve"> and three are assembly/test facilities. The map marks our manufacturing sites and the countries where we have a significant R&amp;D or sales and marketing presence.</w:t>
            </w:r>
          </w:p>
          <w:p w14:paraId="4ACE23D3"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The majority of our logic wafer manufacturing is conducted in the U.S. We incur factory start-</w:t>
            </w:r>
            <w:r>
              <w:rPr>
                <w:rFonts w:ascii="Arial" w:eastAsia="宋体" w:hAnsi="Arial" w:cs="Arial"/>
                <w:color w:val="333333"/>
                <w:sz w:val="18"/>
                <w:szCs w:val="18"/>
              </w:rPr>
              <w:t>up costs as we ramp facilities for new process technologies. We ramped the 10nm process node in Oregon and Israel in 2019, and began production in Arizona in our 2020 fiscal year. We also expanded our memory facilities in Dalian, China.</w:t>
            </w:r>
          </w:p>
          <w:p w14:paraId="4ACE23D4" w14:textId="77777777" w:rsidR="006F587A" w:rsidRDefault="006F587A">
            <w:pPr>
              <w:textAlignment w:val="top"/>
              <w:rPr>
                <w:rFonts w:ascii="Times New Roman" w:hAnsi="Times New Roman"/>
                <w:sz w:val="18"/>
                <w:szCs w:val="18"/>
              </w:rPr>
            </w:pPr>
          </w:p>
          <w:p w14:paraId="4ACE23D5" w14:textId="77777777" w:rsidR="006F587A" w:rsidRDefault="006F587A">
            <w:pPr>
              <w:textAlignment w:val="top"/>
              <w:rPr>
                <w:rFonts w:ascii="Times New Roman" w:hAnsi="Times New Roman"/>
                <w:sz w:val="18"/>
                <w:szCs w:val="18"/>
              </w:rPr>
            </w:pPr>
          </w:p>
          <w:p w14:paraId="4ACE23D6" w14:textId="77777777" w:rsidR="006F587A" w:rsidRDefault="006F587A">
            <w:pPr>
              <w:textAlignment w:val="top"/>
              <w:rPr>
                <w:rFonts w:ascii="Times New Roman" w:hAnsi="Times New Roman"/>
                <w:sz w:val="18"/>
                <w:szCs w:val="18"/>
              </w:rPr>
            </w:pPr>
          </w:p>
        </w:tc>
        <w:tc>
          <w:tcPr>
            <w:tcW w:w="0" w:type="auto"/>
            <w:shd w:val="clear" w:color="auto" w:fill="auto"/>
            <w:tcMar>
              <w:top w:w="40" w:type="dxa"/>
              <w:left w:w="40" w:type="dxa"/>
              <w:bottom w:w="40" w:type="dxa"/>
              <w:right w:w="40" w:type="dxa"/>
            </w:tcMar>
            <w:vAlign w:val="center"/>
          </w:tcPr>
          <w:p w14:paraId="4ACE23D7" w14:textId="77777777" w:rsidR="006F587A" w:rsidRDefault="007B2B61">
            <w:pPr>
              <w:jc w:val="center"/>
              <w:textAlignment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INCLUDEPICTURE \</w:instrText>
            </w:r>
            <w:r>
              <w:rPr>
                <w:rFonts w:ascii="Times New Roman" w:eastAsia="宋体" w:hAnsi="Times New Roman"/>
                <w:sz w:val="20"/>
                <w:szCs w:val="20"/>
              </w:rPr>
              <w:instrText xml:space="preserve">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Viewer12_files/a024worldmap_2019test.jpg"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7D" wp14:editId="4ACE6C7E">
                  <wp:extent cx="304800" cy="304800"/>
                  <wp:effectExtent l="0" t="0" r="0" b="0"/>
                  <wp:docPr id="137" name="图片 90"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90" descr="IMG_30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r>
    </w:tbl>
    <w:p w14:paraId="4ACE23D9"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Our manufacturing facilities are primarily used for silicon wafer manufacturing of our platform and memory </w:t>
      </w:r>
      <w:r>
        <w:rPr>
          <w:rFonts w:ascii="Arial" w:eastAsia="宋体" w:hAnsi="Arial" w:cs="Arial"/>
          <w:color w:val="333333"/>
          <w:sz w:val="18"/>
          <w:szCs w:val="18"/>
        </w:rPr>
        <w:t>products. These facilities are built following a “copy exactly” methodology, whereby new process technologies are transferred identically from a central development fab to each manufacturing facility. This enables fast ramp of the operation as well as bett</w:t>
      </w:r>
      <w:r>
        <w:rPr>
          <w:rFonts w:ascii="Arial" w:eastAsia="宋体" w:hAnsi="Arial" w:cs="Arial"/>
          <w:color w:val="333333"/>
          <w:sz w:val="18"/>
          <w:szCs w:val="18"/>
        </w:rPr>
        <w:t>er quality control. These wafer fabs operate in a network of manufacturing facilities integrated as one factory to provide the most flexible supply capacity, allowing us to better analyze our production costs and adapt to changes in capacity needs.</w:t>
      </w:r>
    </w:p>
    <w:p w14:paraId="4ACE23DA"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In 2019</w:t>
      </w:r>
      <w:r>
        <w:rPr>
          <w:rFonts w:ascii="Arial" w:eastAsia="宋体" w:hAnsi="Arial" w:cs="Arial"/>
          <w:color w:val="333333"/>
          <w:sz w:val="18"/>
          <w:szCs w:val="18"/>
        </w:rPr>
        <w:t>, we ramped 96-layer 3D NAND technology and prepared to begin manufacturing our 144-layer 3D NAND technology in 2020 in our facility in Dalian, China. The next generation of Intel</w:t>
      </w:r>
      <w:r>
        <w:rPr>
          <w:rFonts w:ascii="Arial" w:eastAsia="宋体" w:hAnsi="Arial" w:cs="Arial"/>
          <w:color w:val="333333"/>
          <w:sz w:val="12"/>
          <w:szCs w:val="12"/>
        </w:rPr>
        <w:t>®</w:t>
      </w:r>
      <w:r>
        <w:rPr>
          <w:rFonts w:ascii="Arial" w:eastAsia="宋体" w:hAnsi="Arial" w:cs="Arial"/>
          <w:color w:val="333333"/>
          <w:sz w:val="18"/>
          <w:szCs w:val="18"/>
        </w:rPr>
        <w:t xml:space="preserve"> Optane™ technology and SSDs are being developed in New Mexico following the</w:t>
      </w:r>
      <w:r>
        <w:rPr>
          <w:rFonts w:ascii="Arial" w:eastAsia="宋体" w:hAnsi="Arial" w:cs="Arial"/>
          <w:color w:val="333333"/>
          <w:sz w:val="18"/>
          <w:szCs w:val="18"/>
        </w:rPr>
        <w:t xml:space="preserve"> sale of our non-controlling </w:t>
      </w:r>
      <w:r>
        <w:rPr>
          <w:rFonts w:ascii="Arial" w:eastAsia="宋体" w:hAnsi="Arial" w:cs="Arial"/>
          <w:color w:val="333333"/>
          <w:sz w:val="18"/>
          <w:szCs w:val="18"/>
        </w:rPr>
        <w:lastRenderedPageBreak/>
        <w:t>interest in IMFT to Micron on October 31, 2019. We will continue to purchase product manufactured by Micron at the IMFT facility under established supply agreements.</w:t>
      </w:r>
    </w:p>
    <w:p w14:paraId="4ACE23DB" w14:textId="77777777" w:rsidR="006F587A" w:rsidRDefault="007B2B61">
      <w:pPr>
        <w:spacing w:line="288" w:lineRule="auto"/>
        <w:rPr>
          <w:rFonts w:ascii="Times New Roman" w:hAnsi="Times New Roman"/>
          <w:sz w:val="16"/>
          <w:szCs w:val="16"/>
        </w:rPr>
      </w:pPr>
      <w:r>
        <w:rPr>
          <w:rFonts w:ascii="Arial" w:eastAsia="宋体" w:hAnsi="Arial" w:cs="Arial"/>
          <w:i/>
          <w:iCs/>
          <w:color w:val="333333"/>
          <w:sz w:val="10"/>
          <w:szCs w:val="10"/>
        </w:rPr>
        <w:t xml:space="preserve">1 </w:t>
      </w:r>
      <w:r>
        <w:rPr>
          <w:rFonts w:ascii="Arial" w:eastAsia="宋体" w:hAnsi="Arial" w:cs="Arial"/>
          <w:i/>
          <w:iCs/>
          <w:color w:val="333333"/>
          <w:sz w:val="16"/>
          <w:szCs w:val="16"/>
        </w:rPr>
        <w:t>Source: Intel calculated 2024 TAM derived from industry ana</w:t>
      </w:r>
      <w:r>
        <w:rPr>
          <w:rFonts w:ascii="Arial" w:eastAsia="宋体" w:hAnsi="Arial" w:cs="Arial"/>
          <w:i/>
          <w:iCs/>
          <w:color w:val="333333"/>
          <w:sz w:val="16"/>
          <w:szCs w:val="16"/>
        </w:rPr>
        <w:t xml:space="preserve">lyst reports. </w:t>
      </w:r>
    </w:p>
    <w:p w14:paraId="4ACE23DC"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492"/>
        <w:gridCol w:w="2658"/>
        <w:gridCol w:w="3156"/>
      </w:tblGrid>
      <w:tr w:rsidR="006F587A" w14:paraId="4ACE23DE" w14:textId="77777777">
        <w:tc>
          <w:tcPr>
            <w:tcW w:w="0" w:type="auto"/>
            <w:gridSpan w:val="3"/>
            <w:shd w:val="clear" w:color="auto" w:fill="auto"/>
            <w:vAlign w:val="center"/>
          </w:tcPr>
          <w:p w14:paraId="4ACE23DD" w14:textId="77777777" w:rsidR="006F587A" w:rsidRDefault="006F587A">
            <w:pPr>
              <w:rPr>
                <w:rFonts w:ascii="Times New Roman" w:hAnsi="Times New Roman"/>
                <w:sz w:val="20"/>
                <w:szCs w:val="20"/>
              </w:rPr>
            </w:pPr>
          </w:p>
        </w:tc>
      </w:tr>
      <w:tr w:rsidR="006F587A" w14:paraId="4ACE23E2" w14:textId="77777777">
        <w:tc>
          <w:tcPr>
            <w:tcW w:w="1500" w:type="pct"/>
            <w:shd w:val="clear" w:color="auto" w:fill="auto"/>
            <w:vAlign w:val="center"/>
          </w:tcPr>
          <w:p w14:paraId="4ACE23DF" w14:textId="77777777" w:rsidR="006F587A" w:rsidRDefault="006F587A">
            <w:pPr>
              <w:rPr>
                <w:rFonts w:ascii="Times New Roman" w:hAnsi="Times New Roman"/>
                <w:sz w:val="20"/>
                <w:szCs w:val="20"/>
              </w:rPr>
            </w:pPr>
          </w:p>
        </w:tc>
        <w:tc>
          <w:tcPr>
            <w:tcW w:w="1600" w:type="pct"/>
            <w:shd w:val="clear" w:color="auto" w:fill="auto"/>
            <w:vAlign w:val="center"/>
          </w:tcPr>
          <w:p w14:paraId="4ACE23E0" w14:textId="77777777" w:rsidR="006F587A" w:rsidRDefault="006F587A">
            <w:pPr>
              <w:rPr>
                <w:rFonts w:ascii="Times New Roman" w:hAnsi="Times New Roman"/>
                <w:sz w:val="20"/>
                <w:szCs w:val="20"/>
              </w:rPr>
            </w:pPr>
          </w:p>
        </w:tc>
        <w:tc>
          <w:tcPr>
            <w:tcW w:w="1900" w:type="pct"/>
            <w:shd w:val="clear" w:color="auto" w:fill="auto"/>
            <w:vAlign w:val="center"/>
          </w:tcPr>
          <w:p w14:paraId="4ACE23E1" w14:textId="77777777" w:rsidR="006F587A" w:rsidRDefault="006F587A">
            <w:pPr>
              <w:rPr>
                <w:rFonts w:ascii="Times New Roman" w:hAnsi="Times New Roman"/>
                <w:sz w:val="20"/>
                <w:szCs w:val="20"/>
              </w:rPr>
            </w:pPr>
          </w:p>
        </w:tc>
      </w:tr>
      <w:tr w:rsidR="006F587A" w14:paraId="4ACE23E7" w14:textId="77777777">
        <w:tc>
          <w:tcPr>
            <w:tcW w:w="0" w:type="auto"/>
            <w:tcBorders>
              <w:top w:val="single" w:sz="8" w:space="0" w:color="0071C5"/>
              <w:right w:val="single" w:sz="36" w:space="0" w:color="0071C5"/>
            </w:tcBorders>
            <w:shd w:val="clear" w:color="auto" w:fill="auto"/>
            <w:tcMar>
              <w:top w:w="40" w:type="dxa"/>
              <w:left w:w="40" w:type="dxa"/>
              <w:bottom w:w="40" w:type="dxa"/>
              <w:right w:w="40" w:type="dxa"/>
            </w:tcMar>
            <w:vAlign w:val="center"/>
          </w:tcPr>
          <w:p w14:paraId="4ACE23E3" w14:textId="77777777" w:rsidR="006F587A" w:rsidRDefault="007B2B61">
            <w:pPr>
              <w:textAlignment w:val="center"/>
              <w:rPr>
                <w:rFonts w:ascii="Times New Roman" w:hAnsi="Times New Roman"/>
                <w:sz w:val="18"/>
                <w:szCs w:val="18"/>
              </w:rPr>
            </w:pP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Viewer12_files/a001intellogo_coverfooter.jpg"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C7F" wp14:editId="4ACE6C80">
                  <wp:extent cx="304800" cy="304800"/>
                  <wp:effectExtent l="0" t="0" r="0" b="0"/>
                  <wp:docPr id="57" name="图片 91"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91"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r>
              <w:rPr>
                <w:rFonts w:ascii="Arial" w:eastAsia="宋体" w:hAnsi="Arial" w:cs="Arial"/>
                <w:color w:val="333333"/>
                <w:sz w:val="18"/>
                <w:szCs w:val="18"/>
              </w:rPr>
              <w:t>  </w:t>
            </w:r>
            <w:r>
              <w:rPr>
                <w:rFonts w:ascii="Arial" w:eastAsia="宋体" w:hAnsi="Arial" w:cs="Arial"/>
                <w:color w:val="333333"/>
                <w:sz w:val="16"/>
                <w:szCs w:val="16"/>
              </w:rPr>
              <w:t>FUNDAMENTALS OF OUR BUSINESS</w:t>
            </w:r>
          </w:p>
        </w:tc>
        <w:tc>
          <w:tcPr>
            <w:tcW w:w="0" w:type="auto"/>
            <w:tcBorders>
              <w:top w:val="single" w:sz="8" w:space="0" w:color="0071C5"/>
            </w:tcBorders>
            <w:shd w:val="clear" w:color="auto" w:fill="auto"/>
            <w:tcMar>
              <w:top w:w="40" w:type="dxa"/>
              <w:left w:w="40" w:type="dxa"/>
              <w:bottom w:w="40" w:type="dxa"/>
              <w:right w:w="40" w:type="dxa"/>
            </w:tcMar>
            <w:vAlign w:val="center"/>
          </w:tcPr>
          <w:p w14:paraId="4ACE23E4" w14:textId="77777777" w:rsidR="006F587A" w:rsidRDefault="007B2B61">
            <w:pPr>
              <w:textAlignment w:val="center"/>
              <w:rPr>
                <w:rFonts w:ascii="Times New Roman" w:hAnsi="Times New Roman"/>
                <w:sz w:val="16"/>
                <w:szCs w:val="16"/>
              </w:rPr>
            </w:pPr>
            <w:r>
              <w:rPr>
                <w:rFonts w:ascii="Arial" w:eastAsia="宋体" w:hAnsi="Arial" w:cs="Arial"/>
                <w:color w:val="333333"/>
                <w:sz w:val="16"/>
                <w:szCs w:val="16"/>
              </w:rPr>
              <w:t xml:space="preserve"> Our Capital </w:t>
            </w:r>
          </w:p>
        </w:tc>
        <w:tc>
          <w:tcPr>
            <w:tcW w:w="0" w:type="auto"/>
            <w:tcBorders>
              <w:top w:val="single" w:sz="8" w:space="0" w:color="0071C5"/>
            </w:tcBorders>
            <w:shd w:val="clear" w:color="auto" w:fill="auto"/>
            <w:tcMar>
              <w:top w:w="40" w:type="dxa"/>
              <w:left w:w="40" w:type="dxa"/>
              <w:bottom w:w="40" w:type="dxa"/>
              <w:right w:w="40" w:type="dxa"/>
            </w:tcMar>
            <w:vAlign w:val="center"/>
          </w:tcPr>
          <w:p w14:paraId="4ACE23E5" w14:textId="77777777" w:rsidR="006F587A" w:rsidRDefault="007B2B61">
            <w:pPr>
              <w:jc w:val="right"/>
              <w:textAlignment w:val="center"/>
              <w:rPr>
                <w:rFonts w:ascii="Times New Roman" w:hAnsi="Times New Roman"/>
                <w:sz w:val="16"/>
                <w:szCs w:val="16"/>
              </w:rPr>
            </w:pPr>
            <w:r>
              <w:rPr>
                <w:rFonts w:ascii="Arial" w:eastAsia="宋体" w:hAnsi="Arial" w:cs="Arial"/>
                <w:color w:val="333333"/>
                <w:sz w:val="16"/>
                <w:szCs w:val="16"/>
              </w:rPr>
              <w:t>11</w:t>
            </w:r>
          </w:p>
          <w:p w14:paraId="4ACE23E6" w14:textId="77777777" w:rsidR="006F587A" w:rsidRDefault="006F587A">
            <w:pPr>
              <w:jc w:val="right"/>
              <w:textAlignment w:val="center"/>
              <w:rPr>
                <w:rFonts w:ascii="Times New Roman" w:hAnsi="Times New Roman"/>
                <w:sz w:val="16"/>
                <w:szCs w:val="16"/>
              </w:rPr>
            </w:pPr>
          </w:p>
        </w:tc>
      </w:tr>
    </w:tbl>
    <w:p w14:paraId="4ACE23E8" w14:textId="77777777" w:rsidR="006F587A" w:rsidRDefault="007B2B61">
      <w:r>
        <w:pict w14:anchorId="4ACE6C81">
          <v:rect id="_x0000_i1037" style="width:415.3pt;height:1.5pt" o:hralign="center" o:hrstd="t" o:hr="t" fillcolor="#a0a0a0" stroked="f"/>
        </w:pict>
      </w:r>
    </w:p>
    <w:p w14:paraId="4ACE23E9" w14:textId="77777777" w:rsidR="006F587A" w:rsidRDefault="007B2B61">
      <w:pPr>
        <w:spacing w:line="288" w:lineRule="auto"/>
        <w:jc w:val="right"/>
        <w:rPr>
          <w:rFonts w:ascii="Times New Roman" w:hAnsi="Times New Roman"/>
          <w:sz w:val="16"/>
          <w:szCs w:val="16"/>
        </w:rPr>
      </w:pPr>
      <w:hyperlink r:id="rId46" w:anchor="s9DB683E2CF52561EB8A73BE37F5BF9BE" w:history="1">
        <w:r>
          <w:rPr>
            <w:rStyle w:val="a5"/>
            <w:rFonts w:ascii="Arial" w:eastAsia="宋体" w:hAnsi="Arial" w:cs="Arial"/>
            <w:b/>
            <w:bCs/>
            <w:sz w:val="16"/>
            <w:szCs w:val="16"/>
          </w:rPr>
          <w:t>Table of Contents</w:t>
        </w:r>
      </w:hyperlink>
    </w:p>
    <w:p w14:paraId="4ACE23EA" w14:textId="77777777" w:rsidR="006F587A" w:rsidRDefault="006F587A">
      <w:pPr>
        <w:spacing w:line="288" w:lineRule="auto"/>
        <w:jc w:val="right"/>
        <w:rPr>
          <w:rFonts w:ascii="Times New Roman" w:hAnsi="Times New Roman"/>
          <w:sz w:val="16"/>
          <w:szCs w:val="16"/>
        </w:rPr>
      </w:pPr>
    </w:p>
    <w:p w14:paraId="4ACE23EB" w14:textId="77777777" w:rsidR="006F587A" w:rsidRDefault="006F587A">
      <w:pPr>
        <w:rPr>
          <w:rFonts w:ascii="Times New Roman" w:hAnsi="Times New Roman"/>
          <w:sz w:val="20"/>
          <w:szCs w:val="20"/>
        </w:rPr>
      </w:pPr>
    </w:p>
    <w:tbl>
      <w:tblPr>
        <w:tblW w:w="14640" w:type="dxa"/>
        <w:tblCellMar>
          <w:left w:w="0" w:type="dxa"/>
          <w:right w:w="0" w:type="dxa"/>
        </w:tblCellMar>
        <w:tblLook w:val="04A0" w:firstRow="1" w:lastRow="0" w:firstColumn="1" w:lastColumn="0" w:noHBand="0" w:noVBand="1"/>
      </w:tblPr>
      <w:tblGrid>
        <w:gridCol w:w="1081"/>
        <w:gridCol w:w="13559"/>
      </w:tblGrid>
      <w:tr w:rsidR="006F587A" w14:paraId="4ACE23ED" w14:textId="77777777">
        <w:tc>
          <w:tcPr>
            <w:tcW w:w="0" w:type="auto"/>
            <w:gridSpan w:val="2"/>
            <w:shd w:val="clear" w:color="auto" w:fill="auto"/>
            <w:vAlign w:val="center"/>
          </w:tcPr>
          <w:p w14:paraId="4ACE23EC" w14:textId="77777777" w:rsidR="006F587A" w:rsidRDefault="006F587A">
            <w:pPr>
              <w:rPr>
                <w:rFonts w:ascii="Times New Roman" w:hAnsi="Times New Roman"/>
                <w:sz w:val="20"/>
                <w:szCs w:val="20"/>
              </w:rPr>
            </w:pPr>
          </w:p>
        </w:tc>
      </w:tr>
      <w:tr w:rsidR="006F587A" w14:paraId="4ACE23F0" w14:textId="77777777">
        <w:tc>
          <w:tcPr>
            <w:tcW w:w="1080" w:type="dxa"/>
            <w:shd w:val="clear" w:color="auto" w:fill="auto"/>
            <w:vAlign w:val="center"/>
          </w:tcPr>
          <w:p w14:paraId="4ACE23EE" w14:textId="77777777" w:rsidR="006F587A" w:rsidRDefault="006F587A">
            <w:pPr>
              <w:rPr>
                <w:rFonts w:ascii="Times New Roman" w:hAnsi="Times New Roman"/>
                <w:sz w:val="20"/>
                <w:szCs w:val="20"/>
              </w:rPr>
            </w:pPr>
          </w:p>
        </w:tc>
        <w:tc>
          <w:tcPr>
            <w:tcW w:w="13540" w:type="dxa"/>
            <w:shd w:val="clear" w:color="auto" w:fill="auto"/>
            <w:vAlign w:val="center"/>
          </w:tcPr>
          <w:p w14:paraId="4ACE23EF" w14:textId="77777777" w:rsidR="006F587A" w:rsidRDefault="006F587A">
            <w:pPr>
              <w:rPr>
                <w:rFonts w:ascii="Times New Roman" w:hAnsi="Times New Roman"/>
                <w:sz w:val="20"/>
                <w:szCs w:val="20"/>
              </w:rPr>
            </w:pPr>
          </w:p>
        </w:tc>
      </w:tr>
      <w:tr w:rsidR="006F587A" w14:paraId="4ACE23F5" w14:textId="77777777">
        <w:tc>
          <w:tcPr>
            <w:tcW w:w="0" w:type="auto"/>
            <w:shd w:val="clear" w:color="auto" w:fill="auto"/>
            <w:tcMar>
              <w:top w:w="40" w:type="dxa"/>
              <w:left w:w="40" w:type="dxa"/>
              <w:bottom w:w="40" w:type="dxa"/>
              <w:right w:w="40" w:type="dxa"/>
            </w:tcMar>
            <w:vAlign w:val="center"/>
          </w:tcPr>
          <w:p w14:paraId="4ACE23F1" w14:textId="77777777" w:rsidR="006F587A" w:rsidRDefault="007B2B61">
            <w:pPr>
              <w:jc w:val="center"/>
              <w:textAlignment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Viewer12_files/a019humanicona13.jpg"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82" wp14:editId="4ACE6C83">
                  <wp:extent cx="304800" cy="304800"/>
                  <wp:effectExtent l="0" t="0" r="0" b="0"/>
                  <wp:docPr id="58" name="图片 93"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93" descr="IMG_30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c>
          <w:tcPr>
            <w:tcW w:w="0" w:type="auto"/>
            <w:shd w:val="clear" w:color="auto" w:fill="auto"/>
            <w:tcMar>
              <w:top w:w="40" w:type="dxa"/>
              <w:left w:w="40" w:type="dxa"/>
              <w:bottom w:w="40" w:type="dxa"/>
              <w:right w:w="40" w:type="dxa"/>
            </w:tcMar>
            <w:vAlign w:val="bottom"/>
          </w:tcPr>
          <w:p w14:paraId="4ACE23F2" w14:textId="77777777" w:rsidR="006F587A" w:rsidRDefault="006F587A">
            <w:pPr>
              <w:textAlignment w:val="bottom"/>
              <w:rPr>
                <w:rFonts w:ascii="Times New Roman" w:hAnsi="Times New Roman"/>
                <w:sz w:val="18"/>
                <w:szCs w:val="18"/>
              </w:rPr>
            </w:pPr>
          </w:p>
          <w:p w14:paraId="4ACE23F3" w14:textId="77777777" w:rsidR="006F587A" w:rsidRDefault="006F587A">
            <w:pPr>
              <w:textAlignment w:val="bottom"/>
              <w:rPr>
                <w:rFonts w:ascii="Times New Roman" w:hAnsi="Times New Roman"/>
                <w:sz w:val="18"/>
                <w:szCs w:val="18"/>
              </w:rPr>
            </w:pPr>
          </w:p>
          <w:p w14:paraId="4ACE23F4" w14:textId="77777777" w:rsidR="006F587A" w:rsidRDefault="007B2B61">
            <w:pPr>
              <w:textAlignment w:val="bottom"/>
              <w:rPr>
                <w:rFonts w:ascii="Times New Roman" w:hAnsi="Times New Roman"/>
                <w:sz w:val="28"/>
                <w:szCs w:val="28"/>
              </w:rPr>
            </w:pPr>
            <w:r>
              <w:rPr>
                <w:rFonts w:ascii="Arial" w:eastAsia="宋体" w:hAnsi="Arial" w:cs="Arial"/>
                <w:b/>
                <w:bCs/>
                <w:color w:val="0071C5"/>
                <w:sz w:val="28"/>
                <w:szCs w:val="28"/>
              </w:rPr>
              <w:t>HUMAN CAPITAL</w:t>
            </w:r>
          </w:p>
        </w:tc>
      </w:tr>
    </w:tbl>
    <w:p w14:paraId="4ACE23F6" w14:textId="77777777" w:rsidR="006F587A" w:rsidRDefault="006F587A">
      <w:pPr>
        <w:rPr>
          <w:vanish/>
        </w:rPr>
      </w:pPr>
    </w:p>
    <w:tbl>
      <w:tblPr>
        <w:tblW w:w="5000" w:type="pct"/>
        <w:tblCellMar>
          <w:left w:w="0" w:type="dxa"/>
          <w:right w:w="0" w:type="dxa"/>
        </w:tblCellMar>
        <w:tblLook w:val="04A0" w:firstRow="1" w:lastRow="0" w:firstColumn="1" w:lastColumn="0" w:noHBand="0" w:noVBand="1"/>
      </w:tblPr>
      <w:tblGrid>
        <w:gridCol w:w="2907"/>
        <w:gridCol w:w="1744"/>
        <w:gridCol w:w="3655"/>
      </w:tblGrid>
      <w:tr w:rsidR="006F587A" w14:paraId="4ACE23F8" w14:textId="77777777">
        <w:tc>
          <w:tcPr>
            <w:tcW w:w="0" w:type="auto"/>
            <w:gridSpan w:val="3"/>
            <w:shd w:val="clear" w:color="auto" w:fill="auto"/>
            <w:vAlign w:val="center"/>
          </w:tcPr>
          <w:p w14:paraId="4ACE23F7" w14:textId="77777777" w:rsidR="006F587A" w:rsidRDefault="006F587A">
            <w:pPr>
              <w:rPr>
                <w:rFonts w:ascii="Times New Roman" w:hAnsi="Times New Roman"/>
                <w:sz w:val="20"/>
                <w:szCs w:val="20"/>
              </w:rPr>
            </w:pPr>
          </w:p>
        </w:tc>
      </w:tr>
      <w:tr w:rsidR="006F587A" w14:paraId="4ACE23FC" w14:textId="77777777">
        <w:tc>
          <w:tcPr>
            <w:tcW w:w="1750" w:type="pct"/>
            <w:shd w:val="clear" w:color="auto" w:fill="auto"/>
            <w:vAlign w:val="center"/>
          </w:tcPr>
          <w:p w14:paraId="4ACE23F9" w14:textId="77777777" w:rsidR="006F587A" w:rsidRDefault="006F587A">
            <w:pPr>
              <w:rPr>
                <w:rFonts w:ascii="Times New Roman" w:hAnsi="Times New Roman"/>
                <w:sz w:val="20"/>
                <w:szCs w:val="20"/>
              </w:rPr>
            </w:pPr>
          </w:p>
        </w:tc>
        <w:tc>
          <w:tcPr>
            <w:tcW w:w="1050" w:type="pct"/>
            <w:shd w:val="clear" w:color="auto" w:fill="auto"/>
            <w:vAlign w:val="center"/>
          </w:tcPr>
          <w:p w14:paraId="4ACE23FA" w14:textId="77777777" w:rsidR="006F587A" w:rsidRDefault="006F587A">
            <w:pPr>
              <w:rPr>
                <w:rFonts w:ascii="Times New Roman" w:hAnsi="Times New Roman"/>
                <w:sz w:val="20"/>
                <w:szCs w:val="20"/>
              </w:rPr>
            </w:pPr>
          </w:p>
        </w:tc>
        <w:tc>
          <w:tcPr>
            <w:tcW w:w="2200" w:type="pct"/>
            <w:shd w:val="clear" w:color="auto" w:fill="auto"/>
            <w:vAlign w:val="center"/>
          </w:tcPr>
          <w:p w14:paraId="4ACE23FB" w14:textId="77777777" w:rsidR="006F587A" w:rsidRDefault="006F587A">
            <w:pPr>
              <w:rPr>
                <w:rFonts w:ascii="Times New Roman" w:hAnsi="Times New Roman"/>
                <w:sz w:val="20"/>
                <w:szCs w:val="20"/>
              </w:rPr>
            </w:pPr>
          </w:p>
        </w:tc>
      </w:tr>
      <w:tr w:rsidR="006F587A" w14:paraId="4ACE23FE" w14:textId="77777777">
        <w:tc>
          <w:tcPr>
            <w:tcW w:w="0" w:type="auto"/>
            <w:gridSpan w:val="3"/>
            <w:shd w:val="clear" w:color="auto" w:fill="auto"/>
            <w:tcMar>
              <w:top w:w="40" w:type="dxa"/>
              <w:left w:w="40" w:type="dxa"/>
              <w:bottom w:w="40" w:type="dxa"/>
              <w:right w:w="40" w:type="dxa"/>
            </w:tcMar>
          </w:tcPr>
          <w:p w14:paraId="4ACE23FD"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Evolving our culture is critical to delivering on our growth strategy and for continuing to attract and retain top talent needed to support our transformation to a data-centric company. We have an amazing legacy of innovation and a powerful culture, yet ou</w:t>
            </w:r>
            <w:r>
              <w:rPr>
                <w:rFonts w:ascii="Arial" w:eastAsia="宋体" w:hAnsi="Arial" w:cs="Arial"/>
                <w:color w:val="333333"/>
                <w:sz w:val="18"/>
                <w:szCs w:val="18"/>
              </w:rPr>
              <w:t>r ambitions have grown. Together, we are evolving our culture to build an even brighter future. Our global workforce of 110,800 is highly educated, with approximately 90% of our people working in technical roles. We invest in creating a diverse, inclusive,</w:t>
            </w:r>
            <w:r>
              <w:rPr>
                <w:rFonts w:ascii="Arial" w:eastAsia="宋体" w:hAnsi="Arial" w:cs="Arial"/>
                <w:color w:val="333333"/>
                <w:sz w:val="18"/>
                <w:szCs w:val="18"/>
              </w:rPr>
              <w:t xml:space="preserve"> and safe work environment where our employees can deliver their workplace best every day. </w:t>
            </w:r>
          </w:p>
        </w:tc>
      </w:tr>
      <w:tr w:rsidR="006F587A" w14:paraId="4ACE2404" w14:textId="77777777">
        <w:tc>
          <w:tcPr>
            <w:tcW w:w="0" w:type="auto"/>
            <w:shd w:val="clear" w:color="auto" w:fill="auto"/>
            <w:tcMar>
              <w:top w:w="40" w:type="dxa"/>
              <w:left w:w="40" w:type="dxa"/>
              <w:bottom w:w="40" w:type="dxa"/>
              <w:right w:w="40" w:type="dxa"/>
            </w:tcMar>
          </w:tcPr>
          <w:p w14:paraId="4ACE23FF"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All employees are responsible for upholding the Intel Values, Intel Code of Conduct, and Intel Global Human Rights Principles, which form the foundation of our policies and practices. For over a decade, we have tracked and publicly reported on key human ca</w:t>
            </w:r>
            <w:r>
              <w:rPr>
                <w:rFonts w:ascii="Arial" w:eastAsia="宋体" w:hAnsi="Arial" w:cs="Arial"/>
                <w:color w:val="333333"/>
                <w:sz w:val="18"/>
                <w:szCs w:val="18"/>
              </w:rPr>
              <w:t xml:space="preserve">pital metrics, including workforce demographics, diversity and inclusion data, turnover, and training data. </w:t>
            </w:r>
          </w:p>
        </w:tc>
        <w:tc>
          <w:tcPr>
            <w:tcW w:w="0" w:type="auto"/>
            <w:shd w:val="clear" w:color="auto" w:fill="auto"/>
            <w:tcMar>
              <w:top w:w="40" w:type="dxa"/>
              <w:left w:w="40" w:type="dxa"/>
              <w:bottom w:w="40" w:type="dxa"/>
              <w:right w:w="40" w:type="dxa"/>
            </w:tcMar>
            <w:vAlign w:val="bottom"/>
          </w:tcPr>
          <w:p w14:paraId="4ACE2400" w14:textId="77777777" w:rsidR="006F587A" w:rsidRDefault="007B2B61">
            <w:pPr>
              <w:jc w:val="center"/>
              <w:textAlignment w:val="bottom"/>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Viewer12_files/a025sandracircle.jpg"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84" wp14:editId="4ACE6C85">
                  <wp:extent cx="304800" cy="304800"/>
                  <wp:effectExtent l="0" t="0" r="0" b="0"/>
                  <wp:docPr id="97" name="图片 94"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4" descr="IMG_30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c>
          <w:tcPr>
            <w:tcW w:w="0" w:type="auto"/>
            <w:shd w:val="clear" w:color="auto" w:fill="auto"/>
            <w:tcMar>
              <w:top w:w="40" w:type="dxa"/>
              <w:left w:w="40" w:type="dxa"/>
              <w:bottom w:w="40" w:type="dxa"/>
              <w:right w:w="40" w:type="dxa"/>
            </w:tcMar>
            <w:vAlign w:val="center"/>
          </w:tcPr>
          <w:p w14:paraId="4ACE2401" w14:textId="77777777" w:rsidR="006F587A" w:rsidRDefault="007B2B61">
            <w:pPr>
              <w:textAlignment w:val="center"/>
              <w:rPr>
                <w:rFonts w:ascii="Times New Roman" w:hAnsi="Times New Roman"/>
                <w:sz w:val="18"/>
                <w:szCs w:val="18"/>
              </w:rPr>
            </w:pPr>
            <w:r>
              <w:rPr>
                <w:rFonts w:ascii="Arial" w:eastAsia="宋体" w:hAnsi="Arial" w:cs="Arial"/>
                <w:b/>
                <w:bCs/>
                <w:i/>
                <w:iCs/>
                <w:color w:val="000000"/>
                <w:sz w:val="18"/>
                <w:szCs w:val="18"/>
              </w:rPr>
              <w:t>"Tapping into the richness of our diverse workforce is key to driving future growth. Intel will continue to be transparent about our progress and our challenges, so we can partner with our customers and ecosystem to find better solutions together."</w:t>
            </w:r>
          </w:p>
          <w:p w14:paraId="4ACE2402" w14:textId="77777777" w:rsidR="006F587A" w:rsidRDefault="006F587A">
            <w:pPr>
              <w:textAlignment w:val="center"/>
              <w:rPr>
                <w:rFonts w:ascii="Times New Roman" w:hAnsi="Times New Roman"/>
                <w:sz w:val="18"/>
                <w:szCs w:val="18"/>
              </w:rPr>
            </w:pPr>
          </w:p>
          <w:p w14:paraId="4ACE2403" w14:textId="77777777" w:rsidR="006F587A" w:rsidRDefault="007B2B61">
            <w:pPr>
              <w:textAlignment w:val="center"/>
              <w:rPr>
                <w:rFonts w:ascii="Times New Roman" w:hAnsi="Times New Roman"/>
                <w:sz w:val="18"/>
                <w:szCs w:val="18"/>
              </w:rPr>
            </w:pPr>
            <w:r>
              <w:rPr>
                <w:rFonts w:ascii="Arial" w:eastAsia="宋体" w:hAnsi="Arial" w:cs="Arial"/>
                <w:color w:val="000000"/>
                <w:sz w:val="18"/>
                <w:szCs w:val="18"/>
              </w:rPr>
              <w:t>—</w:t>
            </w:r>
            <w:r>
              <w:rPr>
                <w:rFonts w:ascii="Arial" w:eastAsia="宋体" w:hAnsi="Arial" w:cs="Arial"/>
                <w:b/>
                <w:bCs/>
                <w:color w:val="000000"/>
                <w:sz w:val="18"/>
                <w:szCs w:val="18"/>
              </w:rPr>
              <w:t>Sandr</w:t>
            </w:r>
            <w:r>
              <w:rPr>
                <w:rFonts w:ascii="Arial" w:eastAsia="宋体" w:hAnsi="Arial" w:cs="Arial"/>
                <w:b/>
                <w:bCs/>
                <w:color w:val="000000"/>
                <w:sz w:val="18"/>
                <w:szCs w:val="18"/>
              </w:rPr>
              <w:t>a Rivera</w:t>
            </w:r>
            <w:r>
              <w:rPr>
                <w:rFonts w:ascii="Arial" w:eastAsia="宋体" w:hAnsi="Arial" w:cs="Arial"/>
                <w:color w:val="333333"/>
                <w:sz w:val="18"/>
                <w:szCs w:val="18"/>
              </w:rPr>
              <w:t>, Executive Vice President and Chief People Officer</w:t>
            </w:r>
          </w:p>
        </w:tc>
      </w:tr>
    </w:tbl>
    <w:p w14:paraId="4ACE2405" w14:textId="77777777" w:rsidR="006F587A" w:rsidRDefault="006F587A">
      <w:pPr>
        <w:rPr>
          <w:vanish/>
        </w:rPr>
      </w:pPr>
    </w:p>
    <w:tbl>
      <w:tblPr>
        <w:tblW w:w="5000" w:type="pct"/>
        <w:tblCellMar>
          <w:left w:w="0" w:type="dxa"/>
          <w:right w:w="0" w:type="dxa"/>
        </w:tblCellMar>
        <w:tblLook w:val="04A0" w:firstRow="1" w:lastRow="0" w:firstColumn="1" w:lastColumn="0" w:noHBand="0" w:noVBand="1"/>
      </w:tblPr>
      <w:tblGrid>
        <w:gridCol w:w="5316"/>
        <w:gridCol w:w="2990"/>
      </w:tblGrid>
      <w:tr w:rsidR="006F587A" w14:paraId="4ACE2407" w14:textId="77777777">
        <w:tc>
          <w:tcPr>
            <w:tcW w:w="0" w:type="auto"/>
            <w:gridSpan w:val="2"/>
            <w:shd w:val="clear" w:color="auto" w:fill="auto"/>
            <w:vAlign w:val="center"/>
          </w:tcPr>
          <w:p w14:paraId="4ACE2406" w14:textId="77777777" w:rsidR="006F587A" w:rsidRDefault="006F587A">
            <w:pPr>
              <w:rPr>
                <w:rFonts w:ascii="Times New Roman" w:hAnsi="Times New Roman"/>
                <w:sz w:val="20"/>
                <w:szCs w:val="20"/>
              </w:rPr>
            </w:pPr>
          </w:p>
        </w:tc>
      </w:tr>
      <w:tr w:rsidR="006F587A" w14:paraId="4ACE240A" w14:textId="77777777">
        <w:tc>
          <w:tcPr>
            <w:tcW w:w="3200" w:type="pct"/>
            <w:shd w:val="clear" w:color="auto" w:fill="auto"/>
            <w:vAlign w:val="center"/>
          </w:tcPr>
          <w:p w14:paraId="4ACE2408" w14:textId="77777777" w:rsidR="006F587A" w:rsidRDefault="006F587A">
            <w:pPr>
              <w:rPr>
                <w:rFonts w:ascii="Times New Roman" w:hAnsi="Times New Roman"/>
                <w:sz w:val="20"/>
                <w:szCs w:val="20"/>
              </w:rPr>
            </w:pPr>
          </w:p>
        </w:tc>
        <w:tc>
          <w:tcPr>
            <w:tcW w:w="1800" w:type="pct"/>
            <w:shd w:val="clear" w:color="auto" w:fill="auto"/>
            <w:vAlign w:val="center"/>
          </w:tcPr>
          <w:p w14:paraId="4ACE2409" w14:textId="77777777" w:rsidR="006F587A" w:rsidRDefault="006F587A">
            <w:pPr>
              <w:rPr>
                <w:rFonts w:ascii="Times New Roman" w:hAnsi="Times New Roman"/>
                <w:sz w:val="20"/>
                <w:szCs w:val="20"/>
              </w:rPr>
            </w:pPr>
          </w:p>
        </w:tc>
      </w:tr>
      <w:tr w:rsidR="006F587A" w14:paraId="4ACE240D" w14:textId="77777777">
        <w:tc>
          <w:tcPr>
            <w:tcW w:w="0" w:type="auto"/>
            <w:shd w:val="clear" w:color="auto" w:fill="auto"/>
            <w:tcMar>
              <w:top w:w="40" w:type="dxa"/>
              <w:left w:w="40" w:type="dxa"/>
              <w:bottom w:w="40" w:type="dxa"/>
              <w:right w:w="40" w:type="dxa"/>
            </w:tcMar>
          </w:tcPr>
          <w:p w14:paraId="4ACE240B" w14:textId="77777777" w:rsidR="006F587A" w:rsidRDefault="007B2B61">
            <w:pPr>
              <w:textAlignment w:val="top"/>
              <w:rPr>
                <w:rFonts w:ascii="Times New Roman" w:hAnsi="Times New Roman"/>
              </w:rPr>
            </w:pPr>
            <w:r>
              <w:rPr>
                <w:rFonts w:ascii="Arial" w:eastAsia="宋体" w:hAnsi="Arial" w:cs="Arial"/>
                <w:b/>
                <w:bCs/>
                <w:color w:val="0071C5"/>
              </w:rPr>
              <w:t>DIVERSITY AND INCLUSION</w:t>
            </w:r>
          </w:p>
        </w:tc>
        <w:tc>
          <w:tcPr>
            <w:tcW w:w="0" w:type="auto"/>
            <w:vMerge w:val="restart"/>
            <w:shd w:val="clear" w:color="auto" w:fill="auto"/>
            <w:tcMar>
              <w:top w:w="40" w:type="dxa"/>
              <w:left w:w="40" w:type="dxa"/>
              <w:bottom w:w="40" w:type="dxa"/>
              <w:right w:w="40" w:type="dxa"/>
            </w:tcMar>
            <w:vAlign w:val="center"/>
          </w:tcPr>
          <w:p w14:paraId="4ACE240C" w14:textId="77777777" w:rsidR="006F587A" w:rsidRDefault="007B2B61">
            <w:pPr>
              <w:jc w:val="center"/>
              <w:textAlignment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Viewer12_files/a026employeesbygenderfinal.jpg"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86" wp14:editId="4ACE6C87">
                  <wp:extent cx="304800" cy="304800"/>
                  <wp:effectExtent l="0" t="0" r="0" b="0"/>
                  <wp:docPr id="59" name="图片 95"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95" descr="IMG_30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r>
      <w:tr w:rsidR="006F587A" w14:paraId="4ACE2410" w14:textId="77777777">
        <w:tc>
          <w:tcPr>
            <w:tcW w:w="0" w:type="auto"/>
            <w:shd w:val="clear" w:color="auto" w:fill="auto"/>
            <w:tcMar>
              <w:top w:w="40" w:type="dxa"/>
              <w:left w:w="40" w:type="dxa"/>
              <w:bottom w:w="40" w:type="dxa"/>
              <w:right w:w="40" w:type="dxa"/>
            </w:tcMar>
          </w:tcPr>
          <w:p w14:paraId="4ACE240E"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To shape the future of technology, we must be representative of that future. A diverse and inclusive workforce is a business imperative and key to our long-term success. We committed $300 million to advance diversity and inclusion in our workforce and in t</w:t>
            </w:r>
            <w:r>
              <w:rPr>
                <w:rFonts w:ascii="Arial" w:eastAsia="宋体" w:hAnsi="Arial" w:cs="Arial"/>
                <w:color w:val="333333"/>
                <w:sz w:val="18"/>
                <w:szCs w:val="18"/>
              </w:rPr>
              <w:t>he technology industry. We achieved our goal of full representation in our U.S. workforce two years ahead of schedule, meaning our workforce now reflects the percentage of women and underrepresented minorities available in the skilled labor market in the U</w:t>
            </w:r>
            <w:r>
              <w:rPr>
                <w:rFonts w:ascii="Arial" w:eastAsia="宋体" w:hAnsi="Arial" w:cs="Arial"/>
                <w:color w:val="333333"/>
                <w:sz w:val="18"/>
                <w:szCs w:val="18"/>
              </w:rPr>
              <w:t>.S. This achievement was the result of a comprehensive strategy that considered hiring, retention, and progression. Though we are proud of what we have accomplished to advance diversity in our workforce, we still have work to do, including beyond the walls</w:t>
            </w:r>
            <w:r>
              <w:rPr>
                <w:rFonts w:ascii="Arial" w:eastAsia="宋体" w:hAnsi="Arial" w:cs="Arial"/>
                <w:color w:val="333333"/>
                <w:sz w:val="18"/>
                <w:szCs w:val="18"/>
              </w:rPr>
              <w:t xml:space="preserve"> of Intel. We took action by joining 11 other companies to fund an initiative to double the number of women of color graduating with computing degrees in the U.S. by 2025. We also continue to look for and implement partnerships and programs to increase ret</w:t>
            </w:r>
            <w:r>
              <w:rPr>
                <w:rFonts w:ascii="Arial" w:eastAsia="宋体" w:hAnsi="Arial" w:cs="Arial"/>
                <w:color w:val="333333"/>
                <w:sz w:val="18"/>
                <w:szCs w:val="18"/>
              </w:rPr>
              <w:t xml:space="preserve">ention and advancement of women and underrepresented populations within our workplace. The breakout of employees by gender provides our current global gender diversity. </w:t>
            </w:r>
          </w:p>
        </w:tc>
        <w:tc>
          <w:tcPr>
            <w:tcW w:w="0" w:type="auto"/>
            <w:vMerge/>
            <w:shd w:val="clear" w:color="auto" w:fill="auto"/>
            <w:tcMar>
              <w:top w:w="40" w:type="dxa"/>
              <w:left w:w="40" w:type="dxa"/>
              <w:bottom w:w="40" w:type="dxa"/>
              <w:right w:w="40" w:type="dxa"/>
            </w:tcMar>
            <w:vAlign w:val="center"/>
          </w:tcPr>
          <w:p w14:paraId="4ACE240F" w14:textId="77777777" w:rsidR="006F587A" w:rsidRDefault="006F587A">
            <w:pPr>
              <w:rPr>
                <w:rFonts w:ascii="Times New Roman" w:hAnsi="Times New Roman"/>
                <w:sz w:val="20"/>
                <w:szCs w:val="20"/>
              </w:rPr>
            </w:pPr>
          </w:p>
        </w:tc>
      </w:tr>
    </w:tbl>
    <w:p w14:paraId="4ACE2411" w14:textId="77777777" w:rsidR="006F587A" w:rsidRDefault="006F587A">
      <w:pPr>
        <w:rPr>
          <w:vanish/>
        </w:rPr>
      </w:pPr>
    </w:p>
    <w:tbl>
      <w:tblPr>
        <w:tblW w:w="4982" w:type="pct"/>
        <w:jc w:val="center"/>
        <w:tblCellMar>
          <w:left w:w="0" w:type="dxa"/>
          <w:right w:w="0" w:type="dxa"/>
        </w:tblCellMar>
        <w:tblLook w:val="04A0" w:firstRow="1" w:lastRow="0" w:firstColumn="1" w:lastColumn="0" w:noHBand="0" w:noVBand="1"/>
      </w:tblPr>
      <w:tblGrid>
        <w:gridCol w:w="4883"/>
        <w:gridCol w:w="3393"/>
      </w:tblGrid>
      <w:tr w:rsidR="006F587A" w14:paraId="4ACE2413" w14:textId="77777777">
        <w:trPr>
          <w:jc w:val="center"/>
        </w:trPr>
        <w:tc>
          <w:tcPr>
            <w:tcW w:w="0" w:type="auto"/>
            <w:gridSpan w:val="2"/>
            <w:shd w:val="clear" w:color="auto" w:fill="auto"/>
            <w:vAlign w:val="center"/>
          </w:tcPr>
          <w:p w14:paraId="4ACE2412" w14:textId="77777777" w:rsidR="006F587A" w:rsidRDefault="006F587A">
            <w:pPr>
              <w:rPr>
                <w:rFonts w:ascii="Times New Roman" w:hAnsi="Times New Roman"/>
                <w:sz w:val="20"/>
                <w:szCs w:val="20"/>
              </w:rPr>
            </w:pPr>
          </w:p>
        </w:tc>
      </w:tr>
      <w:tr w:rsidR="006F587A" w14:paraId="4ACE2416" w14:textId="77777777">
        <w:trPr>
          <w:jc w:val="center"/>
        </w:trPr>
        <w:tc>
          <w:tcPr>
            <w:tcW w:w="2950" w:type="pct"/>
            <w:shd w:val="clear" w:color="auto" w:fill="auto"/>
            <w:vAlign w:val="center"/>
          </w:tcPr>
          <w:p w14:paraId="4ACE2414" w14:textId="77777777" w:rsidR="006F587A" w:rsidRDefault="006F587A">
            <w:pPr>
              <w:rPr>
                <w:rFonts w:ascii="Times New Roman" w:hAnsi="Times New Roman"/>
                <w:sz w:val="20"/>
                <w:szCs w:val="20"/>
              </w:rPr>
            </w:pPr>
          </w:p>
        </w:tc>
        <w:tc>
          <w:tcPr>
            <w:tcW w:w="2050" w:type="pct"/>
            <w:shd w:val="clear" w:color="auto" w:fill="auto"/>
            <w:vAlign w:val="center"/>
          </w:tcPr>
          <w:p w14:paraId="4ACE2415" w14:textId="77777777" w:rsidR="006F587A" w:rsidRDefault="006F587A">
            <w:pPr>
              <w:rPr>
                <w:rFonts w:ascii="Times New Roman" w:hAnsi="Times New Roman"/>
                <w:sz w:val="20"/>
                <w:szCs w:val="20"/>
              </w:rPr>
            </w:pPr>
          </w:p>
        </w:tc>
      </w:tr>
      <w:tr w:rsidR="006F587A" w14:paraId="4ACE2419" w14:textId="77777777">
        <w:trPr>
          <w:jc w:val="center"/>
        </w:trPr>
        <w:tc>
          <w:tcPr>
            <w:tcW w:w="0" w:type="auto"/>
            <w:shd w:val="clear" w:color="auto" w:fill="auto"/>
            <w:tcMar>
              <w:top w:w="40" w:type="dxa"/>
              <w:left w:w="40" w:type="dxa"/>
              <w:bottom w:w="40" w:type="dxa"/>
              <w:right w:w="40" w:type="dxa"/>
            </w:tcMar>
          </w:tcPr>
          <w:p w14:paraId="4ACE2417" w14:textId="77777777" w:rsidR="006F587A" w:rsidRDefault="007B2B61">
            <w:pPr>
              <w:textAlignment w:val="top"/>
              <w:rPr>
                <w:rFonts w:ascii="Times New Roman" w:hAnsi="Times New Roman"/>
              </w:rPr>
            </w:pPr>
            <w:r>
              <w:rPr>
                <w:rFonts w:ascii="Arial" w:eastAsia="宋体" w:hAnsi="Arial" w:cs="Arial"/>
                <w:b/>
                <w:bCs/>
                <w:color w:val="0071C5"/>
              </w:rPr>
              <w:t>COMPENSATION AND BENEFITS</w:t>
            </w:r>
          </w:p>
        </w:tc>
        <w:tc>
          <w:tcPr>
            <w:tcW w:w="0" w:type="auto"/>
            <w:vMerge w:val="restart"/>
            <w:shd w:val="clear" w:color="auto" w:fill="auto"/>
            <w:tcMar>
              <w:top w:w="40" w:type="dxa"/>
              <w:left w:w="40" w:type="dxa"/>
              <w:bottom w:w="40" w:type="dxa"/>
              <w:right w:w="40" w:type="dxa"/>
            </w:tcMar>
            <w:vAlign w:val="center"/>
          </w:tcPr>
          <w:p w14:paraId="4ACE2418" w14:textId="77777777" w:rsidR="006F587A" w:rsidRDefault="007B2B61">
            <w:pPr>
              <w:jc w:val="center"/>
              <w:textAlignment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Viewer12_files/a027manufacturingwoman.jpg"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88" wp14:editId="4ACE6C89">
                  <wp:extent cx="304800" cy="304800"/>
                  <wp:effectExtent l="0" t="0" r="0" b="0"/>
                  <wp:docPr id="60" name="图片 96"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96" descr="IMG_30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r>
      <w:tr w:rsidR="006F587A" w14:paraId="4ACE241C" w14:textId="77777777">
        <w:trPr>
          <w:jc w:val="center"/>
        </w:trPr>
        <w:tc>
          <w:tcPr>
            <w:tcW w:w="0" w:type="auto"/>
            <w:shd w:val="clear" w:color="auto" w:fill="auto"/>
            <w:tcMar>
              <w:top w:w="40" w:type="dxa"/>
              <w:left w:w="40" w:type="dxa"/>
              <w:bottom w:w="40" w:type="dxa"/>
              <w:right w:w="40" w:type="dxa"/>
            </w:tcMar>
          </w:tcPr>
          <w:p w14:paraId="4ACE241A"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We strive to provide pay, benefits, and services that help meet the varying needs of our employees. Ou</w:t>
            </w:r>
            <w:r>
              <w:rPr>
                <w:rFonts w:ascii="Arial" w:eastAsia="宋体" w:hAnsi="Arial" w:cs="Arial"/>
                <w:color w:val="333333"/>
                <w:sz w:val="18"/>
                <w:szCs w:val="18"/>
              </w:rPr>
              <w:t>r generous total rewards package includes market-competitive pay, broad-based stock grants and bonuses, an Employee Stock Purchase Plan, healthcare and retirement benefits, paid time off and family leave, parent reintegration, fertility assistance, flexibl</w:t>
            </w:r>
            <w:r>
              <w:rPr>
                <w:rFonts w:ascii="Arial" w:eastAsia="宋体" w:hAnsi="Arial" w:cs="Arial"/>
                <w:color w:val="333333"/>
                <w:sz w:val="18"/>
                <w:szCs w:val="18"/>
              </w:rPr>
              <w:t>e work schedules, sabbaticals, and on-site services. In 2019, we announced that we achieved gender pay equity globally by closing the gap in average pay between employees of different genders in the same or similar roles after accounting for legitimate bus</w:t>
            </w:r>
            <w:r>
              <w:rPr>
                <w:rFonts w:ascii="Arial" w:eastAsia="宋体" w:hAnsi="Arial" w:cs="Arial"/>
                <w:color w:val="333333"/>
                <w:sz w:val="18"/>
                <w:szCs w:val="18"/>
              </w:rPr>
              <w:t>iness factors that can explain differences, such as performance, time at grade level, and tenure. We also continued to advance transparency in our pay and representation data by publicly releasing our 2017 and 2018 EEO-1 survey pay data mandated by the U.S</w:t>
            </w:r>
            <w:r>
              <w:rPr>
                <w:rFonts w:ascii="Arial" w:eastAsia="宋体" w:hAnsi="Arial" w:cs="Arial"/>
                <w:color w:val="333333"/>
                <w:sz w:val="18"/>
                <w:szCs w:val="18"/>
              </w:rPr>
              <w:t>. Equal Employment Opportunity Commission. The results reflected representation gaps and point to work that lies ahead. However, due to our diversity and inclusion efforts, there is promising growth of our junior female and underrepresented talent from whi</w:t>
            </w:r>
            <w:r>
              <w:rPr>
                <w:rFonts w:ascii="Arial" w:eastAsia="宋体" w:hAnsi="Arial" w:cs="Arial"/>
                <w:color w:val="333333"/>
                <w:sz w:val="18"/>
                <w:szCs w:val="18"/>
              </w:rPr>
              <w:t>ch our future leadership will be drawn. Our challenge now is to create an environment that better helps our female and underrepresented employees develop and progress in their careers, while also ensuring we are expanding our hiring and retention of divers</w:t>
            </w:r>
            <w:r>
              <w:rPr>
                <w:rFonts w:ascii="Arial" w:eastAsia="宋体" w:hAnsi="Arial" w:cs="Arial"/>
                <w:color w:val="333333"/>
                <w:sz w:val="18"/>
                <w:szCs w:val="18"/>
              </w:rPr>
              <w:t>e talent at more senior, higher-paying positions.</w:t>
            </w:r>
          </w:p>
        </w:tc>
        <w:tc>
          <w:tcPr>
            <w:tcW w:w="0" w:type="auto"/>
            <w:vMerge/>
            <w:shd w:val="clear" w:color="auto" w:fill="auto"/>
            <w:tcMar>
              <w:top w:w="40" w:type="dxa"/>
              <w:left w:w="40" w:type="dxa"/>
              <w:bottom w:w="40" w:type="dxa"/>
              <w:right w:w="40" w:type="dxa"/>
            </w:tcMar>
            <w:vAlign w:val="center"/>
          </w:tcPr>
          <w:p w14:paraId="4ACE241B" w14:textId="77777777" w:rsidR="006F587A" w:rsidRDefault="006F587A">
            <w:pPr>
              <w:rPr>
                <w:rFonts w:ascii="Times New Roman" w:hAnsi="Times New Roman"/>
                <w:sz w:val="20"/>
                <w:szCs w:val="20"/>
              </w:rPr>
            </w:pPr>
          </w:p>
        </w:tc>
      </w:tr>
    </w:tbl>
    <w:p w14:paraId="4ACE241D" w14:textId="77777777" w:rsidR="006F587A" w:rsidRDefault="006F587A">
      <w:pPr>
        <w:spacing w:line="288" w:lineRule="auto"/>
        <w:ind w:hanging="240"/>
        <w:rPr>
          <w:rFonts w:ascii="Times New Roman" w:hAnsi="Times New Roman"/>
          <w:sz w:val="16"/>
          <w:szCs w:val="16"/>
        </w:rPr>
      </w:pPr>
    </w:p>
    <w:p w14:paraId="4ACE241E" w14:textId="77777777" w:rsidR="006F587A" w:rsidRDefault="006F587A">
      <w:pPr>
        <w:spacing w:line="288" w:lineRule="auto"/>
        <w:ind w:hanging="240"/>
        <w:rPr>
          <w:rFonts w:ascii="Times New Roman" w:hAnsi="Times New Roman"/>
          <w:sz w:val="16"/>
          <w:szCs w:val="16"/>
        </w:rPr>
      </w:pP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6F587A" w14:paraId="4ACE2421" w14:textId="77777777">
        <w:trPr>
          <w:tblCellSpacing w:w="0" w:type="dxa"/>
        </w:trPr>
        <w:tc>
          <w:tcPr>
            <w:tcW w:w="240" w:type="dxa"/>
            <w:shd w:val="clear" w:color="auto" w:fill="auto"/>
            <w:vAlign w:val="center"/>
          </w:tcPr>
          <w:p w14:paraId="4ACE241F" w14:textId="77777777" w:rsidR="006F587A" w:rsidRDefault="006F587A">
            <w:pPr>
              <w:rPr>
                <w:rFonts w:ascii="Times New Roman" w:hAnsi="Times New Roman"/>
                <w:sz w:val="20"/>
                <w:szCs w:val="20"/>
              </w:rPr>
            </w:pPr>
          </w:p>
        </w:tc>
        <w:tc>
          <w:tcPr>
            <w:tcW w:w="0" w:type="auto"/>
            <w:shd w:val="clear" w:color="auto" w:fill="auto"/>
            <w:vAlign w:val="center"/>
          </w:tcPr>
          <w:p w14:paraId="4ACE2420" w14:textId="77777777" w:rsidR="006F587A" w:rsidRDefault="006F587A">
            <w:pPr>
              <w:rPr>
                <w:rFonts w:ascii="Times New Roman" w:hAnsi="Times New Roman"/>
                <w:sz w:val="20"/>
                <w:szCs w:val="20"/>
              </w:rPr>
            </w:pPr>
          </w:p>
        </w:tc>
      </w:tr>
      <w:tr w:rsidR="006F587A" w14:paraId="4ACE2424" w14:textId="77777777">
        <w:trPr>
          <w:tblCellSpacing w:w="0" w:type="dxa"/>
        </w:trPr>
        <w:tc>
          <w:tcPr>
            <w:tcW w:w="0" w:type="auto"/>
            <w:shd w:val="clear" w:color="auto" w:fill="auto"/>
          </w:tcPr>
          <w:p w14:paraId="4ACE2422"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0"/>
                <w:szCs w:val="10"/>
              </w:rPr>
              <w:t>1</w:t>
            </w:r>
            <w:r>
              <w:rPr>
                <w:rFonts w:ascii="Arial" w:eastAsia="宋体" w:hAnsi="Arial" w:cs="Arial"/>
                <w:i/>
                <w:iCs/>
                <w:color w:val="333333"/>
                <w:sz w:val="16"/>
                <w:szCs w:val="16"/>
              </w:rPr>
              <w:t> </w:t>
            </w:r>
          </w:p>
        </w:tc>
        <w:tc>
          <w:tcPr>
            <w:tcW w:w="0" w:type="auto"/>
            <w:shd w:val="clear" w:color="auto" w:fill="auto"/>
          </w:tcPr>
          <w:p w14:paraId="4ACE2423"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6"/>
                <w:szCs w:val="16"/>
              </w:rPr>
              <w:t>Executives refers to salary grades 12+ and equivalent grades. While we present male and female, we acknowledge this is not fully encompassing of all gender identities.</w:t>
            </w:r>
          </w:p>
        </w:tc>
      </w:tr>
    </w:tbl>
    <w:p w14:paraId="4ACE2425"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492"/>
        <w:gridCol w:w="2658"/>
        <w:gridCol w:w="3156"/>
      </w:tblGrid>
      <w:tr w:rsidR="006F587A" w14:paraId="4ACE2427" w14:textId="77777777">
        <w:tc>
          <w:tcPr>
            <w:tcW w:w="0" w:type="auto"/>
            <w:gridSpan w:val="3"/>
            <w:shd w:val="clear" w:color="auto" w:fill="auto"/>
            <w:vAlign w:val="center"/>
          </w:tcPr>
          <w:p w14:paraId="4ACE2426" w14:textId="77777777" w:rsidR="006F587A" w:rsidRDefault="006F587A">
            <w:pPr>
              <w:rPr>
                <w:rFonts w:ascii="Times New Roman" w:hAnsi="Times New Roman"/>
                <w:sz w:val="20"/>
                <w:szCs w:val="20"/>
              </w:rPr>
            </w:pPr>
          </w:p>
        </w:tc>
      </w:tr>
      <w:tr w:rsidR="006F587A" w14:paraId="4ACE242B" w14:textId="77777777">
        <w:tc>
          <w:tcPr>
            <w:tcW w:w="1500" w:type="pct"/>
            <w:shd w:val="clear" w:color="auto" w:fill="auto"/>
            <w:vAlign w:val="center"/>
          </w:tcPr>
          <w:p w14:paraId="4ACE2428" w14:textId="77777777" w:rsidR="006F587A" w:rsidRDefault="006F587A">
            <w:pPr>
              <w:rPr>
                <w:rFonts w:ascii="Times New Roman" w:hAnsi="Times New Roman"/>
                <w:sz w:val="20"/>
                <w:szCs w:val="20"/>
              </w:rPr>
            </w:pPr>
          </w:p>
        </w:tc>
        <w:tc>
          <w:tcPr>
            <w:tcW w:w="1600" w:type="pct"/>
            <w:shd w:val="clear" w:color="auto" w:fill="auto"/>
            <w:vAlign w:val="center"/>
          </w:tcPr>
          <w:p w14:paraId="4ACE2429" w14:textId="77777777" w:rsidR="006F587A" w:rsidRDefault="006F587A">
            <w:pPr>
              <w:rPr>
                <w:rFonts w:ascii="Times New Roman" w:hAnsi="Times New Roman"/>
                <w:sz w:val="20"/>
                <w:szCs w:val="20"/>
              </w:rPr>
            </w:pPr>
          </w:p>
        </w:tc>
        <w:tc>
          <w:tcPr>
            <w:tcW w:w="1900" w:type="pct"/>
            <w:shd w:val="clear" w:color="auto" w:fill="auto"/>
            <w:vAlign w:val="center"/>
          </w:tcPr>
          <w:p w14:paraId="4ACE242A" w14:textId="77777777" w:rsidR="006F587A" w:rsidRDefault="006F587A">
            <w:pPr>
              <w:rPr>
                <w:rFonts w:ascii="Times New Roman" w:hAnsi="Times New Roman"/>
                <w:sz w:val="20"/>
                <w:szCs w:val="20"/>
              </w:rPr>
            </w:pPr>
          </w:p>
        </w:tc>
      </w:tr>
      <w:tr w:rsidR="006F587A" w14:paraId="4ACE2430" w14:textId="77777777">
        <w:tc>
          <w:tcPr>
            <w:tcW w:w="0" w:type="auto"/>
            <w:tcBorders>
              <w:top w:val="single" w:sz="8" w:space="0" w:color="0071C5"/>
              <w:right w:val="single" w:sz="36" w:space="0" w:color="0071C5"/>
            </w:tcBorders>
            <w:shd w:val="clear" w:color="auto" w:fill="auto"/>
            <w:tcMar>
              <w:top w:w="40" w:type="dxa"/>
              <w:left w:w="40" w:type="dxa"/>
              <w:bottom w:w="40" w:type="dxa"/>
              <w:right w:w="40" w:type="dxa"/>
            </w:tcMar>
            <w:vAlign w:val="center"/>
          </w:tcPr>
          <w:p w14:paraId="4ACE242C" w14:textId="77777777" w:rsidR="006F587A" w:rsidRDefault="007B2B61">
            <w:pPr>
              <w:textAlignment w:val="center"/>
              <w:rPr>
                <w:rFonts w:ascii="Times New Roman" w:hAnsi="Times New Roman"/>
                <w:sz w:val="18"/>
                <w:szCs w:val="18"/>
              </w:rPr>
            </w:pP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Viewer12_files/a001intellogo_coverfooter.jpg"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C8A" wp14:editId="4ACE6C8B">
                  <wp:extent cx="304800" cy="304800"/>
                  <wp:effectExtent l="0" t="0" r="0" b="0"/>
                  <wp:docPr id="64" name="图片 97"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97"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r>
              <w:rPr>
                <w:rFonts w:ascii="Arial" w:eastAsia="宋体" w:hAnsi="Arial" w:cs="Arial"/>
                <w:color w:val="333333"/>
                <w:sz w:val="18"/>
                <w:szCs w:val="18"/>
              </w:rPr>
              <w:t>  </w:t>
            </w:r>
            <w:r>
              <w:rPr>
                <w:rFonts w:ascii="Arial" w:eastAsia="宋体" w:hAnsi="Arial" w:cs="Arial"/>
                <w:color w:val="333333"/>
                <w:sz w:val="16"/>
                <w:szCs w:val="16"/>
              </w:rPr>
              <w:t>FUNDAMENTALS OF OUR BUSINESS</w:t>
            </w:r>
          </w:p>
        </w:tc>
        <w:tc>
          <w:tcPr>
            <w:tcW w:w="0" w:type="auto"/>
            <w:tcBorders>
              <w:top w:val="single" w:sz="8" w:space="0" w:color="0071C5"/>
            </w:tcBorders>
            <w:shd w:val="clear" w:color="auto" w:fill="auto"/>
            <w:tcMar>
              <w:top w:w="40" w:type="dxa"/>
              <w:left w:w="40" w:type="dxa"/>
              <w:bottom w:w="40" w:type="dxa"/>
              <w:right w:w="40" w:type="dxa"/>
            </w:tcMar>
            <w:vAlign w:val="center"/>
          </w:tcPr>
          <w:p w14:paraId="4ACE242D" w14:textId="77777777" w:rsidR="006F587A" w:rsidRDefault="007B2B61">
            <w:pPr>
              <w:textAlignment w:val="center"/>
              <w:rPr>
                <w:rFonts w:ascii="Times New Roman" w:hAnsi="Times New Roman"/>
                <w:sz w:val="16"/>
                <w:szCs w:val="16"/>
              </w:rPr>
            </w:pPr>
            <w:r>
              <w:rPr>
                <w:rFonts w:ascii="Arial" w:eastAsia="宋体" w:hAnsi="Arial" w:cs="Arial"/>
                <w:color w:val="333333"/>
                <w:sz w:val="16"/>
                <w:szCs w:val="16"/>
              </w:rPr>
              <w:t xml:space="preserve"> Our Capital </w:t>
            </w:r>
          </w:p>
        </w:tc>
        <w:tc>
          <w:tcPr>
            <w:tcW w:w="0" w:type="auto"/>
            <w:tcBorders>
              <w:top w:val="single" w:sz="8" w:space="0" w:color="0071C5"/>
            </w:tcBorders>
            <w:shd w:val="clear" w:color="auto" w:fill="auto"/>
            <w:tcMar>
              <w:top w:w="40" w:type="dxa"/>
              <w:left w:w="40" w:type="dxa"/>
              <w:bottom w:w="40" w:type="dxa"/>
              <w:right w:w="40" w:type="dxa"/>
            </w:tcMar>
            <w:vAlign w:val="center"/>
          </w:tcPr>
          <w:p w14:paraId="4ACE242E" w14:textId="77777777" w:rsidR="006F587A" w:rsidRDefault="007B2B61">
            <w:pPr>
              <w:jc w:val="right"/>
              <w:textAlignment w:val="center"/>
              <w:rPr>
                <w:rFonts w:ascii="Times New Roman" w:hAnsi="Times New Roman"/>
                <w:sz w:val="16"/>
                <w:szCs w:val="16"/>
              </w:rPr>
            </w:pPr>
            <w:r>
              <w:rPr>
                <w:rFonts w:ascii="Arial" w:eastAsia="宋体" w:hAnsi="Arial" w:cs="Arial"/>
                <w:color w:val="333333"/>
                <w:sz w:val="16"/>
                <w:szCs w:val="16"/>
              </w:rPr>
              <w:t>12</w:t>
            </w:r>
          </w:p>
          <w:p w14:paraId="4ACE242F" w14:textId="77777777" w:rsidR="006F587A" w:rsidRDefault="006F587A">
            <w:pPr>
              <w:jc w:val="right"/>
              <w:textAlignment w:val="center"/>
              <w:rPr>
                <w:rFonts w:ascii="Times New Roman" w:hAnsi="Times New Roman"/>
                <w:sz w:val="16"/>
                <w:szCs w:val="16"/>
              </w:rPr>
            </w:pPr>
          </w:p>
        </w:tc>
      </w:tr>
    </w:tbl>
    <w:p w14:paraId="4ACE2431" w14:textId="77777777" w:rsidR="006F587A" w:rsidRDefault="007B2B61">
      <w:r>
        <w:pict w14:anchorId="4ACE6C8C">
          <v:rect id="_x0000_i1038" style="width:415.3pt;height:1.5pt" o:hralign="center" o:hrstd="t" o:hr="t" fillcolor="#a0a0a0" stroked="f"/>
        </w:pict>
      </w:r>
    </w:p>
    <w:p w14:paraId="4ACE2432" w14:textId="77777777" w:rsidR="006F587A" w:rsidRDefault="007B2B61">
      <w:pPr>
        <w:spacing w:line="288" w:lineRule="auto"/>
        <w:jc w:val="right"/>
        <w:rPr>
          <w:rFonts w:ascii="Times New Roman" w:hAnsi="Times New Roman"/>
          <w:sz w:val="16"/>
          <w:szCs w:val="16"/>
        </w:rPr>
      </w:pPr>
      <w:hyperlink r:id="rId47" w:anchor="s9DB683E2CF52561EB8A73BE37F5BF9BE" w:history="1">
        <w:r>
          <w:rPr>
            <w:rStyle w:val="a5"/>
            <w:rFonts w:ascii="Arial" w:eastAsia="宋体" w:hAnsi="Arial" w:cs="Arial"/>
            <w:b/>
            <w:bCs/>
            <w:sz w:val="16"/>
            <w:szCs w:val="16"/>
          </w:rPr>
          <w:t>Table of Contents</w:t>
        </w:r>
      </w:hyperlink>
    </w:p>
    <w:p w14:paraId="4ACE2433" w14:textId="77777777" w:rsidR="006F587A" w:rsidRDefault="006F587A">
      <w:pPr>
        <w:spacing w:line="288" w:lineRule="auto"/>
        <w:jc w:val="right"/>
        <w:rPr>
          <w:rFonts w:ascii="Times New Roman" w:hAnsi="Times New Roman"/>
          <w:sz w:val="16"/>
          <w:szCs w:val="16"/>
        </w:rPr>
      </w:pPr>
    </w:p>
    <w:p w14:paraId="4ACE2434" w14:textId="77777777" w:rsidR="006F587A" w:rsidRDefault="006F587A">
      <w:pP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6229"/>
        <w:gridCol w:w="2077"/>
      </w:tblGrid>
      <w:tr w:rsidR="006F587A" w14:paraId="4ACE2436" w14:textId="77777777">
        <w:trPr>
          <w:jc w:val="center"/>
        </w:trPr>
        <w:tc>
          <w:tcPr>
            <w:tcW w:w="0" w:type="auto"/>
            <w:gridSpan w:val="2"/>
            <w:shd w:val="clear" w:color="auto" w:fill="auto"/>
            <w:vAlign w:val="center"/>
          </w:tcPr>
          <w:p w14:paraId="4ACE2435" w14:textId="77777777" w:rsidR="006F587A" w:rsidRDefault="006F587A">
            <w:pPr>
              <w:rPr>
                <w:rFonts w:ascii="Times New Roman" w:hAnsi="Times New Roman"/>
                <w:sz w:val="20"/>
                <w:szCs w:val="20"/>
              </w:rPr>
            </w:pPr>
          </w:p>
        </w:tc>
      </w:tr>
      <w:tr w:rsidR="006F587A" w14:paraId="4ACE2439" w14:textId="77777777">
        <w:trPr>
          <w:jc w:val="center"/>
        </w:trPr>
        <w:tc>
          <w:tcPr>
            <w:tcW w:w="3750" w:type="pct"/>
            <w:shd w:val="clear" w:color="auto" w:fill="auto"/>
            <w:vAlign w:val="center"/>
          </w:tcPr>
          <w:p w14:paraId="4ACE2437" w14:textId="77777777" w:rsidR="006F587A" w:rsidRDefault="006F587A">
            <w:pPr>
              <w:rPr>
                <w:rFonts w:ascii="Times New Roman" w:hAnsi="Times New Roman"/>
                <w:sz w:val="20"/>
                <w:szCs w:val="20"/>
              </w:rPr>
            </w:pPr>
          </w:p>
        </w:tc>
        <w:tc>
          <w:tcPr>
            <w:tcW w:w="1250" w:type="pct"/>
            <w:shd w:val="clear" w:color="auto" w:fill="auto"/>
            <w:vAlign w:val="center"/>
          </w:tcPr>
          <w:p w14:paraId="4ACE2438" w14:textId="77777777" w:rsidR="006F587A" w:rsidRDefault="006F587A">
            <w:pPr>
              <w:rPr>
                <w:rFonts w:ascii="Times New Roman" w:hAnsi="Times New Roman"/>
                <w:sz w:val="20"/>
                <w:szCs w:val="20"/>
              </w:rPr>
            </w:pPr>
          </w:p>
        </w:tc>
      </w:tr>
      <w:tr w:rsidR="006F587A" w14:paraId="4ACE243C" w14:textId="77777777">
        <w:trPr>
          <w:jc w:val="center"/>
        </w:trPr>
        <w:tc>
          <w:tcPr>
            <w:tcW w:w="0" w:type="auto"/>
            <w:shd w:val="clear" w:color="auto" w:fill="auto"/>
            <w:tcMar>
              <w:top w:w="40" w:type="dxa"/>
              <w:left w:w="40" w:type="dxa"/>
              <w:bottom w:w="40" w:type="dxa"/>
              <w:right w:w="40" w:type="dxa"/>
            </w:tcMar>
          </w:tcPr>
          <w:p w14:paraId="4ACE243A" w14:textId="77777777" w:rsidR="006F587A" w:rsidRDefault="007B2B61">
            <w:pPr>
              <w:textAlignment w:val="top"/>
              <w:rPr>
                <w:rFonts w:ascii="Times New Roman" w:hAnsi="Times New Roman"/>
              </w:rPr>
            </w:pPr>
            <w:r>
              <w:rPr>
                <w:rFonts w:ascii="Arial" w:eastAsia="宋体" w:hAnsi="Arial" w:cs="Arial"/>
                <w:b/>
                <w:bCs/>
                <w:color w:val="0071C5"/>
              </w:rPr>
              <w:t>GROWTH AND DEVELOPMENT</w:t>
            </w:r>
          </w:p>
        </w:tc>
        <w:tc>
          <w:tcPr>
            <w:tcW w:w="0" w:type="auto"/>
            <w:vMerge w:val="restart"/>
            <w:shd w:val="clear" w:color="auto" w:fill="auto"/>
            <w:tcMar>
              <w:top w:w="40" w:type="dxa"/>
              <w:left w:w="40" w:type="dxa"/>
              <w:bottom w:w="40" w:type="dxa"/>
              <w:right w:w="40" w:type="dxa"/>
            </w:tcMar>
            <w:vAlign w:val="center"/>
          </w:tcPr>
          <w:p w14:paraId="4ACE243B" w14:textId="77777777" w:rsidR="006F587A" w:rsidRDefault="007B2B61">
            <w:pPr>
              <w:textAlignment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Viewer12_files/a064employeesbyregion.jpg"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8D" wp14:editId="4ACE6C8E">
                  <wp:extent cx="304800" cy="304800"/>
                  <wp:effectExtent l="0" t="0" r="0" b="0"/>
                  <wp:docPr id="100" name="图片 99"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99" descr="IMG_30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r>
      <w:tr w:rsidR="006F587A" w14:paraId="4ACE243F" w14:textId="77777777">
        <w:trPr>
          <w:jc w:val="center"/>
        </w:trPr>
        <w:tc>
          <w:tcPr>
            <w:tcW w:w="0" w:type="auto"/>
            <w:shd w:val="clear" w:color="auto" w:fill="auto"/>
            <w:tcMar>
              <w:top w:w="40" w:type="dxa"/>
              <w:left w:w="40" w:type="dxa"/>
              <w:bottom w:w="40" w:type="dxa"/>
              <w:right w:w="40" w:type="dxa"/>
            </w:tcMar>
          </w:tcPr>
          <w:p w14:paraId="4ACE243D"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 xml:space="preserve">We invest significant resources to develop the talent needed to remain at the forefront of </w:t>
            </w:r>
            <w:r>
              <w:rPr>
                <w:rFonts w:ascii="Arial" w:eastAsia="宋体" w:hAnsi="Arial" w:cs="Arial"/>
                <w:color w:val="333333"/>
                <w:sz w:val="18"/>
                <w:szCs w:val="18"/>
              </w:rPr>
              <w:t>innovation and make Intel an employer of choice. We deliver training annually and provide rotational assignment opportunities. We launched a new performance management system to support our culture evolution and increase focus on continuous learning and de</w:t>
            </w:r>
            <w:r>
              <w:rPr>
                <w:rFonts w:ascii="Arial" w:eastAsia="宋体" w:hAnsi="Arial" w:cs="Arial"/>
                <w:color w:val="333333"/>
                <w:sz w:val="18"/>
                <w:szCs w:val="18"/>
              </w:rPr>
              <w:t>velopment. Over the past five years, our undesired voluntary turnover rate has been at or below 5%.</w:t>
            </w:r>
          </w:p>
        </w:tc>
        <w:tc>
          <w:tcPr>
            <w:tcW w:w="0" w:type="auto"/>
            <w:vMerge/>
            <w:shd w:val="clear" w:color="auto" w:fill="auto"/>
            <w:tcMar>
              <w:top w:w="40" w:type="dxa"/>
              <w:left w:w="40" w:type="dxa"/>
              <w:bottom w:w="40" w:type="dxa"/>
              <w:right w:w="40" w:type="dxa"/>
            </w:tcMar>
            <w:vAlign w:val="center"/>
          </w:tcPr>
          <w:p w14:paraId="4ACE243E" w14:textId="77777777" w:rsidR="006F587A" w:rsidRDefault="006F587A">
            <w:pPr>
              <w:rPr>
                <w:rFonts w:ascii="Times New Roman" w:hAnsi="Times New Roman"/>
                <w:sz w:val="20"/>
                <w:szCs w:val="20"/>
              </w:rPr>
            </w:pPr>
          </w:p>
        </w:tc>
      </w:tr>
      <w:tr w:rsidR="006F587A" w14:paraId="4ACE2442" w14:textId="77777777">
        <w:trPr>
          <w:jc w:val="center"/>
        </w:trPr>
        <w:tc>
          <w:tcPr>
            <w:tcW w:w="0" w:type="auto"/>
            <w:shd w:val="clear" w:color="auto" w:fill="auto"/>
            <w:tcMar>
              <w:top w:w="40" w:type="dxa"/>
              <w:left w:w="40" w:type="dxa"/>
              <w:bottom w:w="40" w:type="dxa"/>
              <w:right w:w="40" w:type="dxa"/>
            </w:tcMar>
          </w:tcPr>
          <w:p w14:paraId="4ACE2440" w14:textId="77777777" w:rsidR="006F587A" w:rsidRDefault="007B2B61">
            <w:pPr>
              <w:textAlignment w:val="top"/>
              <w:rPr>
                <w:rFonts w:ascii="Times New Roman" w:hAnsi="Times New Roman"/>
              </w:rPr>
            </w:pPr>
            <w:r>
              <w:rPr>
                <w:rFonts w:ascii="Arial" w:eastAsia="宋体" w:hAnsi="Arial" w:cs="Arial"/>
                <w:b/>
                <w:bCs/>
                <w:color w:val="0071C5"/>
              </w:rPr>
              <w:t>COMMUNICATION AND ENGAGEMENT</w:t>
            </w:r>
          </w:p>
        </w:tc>
        <w:tc>
          <w:tcPr>
            <w:tcW w:w="0" w:type="auto"/>
            <w:vMerge/>
            <w:shd w:val="clear" w:color="auto" w:fill="auto"/>
            <w:tcMar>
              <w:top w:w="40" w:type="dxa"/>
              <w:left w:w="40" w:type="dxa"/>
              <w:bottom w:w="40" w:type="dxa"/>
              <w:right w:w="40" w:type="dxa"/>
            </w:tcMar>
            <w:vAlign w:val="center"/>
          </w:tcPr>
          <w:p w14:paraId="4ACE2441" w14:textId="77777777" w:rsidR="006F587A" w:rsidRDefault="006F587A">
            <w:pPr>
              <w:rPr>
                <w:rFonts w:ascii="Times New Roman" w:hAnsi="Times New Roman"/>
                <w:sz w:val="20"/>
                <w:szCs w:val="20"/>
              </w:rPr>
            </w:pPr>
          </w:p>
        </w:tc>
      </w:tr>
      <w:tr w:rsidR="006F587A" w14:paraId="4ACE2445" w14:textId="77777777">
        <w:trPr>
          <w:jc w:val="center"/>
        </w:trPr>
        <w:tc>
          <w:tcPr>
            <w:tcW w:w="0" w:type="auto"/>
            <w:shd w:val="clear" w:color="auto" w:fill="auto"/>
            <w:tcMar>
              <w:top w:w="40" w:type="dxa"/>
              <w:left w:w="40" w:type="dxa"/>
              <w:bottom w:w="40" w:type="dxa"/>
              <w:right w:w="40" w:type="dxa"/>
            </w:tcMar>
          </w:tcPr>
          <w:p w14:paraId="4ACE2443"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Our success depends on employees understanding how their work contributes to the company’s overall strategy. We use a varie</w:t>
            </w:r>
            <w:r>
              <w:rPr>
                <w:rFonts w:ascii="Arial" w:eastAsia="宋体" w:hAnsi="Arial" w:cs="Arial"/>
                <w:color w:val="333333"/>
                <w:sz w:val="18"/>
                <w:szCs w:val="18"/>
              </w:rPr>
              <w:t>ty of channels to facilitate open and direct communication, including open forums with executives; employee experience surveys; and engagement through more than 30 different employee resource groups, including the Women at Intel Network, the Network of Int</w:t>
            </w:r>
            <w:r>
              <w:rPr>
                <w:rFonts w:ascii="Arial" w:eastAsia="宋体" w:hAnsi="Arial" w:cs="Arial"/>
                <w:color w:val="333333"/>
                <w:sz w:val="18"/>
                <w:szCs w:val="18"/>
              </w:rPr>
              <w:t xml:space="preserve">el African American Employees, the Intel Latino </w:t>
            </w:r>
            <w:r>
              <w:rPr>
                <w:rFonts w:ascii="Arial" w:eastAsia="宋体" w:hAnsi="Arial" w:cs="Arial"/>
                <w:color w:val="333333"/>
                <w:sz w:val="18"/>
                <w:szCs w:val="18"/>
              </w:rPr>
              <w:lastRenderedPageBreak/>
              <w:t>Network, and others.</w:t>
            </w:r>
          </w:p>
        </w:tc>
        <w:tc>
          <w:tcPr>
            <w:tcW w:w="0" w:type="auto"/>
            <w:vMerge/>
            <w:shd w:val="clear" w:color="auto" w:fill="auto"/>
            <w:tcMar>
              <w:top w:w="40" w:type="dxa"/>
              <w:left w:w="40" w:type="dxa"/>
              <w:bottom w:w="40" w:type="dxa"/>
              <w:right w:w="40" w:type="dxa"/>
            </w:tcMar>
            <w:vAlign w:val="center"/>
          </w:tcPr>
          <w:p w14:paraId="4ACE2444" w14:textId="77777777" w:rsidR="006F587A" w:rsidRDefault="006F587A">
            <w:pPr>
              <w:rPr>
                <w:rFonts w:ascii="Times New Roman" w:hAnsi="Times New Roman"/>
                <w:sz w:val="20"/>
                <w:szCs w:val="20"/>
              </w:rPr>
            </w:pPr>
          </w:p>
        </w:tc>
      </w:tr>
      <w:tr w:rsidR="006F587A" w14:paraId="4ACE2448" w14:textId="77777777">
        <w:trPr>
          <w:jc w:val="center"/>
        </w:trPr>
        <w:tc>
          <w:tcPr>
            <w:tcW w:w="0" w:type="auto"/>
            <w:shd w:val="clear" w:color="auto" w:fill="auto"/>
            <w:tcMar>
              <w:top w:w="40" w:type="dxa"/>
              <w:left w:w="40" w:type="dxa"/>
              <w:bottom w:w="40" w:type="dxa"/>
              <w:right w:w="40" w:type="dxa"/>
            </w:tcMar>
          </w:tcPr>
          <w:p w14:paraId="4ACE2446" w14:textId="77777777" w:rsidR="006F587A" w:rsidRDefault="007B2B61">
            <w:pPr>
              <w:textAlignment w:val="top"/>
              <w:rPr>
                <w:rFonts w:ascii="Times New Roman" w:hAnsi="Times New Roman"/>
              </w:rPr>
            </w:pPr>
            <w:r>
              <w:rPr>
                <w:rFonts w:ascii="Arial" w:eastAsia="宋体" w:hAnsi="Arial" w:cs="Arial"/>
                <w:b/>
                <w:bCs/>
                <w:color w:val="0071C5"/>
              </w:rPr>
              <w:t>HEALTH, SAFETY, AND WELLNESS</w:t>
            </w:r>
          </w:p>
        </w:tc>
        <w:tc>
          <w:tcPr>
            <w:tcW w:w="0" w:type="auto"/>
            <w:vMerge/>
            <w:shd w:val="clear" w:color="auto" w:fill="auto"/>
            <w:tcMar>
              <w:top w:w="40" w:type="dxa"/>
              <w:left w:w="40" w:type="dxa"/>
              <w:bottom w:w="40" w:type="dxa"/>
              <w:right w:w="40" w:type="dxa"/>
            </w:tcMar>
            <w:vAlign w:val="center"/>
          </w:tcPr>
          <w:p w14:paraId="4ACE2447" w14:textId="77777777" w:rsidR="006F587A" w:rsidRDefault="006F587A">
            <w:pPr>
              <w:rPr>
                <w:rFonts w:ascii="Times New Roman" w:hAnsi="Times New Roman"/>
                <w:sz w:val="20"/>
                <w:szCs w:val="20"/>
              </w:rPr>
            </w:pPr>
          </w:p>
        </w:tc>
      </w:tr>
      <w:tr w:rsidR="006F587A" w14:paraId="4ACE244C" w14:textId="77777777">
        <w:trPr>
          <w:jc w:val="center"/>
        </w:trPr>
        <w:tc>
          <w:tcPr>
            <w:tcW w:w="0" w:type="auto"/>
            <w:shd w:val="clear" w:color="auto" w:fill="auto"/>
            <w:tcMar>
              <w:top w:w="40" w:type="dxa"/>
              <w:left w:w="40" w:type="dxa"/>
              <w:bottom w:w="40" w:type="dxa"/>
              <w:right w:w="40" w:type="dxa"/>
            </w:tcMar>
          </w:tcPr>
          <w:p w14:paraId="4ACE2449"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 xml:space="preserve">We are committed to the safety of our employees, customers, and communities, from operations to product development to supplier partnerships. Our </w:t>
            </w:r>
            <w:r>
              <w:rPr>
                <w:rFonts w:ascii="Arial" w:eastAsia="宋体" w:hAnsi="Arial" w:cs="Arial"/>
                <w:color w:val="333333"/>
                <w:sz w:val="18"/>
                <w:szCs w:val="18"/>
              </w:rPr>
              <w:t>ultimate goal is to achieve zero serious injuries through continued investment in and focus on our core safety programs and injury-reduction initiatives. We provide access to a variety of innovative, flexible, and convenient health and wellness programs, i</w:t>
            </w:r>
            <w:r>
              <w:rPr>
                <w:rFonts w:ascii="Arial" w:eastAsia="宋体" w:hAnsi="Arial" w:cs="Arial"/>
                <w:color w:val="333333"/>
                <w:sz w:val="18"/>
                <w:szCs w:val="18"/>
              </w:rPr>
              <w:t>ncluding on-site health centers.</w:t>
            </w:r>
          </w:p>
          <w:p w14:paraId="4ACE244A" w14:textId="77777777" w:rsidR="006F587A" w:rsidRDefault="006F587A">
            <w:pPr>
              <w:textAlignment w:val="top"/>
              <w:rPr>
                <w:rFonts w:ascii="Times New Roman" w:hAnsi="Times New Roman"/>
                <w:sz w:val="18"/>
                <w:szCs w:val="18"/>
              </w:rPr>
            </w:pPr>
          </w:p>
        </w:tc>
        <w:tc>
          <w:tcPr>
            <w:tcW w:w="0" w:type="auto"/>
            <w:vMerge/>
            <w:shd w:val="clear" w:color="auto" w:fill="auto"/>
            <w:tcMar>
              <w:top w:w="40" w:type="dxa"/>
              <w:left w:w="40" w:type="dxa"/>
              <w:bottom w:w="40" w:type="dxa"/>
              <w:right w:w="40" w:type="dxa"/>
            </w:tcMar>
            <w:vAlign w:val="center"/>
          </w:tcPr>
          <w:p w14:paraId="4ACE244B" w14:textId="77777777" w:rsidR="006F587A" w:rsidRDefault="006F587A">
            <w:pPr>
              <w:rPr>
                <w:rFonts w:ascii="Times New Roman" w:hAnsi="Times New Roman"/>
                <w:sz w:val="20"/>
                <w:szCs w:val="20"/>
              </w:rPr>
            </w:pPr>
          </w:p>
        </w:tc>
      </w:tr>
    </w:tbl>
    <w:p w14:paraId="4ACE244D" w14:textId="77777777" w:rsidR="006F587A" w:rsidRDefault="006F587A">
      <w:pPr>
        <w:rPr>
          <w:vanish/>
        </w:rPr>
      </w:pPr>
    </w:p>
    <w:tbl>
      <w:tblPr>
        <w:tblW w:w="14640" w:type="dxa"/>
        <w:tblCellMar>
          <w:left w:w="0" w:type="dxa"/>
          <w:right w:w="0" w:type="dxa"/>
        </w:tblCellMar>
        <w:tblLook w:val="04A0" w:firstRow="1" w:lastRow="0" w:firstColumn="1" w:lastColumn="0" w:noHBand="0" w:noVBand="1"/>
      </w:tblPr>
      <w:tblGrid>
        <w:gridCol w:w="1222"/>
        <w:gridCol w:w="13418"/>
      </w:tblGrid>
      <w:tr w:rsidR="006F587A" w14:paraId="4ACE244F" w14:textId="77777777">
        <w:tc>
          <w:tcPr>
            <w:tcW w:w="0" w:type="auto"/>
            <w:gridSpan w:val="2"/>
            <w:shd w:val="clear" w:color="auto" w:fill="auto"/>
            <w:vAlign w:val="center"/>
          </w:tcPr>
          <w:p w14:paraId="4ACE244E" w14:textId="77777777" w:rsidR="006F587A" w:rsidRDefault="006F587A">
            <w:pPr>
              <w:rPr>
                <w:rFonts w:ascii="Times New Roman" w:hAnsi="Times New Roman"/>
                <w:sz w:val="20"/>
                <w:szCs w:val="20"/>
              </w:rPr>
            </w:pPr>
          </w:p>
        </w:tc>
      </w:tr>
      <w:tr w:rsidR="006F587A" w14:paraId="4ACE2452" w14:textId="77777777">
        <w:tc>
          <w:tcPr>
            <w:tcW w:w="1220" w:type="dxa"/>
            <w:shd w:val="clear" w:color="auto" w:fill="auto"/>
            <w:vAlign w:val="center"/>
          </w:tcPr>
          <w:p w14:paraId="4ACE2450" w14:textId="77777777" w:rsidR="006F587A" w:rsidRDefault="006F587A">
            <w:pPr>
              <w:rPr>
                <w:rFonts w:ascii="Times New Roman" w:hAnsi="Times New Roman"/>
                <w:sz w:val="20"/>
                <w:szCs w:val="20"/>
              </w:rPr>
            </w:pPr>
          </w:p>
        </w:tc>
        <w:tc>
          <w:tcPr>
            <w:tcW w:w="13400" w:type="dxa"/>
            <w:shd w:val="clear" w:color="auto" w:fill="auto"/>
            <w:vAlign w:val="center"/>
          </w:tcPr>
          <w:p w14:paraId="4ACE2451" w14:textId="77777777" w:rsidR="006F587A" w:rsidRDefault="006F587A">
            <w:pPr>
              <w:rPr>
                <w:rFonts w:ascii="Times New Roman" w:hAnsi="Times New Roman"/>
                <w:sz w:val="20"/>
                <w:szCs w:val="20"/>
              </w:rPr>
            </w:pPr>
          </w:p>
        </w:tc>
      </w:tr>
      <w:tr w:rsidR="006F587A" w14:paraId="4ACE2455" w14:textId="77777777">
        <w:tc>
          <w:tcPr>
            <w:tcW w:w="0" w:type="auto"/>
            <w:shd w:val="clear" w:color="auto" w:fill="auto"/>
            <w:tcMar>
              <w:top w:w="40" w:type="dxa"/>
              <w:left w:w="40" w:type="dxa"/>
              <w:bottom w:w="40" w:type="dxa"/>
              <w:right w:w="40" w:type="dxa"/>
            </w:tcMar>
            <w:vAlign w:val="center"/>
          </w:tcPr>
          <w:p w14:paraId="4ACE2453" w14:textId="77777777" w:rsidR="006F587A" w:rsidRDefault="007B2B61">
            <w:pPr>
              <w:jc w:val="center"/>
              <w:textAlignment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Viewer12_files/a020socialicona12.jpg"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8F" wp14:editId="4ACE6C90">
                  <wp:extent cx="304800" cy="304800"/>
                  <wp:effectExtent l="0" t="0" r="0" b="0"/>
                  <wp:docPr id="85" name="图片 100"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00" descr="IMG_30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c>
          <w:tcPr>
            <w:tcW w:w="0" w:type="auto"/>
            <w:shd w:val="clear" w:color="auto" w:fill="auto"/>
            <w:tcMar>
              <w:top w:w="40" w:type="dxa"/>
              <w:left w:w="40" w:type="dxa"/>
              <w:bottom w:w="40" w:type="dxa"/>
              <w:right w:w="40" w:type="dxa"/>
            </w:tcMar>
            <w:vAlign w:val="bottom"/>
          </w:tcPr>
          <w:p w14:paraId="4ACE2454" w14:textId="77777777" w:rsidR="006F587A" w:rsidRDefault="007B2B61">
            <w:pPr>
              <w:textAlignment w:val="bottom"/>
              <w:rPr>
                <w:rFonts w:ascii="Times New Roman" w:hAnsi="Times New Roman"/>
                <w:sz w:val="28"/>
                <w:szCs w:val="28"/>
              </w:rPr>
            </w:pPr>
            <w:r>
              <w:rPr>
                <w:rFonts w:ascii="Arial" w:eastAsia="宋体" w:hAnsi="Arial" w:cs="Arial"/>
                <w:b/>
                <w:bCs/>
                <w:color w:val="0071C5"/>
                <w:sz w:val="28"/>
                <w:szCs w:val="28"/>
              </w:rPr>
              <w:t>SOCIAL AND RELATIONSHIP CAPITAL</w:t>
            </w:r>
          </w:p>
        </w:tc>
      </w:tr>
    </w:tbl>
    <w:p w14:paraId="4ACE2456"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We are committed to developing trusted relationships, giving back to our </w:t>
      </w:r>
      <w:r>
        <w:rPr>
          <w:rFonts w:ascii="Arial" w:eastAsia="宋体" w:hAnsi="Arial" w:cs="Arial"/>
          <w:color w:val="333333"/>
          <w:sz w:val="18"/>
          <w:szCs w:val="18"/>
        </w:rPr>
        <w:t>communities, and engaging in corporate responsibility and sustainability initiatives. Collaboration with stakeholders and investments in social impact initiatives, like the United Nations Sustainable Development Goals, led to our reputation as a leading co</w:t>
      </w:r>
      <w:r>
        <w:rPr>
          <w:rFonts w:ascii="Arial" w:eastAsia="宋体" w:hAnsi="Arial" w:cs="Arial"/>
          <w:color w:val="333333"/>
          <w:sz w:val="18"/>
          <w:szCs w:val="18"/>
        </w:rPr>
        <w:t>rporate citizen and creates value in the form of consistent stakeholder support.</w:t>
      </w:r>
    </w:p>
    <w:p w14:paraId="4ACE2457" w14:textId="77777777" w:rsidR="006F587A" w:rsidRDefault="007B2B61">
      <w:pPr>
        <w:spacing w:line="288" w:lineRule="auto"/>
        <w:rPr>
          <w:rFonts w:ascii="Times New Roman" w:hAnsi="Times New Roman"/>
        </w:rPr>
      </w:pPr>
      <w:r>
        <w:rPr>
          <w:rFonts w:ascii="Arial" w:eastAsia="宋体" w:hAnsi="Arial" w:cs="Arial"/>
          <w:b/>
          <w:bCs/>
          <w:color w:val="0071C5"/>
        </w:rPr>
        <w:t>ECONOMIC, SOCIAL, AND HUMAN RIGHTS IMPACT</w:t>
      </w:r>
    </w:p>
    <w:p w14:paraId="4ACE2458"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The health of our company and local economies depends on continued investments in innovation. We provide high-skill, high-paying jobs</w:t>
      </w:r>
      <w:r>
        <w:rPr>
          <w:rFonts w:ascii="Arial" w:eastAsia="宋体" w:hAnsi="Arial" w:cs="Arial"/>
          <w:color w:val="333333"/>
          <w:sz w:val="18"/>
          <w:szCs w:val="18"/>
        </w:rPr>
        <w:t xml:space="preserve"> around the world. Many of these are manufacturing and R&amp;D jobs located in our own domestic and international factories. We also impact economies through our R&amp;D ecosystem spending, sourcing activities, consumer spending by our employees, and tax revenue. </w:t>
      </w:r>
      <w:r>
        <w:rPr>
          <w:rFonts w:ascii="Arial" w:eastAsia="宋体" w:hAnsi="Arial" w:cs="Arial"/>
          <w:color w:val="333333"/>
          <w:sz w:val="18"/>
          <w:szCs w:val="18"/>
        </w:rPr>
        <w:t xml:space="preserve">We make sizable capital investments and provide leadership in public-private partnerships to spur economic growth and innovation. </w:t>
      </w:r>
    </w:p>
    <w:p w14:paraId="4ACE2459"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are at the forefront of new technologies that are increasingly being used to empower individuals, companies, and governmen</w:t>
      </w:r>
      <w:r>
        <w:rPr>
          <w:rFonts w:ascii="Arial" w:eastAsia="宋体" w:hAnsi="Arial" w:cs="Arial"/>
          <w:color w:val="333333"/>
          <w:sz w:val="18"/>
          <w:szCs w:val="18"/>
        </w:rPr>
        <w:t xml:space="preserve">ts around the world to solve major societal challenges. Simultaneously, we are empowering people through education and advancing social impact initiatives to create new career pathways into the technology industry, helping us build trust with key external </w:t>
      </w:r>
      <w:r>
        <w:rPr>
          <w:rFonts w:ascii="Arial" w:eastAsia="宋体" w:hAnsi="Arial" w:cs="Arial"/>
          <w:color w:val="333333"/>
          <w:sz w:val="18"/>
          <w:szCs w:val="18"/>
        </w:rPr>
        <w:t>stakeholders and support the interests of our employees. Our employees actively share their expertise and skills through volunteer initiatives, and contributed 1 million hours of service in the communities where we operate in 2019.</w:t>
      </w:r>
    </w:p>
    <w:p w14:paraId="4ACE245A"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are committed to main</w:t>
      </w:r>
      <w:r>
        <w:rPr>
          <w:rFonts w:ascii="Arial" w:eastAsia="宋体" w:hAnsi="Arial" w:cs="Arial"/>
          <w:color w:val="333333"/>
          <w:sz w:val="18"/>
          <w:szCs w:val="18"/>
        </w:rPr>
        <w:t>taining and improving processes to avoid human rights violations related to our operations, supply chain, and products.</w:t>
      </w:r>
      <w:r>
        <w:rPr>
          <w:rFonts w:ascii="Arial" w:eastAsia="宋体" w:hAnsi="Arial" w:cs="Arial"/>
          <w:color w:val="000000"/>
          <w:sz w:val="18"/>
          <w:szCs w:val="18"/>
        </w:rPr>
        <w:t xml:space="preserve"> </w:t>
      </w:r>
      <w:r>
        <w:rPr>
          <w:rFonts w:ascii="Arial" w:eastAsia="宋体" w:hAnsi="Arial" w:cs="Arial"/>
          <w:color w:val="333333"/>
          <w:sz w:val="18"/>
          <w:szCs w:val="18"/>
        </w:rPr>
        <w:t>While we do not always know nor can we control what products our customers create or the applications end-users may develop, we do not s</w:t>
      </w:r>
      <w:r>
        <w:rPr>
          <w:rFonts w:ascii="Arial" w:eastAsia="宋体" w:hAnsi="Arial" w:cs="Arial"/>
          <w:color w:val="333333"/>
          <w:sz w:val="18"/>
          <w:szCs w:val="18"/>
        </w:rPr>
        <w:t>upport or tolerate our products being used to violate human rights. Where we become aware of a concern that Intel products are being used by a business partner in connection with abuses of human rights, we will restrict or cease business with the third par</w:t>
      </w:r>
      <w:r>
        <w:rPr>
          <w:rFonts w:ascii="Arial" w:eastAsia="宋体" w:hAnsi="Arial" w:cs="Arial"/>
          <w:color w:val="333333"/>
          <w:sz w:val="18"/>
          <w:szCs w:val="18"/>
        </w:rPr>
        <w:t>ty until and unless we have high confidence that Intel’s products are not being used to violate human rights.</w:t>
      </w:r>
    </w:p>
    <w:p w14:paraId="4ACE245B" w14:textId="77777777" w:rsidR="006F587A" w:rsidRDefault="007B2B61">
      <w:pPr>
        <w:spacing w:line="288" w:lineRule="auto"/>
        <w:rPr>
          <w:rFonts w:ascii="Times New Roman" w:hAnsi="Times New Roman"/>
        </w:rPr>
      </w:pPr>
      <w:r>
        <w:rPr>
          <w:rFonts w:ascii="Arial" w:eastAsia="宋体" w:hAnsi="Arial" w:cs="Arial"/>
          <w:b/>
          <w:bCs/>
          <w:color w:val="0071C5"/>
        </w:rPr>
        <w:t>SUPPLY CHAIN RESPONSIBILITY</w:t>
      </w:r>
    </w:p>
    <w:p w14:paraId="4ACE245C"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have robust programs to educate and engage suppliers that support our global manufacturing operations to drive resp</w:t>
      </w:r>
      <w:r>
        <w:rPr>
          <w:rFonts w:ascii="Arial" w:eastAsia="宋体" w:hAnsi="Arial" w:cs="Arial"/>
          <w:color w:val="333333"/>
          <w:sz w:val="18"/>
          <w:szCs w:val="18"/>
        </w:rPr>
        <w:t>onsible and sustainable practices throughout the supply chain. Actively managing our supply chain creates business value for Intel and our customers by helping to reduce risk, improve product quality, achieve environmental and social goals, and raise the o</w:t>
      </w:r>
      <w:r>
        <w:rPr>
          <w:rFonts w:ascii="Arial" w:eastAsia="宋体" w:hAnsi="Arial" w:cs="Arial"/>
          <w:color w:val="333333"/>
          <w:sz w:val="18"/>
          <w:szCs w:val="18"/>
        </w:rPr>
        <w:t>verall performance of our suppliers. Over the past five years, we completed more than 600 supplier audits using the Responsible Business Alliance Code of Conduct standard. We actively collaborate with other companies and lead industry initiatives on key is</w:t>
      </w:r>
      <w:r>
        <w:rPr>
          <w:rFonts w:ascii="Arial" w:eastAsia="宋体" w:hAnsi="Arial" w:cs="Arial"/>
          <w:color w:val="333333"/>
          <w:sz w:val="18"/>
          <w:szCs w:val="18"/>
        </w:rPr>
        <w:t>sues such as advancing responsible minerals sourcing, improving transparency around climate and water impacts in the global electronics supply chain, and addressing risks of forced and bonded labor. Our commitment to building a diverse and inclusive workfo</w:t>
      </w:r>
      <w:r>
        <w:rPr>
          <w:rFonts w:ascii="Arial" w:eastAsia="宋体" w:hAnsi="Arial" w:cs="Arial"/>
          <w:color w:val="333333"/>
          <w:sz w:val="18"/>
          <w:szCs w:val="18"/>
        </w:rPr>
        <w:t>rce extends to the expectations we set for our suppliers—a diverse supply chain supports greater innovation and value for our business. We continue working toward our 2020 goal of reaching $1.0 billion in annual spending with diverse-owned suppliers. We al</w:t>
      </w:r>
      <w:r>
        <w:rPr>
          <w:rFonts w:ascii="Arial" w:eastAsia="宋体" w:hAnsi="Arial" w:cs="Arial"/>
          <w:color w:val="333333"/>
          <w:sz w:val="18"/>
          <w:szCs w:val="18"/>
        </w:rPr>
        <w:t xml:space="preserve">so announced the "Intel Rule" to help improve diversity in the legal profession: Beginning in 2021, we will not retain or use outside law firms in the U.S. that are average or below average on diversity for their equity partners. We are applying a similar </w:t>
      </w:r>
      <w:r>
        <w:rPr>
          <w:rFonts w:ascii="Arial" w:eastAsia="宋体" w:hAnsi="Arial" w:cs="Arial"/>
          <w:color w:val="333333"/>
          <w:sz w:val="18"/>
          <w:szCs w:val="18"/>
        </w:rPr>
        <w:t>rule to firms used by our tax department, including non-legal firms.</w:t>
      </w:r>
    </w:p>
    <w:p w14:paraId="4ACE245D"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492"/>
        <w:gridCol w:w="2658"/>
        <w:gridCol w:w="3156"/>
      </w:tblGrid>
      <w:tr w:rsidR="006F587A" w14:paraId="4ACE245F" w14:textId="77777777">
        <w:tc>
          <w:tcPr>
            <w:tcW w:w="0" w:type="auto"/>
            <w:gridSpan w:val="3"/>
            <w:shd w:val="clear" w:color="auto" w:fill="auto"/>
            <w:vAlign w:val="center"/>
          </w:tcPr>
          <w:p w14:paraId="4ACE245E" w14:textId="77777777" w:rsidR="006F587A" w:rsidRDefault="006F587A">
            <w:pPr>
              <w:rPr>
                <w:rFonts w:ascii="Times New Roman" w:hAnsi="Times New Roman"/>
                <w:sz w:val="20"/>
                <w:szCs w:val="20"/>
              </w:rPr>
            </w:pPr>
          </w:p>
        </w:tc>
      </w:tr>
      <w:tr w:rsidR="006F587A" w14:paraId="4ACE2463" w14:textId="77777777">
        <w:tc>
          <w:tcPr>
            <w:tcW w:w="1500" w:type="pct"/>
            <w:shd w:val="clear" w:color="auto" w:fill="auto"/>
            <w:vAlign w:val="center"/>
          </w:tcPr>
          <w:p w14:paraId="4ACE2460" w14:textId="77777777" w:rsidR="006F587A" w:rsidRDefault="006F587A">
            <w:pPr>
              <w:rPr>
                <w:rFonts w:ascii="Times New Roman" w:hAnsi="Times New Roman"/>
                <w:sz w:val="20"/>
                <w:szCs w:val="20"/>
              </w:rPr>
            </w:pPr>
          </w:p>
        </w:tc>
        <w:tc>
          <w:tcPr>
            <w:tcW w:w="1600" w:type="pct"/>
            <w:shd w:val="clear" w:color="auto" w:fill="auto"/>
            <w:vAlign w:val="center"/>
          </w:tcPr>
          <w:p w14:paraId="4ACE2461" w14:textId="77777777" w:rsidR="006F587A" w:rsidRDefault="006F587A">
            <w:pPr>
              <w:rPr>
                <w:rFonts w:ascii="Times New Roman" w:hAnsi="Times New Roman"/>
                <w:sz w:val="20"/>
                <w:szCs w:val="20"/>
              </w:rPr>
            </w:pPr>
          </w:p>
        </w:tc>
        <w:tc>
          <w:tcPr>
            <w:tcW w:w="1900" w:type="pct"/>
            <w:shd w:val="clear" w:color="auto" w:fill="auto"/>
            <w:vAlign w:val="center"/>
          </w:tcPr>
          <w:p w14:paraId="4ACE2462" w14:textId="77777777" w:rsidR="006F587A" w:rsidRDefault="006F587A">
            <w:pPr>
              <w:rPr>
                <w:rFonts w:ascii="Times New Roman" w:hAnsi="Times New Roman"/>
                <w:sz w:val="20"/>
                <w:szCs w:val="20"/>
              </w:rPr>
            </w:pPr>
          </w:p>
        </w:tc>
      </w:tr>
      <w:tr w:rsidR="006F587A" w14:paraId="4ACE2468" w14:textId="77777777">
        <w:tc>
          <w:tcPr>
            <w:tcW w:w="0" w:type="auto"/>
            <w:tcBorders>
              <w:top w:val="single" w:sz="8" w:space="0" w:color="0071C5"/>
              <w:right w:val="single" w:sz="36" w:space="0" w:color="0071C5"/>
            </w:tcBorders>
            <w:shd w:val="clear" w:color="auto" w:fill="auto"/>
            <w:tcMar>
              <w:top w:w="40" w:type="dxa"/>
              <w:left w:w="40" w:type="dxa"/>
              <w:bottom w:w="40" w:type="dxa"/>
              <w:right w:w="40" w:type="dxa"/>
            </w:tcMar>
            <w:vAlign w:val="center"/>
          </w:tcPr>
          <w:p w14:paraId="4ACE2464" w14:textId="77777777" w:rsidR="006F587A" w:rsidRDefault="007B2B61">
            <w:pPr>
              <w:textAlignment w:val="center"/>
              <w:rPr>
                <w:rFonts w:ascii="Times New Roman" w:hAnsi="Times New Roman"/>
                <w:sz w:val="18"/>
                <w:szCs w:val="18"/>
              </w:rPr>
            </w:pP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Viewer12_files/a001intellogo_coverfooter.jpg"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C91" wp14:editId="4ACE6C92">
                  <wp:extent cx="304800" cy="304800"/>
                  <wp:effectExtent l="0" t="0" r="0" b="0"/>
                  <wp:docPr id="105" name="图片 101"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1"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r>
              <w:rPr>
                <w:rFonts w:ascii="Arial" w:eastAsia="宋体" w:hAnsi="Arial" w:cs="Arial"/>
                <w:color w:val="333333"/>
                <w:sz w:val="18"/>
                <w:szCs w:val="18"/>
              </w:rPr>
              <w:t>  </w:t>
            </w:r>
            <w:r>
              <w:rPr>
                <w:rFonts w:ascii="Arial" w:eastAsia="宋体" w:hAnsi="Arial" w:cs="Arial"/>
                <w:color w:val="333333"/>
                <w:sz w:val="16"/>
                <w:szCs w:val="16"/>
              </w:rPr>
              <w:t>FUNDAMENTALS OF OUR BUSINESS</w:t>
            </w:r>
          </w:p>
        </w:tc>
        <w:tc>
          <w:tcPr>
            <w:tcW w:w="0" w:type="auto"/>
            <w:tcBorders>
              <w:top w:val="single" w:sz="8" w:space="0" w:color="0071C5"/>
            </w:tcBorders>
            <w:shd w:val="clear" w:color="auto" w:fill="auto"/>
            <w:tcMar>
              <w:top w:w="40" w:type="dxa"/>
              <w:left w:w="40" w:type="dxa"/>
              <w:bottom w:w="40" w:type="dxa"/>
              <w:right w:w="40" w:type="dxa"/>
            </w:tcMar>
            <w:vAlign w:val="center"/>
          </w:tcPr>
          <w:p w14:paraId="4ACE2465" w14:textId="77777777" w:rsidR="006F587A" w:rsidRDefault="007B2B61">
            <w:pPr>
              <w:textAlignment w:val="center"/>
              <w:rPr>
                <w:rFonts w:ascii="Times New Roman" w:hAnsi="Times New Roman"/>
                <w:sz w:val="16"/>
                <w:szCs w:val="16"/>
              </w:rPr>
            </w:pPr>
            <w:r>
              <w:rPr>
                <w:rFonts w:ascii="Arial" w:eastAsia="宋体" w:hAnsi="Arial" w:cs="Arial"/>
                <w:color w:val="333333"/>
                <w:sz w:val="16"/>
                <w:szCs w:val="16"/>
              </w:rPr>
              <w:t xml:space="preserve"> Our Capital </w:t>
            </w:r>
          </w:p>
        </w:tc>
        <w:tc>
          <w:tcPr>
            <w:tcW w:w="0" w:type="auto"/>
            <w:tcBorders>
              <w:top w:val="single" w:sz="8" w:space="0" w:color="0071C5"/>
            </w:tcBorders>
            <w:shd w:val="clear" w:color="auto" w:fill="auto"/>
            <w:tcMar>
              <w:top w:w="40" w:type="dxa"/>
              <w:left w:w="40" w:type="dxa"/>
              <w:bottom w:w="40" w:type="dxa"/>
              <w:right w:w="40" w:type="dxa"/>
            </w:tcMar>
            <w:vAlign w:val="center"/>
          </w:tcPr>
          <w:p w14:paraId="4ACE2466" w14:textId="77777777" w:rsidR="006F587A" w:rsidRDefault="007B2B61">
            <w:pPr>
              <w:jc w:val="right"/>
              <w:textAlignment w:val="center"/>
              <w:rPr>
                <w:rFonts w:ascii="Times New Roman" w:hAnsi="Times New Roman"/>
                <w:sz w:val="16"/>
                <w:szCs w:val="16"/>
              </w:rPr>
            </w:pPr>
            <w:r>
              <w:rPr>
                <w:rFonts w:ascii="Arial" w:eastAsia="宋体" w:hAnsi="Arial" w:cs="Arial"/>
                <w:color w:val="333333"/>
                <w:sz w:val="16"/>
                <w:szCs w:val="16"/>
              </w:rPr>
              <w:t>13</w:t>
            </w:r>
          </w:p>
          <w:p w14:paraId="4ACE2467" w14:textId="77777777" w:rsidR="006F587A" w:rsidRDefault="006F587A">
            <w:pPr>
              <w:jc w:val="right"/>
              <w:textAlignment w:val="center"/>
              <w:rPr>
                <w:rFonts w:ascii="Times New Roman" w:hAnsi="Times New Roman"/>
                <w:sz w:val="16"/>
                <w:szCs w:val="16"/>
              </w:rPr>
            </w:pPr>
          </w:p>
        </w:tc>
      </w:tr>
    </w:tbl>
    <w:p w14:paraId="4ACE2469" w14:textId="77777777" w:rsidR="006F587A" w:rsidRDefault="007B2B61">
      <w:r>
        <w:pict w14:anchorId="4ACE6C93">
          <v:rect id="_x0000_i1039" style="width:415.3pt;height:1.5pt" o:hralign="center" o:hrstd="t" o:hr="t" fillcolor="#a0a0a0" stroked="f"/>
        </w:pict>
      </w:r>
    </w:p>
    <w:p w14:paraId="4ACE246A" w14:textId="77777777" w:rsidR="006F587A" w:rsidRDefault="007B2B61">
      <w:pPr>
        <w:spacing w:line="288" w:lineRule="auto"/>
        <w:jc w:val="right"/>
        <w:rPr>
          <w:rFonts w:ascii="Times New Roman" w:hAnsi="Times New Roman"/>
          <w:sz w:val="16"/>
          <w:szCs w:val="16"/>
        </w:rPr>
      </w:pPr>
      <w:hyperlink r:id="rId48" w:anchor="s9DB683E2CF52561EB8A73BE37F5BF9BE" w:history="1">
        <w:r>
          <w:rPr>
            <w:rStyle w:val="a5"/>
            <w:rFonts w:ascii="Arial" w:eastAsia="宋体" w:hAnsi="Arial" w:cs="Arial"/>
            <w:b/>
            <w:bCs/>
            <w:sz w:val="16"/>
            <w:szCs w:val="16"/>
          </w:rPr>
          <w:t>Table of Contents</w:t>
        </w:r>
      </w:hyperlink>
    </w:p>
    <w:p w14:paraId="4ACE246B" w14:textId="77777777" w:rsidR="006F587A" w:rsidRDefault="006F587A">
      <w:pPr>
        <w:spacing w:line="288" w:lineRule="auto"/>
        <w:jc w:val="right"/>
        <w:rPr>
          <w:rFonts w:ascii="Times New Roman" w:hAnsi="Times New Roman"/>
          <w:sz w:val="16"/>
          <w:szCs w:val="16"/>
        </w:rPr>
      </w:pPr>
    </w:p>
    <w:p w14:paraId="4ACE246C" w14:textId="77777777" w:rsidR="006F587A" w:rsidRDefault="006F587A">
      <w:pPr>
        <w:rPr>
          <w:rFonts w:ascii="Times New Roman" w:hAnsi="Times New Roman"/>
          <w:sz w:val="20"/>
          <w:szCs w:val="20"/>
        </w:rPr>
      </w:pPr>
    </w:p>
    <w:tbl>
      <w:tblPr>
        <w:tblW w:w="14500" w:type="dxa"/>
        <w:tblCellMar>
          <w:left w:w="0" w:type="dxa"/>
          <w:right w:w="0" w:type="dxa"/>
        </w:tblCellMar>
        <w:tblLook w:val="04A0" w:firstRow="1" w:lastRow="0" w:firstColumn="1" w:lastColumn="0" w:noHBand="0" w:noVBand="1"/>
      </w:tblPr>
      <w:tblGrid>
        <w:gridCol w:w="1083"/>
        <w:gridCol w:w="6438"/>
        <w:gridCol w:w="201"/>
        <w:gridCol w:w="6598"/>
        <w:gridCol w:w="180"/>
      </w:tblGrid>
      <w:tr w:rsidR="006F587A" w14:paraId="4ACE246E" w14:textId="77777777">
        <w:tc>
          <w:tcPr>
            <w:tcW w:w="0" w:type="auto"/>
            <w:gridSpan w:val="5"/>
            <w:shd w:val="clear" w:color="auto" w:fill="auto"/>
            <w:vAlign w:val="center"/>
          </w:tcPr>
          <w:p w14:paraId="4ACE246D" w14:textId="77777777" w:rsidR="006F587A" w:rsidRDefault="006F587A">
            <w:pPr>
              <w:rPr>
                <w:rFonts w:ascii="Times New Roman" w:hAnsi="Times New Roman"/>
                <w:sz w:val="20"/>
                <w:szCs w:val="20"/>
              </w:rPr>
            </w:pPr>
          </w:p>
        </w:tc>
      </w:tr>
      <w:tr w:rsidR="006F587A" w14:paraId="4ACE2474" w14:textId="77777777">
        <w:tc>
          <w:tcPr>
            <w:tcW w:w="1080" w:type="dxa"/>
            <w:shd w:val="clear" w:color="auto" w:fill="auto"/>
            <w:vAlign w:val="center"/>
          </w:tcPr>
          <w:p w14:paraId="4ACE246F" w14:textId="77777777" w:rsidR="006F587A" w:rsidRDefault="006F587A">
            <w:pPr>
              <w:rPr>
                <w:rFonts w:ascii="Times New Roman" w:hAnsi="Times New Roman"/>
                <w:sz w:val="20"/>
                <w:szCs w:val="20"/>
              </w:rPr>
            </w:pPr>
          </w:p>
        </w:tc>
        <w:tc>
          <w:tcPr>
            <w:tcW w:w="6420" w:type="dxa"/>
            <w:shd w:val="clear" w:color="auto" w:fill="auto"/>
            <w:vAlign w:val="center"/>
          </w:tcPr>
          <w:p w14:paraId="4ACE2470" w14:textId="77777777" w:rsidR="006F587A" w:rsidRDefault="006F587A">
            <w:pPr>
              <w:rPr>
                <w:rFonts w:ascii="Times New Roman" w:hAnsi="Times New Roman"/>
                <w:sz w:val="20"/>
                <w:szCs w:val="20"/>
              </w:rPr>
            </w:pPr>
          </w:p>
        </w:tc>
        <w:tc>
          <w:tcPr>
            <w:tcW w:w="200" w:type="dxa"/>
            <w:shd w:val="clear" w:color="auto" w:fill="auto"/>
            <w:vAlign w:val="center"/>
          </w:tcPr>
          <w:p w14:paraId="4ACE2471" w14:textId="77777777" w:rsidR="006F587A" w:rsidRDefault="006F587A">
            <w:pPr>
              <w:rPr>
                <w:rFonts w:ascii="Times New Roman" w:hAnsi="Times New Roman"/>
                <w:sz w:val="20"/>
                <w:szCs w:val="20"/>
              </w:rPr>
            </w:pPr>
          </w:p>
        </w:tc>
        <w:tc>
          <w:tcPr>
            <w:tcW w:w="6580" w:type="dxa"/>
            <w:shd w:val="clear" w:color="auto" w:fill="auto"/>
            <w:vAlign w:val="center"/>
          </w:tcPr>
          <w:p w14:paraId="4ACE2472" w14:textId="77777777" w:rsidR="006F587A" w:rsidRDefault="006F587A">
            <w:pPr>
              <w:rPr>
                <w:rFonts w:ascii="Times New Roman" w:hAnsi="Times New Roman"/>
                <w:sz w:val="20"/>
                <w:szCs w:val="20"/>
              </w:rPr>
            </w:pPr>
          </w:p>
        </w:tc>
        <w:tc>
          <w:tcPr>
            <w:tcW w:w="180" w:type="dxa"/>
            <w:shd w:val="clear" w:color="auto" w:fill="auto"/>
            <w:vAlign w:val="center"/>
          </w:tcPr>
          <w:p w14:paraId="4ACE2473" w14:textId="77777777" w:rsidR="006F587A" w:rsidRDefault="006F587A">
            <w:pPr>
              <w:rPr>
                <w:rFonts w:ascii="Times New Roman" w:hAnsi="Times New Roman"/>
                <w:sz w:val="20"/>
                <w:szCs w:val="20"/>
              </w:rPr>
            </w:pPr>
          </w:p>
        </w:tc>
      </w:tr>
      <w:tr w:rsidR="006F587A" w14:paraId="4ACE2477" w14:textId="77777777">
        <w:tc>
          <w:tcPr>
            <w:tcW w:w="0" w:type="auto"/>
            <w:shd w:val="clear" w:color="auto" w:fill="auto"/>
            <w:tcMar>
              <w:top w:w="40" w:type="dxa"/>
              <w:left w:w="40" w:type="dxa"/>
              <w:bottom w:w="40" w:type="dxa"/>
              <w:right w:w="40" w:type="dxa"/>
            </w:tcMar>
            <w:vAlign w:val="center"/>
          </w:tcPr>
          <w:p w14:paraId="4ACE2475" w14:textId="77777777" w:rsidR="006F587A" w:rsidRDefault="007B2B61">
            <w:pPr>
              <w:jc w:val="center"/>
              <w:textAlignment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Viewer12_files/a021naturaliconblueglobea01.jpg"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94" wp14:editId="4ACE6C95">
                  <wp:extent cx="304800" cy="304800"/>
                  <wp:effectExtent l="0" t="0" r="0" b="0"/>
                  <wp:docPr id="84" name="图片 103"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03" descr="IMG_31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c>
          <w:tcPr>
            <w:tcW w:w="0" w:type="auto"/>
            <w:gridSpan w:val="4"/>
            <w:shd w:val="clear" w:color="auto" w:fill="auto"/>
            <w:tcMar>
              <w:top w:w="40" w:type="dxa"/>
              <w:left w:w="40" w:type="dxa"/>
              <w:bottom w:w="40" w:type="dxa"/>
              <w:right w:w="40" w:type="dxa"/>
            </w:tcMar>
            <w:vAlign w:val="bottom"/>
          </w:tcPr>
          <w:p w14:paraId="4ACE2476" w14:textId="77777777" w:rsidR="006F587A" w:rsidRDefault="007B2B61">
            <w:pPr>
              <w:textAlignment w:val="bottom"/>
              <w:rPr>
                <w:rFonts w:ascii="Times New Roman" w:hAnsi="Times New Roman"/>
                <w:sz w:val="28"/>
                <w:szCs w:val="28"/>
              </w:rPr>
            </w:pPr>
            <w:r>
              <w:rPr>
                <w:rFonts w:ascii="Arial" w:eastAsia="宋体" w:hAnsi="Arial" w:cs="Arial"/>
                <w:b/>
                <w:bCs/>
                <w:color w:val="0071C5"/>
                <w:sz w:val="28"/>
                <w:szCs w:val="28"/>
              </w:rPr>
              <w:t>NATURAL CAPITAL</w:t>
            </w:r>
          </w:p>
        </w:tc>
      </w:tr>
    </w:tbl>
    <w:p w14:paraId="4ACE2478"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Driving to the lowest environmental footprint possible helps us achieve </w:t>
      </w:r>
      <w:r>
        <w:rPr>
          <w:rFonts w:ascii="Arial" w:eastAsia="宋体" w:hAnsi="Arial" w:cs="Arial"/>
          <w:color w:val="333333"/>
          <w:sz w:val="18"/>
          <w:szCs w:val="18"/>
        </w:rPr>
        <w:t>efficiency, lower costs, and respond to the needs of our stakeholders. We invest in conservation projects and set company-wide environmental targets, seeking to drive reductions in greenhouse gas emissions, energy use, water use, and waste generation. We f</w:t>
      </w:r>
      <w:r>
        <w:rPr>
          <w:rFonts w:ascii="Arial" w:eastAsia="宋体" w:hAnsi="Arial" w:cs="Arial"/>
          <w:color w:val="333333"/>
          <w:sz w:val="18"/>
          <w:szCs w:val="18"/>
        </w:rPr>
        <w:t>ocus on building energy efficiency into our products to help our customers lower their own emissions and energy costs. We also collaborate with policymakers and other stakeholders to identify opportunities to apply technology to environmental challenges su</w:t>
      </w:r>
      <w:r>
        <w:rPr>
          <w:rFonts w:ascii="Arial" w:eastAsia="宋体" w:hAnsi="Arial" w:cs="Arial"/>
          <w:color w:val="333333"/>
          <w:sz w:val="18"/>
          <w:szCs w:val="18"/>
        </w:rPr>
        <w:t>ch as climate change and water conservation.</w:t>
      </w:r>
    </w:p>
    <w:tbl>
      <w:tblPr>
        <w:tblW w:w="5000" w:type="pct"/>
        <w:tblCellMar>
          <w:left w:w="0" w:type="dxa"/>
          <w:right w:w="0" w:type="dxa"/>
        </w:tblCellMar>
        <w:tblLook w:val="04A0" w:firstRow="1" w:lastRow="0" w:firstColumn="1" w:lastColumn="0" w:noHBand="0" w:noVBand="1"/>
      </w:tblPr>
      <w:tblGrid>
        <w:gridCol w:w="1471"/>
        <w:gridCol w:w="130"/>
        <w:gridCol w:w="6705"/>
      </w:tblGrid>
      <w:tr w:rsidR="006F587A" w14:paraId="4ACE247A" w14:textId="77777777">
        <w:tc>
          <w:tcPr>
            <w:tcW w:w="0" w:type="auto"/>
            <w:gridSpan w:val="3"/>
            <w:shd w:val="clear" w:color="auto" w:fill="auto"/>
            <w:vAlign w:val="center"/>
          </w:tcPr>
          <w:p w14:paraId="4ACE2479" w14:textId="77777777" w:rsidR="006F587A" w:rsidRDefault="006F587A">
            <w:pPr>
              <w:rPr>
                <w:rFonts w:ascii="Times New Roman" w:hAnsi="Times New Roman"/>
                <w:sz w:val="20"/>
                <w:szCs w:val="20"/>
              </w:rPr>
            </w:pPr>
          </w:p>
        </w:tc>
      </w:tr>
      <w:tr w:rsidR="006F587A" w14:paraId="4ACE247E" w14:textId="77777777">
        <w:tc>
          <w:tcPr>
            <w:tcW w:w="900" w:type="pct"/>
            <w:shd w:val="clear" w:color="auto" w:fill="auto"/>
            <w:vAlign w:val="center"/>
          </w:tcPr>
          <w:p w14:paraId="4ACE247B" w14:textId="77777777" w:rsidR="006F587A" w:rsidRDefault="006F587A">
            <w:pPr>
              <w:rPr>
                <w:rFonts w:ascii="Times New Roman" w:hAnsi="Times New Roman"/>
                <w:sz w:val="20"/>
                <w:szCs w:val="20"/>
              </w:rPr>
            </w:pPr>
          </w:p>
        </w:tc>
        <w:tc>
          <w:tcPr>
            <w:tcW w:w="50" w:type="pct"/>
            <w:shd w:val="clear" w:color="auto" w:fill="auto"/>
            <w:vAlign w:val="center"/>
          </w:tcPr>
          <w:p w14:paraId="4ACE247C" w14:textId="77777777" w:rsidR="006F587A" w:rsidRDefault="006F587A">
            <w:pPr>
              <w:rPr>
                <w:rFonts w:ascii="Times New Roman" w:hAnsi="Times New Roman"/>
                <w:sz w:val="20"/>
                <w:szCs w:val="20"/>
              </w:rPr>
            </w:pPr>
          </w:p>
        </w:tc>
        <w:tc>
          <w:tcPr>
            <w:tcW w:w="4050" w:type="pct"/>
            <w:shd w:val="clear" w:color="auto" w:fill="auto"/>
            <w:vAlign w:val="center"/>
          </w:tcPr>
          <w:p w14:paraId="4ACE247D" w14:textId="77777777" w:rsidR="006F587A" w:rsidRDefault="006F587A">
            <w:pPr>
              <w:rPr>
                <w:rFonts w:ascii="Times New Roman" w:hAnsi="Times New Roman"/>
                <w:sz w:val="20"/>
                <w:szCs w:val="20"/>
              </w:rPr>
            </w:pPr>
          </w:p>
        </w:tc>
      </w:tr>
      <w:tr w:rsidR="006F587A" w14:paraId="4ACE2484" w14:textId="77777777">
        <w:tc>
          <w:tcPr>
            <w:tcW w:w="0" w:type="auto"/>
            <w:shd w:val="clear" w:color="auto" w:fill="auto"/>
            <w:tcMar>
              <w:top w:w="40" w:type="dxa"/>
              <w:left w:w="40" w:type="dxa"/>
              <w:bottom w:w="40" w:type="dxa"/>
              <w:right w:w="40" w:type="dxa"/>
            </w:tcMar>
            <w:vAlign w:val="bottom"/>
          </w:tcPr>
          <w:p w14:paraId="4ACE247F" w14:textId="77777777" w:rsidR="006F587A" w:rsidRDefault="007B2B61">
            <w:pPr>
              <w:jc w:val="center"/>
              <w:textAlignment w:val="bottom"/>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Viewer12_files/a028anncircle.jpg"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96" wp14:editId="4ACE6C97">
                  <wp:extent cx="304800" cy="304800"/>
                  <wp:effectExtent l="0" t="0" r="0" b="0"/>
                  <wp:docPr id="125" name="图片 104"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04" descr="IMG_31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c>
          <w:tcPr>
            <w:tcW w:w="0" w:type="auto"/>
            <w:shd w:val="clear" w:color="auto" w:fill="auto"/>
            <w:tcMar>
              <w:top w:w="40" w:type="dxa"/>
              <w:left w:w="40" w:type="dxa"/>
              <w:bottom w:w="40" w:type="dxa"/>
              <w:right w:w="40" w:type="dxa"/>
            </w:tcMar>
            <w:vAlign w:val="bottom"/>
          </w:tcPr>
          <w:p w14:paraId="4ACE248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4ACE2481" w14:textId="77777777" w:rsidR="006F587A" w:rsidRDefault="007B2B61">
            <w:pPr>
              <w:textAlignment w:val="center"/>
              <w:rPr>
                <w:rFonts w:ascii="Times New Roman" w:hAnsi="Times New Roman"/>
                <w:sz w:val="18"/>
                <w:szCs w:val="18"/>
              </w:rPr>
            </w:pPr>
            <w:r>
              <w:rPr>
                <w:rFonts w:ascii="Arial" w:eastAsia="宋体" w:hAnsi="Arial" w:cs="Arial"/>
                <w:b/>
                <w:bCs/>
                <w:i/>
                <w:iCs/>
                <w:color w:val="333333"/>
                <w:sz w:val="18"/>
                <w:szCs w:val="18"/>
              </w:rPr>
              <w:t>"At Intel, we have long believed that to truly be a leader in manufacturing, we must also advance environmenta</w:t>
            </w:r>
            <w:r>
              <w:rPr>
                <w:rFonts w:ascii="Arial" w:eastAsia="宋体" w:hAnsi="Arial" w:cs="Arial"/>
                <w:b/>
                <w:bCs/>
                <w:i/>
                <w:iCs/>
                <w:color w:val="333333"/>
                <w:sz w:val="18"/>
                <w:szCs w:val="18"/>
              </w:rPr>
              <w:t>l sustainability and corporate responsibility. For more than two decades, our sustainability practices have enabled us to create significant value for our customers, investors, employees, and community stakeholders."</w:t>
            </w:r>
          </w:p>
          <w:p w14:paraId="4ACE2482" w14:textId="77777777" w:rsidR="006F587A" w:rsidRDefault="006F587A">
            <w:pPr>
              <w:textAlignment w:val="center"/>
              <w:rPr>
                <w:rFonts w:ascii="Times New Roman" w:hAnsi="Times New Roman"/>
                <w:sz w:val="18"/>
                <w:szCs w:val="18"/>
              </w:rPr>
            </w:pPr>
          </w:p>
          <w:p w14:paraId="4ACE2483" w14:textId="77777777" w:rsidR="006F587A" w:rsidRDefault="007B2B61">
            <w:pPr>
              <w:textAlignment w:val="center"/>
              <w:rPr>
                <w:rFonts w:ascii="Times New Roman" w:hAnsi="Times New Roman"/>
                <w:sz w:val="18"/>
                <w:szCs w:val="18"/>
              </w:rPr>
            </w:pPr>
            <w:r>
              <w:rPr>
                <w:rFonts w:ascii="Arial" w:eastAsia="宋体" w:hAnsi="Arial" w:cs="Arial"/>
                <w:b/>
                <w:bCs/>
                <w:color w:val="333333"/>
                <w:sz w:val="18"/>
                <w:szCs w:val="18"/>
              </w:rPr>
              <w:t>—Ann Kelleher,</w:t>
            </w:r>
            <w:r>
              <w:rPr>
                <w:rFonts w:ascii="Arial" w:eastAsia="宋体" w:hAnsi="Arial" w:cs="Arial"/>
                <w:color w:val="333333"/>
                <w:sz w:val="18"/>
                <w:szCs w:val="18"/>
              </w:rPr>
              <w:t> Senior Vice President a</w:t>
            </w:r>
            <w:r>
              <w:rPr>
                <w:rFonts w:ascii="Arial" w:eastAsia="宋体" w:hAnsi="Arial" w:cs="Arial"/>
                <w:color w:val="333333"/>
                <w:sz w:val="18"/>
                <w:szCs w:val="18"/>
              </w:rPr>
              <w:t>nd General Manager of Manufacturing and Operations</w:t>
            </w:r>
          </w:p>
        </w:tc>
      </w:tr>
    </w:tbl>
    <w:p w14:paraId="4ACE2485" w14:textId="77777777" w:rsidR="006F587A" w:rsidRDefault="007B2B61">
      <w:pPr>
        <w:spacing w:line="288" w:lineRule="auto"/>
        <w:rPr>
          <w:rFonts w:ascii="Times New Roman" w:hAnsi="Times New Roman"/>
        </w:rPr>
      </w:pPr>
      <w:r>
        <w:rPr>
          <w:rFonts w:ascii="Arial" w:eastAsia="宋体" w:hAnsi="Arial" w:cs="Arial"/>
          <w:b/>
          <w:bCs/>
          <w:color w:val="0071C5"/>
        </w:rPr>
        <w:t>CLIMATE AND ENERGY</w:t>
      </w:r>
    </w:p>
    <w:p w14:paraId="4ACE2486" w14:textId="77777777" w:rsidR="006F587A" w:rsidRDefault="007B2B61">
      <w:pPr>
        <w:spacing w:line="288" w:lineRule="auto"/>
        <w:rPr>
          <w:rFonts w:ascii="Times New Roman" w:hAnsi="Times New Roman"/>
          <w:sz w:val="20"/>
          <w:szCs w:val="20"/>
        </w:rPr>
      </w:pPr>
      <w:r>
        <w:rPr>
          <w:rFonts w:ascii="Arial" w:eastAsia="宋体" w:hAnsi="Arial" w:cs="Arial"/>
          <w:color w:val="333333"/>
          <w:sz w:val="18"/>
          <w:szCs w:val="18"/>
        </w:rPr>
        <w:t xml:space="preserve">We focus on reducing our own direct climate “footprint” and over the past two decades have reduced our direct emissions and electricity-generated emissions. Since 2012, we have </w:t>
      </w:r>
      <w:r>
        <w:rPr>
          <w:rFonts w:ascii="Arial" w:eastAsia="宋体" w:hAnsi="Arial" w:cs="Arial"/>
          <w:color w:val="333333"/>
          <w:sz w:val="18"/>
          <w:szCs w:val="18"/>
        </w:rPr>
        <w:t>invested more than $200 million in energy conservation projects in our global operations, resulting in cumulative savings of more than 4.5 billion kWh and cost savings of more than $500 million.</w:t>
      </w:r>
      <w:r>
        <w:rPr>
          <w:rFonts w:ascii="Arial" w:eastAsia="宋体" w:hAnsi="Arial" w:cs="Arial"/>
          <w:color w:val="333333"/>
          <w:sz w:val="20"/>
          <w:szCs w:val="20"/>
        </w:rPr>
        <w:t xml:space="preserve"> </w:t>
      </w:r>
      <w:r>
        <w:rPr>
          <w:rFonts w:ascii="Arial" w:eastAsia="宋体" w:hAnsi="Arial" w:cs="Arial"/>
          <w:color w:val="333333"/>
          <w:sz w:val="18"/>
          <w:szCs w:val="18"/>
        </w:rPr>
        <w:t>In addition to conserving energy, we invest in green power an</w:t>
      </w:r>
      <w:r>
        <w:rPr>
          <w:rFonts w:ascii="Arial" w:eastAsia="宋体" w:hAnsi="Arial" w:cs="Arial"/>
          <w:color w:val="333333"/>
          <w:sz w:val="18"/>
          <w:szCs w:val="18"/>
        </w:rPr>
        <w:t>d on-site alternative energy projects that provide power directly to our buildings and design all new buildings to LEED* standards. In 2019, we opened a LEED Platinum building in Israel with sensors that monitor lighting, temperature, ventilation, parking,</w:t>
      </w:r>
      <w:r>
        <w:rPr>
          <w:rFonts w:ascii="Arial" w:eastAsia="宋体" w:hAnsi="Arial" w:cs="Arial"/>
          <w:color w:val="333333"/>
          <w:sz w:val="18"/>
          <w:szCs w:val="18"/>
        </w:rPr>
        <w:t xml:space="preserve"> and other building services and systems that enable and foster smart innovation. It also employs stormwater runoff collection and injection wells to avoid groundwater runoff. We also focus on increasing our “handprint”—the ways in which Intel technologies</w:t>
      </w:r>
      <w:r>
        <w:rPr>
          <w:rFonts w:ascii="Arial" w:eastAsia="宋体" w:hAnsi="Arial" w:cs="Arial"/>
          <w:color w:val="333333"/>
          <w:sz w:val="18"/>
          <w:szCs w:val="18"/>
        </w:rPr>
        <w:t xml:space="preserve"> can help others reduce their footprints, including Internet of Things solutions that enable intelligence in machines, buildings, supply chains, and factories, and make electrical grids smarter, safer, and more efficient. </w:t>
      </w:r>
    </w:p>
    <w:p w14:paraId="4ACE2487"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are leveraging a leading frame</w:t>
      </w:r>
      <w:r>
        <w:rPr>
          <w:rFonts w:ascii="Arial" w:eastAsia="宋体" w:hAnsi="Arial" w:cs="Arial"/>
          <w:color w:val="333333"/>
          <w:sz w:val="18"/>
          <w:szCs w:val="18"/>
        </w:rPr>
        <w:t>work developed by TCFD to communicate our approach to climate governance, strategy, risk management, and metrics and targets. In terms of governance and strategy, we follow an integrated approach to addressing climate change, with multiple teams responsibl</w:t>
      </w:r>
      <w:r>
        <w:rPr>
          <w:rFonts w:ascii="Arial" w:eastAsia="宋体" w:hAnsi="Arial" w:cs="Arial"/>
          <w:color w:val="333333"/>
          <w:sz w:val="18"/>
          <w:szCs w:val="18"/>
        </w:rPr>
        <w:t>e for managing climate-related activities, initiatives, and policies, including manufacturing and operations, government and public affairs, supply chain, and product teams. Strategies and progress toward goals are reviewed with senior executives and the B</w:t>
      </w:r>
      <w:r>
        <w:rPr>
          <w:rFonts w:ascii="Arial" w:eastAsia="宋体" w:hAnsi="Arial" w:cs="Arial"/>
          <w:color w:val="333333"/>
          <w:sz w:val="18"/>
          <w:szCs w:val="18"/>
        </w:rPr>
        <w:t>oard’s Corporate Governance and Nominating Committee. We describe our overall risk management processes in our Proxy Statement, and we describe our climate-related risks and opportunities in our annual Corporate Responsibility Report, the Intel Climate Cha</w:t>
      </w:r>
      <w:r>
        <w:rPr>
          <w:rFonts w:ascii="Arial" w:eastAsia="宋体" w:hAnsi="Arial" w:cs="Arial"/>
          <w:color w:val="333333"/>
          <w:sz w:val="18"/>
          <w:szCs w:val="18"/>
        </w:rPr>
        <w:t xml:space="preserve">nge Policy, and "Risk Factors" within this Form 10-K. Regarding metrics and goals, for two decades we have set aggressive GHG reduction goals, including our 2020 goal to reduce our direct GHG emissions by 10% on a per-unit basis from 2010 levels, which we </w:t>
      </w:r>
      <w:r>
        <w:rPr>
          <w:rFonts w:ascii="Arial" w:eastAsia="宋体" w:hAnsi="Arial" w:cs="Arial"/>
          <w:color w:val="333333"/>
          <w:sz w:val="18"/>
          <w:szCs w:val="18"/>
        </w:rPr>
        <w:t>are on track to achieve. Additional detail on our proactive efforts to address climate change is included in our Corporate Responsibility Report, as well as our CDP Climate Change Survey, both available on our website</w:t>
      </w:r>
      <w:r>
        <w:rPr>
          <w:rFonts w:ascii="Arial" w:eastAsia="宋体" w:hAnsi="Arial" w:cs="Arial"/>
          <w:color w:val="333333"/>
          <w:sz w:val="12"/>
          <w:szCs w:val="12"/>
        </w:rPr>
        <w:t>1</w:t>
      </w:r>
      <w:r>
        <w:rPr>
          <w:rFonts w:ascii="Arial" w:eastAsia="宋体" w:hAnsi="Arial" w:cs="Arial"/>
          <w:color w:val="333333"/>
          <w:sz w:val="18"/>
          <w:szCs w:val="18"/>
        </w:rPr>
        <w:t xml:space="preserve">. </w:t>
      </w:r>
    </w:p>
    <w:p w14:paraId="4ACE2488" w14:textId="77777777" w:rsidR="006F587A" w:rsidRDefault="007B2B61">
      <w:pPr>
        <w:spacing w:line="288" w:lineRule="auto"/>
        <w:rPr>
          <w:rFonts w:ascii="Times New Roman" w:hAnsi="Times New Roman"/>
        </w:rPr>
      </w:pPr>
      <w:r>
        <w:rPr>
          <w:rFonts w:ascii="Arial" w:eastAsia="宋体" w:hAnsi="Arial" w:cs="Arial"/>
          <w:b/>
          <w:bCs/>
          <w:color w:val="0071C5"/>
        </w:rPr>
        <w:lastRenderedPageBreak/>
        <w:t>WATER STEWARDSHIP</w:t>
      </w:r>
    </w:p>
    <w:p w14:paraId="4ACE2489"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Water is essentia</w:t>
      </w:r>
      <w:r>
        <w:rPr>
          <w:rFonts w:ascii="Arial" w:eastAsia="宋体" w:hAnsi="Arial" w:cs="Arial"/>
          <w:color w:val="333333"/>
          <w:sz w:val="18"/>
          <w:szCs w:val="18"/>
        </w:rPr>
        <w:t>l to the semiconductor manufacturing process. We use ultrapure water to remove impurities from our silicon wafers, and we use industrial and reclaimed water to run our manufacturing facility systems. Over the last two decades, our sustainable water managem</w:t>
      </w:r>
      <w:r>
        <w:rPr>
          <w:rFonts w:ascii="Arial" w:eastAsia="宋体" w:hAnsi="Arial" w:cs="Arial"/>
          <w:color w:val="333333"/>
          <w:sz w:val="18"/>
          <w:szCs w:val="18"/>
        </w:rPr>
        <w:t>ent efforts and partnerships have enabled us to conserve billions of gallons of water, and over the last decade we have returned approximately 80% of our water back to our communities. We continue to work toward our goal to restore 100% of our global water</w:t>
      </w:r>
      <w:r>
        <w:rPr>
          <w:rFonts w:ascii="Arial" w:eastAsia="宋体" w:hAnsi="Arial" w:cs="Arial"/>
          <w:color w:val="333333"/>
          <w:sz w:val="18"/>
          <w:szCs w:val="18"/>
        </w:rPr>
        <w:t xml:space="preserve"> use by 2025, with more than 20 projects funded in collaboration with environmental and community partners through the end of 2019. We expect to restore approximately 1.5 billion gallons of water each year to local watersheds once these projects are comple</w:t>
      </w:r>
      <w:r>
        <w:rPr>
          <w:rFonts w:ascii="Arial" w:eastAsia="宋体" w:hAnsi="Arial" w:cs="Arial"/>
          <w:color w:val="333333"/>
          <w:sz w:val="18"/>
          <w:szCs w:val="18"/>
        </w:rPr>
        <w:t>te.</w:t>
      </w:r>
    </w:p>
    <w:p w14:paraId="4ACE248A" w14:textId="77777777" w:rsidR="006F587A" w:rsidRDefault="007B2B61">
      <w:pPr>
        <w:spacing w:line="288" w:lineRule="auto"/>
        <w:rPr>
          <w:rFonts w:ascii="Times New Roman" w:hAnsi="Times New Roman"/>
        </w:rPr>
      </w:pPr>
      <w:r>
        <w:rPr>
          <w:rFonts w:ascii="Arial" w:eastAsia="宋体" w:hAnsi="Arial" w:cs="Arial"/>
          <w:b/>
          <w:bCs/>
          <w:color w:val="0071C5"/>
        </w:rPr>
        <w:t>CIRCULAR ECONOMY AND WASTE MANAGEMENT</w:t>
      </w:r>
    </w:p>
    <w:p w14:paraId="4ACE248B"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have long been committed to waste management, recycling, and circular economy strategies</w:t>
      </w:r>
      <w:r>
        <w:rPr>
          <w:rFonts w:ascii="Times New Roman" w:eastAsia="宋体" w:hAnsi="Times New Roman"/>
          <w:color w:val="333333"/>
          <w:sz w:val="12"/>
          <w:szCs w:val="12"/>
        </w:rPr>
        <w:t xml:space="preserve"> </w:t>
      </w:r>
      <w:r>
        <w:rPr>
          <w:rFonts w:ascii="Arial" w:eastAsia="宋体" w:hAnsi="Arial" w:cs="Arial"/>
          <w:color w:val="333333"/>
          <w:sz w:val="18"/>
          <w:szCs w:val="18"/>
        </w:rPr>
        <w:t>that enable the recovery and productive re-use of waste streams. We achieved our 2020 goal of recycling 90% of our non-haz</w:t>
      </w:r>
      <w:r>
        <w:rPr>
          <w:rFonts w:ascii="Arial" w:eastAsia="宋体" w:hAnsi="Arial" w:cs="Arial"/>
          <w:color w:val="333333"/>
          <w:sz w:val="18"/>
          <w:szCs w:val="18"/>
        </w:rPr>
        <w:t xml:space="preserve">ardous waste ahead of schedule. We continue to work toward our 2020 goal of sending zero hazardous waste to landfills. Our aim is to continue to invest in reducing the amount of waste we generate while increasing the amount recycled and identifying re-use </w:t>
      </w:r>
      <w:r>
        <w:rPr>
          <w:rFonts w:ascii="Arial" w:eastAsia="宋体" w:hAnsi="Arial" w:cs="Arial"/>
          <w:color w:val="333333"/>
          <w:sz w:val="18"/>
          <w:szCs w:val="18"/>
        </w:rPr>
        <w:t>solutions that reduce costs and</w:t>
      </w:r>
      <w:r>
        <w:rPr>
          <w:rFonts w:ascii="Arial" w:eastAsia="宋体" w:hAnsi="Arial" w:cs="Arial"/>
          <w:color w:val="333333"/>
          <w:sz w:val="14"/>
          <w:szCs w:val="14"/>
        </w:rPr>
        <w:t xml:space="preserve"> </w:t>
      </w:r>
      <w:r>
        <w:rPr>
          <w:rFonts w:ascii="Arial" w:eastAsia="宋体" w:hAnsi="Arial" w:cs="Arial"/>
          <w:color w:val="333333"/>
          <w:sz w:val="18"/>
          <w:szCs w:val="18"/>
        </w:rPr>
        <w:t>environmental impact.</w:t>
      </w:r>
    </w:p>
    <w:p w14:paraId="4ACE248C" w14:textId="77777777" w:rsidR="006F587A" w:rsidRDefault="006F587A">
      <w:pPr>
        <w:spacing w:line="288" w:lineRule="auto"/>
        <w:rPr>
          <w:rFonts w:ascii="Times New Roman" w:hAnsi="Times New Roman"/>
          <w:sz w:val="12"/>
          <w:szCs w:val="12"/>
        </w:rPr>
      </w:pPr>
    </w:p>
    <w:p w14:paraId="4ACE248D" w14:textId="77777777" w:rsidR="006F587A" w:rsidRDefault="006F587A">
      <w:pPr>
        <w:spacing w:line="288" w:lineRule="auto"/>
        <w:rPr>
          <w:rFonts w:ascii="Times New Roman" w:hAnsi="Times New Roman"/>
          <w:sz w:val="12"/>
          <w:szCs w:val="12"/>
        </w:rPr>
      </w:pPr>
    </w:p>
    <w:p w14:paraId="4ACE248E" w14:textId="77777777" w:rsidR="006F587A" w:rsidRDefault="006F587A">
      <w:pPr>
        <w:spacing w:line="288" w:lineRule="auto"/>
        <w:rPr>
          <w:rFonts w:ascii="Times New Roman" w:hAnsi="Times New Roman"/>
          <w:sz w:val="12"/>
          <w:szCs w:val="12"/>
        </w:rPr>
      </w:pPr>
    </w:p>
    <w:p w14:paraId="4ACE248F" w14:textId="77777777" w:rsidR="006F587A" w:rsidRDefault="006F587A">
      <w:pPr>
        <w:spacing w:line="288" w:lineRule="auto"/>
        <w:rPr>
          <w:rFonts w:ascii="Times New Roman" w:hAnsi="Times New Roman"/>
          <w:sz w:val="12"/>
          <w:szCs w:val="12"/>
        </w:rPr>
      </w:pPr>
    </w:p>
    <w:p w14:paraId="4ACE2490" w14:textId="77777777" w:rsidR="006F587A" w:rsidRDefault="006F587A">
      <w:pPr>
        <w:spacing w:line="288" w:lineRule="auto"/>
        <w:rPr>
          <w:rFonts w:ascii="Times New Roman" w:hAnsi="Times New Roman"/>
          <w:sz w:val="12"/>
          <w:szCs w:val="12"/>
        </w:rPr>
      </w:pPr>
    </w:p>
    <w:p w14:paraId="4ACE2491" w14:textId="77777777" w:rsidR="006F587A" w:rsidRDefault="006F587A">
      <w:pPr>
        <w:spacing w:line="288" w:lineRule="auto"/>
        <w:rPr>
          <w:rFonts w:ascii="Times New Roman" w:hAnsi="Times New Roman"/>
          <w:sz w:val="12"/>
          <w:szCs w:val="12"/>
        </w:rPr>
      </w:pPr>
    </w:p>
    <w:p w14:paraId="4ACE2492" w14:textId="77777777" w:rsidR="006F587A" w:rsidRDefault="006F587A">
      <w:pPr>
        <w:spacing w:line="288" w:lineRule="auto"/>
        <w:rPr>
          <w:rFonts w:ascii="Times New Roman" w:hAnsi="Times New Roman"/>
          <w:sz w:val="12"/>
          <w:szCs w:val="12"/>
        </w:rPr>
      </w:pPr>
    </w:p>
    <w:p w14:paraId="4ACE2493" w14:textId="77777777" w:rsidR="006F587A" w:rsidRDefault="006F587A">
      <w:pPr>
        <w:spacing w:line="288" w:lineRule="auto"/>
        <w:rPr>
          <w:rFonts w:ascii="Times New Roman" w:hAnsi="Times New Roman"/>
          <w:sz w:val="12"/>
          <w:szCs w:val="12"/>
        </w:rPr>
      </w:pPr>
    </w:p>
    <w:p w14:paraId="4ACE2494" w14:textId="77777777" w:rsidR="006F587A" w:rsidRDefault="006F587A">
      <w:pPr>
        <w:spacing w:line="288" w:lineRule="auto"/>
        <w:rPr>
          <w:rFonts w:ascii="Times New Roman" w:hAnsi="Times New Roman"/>
          <w:sz w:val="12"/>
          <w:szCs w:val="12"/>
        </w:rPr>
      </w:pPr>
    </w:p>
    <w:p w14:paraId="4ACE2495" w14:textId="77777777" w:rsidR="006F587A" w:rsidRDefault="007B2B61">
      <w:pPr>
        <w:spacing w:line="288" w:lineRule="auto"/>
        <w:ind w:hanging="240"/>
        <w:rPr>
          <w:rFonts w:ascii="Times New Roman" w:hAnsi="Times New Roman"/>
          <w:sz w:val="16"/>
          <w:szCs w:val="16"/>
        </w:rPr>
      </w:pPr>
      <w:r>
        <w:rPr>
          <w:rFonts w:ascii="Arial" w:eastAsia="宋体" w:hAnsi="Arial" w:cs="Arial"/>
          <w:i/>
          <w:iCs/>
          <w:color w:val="333333"/>
          <w:sz w:val="10"/>
          <w:szCs w:val="10"/>
        </w:rPr>
        <w:t xml:space="preserve">1 </w:t>
      </w:r>
      <w:r>
        <w:rPr>
          <w:rFonts w:ascii="Arial" w:eastAsia="宋体" w:hAnsi="Arial" w:cs="Arial"/>
          <w:i/>
          <w:iCs/>
          <w:color w:val="333333"/>
          <w:sz w:val="16"/>
          <w:szCs w:val="16"/>
        </w:rPr>
        <w:t xml:space="preserve">The contents of our website and our Corporate Responsibility Report, Climate Change Policy, and CDP Climate Change Survey are referenced for general information only and are not </w:t>
      </w:r>
      <w:r>
        <w:rPr>
          <w:rFonts w:ascii="Arial" w:eastAsia="宋体" w:hAnsi="Arial" w:cs="Arial"/>
          <w:i/>
          <w:iCs/>
          <w:color w:val="333333"/>
          <w:sz w:val="16"/>
          <w:szCs w:val="16"/>
        </w:rPr>
        <w:t>incorporated by reference in this Form 10-K.</w:t>
      </w:r>
    </w:p>
    <w:p w14:paraId="4ACE2496"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492"/>
        <w:gridCol w:w="2658"/>
        <w:gridCol w:w="3156"/>
      </w:tblGrid>
      <w:tr w:rsidR="006F587A" w14:paraId="4ACE2498" w14:textId="77777777">
        <w:tc>
          <w:tcPr>
            <w:tcW w:w="0" w:type="auto"/>
            <w:gridSpan w:val="3"/>
            <w:shd w:val="clear" w:color="auto" w:fill="auto"/>
            <w:vAlign w:val="center"/>
          </w:tcPr>
          <w:p w14:paraId="4ACE2497" w14:textId="77777777" w:rsidR="006F587A" w:rsidRDefault="006F587A">
            <w:pPr>
              <w:rPr>
                <w:rFonts w:ascii="Times New Roman" w:hAnsi="Times New Roman"/>
                <w:sz w:val="20"/>
                <w:szCs w:val="20"/>
              </w:rPr>
            </w:pPr>
          </w:p>
        </w:tc>
      </w:tr>
      <w:tr w:rsidR="006F587A" w14:paraId="4ACE249C" w14:textId="77777777">
        <w:tc>
          <w:tcPr>
            <w:tcW w:w="1500" w:type="pct"/>
            <w:shd w:val="clear" w:color="auto" w:fill="auto"/>
            <w:vAlign w:val="center"/>
          </w:tcPr>
          <w:p w14:paraId="4ACE2499" w14:textId="77777777" w:rsidR="006F587A" w:rsidRDefault="006F587A">
            <w:pPr>
              <w:rPr>
                <w:rFonts w:ascii="Times New Roman" w:hAnsi="Times New Roman"/>
                <w:sz w:val="20"/>
                <w:szCs w:val="20"/>
              </w:rPr>
            </w:pPr>
          </w:p>
        </w:tc>
        <w:tc>
          <w:tcPr>
            <w:tcW w:w="1600" w:type="pct"/>
            <w:shd w:val="clear" w:color="auto" w:fill="auto"/>
            <w:vAlign w:val="center"/>
          </w:tcPr>
          <w:p w14:paraId="4ACE249A" w14:textId="77777777" w:rsidR="006F587A" w:rsidRDefault="006F587A">
            <w:pPr>
              <w:rPr>
                <w:rFonts w:ascii="Times New Roman" w:hAnsi="Times New Roman"/>
                <w:sz w:val="20"/>
                <w:szCs w:val="20"/>
              </w:rPr>
            </w:pPr>
          </w:p>
        </w:tc>
        <w:tc>
          <w:tcPr>
            <w:tcW w:w="1900" w:type="pct"/>
            <w:shd w:val="clear" w:color="auto" w:fill="auto"/>
            <w:vAlign w:val="center"/>
          </w:tcPr>
          <w:p w14:paraId="4ACE249B" w14:textId="77777777" w:rsidR="006F587A" w:rsidRDefault="006F587A">
            <w:pPr>
              <w:rPr>
                <w:rFonts w:ascii="Times New Roman" w:hAnsi="Times New Roman"/>
                <w:sz w:val="20"/>
                <w:szCs w:val="20"/>
              </w:rPr>
            </w:pPr>
          </w:p>
        </w:tc>
      </w:tr>
      <w:tr w:rsidR="006F587A" w14:paraId="4ACE24A1" w14:textId="77777777">
        <w:tc>
          <w:tcPr>
            <w:tcW w:w="0" w:type="auto"/>
            <w:tcBorders>
              <w:top w:val="single" w:sz="8" w:space="0" w:color="0071C5"/>
              <w:right w:val="single" w:sz="36" w:space="0" w:color="0071C5"/>
            </w:tcBorders>
            <w:shd w:val="clear" w:color="auto" w:fill="auto"/>
            <w:tcMar>
              <w:top w:w="40" w:type="dxa"/>
              <w:left w:w="40" w:type="dxa"/>
              <w:bottom w:w="40" w:type="dxa"/>
              <w:right w:w="40" w:type="dxa"/>
            </w:tcMar>
            <w:vAlign w:val="center"/>
          </w:tcPr>
          <w:p w14:paraId="4ACE249D" w14:textId="77777777" w:rsidR="006F587A" w:rsidRDefault="007B2B61">
            <w:pPr>
              <w:textAlignment w:val="center"/>
              <w:rPr>
                <w:rFonts w:ascii="Times New Roman" w:hAnsi="Times New Roman"/>
                <w:sz w:val="18"/>
                <w:szCs w:val="18"/>
              </w:rPr>
            </w:pP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Viewer12_files/a001intellogo_coverfooter.jpg"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C98" wp14:editId="4ACE6C99">
                  <wp:extent cx="304800" cy="304800"/>
                  <wp:effectExtent l="0" t="0" r="0" b="0"/>
                  <wp:docPr id="83" name="图片 105"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05"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r>
              <w:rPr>
                <w:rFonts w:ascii="Arial" w:eastAsia="宋体" w:hAnsi="Arial" w:cs="Arial"/>
                <w:color w:val="333333"/>
                <w:sz w:val="18"/>
                <w:szCs w:val="18"/>
              </w:rPr>
              <w:t>  </w:t>
            </w:r>
            <w:r>
              <w:rPr>
                <w:rFonts w:ascii="Arial" w:eastAsia="宋体" w:hAnsi="Arial" w:cs="Arial"/>
                <w:color w:val="333333"/>
                <w:sz w:val="16"/>
                <w:szCs w:val="16"/>
              </w:rPr>
              <w:t>FUNDAMENTALS OF OUR BUSINESS</w:t>
            </w:r>
          </w:p>
        </w:tc>
        <w:tc>
          <w:tcPr>
            <w:tcW w:w="0" w:type="auto"/>
            <w:tcBorders>
              <w:top w:val="single" w:sz="8" w:space="0" w:color="0071C5"/>
            </w:tcBorders>
            <w:shd w:val="clear" w:color="auto" w:fill="auto"/>
            <w:tcMar>
              <w:top w:w="40" w:type="dxa"/>
              <w:left w:w="40" w:type="dxa"/>
              <w:bottom w:w="40" w:type="dxa"/>
              <w:right w:w="40" w:type="dxa"/>
            </w:tcMar>
            <w:vAlign w:val="center"/>
          </w:tcPr>
          <w:p w14:paraId="4ACE249E" w14:textId="77777777" w:rsidR="006F587A" w:rsidRDefault="007B2B61">
            <w:pPr>
              <w:textAlignment w:val="center"/>
              <w:rPr>
                <w:rFonts w:ascii="Times New Roman" w:hAnsi="Times New Roman"/>
                <w:sz w:val="16"/>
                <w:szCs w:val="16"/>
              </w:rPr>
            </w:pPr>
            <w:r>
              <w:rPr>
                <w:rFonts w:ascii="Arial" w:eastAsia="宋体" w:hAnsi="Arial" w:cs="Arial"/>
                <w:color w:val="333333"/>
                <w:sz w:val="16"/>
                <w:szCs w:val="16"/>
              </w:rPr>
              <w:t xml:space="preserve"> Our Capital </w:t>
            </w:r>
          </w:p>
        </w:tc>
        <w:tc>
          <w:tcPr>
            <w:tcW w:w="0" w:type="auto"/>
            <w:tcBorders>
              <w:top w:val="single" w:sz="8" w:space="0" w:color="0071C5"/>
            </w:tcBorders>
            <w:shd w:val="clear" w:color="auto" w:fill="auto"/>
            <w:tcMar>
              <w:top w:w="40" w:type="dxa"/>
              <w:left w:w="40" w:type="dxa"/>
              <w:bottom w:w="40" w:type="dxa"/>
              <w:right w:w="40" w:type="dxa"/>
            </w:tcMar>
            <w:vAlign w:val="center"/>
          </w:tcPr>
          <w:p w14:paraId="4ACE249F" w14:textId="77777777" w:rsidR="006F587A" w:rsidRDefault="007B2B61">
            <w:pPr>
              <w:jc w:val="right"/>
              <w:textAlignment w:val="center"/>
              <w:rPr>
                <w:rFonts w:ascii="Times New Roman" w:hAnsi="Times New Roman"/>
                <w:sz w:val="16"/>
                <w:szCs w:val="16"/>
              </w:rPr>
            </w:pPr>
            <w:r>
              <w:rPr>
                <w:rFonts w:ascii="Arial" w:eastAsia="宋体" w:hAnsi="Arial" w:cs="Arial"/>
                <w:color w:val="333333"/>
                <w:sz w:val="16"/>
                <w:szCs w:val="16"/>
              </w:rPr>
              <w:t>14</w:t>
            </w:r>
          </w:p>
          <w:p w14:paraId="4ACE24A0" w14:textId="77777777" w:rsidR="006F587A" w:rsidRDefault="006F587A">
            <w:pPr>
              <w:jc w:val="right"/>
              <w:textAlignment w:val="center"/>
              <w:rPr>
                <w:rFonts w:ascii="Times New Roman" w:hAnsi="Times New Roman"/>
                <w:sz w:val="16"/>
                <w:szCs w:val="16"/>
              </w:rPr>
            </w:pPr>
          </w:p>
        </w:tc>
      </w:tr>
    </w:tbl>
    <w:p w14:paraId="4ACE24A2" w14:textId="77777777" w:rsidR="006F587A" w:rsidRDefault="007B2B61">
      <w:r>
        <w:pict w14:anchorId="4ACE6C9A">
          <v:rect id="_x0000_i1040" style="width:415.3pt;height:1.5pt" o:hralign="center" o:hrstd="t" o:hr="t" fillcolor="#a0a0a0" stroked="f"/>
        </w:pict>
      </w:r>
    </w:p>
    <w:p w14:paraId="4ACE24A3" w14:textId="77777777" w:rsidR="006F587A" w:rsidRDefault="007B2B61">
      <w:pPr>
        <w:spacing w:line="288" w:lineRule="auto"/>
        <w:jc w:val="right"/>
        <w:rPr>
          <w:rFonts w:ascii="Times New Roman" w:hAnsi="Times New Roman"/>
          <w:sz w:val="16"/>
          <w:szCs w:val="16"/>
        </w:rPr>
      </w:pPr>
      <w:hyperlink r:id="rId49" w:anchor="s9DB683E2CF52561EB8A73BE37F5BF9BE" w:history="1">
        <w:r>
          <w:rPr>
            <w:rStyle w:val="a5"/>
            <w:rFonts w:ascii="Arial" w:eastAsia="宋体" w:hAnsi="Arial" w:cs="Arial"/>
            <w:b/>
            <w:bCs/>
            <w:sz w:val="16"/>
            <w:szCs w:val="16"/>
          </w:rPr>
          <w:t>Table of Contents</w:t>
        </w:r>
      </w:hyperlink>
    </w:p>
    <w:p w14:paraId="4ACE24A4" w14:textId="77777777" w:rsidR="006F587A" w:rsidRDefault="006F587A">
      <w:pPr>
        <w:spacing w:line="288" w:lineRule="auto"/>
        <w:jc w:val="right"/>
        <w:rPr>
          <w:rFonts w:ascii="Times New Roman" w:hAnsi="Times New Roman"/>
          <w:sz w:val="16"/>
          <w:szCs w:val="16"/>
        </w:rPr>
      </w:pPr>
    </w:p>
    <w:p w14:paraId="4ACE24A5" w14:textId="77777777" w:rsidR="006F587A" w:rsidRDefault="006F587A">
      <w:pPr>
        <w:rPr>
          <w:rFonts w:ascii="Times New Roman" w:hAnsi="Times New Roman"/>
          <w:sz w:val="20"/>
          <w:szCs w:val="20"/>
        </w:rPr>
      </w:pPr>
    </w:p>
    <w:p w14:paraId="4ACE24A6" w14:textId="77777777" w:rsidR="006F587A" w:rsidRDefault="007B2B61">
      <w:pPr>
        <w:spacing w:line="288" w:lineRule="auto"/>
        <w:rPr>
          <w:rFonts w:ascii="Times New Roman" w:hAnsi="Times New Roman"/>
          <w:sz w:val="28"/>
          <w:szCs w:val="28"/>
        </w:rPr>
      </w:pPr>
      <w:r>
        <w:rPr>
          <w:rFonts w:ascii="Arial" w:eastAsia="宋体" w:hAnsi="Arial" w:cs="Arial"/>
          <w:b/>
          <w:bCs/>
          <w:color w:val="0071C5"/>
          <w:sz w:val="28"/>
          <w:szCs w:val="28"/>
        </w:rPr>
        <w:t>VALUE WE CREATE</w:t>
      </w:r>
    </w:p>
    <w:p w14:paraId="4ACE24A7"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Each of our six forms of capital plays a critical role in o</w:t>
      </w:r>
      <w:r>
        <w:rPr>
          <w:rFonts w:ascii="Arial" w:eastAsia="宋体" w:hAnsi="Arial" w:cs="Arial"/>
          <w:color w:val="333333"/>
          <w:sz w:val="18"/>
          <w:szCs w:val="18"/>
        </w:rPr>
        <w:t>ur long-term value creation. We consider numerous indicators in determining the success of our capital deployment in creating value. Highlights of value created up to and in 2019 are as follows:</w:t>
      </w:r>
    </w:p>
    <w:tbl>
      <w:tblPr>
        <w:tblW w:w="4763" w:type="pct"/>
        <w:jc w:val="center"/>
        <w:tblCellMar>
          <w:left w:w="0" w:type="dxa"/>
          <w:right w:w="0" w:type="dxa"/>
        </w:tblCellMar>
        <w:tblLook w:val="04A0" w:firstRow="1" w:lastRow="0" w:firstColumn="1" w:lastColumn="0" w:noHBand="0" w:noVBand="1"/>
      </w:tblPr>
      <w:tblGrid>
        <w:gridCol w:w="7912"/>
      </w:tblGrid>
      <w:tr w:rsidR="006F587A" w14:paraId="4ACE24A9" w14:textId="77777777">
        <w:trPr>
          <w:jc w:val="center"/>
        </w:trPr>
        <w:tc>
          <w:tcPr>
            <w:tcW w:w="0" w:type="auto"/>
            <w:shd w:val="clear" w:color="auto" w:fill="auto"/>
            <w:vAlign w:val="center"/>
          </w:tcPr>
          <w:p w14:paraId="4ACE24A8" w14:textId="77777777" w:rsidR="006F587A" w:rsidRDefault="006F587A">
            <w:pPr>
              <w:rPr>
                <w:rFonts w:ascii="Times New Roman" w:hAnsi="Times New Roman"/>
                <w:sz w:val="20"/>
                <w:szCs w:val="20"/>
              </w:rPr>
            </w:pPr>
          </w:p>
        </w:tc>
      </w:tr>
      <w:tr w:rsidR="006F587A" w14:paraId="4ACE24AB" w14:textId="77777777">
        <w:trPr>
          <w:jc w:val="center"/>
        </w:trPr>
        <w:tc>
          <w:tcPr>
            <w:tcW w:w="5000" w:type="pct"/>
            <w:shd w:val="clear" w:color="auto" w:fill="auto"/>
            <w:vAlign w:val="center"/>
          </w:tcPr>
          <w:p w14:paraId="4ACE24AA" w14:textId="77777777" w:rsidR="006F587A" w:rsidRDefault="006F587A">
            <w:pPr>
              <w:rPr>
                <w:rFonts w:ascii="Times New Roman" w:hAnsi="Times New Roman"/>
                <w:sz w:val="20"/>
                <w:szCs w:val="20"/>
              </w:rPr>
            </w:pPr>
          </w:p>
        </w:tc>
      </w:tr>
      <w:tr w:rsidR="006F587A" w14:paraId="4ACE24AD" w14:textId="77777777">
        <w:trPr>
          <w:jc w:val="center"/>
        </w:trPr>
        <w:tc>
          <w:tcPr>
            <w:tcW w:w="0" w:type="auto"/>
            <w:shd w:val="clear" w:color="auto" w:fill="auto"/>
            <w:tcMar>
              <w:top w:w="40" w:type="dxa"/>
              <w:left w:w="40" w:type="dxa"/>
              <w:bottom w:w="40" w:type="dxa"/>
              <w:right w:w="40" w:type="dxa"/>
            </w:tcMar>
          </w:tcPr>
          <w:p w14:paraId="4ACE24AC" w14:textId="77777777" w:rsidR="006F587A" w:rsidRDefault="007B2B61">
            <w:pPr>
              <w:jc w:val="center"/>
              <w:textAlignment w:val="top"/>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Viewer12_files/a029valuewecreatev5.jpg"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9B" wp14:editId="4ACE6C9C">
                  <wp:extent cx="304800" cy="304800"/>
                  <wp:effectExtent l="0" t="0" r="0" b="0"/>
                  <wp:docPr id="56" name="图片 107"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07" descr="IMG_31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r>
    </w:tbl>
    <w:p w14:paraId="4ACE24AE" w14:textId="77777777" w:rsidR="006F587A" w:rsidRDefault="006F587A">
      <w:pPr>
        <w:spacing w:line="288" w:lineRule="auto"/>
        <w:jc w:val="center"/>
        <w:rPr>
          <w:rFonts w:ascii="Times New Roman" w:hAnsi="Times New Roman"/>
          <w:sz w:val="16"/>
          <w:szCs w:val="16"/>
        </w:rPr>
      </w:pPr>
    </w:p>
    <w:p w14:paraId="4ACE24AF" w14:textId="77777777" w:rsidR="006F587A" w:rsidRDefault="006F587A">
      <w:pPr>
        <w:spacing w:line="288" w:lineRule="auto"/>
        <w:jc w:val="center"/>
        <w:rPr>
          <w:rFonts w:ascii="Times New Roman" w:hAnsi="Times New Roman"/>
          <w:sz w:val="16"/>
          <w:szCs w:val="16"/>
        </w:rPr>
      </w:pPr>
    </w:p>
    <w:p w14:paraId="4ACE24B0" w14:textId="77777777" w:rsidR="006F587A" w:rsidRDefault="006F587A">
      <w:pPr>
        <w:spacing w:line="288" w:lineRule="auto"/>
        <w:jc w:val="center"/>
        <w:rPr>
          <w:rFonts w:ascii="Times New Roman" w:hAnsi="Times New Roman"/>
          <w:sz w:val="16"/>
          <w:szCs w:val="16"/>
        </w:rPr>
      </w:pPr>
    </w:p>
    <w:p w14:paraId="4ACE24B1" w14:textId="77777777" w:rsidR="006F587A" w:rsidRDefault="006F587A">
      <w:pPr>
        <w:spacing w:line="288" w:lineRule="auto"/>
        <w:jc w:val="center"/>
        <w:rPr>
          <w:rFonts w:ascii="Times New Roman" w:hAnsi="Times New Roman"/>
          <w:sz w:val="16"/>
          <w:szCs w:val="16"/>
        </w:rPr>
      </w:pPr>
    </w:p>
    <w:p w14:paraId="4ACE24B2" w14:textId="77777777" w:rsidR="006F587A" w:rsidRDefault="006F587A">
      <w:pPr>
        <w:spacing w:line="288" w:lineRule="auto"/>
        <w:jc w:val="center"/>
        <w:rPr>
          <w:rFonts w:ascii="Times New Roman" w:hAnsi="Times New Roman"/>
          <w:sz w:val="16"/>
          <w:szCs w:val="16"/>
        </w:rPr>
      </w:pPr>
    </w:p>
    <w:p w14:paraId="4ACE24B3" w14:textId="77777777" w:rsidR="006F587A" w:rsidRDefault="006F587A">
      <w:pPr>
        <w:spacing w:line="288" w:lineRule="auto"/>
        <w:jc w:val="center"/>
        <w:rPr>
          <w:rFonts w:ascii="Times New Roman" w:hAnsi="Times New Roman"/>
          <w:sz w:val="16"/>
          <w:szCs w:val="16"/>
        </w:rPr>
      </w:pPr>
    </w:p>
    <w:p w14:paraId="4ACE24B4" w14:textId="77777777" w:rsidR="006F587A" w:rsidRDefault="006F587A">
      <w:pPr>
        <w:spacing w:line="288" w:lineRule="auto"/>
        <w:jc w:val="center"/>
        <w:rPr>
          <w:rFonts w:ascii="Times New Roman" w:hAnsi="Times New Roman"/>
          <w:sz w:val="16"/>
          <w:szCs w:val="16"/>
        </w:rPr>
      </w:pPr>
    </w:p>
    <w:p w14:paraId="4ACE24B5" w14:textId="77777777" w:rsidR="006F587A" w:rsidRDefault="006F587A">
      <w:pPr>
        <w:spacing w:line="288" w:lineRule="auto"/>
        <w:jc w:val="center"/>
        <w:rPr>
          <w:rFonts w:ascii="Times New Roman" w:hAnsi="Times New Roman"/>
          <w:sz w:val="16"/>
          <w:szCs w:val="16"/>
        </w:rPr>
      </w:pPr>
    </w:p>
    <w:p w14:paraId="4ACE24B6" w14:textId="77777777" w:rsidR="006F587A" w:rsidRDefault="006F587A">
      <w:pPr>
        <w:spacing w:line="288" w:lineRule="auto"/>
        <w:jc w:val="center"/>
        <w:rPr>
          <w:rFonts w:ascii="Times New Roman" w:hAnsi="Times New Roman"/>
          <w:sz w:val="16"/>
          <w:szCs w:val="16"/>
        </w:rPr>
      </w:pPr>
    </w:p>
    <w:p w14:paraId="4ACE24B7" w14:textId="77777777" w:rsidR="006F587A" w:rsidRDefault="006F587A">
      <w:pPr>
        <w:spacing w:line="288" w:lineRule="auto"/>
        <w:jc w:val="center"/>
        <w:rPr>
          <w:rFonts w:ascii="Times New Roman" w:hAnsi="Times New Roman"/>
          <w:sz w:val="16"/>
          <w:szCs w:val="16"/>
        </w:rPr>
      </w:pPr>
    </w:p>
    <w:p w14:paraId="4ACE24B8" w14:textId="77777777" w:rsidR="006F587A" w:rsidRDefault="006F587A">
      <w:pPr>
        <w:spacing w:line="288" w:lineRule="auto"/>
        <w:jc w:val="center"/>
        <w:rPr>
          <w:rFonts w:ascii="Times New Roman" w:hAnsi="Times New Roman"/>
          <w:sz w:val="16"/>
          <w:szCs w:val="16"/>
        </w:rPr>
      </w:pPr>
    </w:p>
    <w:p w14:paraId="4ACE24B9" w14:textId="77777777" w:rsidR="006F587A" w:rsidRDefault="006F587A">
      <w:pPr>
        <w:spacing w:line="288" w:lineRule="auto"/>
        <w:jc w:val="center"/>
        <w:rPr>
          <w:rFonts w:ascii="Times New Roman" w:hAnsi="Times New Roman"/>
          <w:sz w:val="16"/>
          <w:szCs w:val="16"/>
        </w:rPr>
      </w:pPr>
    </w:p>
    <w:tbl>
      <w:tblPr>
        <w:tblW w:w="0" w:type="auto"/>
        <w:tblCellSpacing w:w="0" w:type="dxa"/>
        <w:tblCellMar>
          <w:left w:w="0" w:type="dxa"/>
          <w:right w:w="0" w:type="dxa"/>
        </w:tblCellMar>
        <w:tblLook w:val="04A0" w:firstRow="1" w:lastRow="0" w:firstColumn="1" w:lastColumn="0" w:noHBand="0" w:noVBand="1"/>
      </w:tblPr>
      <w:tblGrid>
        <w:gridCol w:w="240"/>
        <w:gridCol w:w="3671"/>
      </w:tblGrid>
      <w:tr w:rsidR="006F587A" w14:paraId="4ACE24BC" w14:textId="77777777">
        <w:trPr>
          <w:tblCellSpacing w:w="0" w:type="dxa"/>
        </w:trPr>
        <w:tc>
          <w:tcPr>
            <w:tcW w:w="240" w:type="dxa"/>
            <w:shd w:val="clear" w:color="auto" w:fill="auto"/>
            <w:vAlign w:val="center"/>
          </w:tcPr>
          <w:p w14:paraId="4ACE24BA" w14:textId="77777777" w:rsidR="006F587A" w:rsidRDefault="006F587A">
            <w:pPr>
              <w:rPr>
                <w:rFonts w:ascii="Times New Roman" w:hAnsi="Times New Roman"/>
                <w:sz w:val="20"/>
                <w:szCs w:val="20"/>
              </w:rPr>
            </w:pPr>
          </w:p>
        </w:tc>
        <w:tc>
          <w:tcPr>
            <w:tcW w:w="0" w:type="auto"/>
            <w:shd w:val="clear" w:color="auto" w:fill="auto"/>
            <w:vAlign w:val="center"/>
          </w:tcPr>
          <w:p w14:paraId="4ACE24BB" w14:textId="77777777" w:rsidR="006F587A" w:rsidRDefault="006F587A">
            <w:pPr>
              <w:rPr>
                <w:rFonts w:ascii="Times New Roman" w:hAnsi="Times New Roman"/>
                <w:sz w:val="20"/>
                <w:szCs w:val="20"/>
              </w:rPr>
            </w:pPr>
          </w:p>
        </w:tc>
      </w:tr>
      <w:tr w:rsidR="006F587A" w14:paraId="4ACE24BF" w14:textId="77777777">
        <w:trPr>
          <w:tblCellSpacing w:w="0" w:type="dxa"/>
        </w:trPr>
        <w:tc>
          <w:tcPr>
            <w:tcW w:w="0" w:type="auto"/>
            <w:shd w:val="clear" w:color="auto" w:fill="auto"/>
          </w:tcPr>
          <w:p w14:paraId="4ACE24BD"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0"/>
                <w:szCs w:val="10"/>
              </w:rPr>
              <w:t xml:space="preserve">1 </w:t>
            </w:r>
            <w:r>
              <w:rPr>
                <w:rFonts w:ascii="Arial" w:eastAsia="宋体" w:hAnsi="Arial" w:cs="Arial"/>
                <w:i/>
                <w:iCs/>
                <w:color w:val="333333"/>
                <w:sz w:val="16"/>
                <w:szCs w:val="16"/>
              </w:rPr>
              <w:t> </w:t>
            </w:r>
          </w:p>
        </w:tc>
        <w:tc>
          <w:tcPr>
            <w:tcW w:w="0" w:type="auto"/>
            <w:shd w:val="clear" w:color="auto" w:fill="auto"/>
          </w:tcPr>
          <w:p w14:paraId="4ACE24BE"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6"/>
                <w:szCs w:val="16"/>
              </w:rPr>
              <w:t>See "Non-GAAP Financial Measures" within MD&amp;A.</w:t>
            </w:r>
          </w:p>
        </w:tc>
      </w:tr>
    </w:tbl>
    <w:p w14:paraId="4ACE24C0"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492"/>
        <w:gridCol w:w="2658"/>
        <w:gridCol w:w="3156"/>
      </w:tblGrid>
      <w:tr w:rsidR="006F587A" w14:paraId="4ACE24C2" w14:textId="77777777">
        <w:tc>
          <w:tcPr>
            <w:tcW w:w="0" w:type="auto"/>
            <w:gridSpan w:val="3"/>
            <w:shd w:val="clear" w:color="auto" w:fill="auto"/>
            <w:vAlign w:val="center"/>
          </w:tcPr>
          <w:p w14:paraId="4ACE24C1" w14:textId="77777777" w:rsidR="006F587A" w:rsidRDefault="006F587A">
            <w:pPr>
              <w:rPr>
                <w:rFonts w:ascii="Times New Roman" w:hAnsi="Times New Roman"/>
                <w:sz w:val="20"/>
                <w:szCs w:val="20"/>
              </w:rPr>
            </w:pPr>
          </w:p>
        </w:tc>
      </w:tr>
      <w:tr w:rsidR="006F587A" w14:paraId="4ACE24C6" w14:textId="77777777">
        <w:tc>
          <w:tcPr>
            <w:tcW w:w="1500" w:type="pct"/>
            <w:shd w:val="clear" w:color="auto" w:fill="auto"/>
            <w:vAlign w:val="center"/>
          </w:tcPr>
          <w:p w14:paraId="4ACE24C3" w14:textId="77777777" w:rsidR="006F587A" w:rsidRDefault="006F587A">
            <w:pPr>
              <w:rPr>
                <w:rFonts w:ascii="Times New Roman" w:hAnsi="Times New Roman"/>
                <w:sz w:val="20"/>
                <w:szCs w:val="20"/>
              </w:rPr>
            </w:pPr>
          </w:p>
        </w:tc>
        <w:tc>
          <w:tcPr>
            <w:tcW w:w="1600" w:type="pct"/>
            <w:shd w:val="clear" w:color="auto" w:fill="auto"/>
            <w:vAlign w:val="center"/>
          </w:tcPr>
          <w:p w14:paraId="4ACE24C4" w14:textId="77777777" w:rsidR="006F587A" w:rsidRDefault="006F587A">
            <w:pPr>
              <w:rPr>
                <w:rFonts w:ascii="Times New Roman" w:hAnsi="Times New Roman"/>
                <w:sz w:val="20"/>
                <w:szCs w:val="20"/>
              </w:rPr>
            </w:pPr>
          </w:p>
        </w:tc>
        <w:tc>
          <w:tcPr>
            <w:tcW w:w="1900" w:type="pct"/>
            <w:shd w:val="clear" w:color="auto" w:fill="auto"/>
            <w:vAlign w:val="center"/>
          </w:tcPr>
          <w:p w14:paraId="4ACE24C5" w14:textId="77777777" w:rsidR="006F587A" w:rsidRDefault="006F587A">
            <w:pPr>
              <w:rPr>
                <w:rFonts w:ascii="Times New Roman" w:hAnsi="Times New Roman"/>
                <w:sz w:val="20"/>
                <w:szCs w:val="20"/>
              </w:rPr>
            </w:pPr>
          </w:p>
        </w:tc>
      </w:tr>
      <w:tr w:rsidR="006F587A" w14:paraId="4ACE24CB" w14:textId="77777777">
        <w:tc>
          <w:tcPr>
            <w:tcW w:w="0" w:type="auto"/>
            <w:tcBorders>
              <w:top w:val="single" w:sz="8" w:space="0" w:color="0071C5"/>
              <w:right w:val="single" w:sz="36" w:space="0" w:color="0071C5"/>
            </w:tcBorders>
            <w:shd w:val="clear" w:color="auto" w:fill="auto"/>
            <w:tcMar>
              <w:top w:w="40" w:type="dxa"/>
              <w:left w:w="40" w:type="dxa"/>
              <w:bottom w:w="40" w:type="dxa"/>
              <w:right w:w="40" w:type="dxa"/>
            </w:tcMar>
            <w:vAlign w:val="center"/>
          </w:tcPr>
          <w:p w14:paraId="4ACE24C7" w14:textId="77777777" w:rsidR="006F587A" w:rsidRDefault="007B2B61">
            <w:pPr>
              <w:textAlignment w:val="center"/>
              <w:rPr>
                <w:rFonts w:ascii="Times New Roman" w:hAnsi="Times New Roman"/>
                <w:sz w:val="18"/>
                <w:szCs w:val="18"/>
              </w:rPr>
            </w:pP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Viewer12_files/a001intellogo_coverfooter.jpg"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C9D" wp14:editId="4ACE6C9E">
                  <wp:extent cx="304800" cy="304800"/>
                  <wp:effectExtent l="0" t="0" r="0" b="0"/>
                  <wp:docPr id="135" name="图片 108"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08"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r>
              <w:rPr>
                <w:rFonts w:ascii="Arial" w:eastAsia="宋体" w:hAnsi="Arial" w:cs="Arial"/>
                <w:color w:val="333333"/>
                <w:sz w:val="18"/>
                <w:szCs w:val="18"/>
              </w:rPr>
              <w:t>  </w:t>
            </w:r>
            <w:r>
              <w:rPr>
                <w:rFonts w:ascii="Arial" w:eastAsia="宋体" w:hAnsi="Arial" w:cs="Arial"/>
                <w:color w:val="333333"/>
                <w:sz w:val="16"/>
                <w:szCs w:val="16"/>
              </w:rPr>
              <w:t>FUNDAMENTALS OF OUR BUSINESS</w:t>
            </w:r>
          </w:p>
        </w:tc>
        <w:tc>
          <w:tcPr>
            <w:tcW w:w="0" w:type="auto"/>
            <w:tcBorders>
              <w:top w:val="single" w:sz="8" w:space="0" w:color="0071C5"/>
            </w:tcBorders>
            <w:shd w:val="clear" w:color="auto" w:fill="auto"/>
            <w:tcMar>
              <w:top w:w="40" w:type="dxa"/>
              <w:left w:w="40" w:type="dxa"/>
              <w:bottom w:w="40" w:type="dxa"/>
              <w:right w:w="40" w:type="dxa"/>
            </w:tcMar>
            <w:vAlign w:val="center"/>
          </w:tcPr>
          <w:p w14:paraId="4ACE24C8" w14:textId="77777777" w:rsidR="006F587A" w:rsidRDefault="007B2B61">
            <w:pPr>
              <w:textAlignment w:val="center"/>
              <w:rPr>
                <w:rFonts w:ascii="Times New Roman" w:hAnsi="Times New Roman"/>
                <w:sz w:val="16"/>
                <w:szCs w:val="16"/>
              </w:rPr>
            </w:pPr>
            <w:r>
              <w:rPr>
                <w:rFonts w:ascii="Arial" w:eastAsia="宋体" w:hAnsi="Arial" w:cs="Arial"/>
                <w:color w:val="333333"/>
                <w:sz w:val="16"/>
                <w:szCs w:val="16"/>
              </w:rPr>
              <w:t xml:space="preserve"> Our Capital </w:t>
            </w:r>
          </w:p>
        </w:tc>
        <w:tc>
          <w:tcPr>
            <w:tcW w:w="0" w:type="auto"/>
            <w:tcBorders>
              <w:top w:val="single" w:sz="8" w:space="0" w:color="0071C5"/>
            </w:tcBorders>
            <w:shd w:val="clear" w:color="auto" w:fill="auto"/>
            <w:tcMar>
              <w:top w:w="40" w:type="dxa"/>
              <w:left w:w="40" w:type="dxa"/>
              <w:bottom w:w="40" w:type="dxa"/>
              <w:right w:w="40" w:type="dxa"/>
            </w:tcMar>
            <w:vAlign w:val="center"/>
          </w:tcPr>
          <w:p w14:paraId="4ACE24C9" w14:textId="77777777" w:rsidR="006F587A" w:rsidRDefault="007B2B61">
            <w:pPr>
              <w:jc w:val="right"/>
              <w:textAlignment w:val="center"/>
              <w:rPr>
                <w:rFonts w:ascii="Times New Roman" w:hAnsi="Times New Roman"/>
                <w:sz w:val="16"/>
                <w:szCs w:val="16"/>
              </w:rPr>
            </w:pPr>
            <w:r>
              <w:rPr>
                <w:rFonts w:ascii="Arial" w:eastAsia="宋体" w:hAnsi="Arial" w:cs="Arial"/>
                <w:color w:val="333333"/>
                <w:sz w:val="16"/>
                <w:szCs w:val="16"/>
              </w:rPr>
              <w:t>15</w:t>
            </w:r>
          </w:p>
          <w:p w14:paraId="4ACE24CA" w14:textId="77777777" w:rsidR="006F587A" w:rsidRDefault="006F587A">
            <w:pPr>
              <w:jc w:val="right"/>
              <w:textAlignment w:val="center"/>
              <w:rPr>
                <w:rFonts w:ascii="Times New Roman" w:hAnsi="Times New Roman"/>
                <w:sz w:val="16"/>
                <w:szCs w:val="16"/>
              </w:rPr>
            </w:pPr>
          </w:p>
        </w:tc>
      </w:tr>
    </w:tbl>
    <w:p w14:paraId="4ACE24CC" w14:textId="77777777" w:rsidR="006F587A" w:rsidRDefault="007B2B61">
      <w:r>
        <w:pict w14:anchorId="4ACE6C9F">
          <v:rect id="_x0000_i1041" style="width:415.3pt;height:1.5pt" o:hralign="center" o:hrstd="t" o:hr="t" fillcolor="#a0a0a0" stroked="f"/>
        </w:pict>
      </w:r>
    </w:p>
    <w:p w14:paraId="4ACE24CD" w14:textId="77777777" w:rsidR="006F587A" w:rsidRDefault="007B2B61">
      <w:pPr>
        <w:spacing w:line="288" w:lineRule="auto"/>
        <w:jc w:val="right"/>
        <w:rPr>
          <w:rFonts w:ascii="Times New Roman" w:hAnsi="Times New Roman"/>
          <w:sz w:val="16"/>
          <w:szCs w:val="16"/>
        </w:rPr>
      </w:pPr>
      <w:hyperlink r:id="rId50" w:anchor="s9DB683E2CF52561EB8A73BE37F5BF9BE" w:history="1">
        <w:r>
          <w:rPr>
            <w:rStyle w:val="a5"/>
            <w:rFonts w:ascii="Arial" w:eastAsia="宋体" w:hAnsi="Arial" w:cs="Arial"/>
            <w:b/>
            <w:bCs/>
            <w:sz w:val="16"/>
            <w:szCs w:val="16"/>
          </w:rPr>
          <w:t>Table of Contents</w:t>
        </w:r>
      </w:hyperlink>
    </w:p>
    <w:p w14:paraId="4ACE24CE" w14:textId="77777777" w:rsidR="006F587A" w:rsidRDefault="006F587A">
      <w:pPr>
        <w:spacing w:line="288" w:lineRule="auto"/>
        <w:jc w:val="right"/>
        <w:rPr>
          <w:rFonts w:ascii="Times New Roman" w:hAnsi="Times New Roman"/>
          <w:sz w:val="16"/>
          <w:szCs w:val="16"/>
        </w:rPr>
      </w:pPr>
    </w:p>
    <w:p w14:paraId="4ACE24CF"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6F587A" w14:paraId="4ACE24D1" w14:textId="77777777">
        <w:tc>
          <w:tcPr>
            <w:tcW w:w="0" w:type="auto"/>
            <w:shd w:val="clear" w:color="auto" w:fill="auto"/>
            <w:vAlign w:val="center"/>
          </w:tcPr>
          <w:p w14:paraId="4ACE24D0" w14:textId="77777777" w:rsidR="006F587A" w:rsidRDefault="006F587A">
            <w:pPr>
              <w:rPr>
                <w:rFonts w:ascii="Times New Roman" w:hAnsi="Times New Roman"/>
                <w:sz w:val="20"/>
                <w:szCs w:val="20"/>
              </w:rPr>
            </w:pPr>
          </w:p>
        </w:tc>
      </w:tr>
      <w:tr w:rsidR="006F587A" w14:paraId="4ACE24D3" w14:textId="77777777">
        <w:tc>
          <w:tcPr>
            <w:tcW w:w="5000" w:type="pct"/>
            <w:shd w:val="clear" w:color="auto" w:fill="auto"/>
            <w:vAlign w:val="center"/>
          </w:tcPr>
          <w:p w14:paraId="4ACE24D2" w14:textId="77777777" w:rsidR="006F587A" w:rsidRDefault="006F587A">
            <w:pPr>
              <w:rPr>
                <w:rFonts w:ascii="Times New Roman" w:hAnsi="Times New Roman"/>
                <w:sz w:val="20"/>
                <w:szCs w:val="20"/>
              </w:rPr>
            </w:pPr>
          </w:p>
        </w:tc>
      </w:tr>
      <w:tr w:rsidR="006F587A" w14:paraId="4ACE24D5" w14:textId="77777777">
        <w:tc>
          <w:tcPr>
            <w:tcW w:w="0" w:type="auto"/>
            <w:shd w:val="clear" w:color="auto" w:fill="003C71"/>
            <w:tcMar>
              <w:top w:w="40" w:type="dxa"/>
              <w:left w:w="880" w:type="dxa"/>
              <w:bottom w:w="40" w:type="dxa"/>
              <w:right w:w="40" w:type="dxa"/>
            </w:tcMar>
            <w:vAlign w:val="bottom"/>
          </w:tcPr>
          <w:p w14:paraId="4ACE24D4" w14:textId="77777777" w:rsidR="006F587A" w:rsidRDefault="007B2B61">
            <w:pPr>
              <w:textAlignment w:val="bottom"/>
              <w:rPr>
                <w:rFonts w:ascii="Times New Roman" w:hAnsi="Times New Roman"/>
                <w:sz w:val="36"/>
                <w:szCs w:val="36"/>
              </w:rPr>
            </w:pPr>
            <w:r>
              <w:rPr>
                <w:rFonts w:ascii="Arial" w:eastAsia="宋体" w:hAnsi="Arial" w:cs="Arial"/>
                <w:b/>
                <w:bCs/>
                <w:color w:val="FFFFFF"/>
                <w:sz w:val="36"/>
                <w:szCs w:val="36"/>
              </w:rPr>
              <w:t>MANAGEMENT'S DISCUSSION AND ANALYSIS</w:t>
            </w:r>
          </w:p>
        </w:tc>
      </w:tr>
    </w:tbl>
    <w:p w14:paraId="4ACE24D6" w14:textId="77777777" w:rsidR="006F587A" w:rsidRDefault="007B2B61">
      <w:pPr>
        <w:spacing w:line="288" w:lineRule="auto"/>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Viewer12_files/a030dcbiz_bannerv3.jpg"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A0" wp14:editId="4ACE6CA1">
            <wp:extent cx="304800" cy="304800"/>
            <wp:effectExtent l="0" t="0" r="0" b="0"/>
            <wp:docPr id="116" name="图片 110"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0" descr="IMG_31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bl>
      <w:tblPr>
        <w:tblW w:w="14640" w:type="dxa"/>
        <w:tblCellMar>
          <w:left w:w="0" w:type="dxa"/>
          <w:right w:w="0" w:type="dxa"/>
        </w:tblCellMar>
        <w:tblLook w:val="04A0" w:firstRow="1" w:lastRow="0" w:firstColumn="1" w:lastColumn="0" w:noHBand="0" w:noVBand="1"/>
      </w:tblPr>
      <w:tblGrid>
        <w:gridCol w:w="1236"/>
        <w:gridCol w:w="703"/>
        <w:gridCol w:w="130"/>
        <w:gridCol w:w="2344"/>
        <w:gridCol w:w="1138"/>
        <w:gridCol w:w="538"/>
        <w:gridCol w:w="130"/>
        <w:gridCol w:w="8421"/>
      </w:tblGrid>
      <w:tr w:rsidR="006F587A" w14:paraId="4ACE24D8" w14:textId="77777777">
        <w:tc>
          <w:tcPr>
            <w:tcW w:w="0" w:type="auto"/>
            <w:gridSpan w:val="8"/>
            <w:shd w:val="clear" w:color="auto" w:fill="auto"/>
            <w:vAlign w:val="center"/>
          </w:tcPr>
          <w:p w14:paraId="4ACE24D7" w14:textId="77777777" w:rsidR="006F587A" w:rsidRDefault="006F587A">
            <w:pPr>
              <w:rPr>
                <w:rFonts w:ascii="Times New Roman" w:hAnsi="Times New Roman"/>
                <w:sz w:val="20"/>
                <w:szCs w:val="20"/>
              </w:rPr>
            </w:pPr>
          </w:p>
        </w:tc>
      </w:tr>
      <w:tr w:rsidR="006F587A" w14:paraId="4ACE24E1" w14:textId="77777777">
        <w:tc>
          <w:tcPr>
            <w:tcW w:w="1620" w:type="dxa"/>
            <w:shd w:val="clear" w:color="auto" w:fill="auto"/>
            <w:vAlign w:val="center"/>
          </w:tcPr>
          <w:p w14:paraId="4ACE24D9" w14:textId="77777777" w:rsidR="006F587A" w:rsidRDefault="006F587A">
            <w:pPr>
              <w:rPr>
                <w:rFonts w:ascii="Times New Roman" w:hAnsi="Times New Roman"/>
                <w:sz w:val="20"/>
                <w:szCs w:val="20"/>
              </w:rPr>
            </w:pPr>
          </w:p>
        </w:tc>
        <w:tc>
          <w:tcPr>
            <w:tcW w:w="1200" w:type="dxa"/>
            <w:shd w:val="clear" w:color="auto" w:fill="auto"/>
            <w:vAlign w:val="center"/>
          </w:tcPr>
          <w:p w14:paraId="4ACE24DA" w14:textId="77777777" w:rsidR="006F587A" w:rsidRDefault="006F587A">
            <w:pPr>
              <w:rPr>
                <w:rFonts w:ascii="Times New Roman" w:hAnsi="Times New Roman"/>
                <w:sz w:val="20"/>
                <w:szCs w:val="20"/>
              </w:rPr>
            </w:pPr>
          </w:p>
        </w:tc>
        <w:tc>
          <w:tcPr>
            <w:tcW w:w="120" w:type="dxa"/>
            <w:shd w:val="clear" w:color="auto" w:fill="auto"/>
            <w:vAlign w:val="center"/>
          </w:tcPr>
          <w:p w14:paraId="4ACE24DB" w14:textId="77777777" w:rsidR="006F587A" w:rsidRDefault="006F587A">
            <w:pPr>
              <w:rPr>
                <w:rFonts w:ascii="Times New Roman" w:hAnsi="Times New Roman"/>
                <w:sz w:val="20"/>
                <w:szCs w:val="20"/>
              </w:rPr>
            </w:pPr>
          </w:p>
        </w:tc>
        <w:tc>
          <w:tcPr>
            <w:tcW w:w="2660" w:type="dxa"/>
            <w:shd w:val="clear" w:color="auto" w:fill="auto"/>
            <w:vAlign w:val="center"/>
          </w:tcPr>
          <w:p w14:paraId="4ACE24DC" w14:textId="77777777" w:rsidR="006F587A" w:rsidRDefault="006F587A">
            <w:pPr>
              <w:rPr>
                <w:rFonts w:ascii="Times New Roman" w:hAnsi="Times New Roman"/>
                <w:sz w:val="20"/>
                <w:szCs w:val="20"/>
              </w:rPr>
            </w:pPr>
          </w:p>
        </w:tc>
        <w:tc>
          <w:tcPr>
            <w:tcW w:w="1460" w:type="dxa"/>
            <w:shd w:val="clear" w:color="auto" w:fill="auto"/>
            <w:vAlign w:val="center"/>
          </w:tcPr>
          <w:p w14:paraId="4ACE24DD" w14:textId="77777777" w:rsidR="006F587A" w:rsidRDefault="006F587A">
            <w:pPr>
              <w:rPr>
                <w:rFonts w:ascii="Times New Roman" w:hAnsi="Times New Roman"/>
                <w:sz w:val="20"/>
                <w:szCs w:val="20"/>
              </w:rPr>
            </w:pPr>
          </w:p>
        </w:tc>
        <w:tc>
          <w:tcPr>
            <w:tcW w:w="640" w:type="dxa"/>
            <w:shd w:val="clear" w:color="auto" w:fill="auto"/>
            <w:vAlign w:val="center"/>
          </w:tcPr>
          <w:p w14:paraId="4ACE24DE" w14:textId="77777777" w:rsidR="006F587A" w:rsidRDefault="006F587A">
            <w:pPr>
              <w:rPr>
                <w:rFonts w:ascii="Times New Roman" w:hAnsi="Times New Roman"/>
                <w:sz w:val="20"/>
                <w:szCs w:val="20"/>
              </w:rPr>
            </w:pPr>
          </w:p>
        </w:tc>
        <w:tc>
          <w:tcPr>
            <w:tcW w:w="120" w:type="dxa"/>
            <w:shd w:val="clear" w:color="auto" w:fill="auto"/>
            <w:vAlign w:val="center"/>
          </w:tcPr>
          <w:p w14:paraId="4ACE24DF" w14:textId="77777777" w:rsidR="006F587A" w:rsidRDefault="006F587A">
            <w:pPr>
              <w:rPr>
                <w:rFonts w:ascii="Times New Roman" w:hAnsi="Times New Roman"/>
                <w:sz w:val="20"/>
                <w:szCs w:val="20"/>
              </w:rPr>
            </w:pPr>
          </w:p>
        </w:tc>
        <w:tc>
          <w:tcPr>
            <w:tcW w:w="6760" w:type="dxa"/>
            <w:shd w:val="clear" w:color="auto" w:fill="auto"/>
            <w:vAlign w:val="center"/>
          </w:tcPr>
          <w:p w14:paraId="4ACE24E0" w14:textId="77777777" w:rsidR="006F587A" w:rsidRDefault="006F587A">
            <w:pPr>
              <w:rPr>
                <w:rFonts w:ascii="Times New Roman" w:hAnsi="Times New Roman"/>
                <w:sz w:val="20"/>
                <w:szCs w:val="20"/>
              </w:rPr>
            </w:pPr>
          </w:p>
        </w:tc>
      </w:tr>
      <w:tr w:rsidR="006F587A" w14:paraId="4ACE24E7" w14:textId="77777777">
        <w:tc>
          <w:tcPr>
            <w:tcW w:w="0" w:type="auto"/>
            <w:gridSpan w:val="2"/>
            <w:tcBorders>
              <w:bottom w:val="single" w:sz="8" w:space="0" w:color="333333"/>
            </w:tcBorders>
            <w:shd w:val="clear" w:color="auto" w:fill="auto"/>
            <w:tcMar>
              <w:top w:w="40" w:type="dxa"/>
              <w:left w:w="40" w:type="dxa"/>
              <w:bottom w:w="40" w:type="dxa"/>
              <w:right w:w="40" w:type="dxa"/>
            </w:tcMar>
            <w:vAlign w:val="center"/>
          </w:tcPr>
          <w:p w14:paraId="4ACE24E2" w14:textId="77777777" w:rsidR="006F587A" w:rsidRDefault="007B2B61">
            <w:pPr>
              <w:textAlignment w:val="center"/>
              <w:rPr>
                <w:rFonts w:ascii="Times New Roman" w:hAnsi="Times New Roman"/>
                <w:sz w:val="20"/>
                <w:szCs w:val="20"/>
              </w:rPr>
            </w:pPr>
            <w:r>
              <w:rPr>
                <w:rFonts w:ascii="Arial" w:eastAsia="宋体" w:hAnsi="Arial" w:cs="Arial"/>
                <w:b/>
                <w:bCs/>
                <w:color w:val="333333"/>
                <w:sz w:val="20"/>
                <w:szCs w:val="20"/>
              </w:rPr>
              <w:t>% INTEL REVENUE</w:t>
            </w:r>
          </w:p>
        </w:tc>
        <w:tc>
          <w:tcPr>
            <w:tcW w:w="0" w:type="auto"/>
            <w:shd w:val="clear" w:color="auto" w:fill="auto"/>
            <w:tcMar>
              <w:top w:w="40" w:type="dxa"/>
              <w:left w:w="40" w:type="dxa"/>
              <w:bottom w:w="40" w:type="dxa"/>
              <w:right w:w="40" w:type="dxa"/>
            </w:tcMar>
            <w:vAlign w:val="bottom"/>
          </w:tcPr>
          <w:p w14:paraId="4ACE24E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333333"/>
            </w:tcBorders>
            <w:shd w:val="clear" w:color="auto" w:fill="auto"/>
            <w:tcMar>
              <w:top w:w="40" w:type="dxa"/>
              <w:left w:w="40" w:type="dxa"/>
              <w:bottom w:w="40" w:type="dxa"/>
              <w:right w:w="40" w:type="dxa"/>
            </w:tcMar>
            <w:vAlign w:val="center"/>
          </w:tcPr>
          <w:p w14:paraId="4ACE24E4" w14:textId="77777777" w:rsidR="006F587A" w:rsidRDefault="007B2B61">
            <w:pPr>
              <w:textAlignment w:val="center"/>
              <w:rPr>
                <w:rFonts w:ascii="Times New Roman" w:hAnsi="Times New Roman"/>
                <w:sz w:val="20"/>
                <w:szCs w:val="20"/>
              </w:rPr>
            </w:pPr>
            <w:r>
              <w:rPr>
                <w:rFonts w:ascii="Arial" w:eastAsia="宋体" w:hAnsi="Arial" w:cs="Arial"/>
                <w:b/>
                <w:bCs/>
                <w:color w:val="333333"/>
                <w:sz w:val="20"/>
                <w:szCs w:val="20"/>
              </w:rPr>
              <w:t>KEY PRODUCTS AND MARKETS</w:t>
            </w:r>
          </w:p>
        </w:tc>
        <w:tc>
          <w:tcPr>
            <w:tcW w:w="0" w:type="auto"/>
            <w:shd w:val="clear" w:color="auto" w:fill="auto"/>
            <w:tcMar>
              <w:top w:w="40" w:type="dxa"/>
              <w:left w:w="40" w:type="dxa"/>
              <w:bottom w:w="40" w:type="dxa"/>
              <w:right w:w="40" w:type="dxa"/>
            </w:tcMar>
            <w:vAlign w:val="bottom"/>
          </w:tcPr>
          <w:p w14:paraId="4ACE24E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24E6" w14:textId="77777777" w:rsidR="006F587A" w:rsidRDefault="007B2B61">
            <w:pPr>
              <w:textAlignment w:val="bottom"/>
              <w:rPr>
                <w:rFonts w:ascii="Times New Roman" w:hAnsi="Times New Roman"/>
                <w:sz w:val="20"/>
                <w:szCs w:val="20"/>
              </w:rPr>
            </w:pPr>
            <w:r>
              <w:rPr>
                <w:rFonts w:ascii="Arial" w:eastAsia="宋体" w:hAnsi="Arial" w:cs="Arial"/>
                <w:b/>
                <w:bCs/>
                <w:color w:val="333333"/>
                <w:sz w:val="20"/>
                <w:szCs w:val="20"/>
              </w:rPr>
              <w:t>HIGHLIGHTS</w:t>
            </w:r>
          </w:p>
        </w:tc>
      </w:tr>
      <w:tr w:rsidR="006F587A" w14:paraId="4ACE24EE" w14:textId="77777777">
        <w:tc>
          <w:tcPr>
            <w:tcW w:w="0" w:type="auto"/>
            <w:vMerge w:val="restart"/>
            <w:shd w:val="clear" w:color="auto" w:fill="auto"/>
            <w:tcMar>
              <w:top w:w="40" w:type="dxa"/>
              <w:left w:w="40" w:type="dxa"/>
              <w:bottom w:w="40" w:type="dxa"/>
              <w:right w:w="40" w:type="dxa"/>
            </w:tcMar>
            <w:vAlign w:val="center"/>
          </w:tcPr>
          <w:p w14:paraId="4ACE24E8" w14:textId="77777777" w:rsidR="006F587A" w:rsidRDefault="007B2B61">
            <w:pPr>
              <w:textAlignment w:val="center"/>
              <w:rPr>
                <w:rFonts w:ascii="Times New Roman" w:hAnsi="Times New Roman"/>
                <w:sz w:val="20"/>
                <w:szCs w:val="20"/>
              </w:rPr>
            </w:pPr>
            <w:r>
              <w:rPr>
                <w:rFonts w:ascii="Arial" w:eastAsia="宋体" w:hAnsi="Arial" w:cs="Arial"/>
                <w:b/>
                <w:bCs/>
                <w:color w:val="0071C5"/>
                <w:sz w:val="20"/>
                <w:szCs w:val="20"/>
              </w:rPr>
              <w:t>DCG</w:t>
            </w:r>
          </w:p>
        </w:tc>
        <w:tc>
          <w:tcPr>
            <w:tcW w:w="0" w:type="auto"/>
            <w:vMerge w:val="restart"/>
            <w:shd w:val="clear" w:color="auto" w:fill="auto"/>
            <w:tcMar>
              <w:top w:w="40" w:type="dxa"/>
              <w:left w:w="40" w:type="dxa"/>
              <w:bottom w:w="40" w:type="dxa"/>
              <w:right w:w="40" w:type="dxa"/>
            </w:tcMar>
            <w:vAlign w:val="bottom"/>
          </w:tcPr>
          <w:p w14:paraId="4ACE24E9" w14:textId="77777777" w:rsidR="006F587A" w:rsidRDefault="007B2B61">
            <w:pPr>
              <w:jc w:val="center"/>
              <w:textAlignment w:val="bottom"/>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Viewer12_files/a031dcgdonut.jpg"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A2" wp14:editId="4ACE6CA3">
                  <wp:extent cx="304800" cy="304800"/>
                  <wp:effectExtent l="0" t="0" r="0" b="0"/>
                  <wp:docPr id="143" name="图片 111"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11" descr="IMG_31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c>
          <w:tcPr>
            <w:tcW w:w="0" w:type="auto"/>
            <w:shd w:val="clear" w:color="auto" w:fill="auto"/>
            <w:tcMar>
              <w:top w:w="40" w:type="dxa"/>
              <w:left w:w="40" w:type="dxa"/>
              <w:bottom w:w="40" w:type="dxa"/>
              <w:right w:w="40" w:type="dxa"/>
            </w:tcMar>
            <w:vAlign w:val="bottom"/>
          </w:tcPr>
          <w:p w14:paraId="4ACE24E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shd w:val="clear" w:color="auto" w:fill="auto"/>
            <w:tcMar>
              <w:top w:w="40" w:type="dxa"/>
              <w:left w:w="40" w:type="dxa"/>
              <w:bottom w:w="40" w:type="dxa"/>
              <w:right w:w="40" w:type="dxa"/>
            </w:tcMar>
            <w:vAlign w:val="center"/>
          </w:tcPr>
          <w:p w14:paraId="4ACE24EB" w14:textId="77777777" w:rsidR="006F587A" w:rsidRDefault="007B2B61">
            <w:pPr>
              <w:textAlignment w:val="center"/>
              <w:rPr>
                <w:rFonts w:ascii="Times New Roman" w:hAnsi="Times New Roman"/>
                <w:sz w:val="16"/>
                <w:szCs w:val="16"/>
              </w:rPr>
            </w:pPr>
            <w:r>
              <w:rPr>
                <w:rFonts w:ascii="Arial" w:eastAsia="宋体" w:hAnsi="Arial" w:cs="Arial"/>
                <w:color w:val="333333"/>
                <w:sz w:val="16"/>
                <w:szCs w:val="16"/>
              </w:rPr>
              <w:t>Includes workload-optimized platforms and related products designed for cloud, enterprise, and communication in</w:t>
            </w:r>
            <w:r>
              <w:rPr>
                <w:rFonts w:ascii="Arial" w:eastAsia="宋体" w:hAnsi="Arial" w:cs="Arial"/>
                <w:color w:val="333333"/>
                <w:sz w:val="16"/>
                <w:szCs w:val="16"/>
              </w:rPr>
              <w:t xml:space="preserve">frastructure market segments. </w:t>
            </w:r>
          </w:p>
        </w:tc>
        <w:tc>
          <w:tcPr>
            <w:tcW w:w="0" w:type="auto"/>
            <w:shd w:val="clear" w:color="auto" w:fill="auto"/>
            <w:tcMar>
              <w:top w:w="40" w:type="dxa"/>
              <w:left w:w="40" w:type="dxa"/>
              <w:bottom w:w="40" w:type="dxa"/>
              <w:right w:w="40" w:type="dxa"/>
            </w:tcMar>
            <w:vAlign w:val="bottom"/>
          </w:tcPr>
          <w:p w14:paraId="4ACE24E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tcPr>
          <w:p w14:paraId="4ACE24ED" w14:textId="77777777" w:rsidR="006F587A" w:rsidRDefault="007B2B61">
            <w:pPr>
              <w:textAlignment w:val="top"/>
              <w:rPr>
                <w:rFonts w:ascii="Times New Roman" w:hAnsi="Times New Roman"/>
                <w:sz w:val="16"/>
                <w:szCs w:val="16"/>
              </w:rPr>
            </w:pPr>
            <w:r>
              <w:rPr>
                <w:rFonts w:ascii="Arial" w:eastAsia="宋体" w:hAnsi="Arial" w:cs="Arial"/>
                <w:color w:val="333333"/>
                <w:sz w:val="16"/>
                <w:szCs w:val="16"/>
              </w:rPr>
              <w:t>Revenue for our data-centric businesses was up 3% year over year. Growth in DCG, IOTG, Mobileye, and NSG was offset by decline in PSG. We introduced new data-centric products, such as the Intel</w:t>
            </w:r>
            <w:r>
              <w:rPr>
                <w:rFonts w:ascii="Arial" w:eastAsia="宋体" w:hAnsi="Arial" w:cs="Arial"/>
                <w:color w:val="333333"/>
                <w:sz w:val="10"/>
                <w:szCs w:val="10"/>
              </w:rPr>
              <w:t>®</w:t>
            </w:r>
            <w:r>
              <w:rPr>
                <w:rFonts w:ascii="Arial" w:eastAsia="宋体" w:hAnsi="Arial" w:cs="Arial"/>
                <w:color w:val="333333"/>
                <w:sz w:val="16"/>
                <w:szCs w:val="16"/>
              </w:rPr>
              <w:t> Agilex</w:t>
            </w:r>
            <w:r>
              <w:rPr>
                <w:rFonts w:ascii="Arial" w:eastAsia="宋体" w:hAnsi="Arial" w:cs="Arial"/>
                <w:color w:val="333333"/>
                <w:sz w:val="10"/>
                <w:szCs w:val="10"/>
              </w:rPr>
              <w:t xml:space="preserve">TM </w:t>
            </w:r>
            <w:r>
              <w:rPr>
                <w:rFonts w:ascii="Arial" w:eastAsia="宋体" w:hAnsi="Arial" w:cs="Arial"/>
                <w:color w:val="333333"/>
                <w:sz w:val="16"/>
                <w:szCs w:val="16"/>
              </w:rPr>
              <w:t>FPGA, 2nd generatio</w:t>
            </w:r>
            <w:r>
              <w:rPr>
                <w:rFonts w:ascii="Arial" w:eastAsia="宋体" w:hAnsi="Arial" w:cs="Arial"/>
                <w:color w:val="333333"/>
                <w:sz w:val="16"/>
                <w:szCs w:val="16"/>
              </w:rPr>
              <w:t>n Intel</w:t>
            </w:r>
            <w:r>
              <w:rPr>
                <w:rFonts w:ascii="Arial" w:eastAsia="宋体" w:hAnsi="Arial" w:cs="Arial"/>
                <w:color w:val="333333"/>
                <w:sz w:val="10"/>
                <w:szCs w:val="10"/>
              </w:rPr>
              <w:t>®</w:t>
            </w:r>
            <w:r>
              <w:rPr>
                <w:rFonts w:ascii="Arial" w:eastAsia="宋体" w:hAnsi="Arial" w:cs="Arial"/>
                <w:color w:val="333333"/>
                <w:sz w:val="16"/>
                <w:szCs w:val="16"/>
              </w:rPr>
              <w:t> Xeon</w:t>
            </w:r>
            <w:r>
              <w:rPr>
                <w:rFonts w:ascii="Arial" w:eastAsia="宋体" w:hAnsi="Arial" w:cs="Arial"/>
                <w:color w:val="333333"/>
                <w:sz w:val="10"/>
                <w:szCs w:val="10"/>
              </w:rPr>
              <w:t>®</w:t>
            </w:r>
            <w:r>
              <w:rPr>
                <w:rFonts w:ascii="Arial" w:eastAsia="宋体" w:hAnsi="Arial" w:cs="Arial"/>
                <w:color w:val="333333"/>
                <w:sz w:val="16"/>
                <w:szCs w:val="16"/>
              </w:rPr>
              <w:t> Scalable processor, and Intel</w:t>
            </w:r>
            <w:r>
              <w:rPr>
                <w:rFonts w:ascii="Arial" w:eastAsia="宋体" w:hAnsi="Arial" w:cs="Arial"/>
                <w:color w:val="333333"/>
                <w:sz w:val="10"/>
                <w:szCs w:val="10"/>
              </w:rPr>
              <w:t>®</w:t>
            </w:r>
            <w:r>
              <w:rPr>
                <w:rFonts w:ascii="Arial" w:eastAsia="宋体" w:hAnsi="Arial" w:cs="Arial"/>
                <w:color w:val="333333"/>
                <w:sz w:val="16"/>
                <w:szCs w:val="16"/>
              </w:rPr>
              <w:t> Optane™ DC persistent memory. In addition, Mobileye continued to secure new design wins at major U.S. and global automakers and announced plans to commercialize MaaS.</w:t>
            </w:r>
          </w:p>
        </w:tc>
      </w:tr>
      <w:tr w:rsidR="006F587A" w14:paraId="4ACE24F5" w14:textId="77777777">
        <w:tc>
          <w:tcPr>
            <w:tcW w:w="0" w:type="auto"/>
            <w:vMerge/>
            <w:shd w:val="clear" w:color="auto" w:fill="auto"/>
            <w:tcMar>
              <w:top w:w="40" w:type="dxa"/>
              <w:left w:w="40" w:type="dxa"/>
              <w:bottom w:w="40" w:type="dxa"/>
              <w:right w:w="40" w:type="dxa"/>
            </w:tcMar>
            <w:vAlign w:val="center"/>
          </w:tcPr>
          <w:p w14:paraId="4ACE24EF" w14:textId="77777777" w:rsidR="006F587A" w:rsidRDefault="006F587A">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4ACE24F0"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4F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shd w:val="clear" w:color="auto" w:fill="auto"/>
            <w:tcMar>
              <w:top w:w="40" w:type="dxa"/>
              <w:left w:w="40" w:type="dxa"/>
              <w:bottom w:w="40" w:type="dxa"/>
              <w:right w:w="40" w:type="dxa"/>
            </w:tcMar>
            <w:vAlign w:val="center"/>
          </w:tcPr>
          <w:p w14:paraId="4ACE24F2"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4F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tcPr>
          <w:p w14:paraId="4ACE24F4" w14:textId="77777777" w:rsidR="006F587A" w:rsidRDefault="006F587A">
            <w:pPr>
              <w:rPr>
                <w:rFonts w:ascii="Times New Roman" w:hAnsi="Times New Roman"/>
                <w:sz w:val="20"/>
                <w:szCs w:val="20"/>
              </w:rPr>
            </w:pPr>
          </w:p>
        </w:tc>
      </w:tr>
      <w:tr w:rsidR="006F587A" w14:paraId="4ACE24FC" w14:textId="77777777">
        <w:tc>
          <w:tcPr>
            <w:tcW w:w="0" w:type="auto"/>
            <w:vMerge w:val="restart"/>
            <w:shd w:val="clear" w:color="auto" w:fill="auto"/>
            <w:tcMar>
              <w:top w:w="40" w:type="dxa"/>
              <w:left w:w="40" w:type="dxa"/>
              <w:bottom w:w="40" w:type="dxa"/>
              <w:right w:w="40" w:type="dxa"/>
            </w:tcMar>
            <w:vAlign w:val="center"/>
          </w:tcPr>
          <w:p w14:paraId="4ACE24F6" w14:textId="77777777" w:rsidR="006F587A" w:rsidRDefault="007B2B61">
            <w:pPr>
              <w:textAlignment w:val="center"/>
              <w:rPr>
                <w:rFonts w:ascii="Times New Roman" w:hAnsi="Times New Roman"/>
                <w:sz w:val="20"/>
                <w:szCs w:val="20"/>
              </w:rPr>
            </w:pPr>
            <w:r>
              <w:rPr>
                <w:rFonts w:ascii="Arial" w:eastAsia="宋体" w:hAnsi="Arial" w:cs="Arial"/>
                <w:b/>
                <w:bCs/>
                <w:color w:val="0071C5"/>
                <w:sz w:val="20"/>
                <w:szCs w:val="20"/>
              </w:rPr>
              <w:t>IOTG</w:t>
            </w:r>
          </w:p>
        </w:tc>
        <w:tc>
          <w:tcPr>
            <w:tcW w:w="0" w:type="auto"/>
            <w:vMerge w:val="restart"/>
            <w:shd w:val="clear" w:color="auto" w:fill="auto"/>
            <w:tcMar>
              <w:top w:w="40" w:type="dxa"/>
              <w:left w:w="40" w:type="dxa"/>
              <w:bottom w:w="40" w:type="dxa"/>
              <w:right w:w="40" w:type="dxa"/>
            </w:tcMar>
          </w:tcPr>
          <w:p w14:paraId="4ACE24F7" w14:textId="77777777" w:rsidR="006F587A" w:rsidRDefault="007B2B61">
            <w:pPr>
              <w:jc w:val="center"/>
              <w:textAlignment w:val="top"/>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Viewer12_files/a032iotgdonuta06.jpg"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A4" wp14:editId="4ACE6CA5">
                  <wp:extent cx="304800" cy="304800"/>
                  <wp:effectExtent l="0" t="0" r="0" b="0"/>
                  <wp:docPr id="68" name="图片 112"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12" descr="IMG_31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c>
          <w:tcPr>
            <w:tcW w:w="0" w:type="auto"/>
            <w:shd w:val="clear" w:color="auto" w:fill="auto"/>
            <w:tcMar>
              <w:top w:w="40" w:type="dxa"/>
              <w:left w:w="40" w:type="dxa"/>
              <w:bottom w:w="40" w:type="dxa"/>
              <w:right w:w="40" w:type="dxa"/>
            </w:tcMar>
            <w:vAlign w:val="bottom"/>
          </w:tcPr>
          <w:p w14:paraId="4ACE24F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shd w:val="clear" w:color="auto" w:fill="auto"/>
            <w:tcMar>
              <w:top w:w="40" w:type="dxa"/>
              <w:left w:w="40" w:type="dxa"/>
              <w:bottom w:w="40" w:type="dxa"/>
              <w:right w:w="40" w:type="dxa"/>
            </w:tcMar>
            <w:vAlign w:val="center"/>
          </w:tcPr>
          <w:p w14:paraId="4ACE24F9" w14:textId="77777777" w:rsidR="006F587A" w:rsidRDefault="007B2B61">
            <w:pPr>
              <w:jc w:val="both"/>
              <w:textAlignment w:val="center"/>
              <w:rPr>
                <w:rFonts w:ascii="Times New Roman" w:hAnsi="Times New Roman"/>
                <w:sz w:val="16"/>
                <w:szCs w:val="16"/>
              </w:rPr>
            </w:pPr>
            <w:r>
              <w:rPr>
                <w:rFonts w:ascii="Arial" w:eastAsia="宋体" w:hAnsi="Arial" w:cs="Arial"/>
                <w:color w:val="333333"/>
                <w:sz w:val="16"/>
                <w:szCs w:val="16"/>
              </w:rPr>
              <w:t>Includes high-performance compute solutions for targeted verticals and embedded applications in market segm</w:t>
            </w:r>
            <w:r>
              <w:rPr>
                <w:rFonts w:ascii="Arial" w:eastAsia="宋体" w:hAnsi="Arial" w:cs="Arial"/>
                <w:color w:val="333333"/>
                <w:sz w:val="16"/>
                <w:szCs w:val="16"/>
              </w:rPr>
              <w:t>ents such as retail, industrial, smart infrastructure, and vision.</w:t>
            </w:r>
          </w:p>
        </w:tc>
        <w:tc>
          <w:tcPr>
            <w:tcW w:w="0" w:type="auto"/>
            <w:shd w:val="clear" w:color="auto" w:fill="auto"/>
            <w:tcMar>
              <w:top w:w="40" w:type="dxa"/>
              <w:left w:w="40" w:type="dxa"/>
              <w:bottom w:w="40" w:type="dxa"/>
              <w:right w:w="40" w:type="dxa"/>
            </w:tcMar>
            <w:vAlign w:val="bottom"/>
          </w:tcPr>
          <w:p w14:paraId="4ACE24F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tcPr>
          <w:p w14:paraId="4ACE24FB" w14:textId="77777777" w:rsidR="006F587A" w:rsidRDefault="006F587A">
            <w:pPr>
              <w:rPr>
                <w:rFonts w:ascii="Times New Roman" w:hAnsi="Times New Roman"/>
                <w:sz w:val="20"/>
                <w:szCs w:val="20"/>
              </w:rPr>
            </w:pPr>
          </w:p>
        </w:tc>
      </w:tr>
      <w:tr w:rsidR="006F587A" w14:paraId="4ACE2503" w14:textId="77777777">
        <w:tc>
          <w:tcPr>
            <w:tcW w:w="0" w:type="auto"/>
            <w:vMerge/>
            <w:shd w:val="clear" w:color="auto" w:fill="auto"/>
            <w:tcMar>
              <w:top w:w="40" w:type="dxa"/>
              <w:left w:w="40" w:type="dxa"/>
              <w:bottom w:w="40" w:type="dxa"/>
              <w:right w:w="40" w:type="dxa"/>
            </w:tcMar>
            <w:vAlign w:val="center"/>
          </w:tcPr>
          <w:p w14:paraId="4ACE24FD" w14:textId="77777777" w:rsidR="006F587A" w:rsidRDefault="006F587A">
            <w:pPr>
              <w:rPr>
                <w:rFonts w:ascii="Times New Roman" w:hAnsi="Times New Roman"/>
                <w:sz w:val="20"/>
                <w:szCs w:val="20"/>
              </w:rPr>
            </w:pPr>
          </w:p>
        </w:tc>
        <w:tc>
          <w:tcPr>
            <w:tcW w:w="0" w:type="auto"/>
            <w:vMerge/>
            <w:shd w:val="clear" w:color="auto" w:fill="auto"/>
            <w:tcMar>
              <w:top w:w="40" w:type="dxa"/>
              <w:left w:w="40" w:type="dxa"/>
              <w:bottom w:w="40" w:type="dxa"/>
              <w:right w:w="40" w:type="dxa"/>
            </w:tcMar>
          </w:tcPr>
          <w:p w14:paraId="4ACE24FE"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4F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shd w:val="clear" w:color="auto" w:fill="auto"/>
            <w:tcMar>
              <w:top w:w="40" w:type="dxa"/>
              <w:left w:w="40" w:type="dxa"/>
              <w:bottom w:w="40" w:type="dxa"/>
              <w:right w:w="40" w:type="dxa"/>
            </w:tcMar>
            <w:vAlign w:val="center"/>
          </w:tcPr>
          <w:p w14:paraId="4ACE2500"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50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tcPr>
          <w:p w14:paraId="4ACE2502" w14:textId="77777777" w:rsidR="006F587A" w:rsidRDefault="006F587A">
            <w:pPr>
              <w:rPr>
                <w:rFonts w:ascii="Times New Roman" w:hAnsi="Times New Roman"/>
                <w:sz w:val="20"/>
                <w:szCs w:val="20"/>
              </w:rPr>
            </w:pPr>
          </w:p>
        </w:tc>
      </w:tr>
      <w:tr w:rsidR="006F587A" w14:paraId="4ACE250A" w14:textId="77777777">
        <w:tc>
          <w:tcPr>
            <w:tcW w:w="0" w:type="auto"/>
            <w:vMerge/>
            <w:shd w:val="clear" w:color="auto" w:fill="auto"/>
            <w:tcMar>
              <w:top w:w="40" w:type="dxa"/>
              <w:left w:w="40" w:type="dxa"/>
              <w:bottom w:w="40" w:type="dxa"/>
              <w:right w:w="40" w:type="dxa"/>
            </w:tcMar>
            <w:vAlign w:val="center"/>
          </w:tcPr>
          <w:p w14:paraId="4ACE2504" w14:textId="77777777" w:rsidR="006F587A" w:rsidRDefault="006F587A">
            <w:pPr>
              <w:rPr>
                <w:rFonts w:ascii="Times New Roman" w:hAnsi="Times New Roman"/>
                <w:sz w:val="20"/>
                <w:szCs w:val="20"/>
              </w:rPr>
            </w:pPr>
          </w:p>
        </w:tc>
        <w:tc>
          <w:tcPr>
            <w:tcW w:w="0" w:type="auto"/>
            <w:vMerge/>
            <w:shd w:val="clear" w:color="auto" w:fill="auto"/>
            <w:tcMar>
              <w:top w:w="40" w:type="dxa"/>
              <w:left w:w="40" w:type="dxa"/>
              <w:bottom w:w="40" w:type="dxa"/>
              <w:right w:w="40" w:type="dxa"/>
            </w:tcMar>
          </w:tcPr>
          <w:p w14:paraId="4ACE2505"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50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shd w:val="clear" w:color="auto" w:fill="auto"/>
            <w:tcMar>
              <w:top w:w="40" w:type="dxa"/>
              <w:left w:w="40" w:type="dxa"/>
              <w:bottom w:w="40" w:type="dxa"/>
              <w:right w:w="40" w:type="dxa"/>
            </w:tcMar>
            <w:vAlign w:val="center"/>
          </w:tcPr>
          <w:p w14:paraId="4ACE2507"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50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2509" w14:textId="77777777" w:rsidR="006F587A" w:rsidRDefault="007B2B61">
            <w:pPr>
              <w:textAlignment w:val="bottom"/>
              <w:rPr>
                <w:rFonts w:ascii="Times New Roman" w:hAnsi="Times New Roman"/>
                <w:sz w:val="20"/>
                <w:szCs w:val="20"/>
              </w:rPr>
            </w:pPr>
            <w:r>
              <w:rPr>
                <w:rFonts w:ascii="Arial" w:eastAsia="宋体" w:hAnsi="Arial" w:cs="Arial"/>
                <w:b/>
                <w:bCs/>
                <w:color w:val="333333"/>
                <w:sz w:val="20"/>
                <w:szCs w:val="20"/>
              </w:rPr>
              <w:t>OPPORTUNITIES</w:t>
            </w:r>
          </w:p>
        </w:tc>
      </w:tr>
      <w:tr w:rsidR="006F587A" w14:paraId="4ACE2511" w14:textId="77777777">
        <w:tc>
          <w:tcPr>
            <w:tcW w:w="0" w:type="auto"/>
            <w:shd w:val="clear" w:color="auto" w:fill="auto"/>
            <w:tcMar>
              <w:top w:w="40" w:type="dxa"/>
              <w:left w:w="40" w:type="dxa"/>
              <w:bottom w:w="40" w:type="dxa"/>
              <w:right w:w="40" w:type="dxa"/>
            </w:tcMar>
            <w:vAlign w:val="center"/>
          </w:tcPr>
          <w:p w14:paraId="4ACE250B" w14:textId="77777777" w:rsidR="006F587A" w:rsidRDefault="007B2B61">
            <w:pPr>
              <w:textAlignment w:val="center"/>
              <w:rPr>
                <w:rFonts w:ascii="Times New Roman" w:hAnsi="Times New Roman"/>
                <w:sz w:val="20"/>
                <w:szCs w:val="20"/>
              </w:rPr>
            </w:pPr>
            <w:r>
              <w:rPr>
                <w:rFonts w:ascii="Arial" w:eastAsia="宋体" w:hAnsi="Arial" w:cs="Arial"/>
                <w:b/>
                <w:bCs/>
                <w:color w:val="0071C5"/>
                <w:sz w:val="20"/>
                <w:szCs w:val="20"/>
              </w:rPr>
              <w:t>MOBILEYE</w:t>
            </w:r>
          </w:p>
        </w:tc>
        <w:tc>
          <w:tcPr>
            <w:tcW w:w="0" w:type="auto"/>
            <w:shd w:val="clear" w:color="auto" w:fill="auto"/>
            <w:tcMar>
              <w:top w:w="40" w:type="dxa"/>
              <w:left w:w="40" w:type="dxa"/>
              <w:bottom w:w="40" w:type="dxa"/>
              <w:right w:w="40" w:type="dxa"/>
            </w:tcMar>
            <w:vAlign w:val="bottom"/>
          </w:tcPr>
          <w:p w14:paraId="4ACE250C" w14:textId="77777777" w:rsidR="006F587A" w:rsidRDefault="007B2B61">
            <w:pPr>
              <w:jc w:val="center"/>
              <w:textAlignment w:val="bottom"/>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Viewer12_files/a033mblydonut.jpg"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A6" wp14:editId="4ACE6CA7">
                  <wp:extent cx="304800" cy="304800"/>
                  <wp:effectExtent l="0" t="0" r="0" b="0"/>
                  <wp:docPr id="110" name="图片 113"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3" descr="IMG_31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c>
          <w:tcPr>
            <w:tcW w:w="0" w:type="auto"/>
            <w:shd w:val="clear" w:color="auto" w:fill="auto"/>
            <w:tcMar>
              <w:top w:w="40" w:type="dxa"/>
              <w:left w:w="40" w:type="dxa"/>
              <w:bottom w:w="40" w:type="dxa"/>
              <w:right w:w="40" w:type="dxa"/>
            </w:tcMar>
            <w:vAlign w:val="bottom"/>
          </w:tcPr>
          <w:p w14:paraId="4ACE250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center"/>
          </w:tcPr>
          <w:p w14:paraId="4ACE250E" w14:textId="77777777" w:rsidR="006F587A" w:rsidRDefault="007B2B61">
            <w:pPr>
              <w:textAlignment w:val="center"/>
              <w:rPr>
                <w:rFonts w:ascii="Times New Roman" w:hAnsi="Times New Roman"/>
                <w:sz w:val="16"/>
                <w:szCs w:val="16"/>
              </w:rPr>
            </w:pPr>
            <w:r>
              <w:rPr>
                <w:rFonts w:ascii="Arial" w:eastAsia="宋体" w:hAnsi="Arial" w:cs="Arial"/>
                <w:color w:val="333333"/>
                <w:sz w:val="16"/>
                <w:szCs w:val="16"/>
              </w:rPr>
              <w:t>Includes development of computer vision and machine learning-based sensing, data analysis, localization, mappi</w:t>
            </w:r>
            <w:r>
              <w:rPr>
                <w:rFonts w:ascii="Arial" w:eastAsia="宋体" w:hAnsi="Arial" w:cs="Arial"/>
                <w:color w:val="333333"/>
                <w:sz w:val="16"/>
                <w:szCs w:val="16"/>
              </w:rPr>
              <w:t>ng, and driving policy technology for ADAS and autonomous driving.</w:t>
            </w:r>
          </w:p>
        </w:tc>
        <w:tc>
          <w:tcPr>
            <w:tcW w:w="0" w:type="auto"/>
            <w:shd w:val="clear" w:color="auto" w:fill="auto"/>
            <w:tcMar>
              <w:top w:w="40" w:type="dxa"/>
              <w:left w:w="40" w:type="dxa"/>
              <w:bottom w:w="40" w:type="dxa"/>
              <w:right w:w="40" w:type="dxa"/>
            </w:tcMar>
            <w:vAlign w:val="bottom"/>
          </w:tcPr>
          <w:p w14:paraId="4ACE250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tcPr>
          <w:p w14:paraId="4ACE2510" w14:textId="77777777" w:rsidR="006F587A" w:rsidRDefault="007B2B61">
            <w:pPr>
              <w:textAlignment w:val="top"/>
              <w:rPr>
                <w:rFonts w:ascii="Times New Roman" w:hAnsi="Times New Roman"/>
                <w:sz w:val="16"/>
                <w:szCs w:val="16"/>
              </w:rPr>
            </w:pPr>
            <w:r>
              <w:rPr>
                <w:rFonts w:ascii="Arial" w:eastAsia="宋体" w:hAnsi="Arial" w:cs="Arial"/>
                <w:color w:val="333333"/>
                <w:sz w:val="16"/>
                <w:szCs w:val="16"/>
              </w:rPr>
              <w:t>We have expanded our data-centric TAM to approximately $230 billion</w:t>
            </w:r>
            <w:r>
              <w:rPr>
                <w:rFonts w:ascii="Arial" w:eastAsia="宋体" w:hAnsi="Arial" w:cs="Arial"/>
                <w:color w:val="333333"/>
                <w:sz w:val="10"/>
                <w:szCs w:val="10"/>
              </w:rPr>
              <w:t>1</w:t>
            </w:r>
            <w:r>
              <w:rPr>
                <w:rFonts w:ascii="Arial" w:eastAsia="宋体" w:hAnsi="Arial" w:cs="Arial"/>
                <w:color w:val="333333"/>
                <w:sz w:val="16"/>
                <w:szCs w:val="16"/>
              </w:rPr>
              <w:t> with acquisitions and product innovations. Our broadened portfolio enables new opportunities for us and creates better</w:t>
            </w:r>
            <w:r>
              <w:rPr>
                <w:rFonts w:ascii="Arial" w:eastAsia="宋体" w:hAnsi="Arial" w:cs="Arial"/>
                <w:color w:val="333333"/>
                <w:sz w:val="16"/>
                <w:szCs w:val="16"/>
              </w:rPr>
              <w:t xml:space="preserve"> synergistic value for our customers. For example, our product offerings for AI workloads reach from the cloud to the edge, and we are developing CPU, GPU, FPGA, and AI accelerator products to span inference and training AI workloads, while also pursuing o</w:t>
            </w:r>
            <w:r>
              <w:rPr>
                <w:rFonts w:ascii="Arial" w:eastAsia="宋体" w:hAnsi="Arial" w:cs="Arial"/>
                <w:color w:val="333333"/>
                <w:sz w:val="16"/>
                <w:szCs w:val="16"/>
              </w:rPr>
              <w:t xml:space="preserve">ngoing software optimizations for AI. </w:t>
            </w:r>
          </w:p>
        </w:tc>
      </w:tr>
      <w:tr w:rsidR="006F587A" w14:paraId="4ACE2518" w14:textId="77777777">
        <w:tc>
          <w:tcPr>
            <w:tcW w:w="0" w:type="auto"/>
            <w:vMerge w:val="restart"/>
            <w:shd w:val="clear" w:color="auto" w:fill="auto"/>
            <w:tcMar>
              <w:top w:w="40" w:type="dxa"/>
              <w:left w:w="40" w:type="dxa"/>
              <w:bottom w:w="40" w:type="dxa"/>
              <w:right w:w="40" w:type="dxa"/>
            </w:tcMar>
            <w:vAlign w:val="center"/>
          </w:tcPr>
          <w:p w14:paraId="4ACE2512" w14:textId="77777777" w:rsidR="006F587A" w:rsidRDefault="007B2B61">
            <w:pPr>
              <w:textAlignment w:val="center"/>
              <w:rPr>
                <w:rFonts w:ascii="Times New Roman" w:hAnsi="Times New Roman"/>
                <w:sz w:val="20"/>
                <w:szCs w:val="20"/>
              </w:rPr>
            </w:pPr>
            <w:r>
              <w:rPr>
                <w:rFonts w:ascii="Arial" w:eastAsia="宋体" w:hAnsi="Arial" w:cs="Arial"/>
                <w:b/>
                <w:bCs/>
                <w:color w:val="0071C5"/>
                <w:sz w:val="20"/>
                <w:szCs w:val="20"/>
              </w:rPr>
              <w:t>NSG</w:t>
            </w:r>
          </w:p>
        </w:tc>
        <w:tc>
          <w:tcPr>
            <w:tcW w:w="0" w:type="auto"/>
            <w:vMerge w:val="restart"/>
            <w:shd w:val="clear" w:color="auto" w:fill="auto"/>
            <w:tcMar>
              <w:top w:w="40" w:type="dxa"/>
              <w:left w:w="40" w:type="dxa"/>
              <w:bottom w:w="40" w:type="dxa"/>
              <w:right w:w="40" w:type="dxa"/>
            </w:tcMar>
            <w:vAlign w:val="bottom"/>
          </w:tcPr>
          <w:p w14:paraId="4ACE2513" w14:textId="77777777" w:rsidR="006F587A" w:rsidRDefault="007B2B61">
            <w:pPr>
              <w:jc w:val="center"/>
              <w:textAlignment w:val="bottom"/>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Viewer12_files/a034nsgdonuta06.jpg"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A8" wp14:editId="4ACE6CA9">
                  <wp:extent cx="304800" cy="304800"/>
                  <wp:effectExtent l="0" t="0" r="0" b="0"/>
                  <wp:docPr id="49" name="图片 114"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14" descr="IMG_31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c>
          <w:tcPr>
            <w:tcW w:w="0" w:type="auto"/>
            <w:shd w:val="clear" w:color="auto" w:fill="auto"/>
            <w:tcMar>
              <w:top w:w="40" w:type="dxa"/>
              <w:left w:w="40" w:type="dxa"/>
              <w:bottom w:w="40" w:type="dxa"/>
              <w:right w:w="40" w:type="dxa"/>
            </w:tcMar>
            <w:vAlign w:val="bottom"/>
          </w:tcPr>
          <w:p w14:paraId="4ACE251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shd w:val="clear" w:color="auto" w:fill="auto"/>
            <w:tcMar>
              <w:top w:w="40" w:type="dxa"/>
              <w:left w:w="40" w:type="dxa"/>
              <w:bottom w:w="40" w:type="dxa"/>
              <w:right w:w="40" w:type="dxa"/>
            </w:tcMar>
            <w:vAlign w:val="center"/>
          </w:tcPr>
          <w:p w14:paraId="4ACE2515" w14:textId="77777777" w:rsidR="006F587A" w:rsidRDefault="007B2B61">
            <w:pPr>
              <w:textAlignment w:val="center"/>
              <w:rPr>
                <w:rFonts w:ascii="Times New Roman" w:hAnsi="Times New Roman"/>
                <w:sz w:val="16"/>
                <w:szCs w:val="16"/>
              </w:rPr>
            </w:pPr>
            <w:r>
              <w:rPr>
                <w:rFonts w:ascii="Arial" w:eastAsia="宋体" w:hAnsi="Arial" w:cs="Arial"/>
                <w:color w:val="333333"/>
                <w:sz w:val="16"/>
                <w:szCs w:val="16"/>
              </w:rPr>
              <w:t>Includes memory and storage products like Intel</w:t>
            </w:r>
            <w:r>
              <w:rPr>
                <w:rFonts w:ascii="Arial" w:eastAsia="宋体" w:hAnsi="Arial" w:cs="Arial"/>
                <w:color w:val="333333"/>
                <w:sz w:val="10"/>
                <w:szCs w:val="10"/>
              </w:rPr>
              <w:t>®</w:t>
            </w:r>
            <w:r>
              <w:rPr>
                <w:rFonts w:ascii="Arial" w:eastAsia="宋体" w:hAnsi="Arial" w:cs="Arial"/>
                <w:color w:val="333333"/>
                <w:sz w:val="16"/>
                <w:szCs w:val="16"/>
              </w:rPr>
              <w:t> Optane™ technology and Intel</w:t>
            </w:r>
            <w:r>
              <w:rPr>
                <w:rFonts w:ascii="Arial" w:eastAsia="宋体" w:hAnsi="Arial" w:cs="Arial"/>
                <w:color w:val="333333"/>
                <w:sz w:val="10"/>
                <w:szCs w:val="10"/>
              </w:rPr>
              <w:t>®</w:t>
            </w:r>
            <w:r>
              <w:rPr>
                <w:rFonts w:ascii="Arial" w:eastAsia="宋体" w:hAnsi="Arial" w:cs="Arial"/>
                <w:color w:val="333333"/>
                <w:sz w:val="16"/>
                <w:szCs w:val="16"/>
              </w:rPr>
              <w:t> 3D NAND technology, primarily</w:t>
            </w:r>
            <w:r>
              <w:rPr>
                <w:rFonts w:ascii="Arial" w:eastAsia="宋体" w:hAnsi="Arial" w:cs="Arial"/>
                <w:color w:val="333333"/>
                <w:sz w:val="16"/>
                <w:szCs w:val="16"/>
              </w:rPr>
              <w:t xml:space="preserve"> used in SSDs.</w:t>
            </w:r>
          </w:p>
        </w:tc>
        <w:tc>
          <w:tcPr>
            <w:tcW w:w="0" w:type="auto"/>
            <w:shd w:val="clear" w:color="auto" w:fill="auto"/>
            <w:tcMar>
              <w:top w:w="40" w:type="dxa"/>
              <w:left w:w="40" w:type="dxa"/>
              <w:bottom w:w="40" w:type="dxa"/>
              <w:right w:w="40" w:type="dxa"/>
            </w:tcMar>
            <w:vAlign w:val="bottom"/>
          </w:tcPr>
          <w:p w14:paraId="4ACE251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tcPr>
          <w:p w14:paraId="4ACE2517" w14:textId="77777777" w:rsidR="006F587A" w:rsidRDefault="006F587A">
            <w:pPr>
              <w:rPr>
                <w:rFonts w:ascii="Times New Roman" w:hAnsi="Times New Roman"/>
                <w:sz w:val="20"/>
                <w:szCs w:val="20"/>
              </w:rPr>
            </w:pPr>
          </w:p>
        </w:tc>
      </w:tr>
      <w:tr w:rsidR="006F587A" w14:paraId="4ACE251F" w14:textId="77777777">
        <w:tc>
          <w:tcPr>
            <w:tcW w:w="0" w:type="auto"/>
            <w:vMerge/>
            <w:shd w:val="clear" w:color="auto" w:fill="auto"/>
            <w:tcMar>
              <w:top w:w="40" w:type="dxa"/>
              <w:left w:w="40" w:type="dxa"/>
              <w:bottom w:w="40" w:type="dxa"/>
              <w:right w:w="40" w:type="dxa"/>
            </w:tcMar>
            <w:vAlign w:val="center"/>
          </w:tcPr>
          <w:p w14:paraId="4ACE2519" w14:textId="77777777" w:rsidR="006F587A" w:rsidRDefault="006F587A">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4ACE251A"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51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shd w:val="clear" w:color="auto" w:fill="auto"/>
            <w:tcMar>
              <w:top w:w="40" w:type="dxa"/>
              <w:left w:w="40" w:type="dxa"/>
              <w:bottom w:w="40" w:type="dxa"/>
              <w:right w:w="40" w:type="dxa"/>
            </w:tcMar>
            <w:vAlign w:val="center"/>
          </w:tcPr>
          <w:p w14:paraId="4ACE251C"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51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251E" w14:textId="77777777" w:rsidR="006F587A" w:rsidRDefault="007B2B61">
            <w:pPr>
              <w:textAlignment w:val="bottom"/>
              <w:rPr>
                <w:rFonts w:ascii="Times New Roman" w:hAnsi="Times New Roman"/>
                <w:sz w:val="20"/>
                <w:szCs w:val="20"/>
              </w:rPr>
            </w:pPr>
            <w:r>
              <w:rPr>
                <w:rFonts w:ascii="Arial" w:eastAsia="宋体" w:hAnsi="Arial" w:cs="Arial"/>
                <w:b/>
                <w:bCs/>
                <w:color w:val="333333"/>
                <w:sz w:val="20"/>
                <w:szCs w:val="20"/>
              </w:rPr>
              <w:t>CHALLENGES</w:t>
            </w:r>
          </w:p>
        </w:tc>
      </w:tr>
      <w:tr w:rsidR="006F587A" w14:paraId="4ACE2526" w14:textId="77777777">
        <w:tc>
          <w:tcPr>
            <w:tcW w:w="0" w:type="auto"/>
            <w:vMerge/>
            <w:shd w:val="clear" w:color="auto" w:fill="auto"/>
            <w:tcMar>
              <w:top w:w="40" w:type="dxa"/>
              <w:left w:w="40" w:type="dxa"/>
              <w:bottom w:w="40" w:type="dxa"/>
              <w:right w:w="40" w:type="dxa"/>
            </w:tcMar>
            <w:vAlign w:val="center"/>
          </w:tcPr>
          <w:p w14:paraId="4ACE2520" w14:textId="77777777" w:rsidR="006F587A" w:rsidRDefault="006F587A">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4ACE2521"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52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shd w:val="clear" w:color="auto" w:fill="auto"/>
            <w:tcMar>
              <w:top w:w="40" w:type="dxa"/>
              <w:left w:w="40" w:type="dxa"/>
              <w:bottom w:w="40" w:type="dxa"/>
              <w:right w:w="40" w:type="dxa"/>
            </w:tcMar>
            <w:vAlign w:val="center"/>
          </w:tcPr>
          <w:p w14:paraId="4ACE2523"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52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vAlign w:val="bottom"/>
          </w:tcPr>
          <w:p w14:paraId="4ACE2525" w14:textId="77777777" w:rsidR="006F587A" w:rsidRDefault="007B2B61">
            <w:pPr>
              <w:textAlignment w:val="bottom"/>
              <w:rPr>
                <w:rFonts w:ascii="Times New Roman" w:hAnsi="Times New Roman"/>
                <w:sz w:val="16"/>
                <w:szCs w:val="16"/>
              </w:rPr>
            </w:pPr>
            <w:r>
              <w:rPr>
                <w:rFonts w:ascii="Arial" w:eastAsia="宋体" w:hAnsi="Arial" w:cs="Arial"/>
                <w:color w:val="333333"/>
                <w:sz w:val="16"/>
                <w:szCs w:val="16"/>
              </w:rPr>
              <w:t xml:space="preserve">DCG growth slowed as major cloud service providers and enterprise OEMs worked through inventory after a historic platform refresh in 2018. As we enter 2020, we expect to face an increasingly </w:t>
            </w:r>
            <w:r>
              <w:rPr>
                <w:rFonts w:ascii="Arial" w:eastAsia="宋体" w:hAnsi="Arial" w:cs="Arial"/>
                <w:color w:val="333333"/>
                <w:sz w:val="16"/>
                <w:szCs w:val="16"/>
              </w:rPr>
              <w:t>competitive market. In addition, challenging market conditions resulted in margin compression on memory products.</w:t>
            </w:r>
          </w:p>
        </w:tc>
      </w:tr>
      <w:tr w:rsidR="006F587A" w14:paraId="4ACE252D" w14:textId="77777777">
        <w:tc>
          <w:tcPr>
            <w:tcW w:w="0" w:type="auto"/>
            <w:shd w:val="clear" w:color="auto" w:fill="auto"/>
            <w:tcMar>
              <w:top w:w="40" w:type="dxa"/>
              <w:left w:w="40" w:type="dxa"/>
              <w:bottom w:w="40" w:type="dxa"/>
              <w:right w:w="40" w:type="dxa"/>
            </w:tcMar>
            <w:vAlign w:val="center"/>
          </w:tcPr>
          <w:p w14:paraId="4ACE2527" w14:textId="77777777" w:rsidR="006F587A" w:rsidRDefault="007B2B61">
            <w:pPr>
              <w:textAlignment w:val="center"/>
              <w:rPr>
                <w:rFonts w:ascii="Times New Roman" w:hAnsi="Times New Roman"/>
                <w:sz w:val="20"/>
                <w:szCs w:val="20"/>
              </w:rPr>
            </w:pPr>
            <w:r>
              <w:rPr>
                <w:rFonts w:ascii="Arial" w:eastAsia="宋体" w:hAnsi="Arial" w:cs="Arial"/>
                <w:b/>
                <w:bCs/>
                <w:color w:val="0071C5"/>
                <w:sz w:val="20"/>
                <w:szCs w:val="20"/>
              </w:rPr>
              <w:t>PSG</w:t>
            </w:r>
          </w:p>
        </w:tc>
        <w:tc>
          <w:tcPr>
            <w:tcW w:w="0" w:type="auto"/>
            <w:shd w:val="clear" w:color="auto" w:fill="auto"/>
            <w:tcMar>
              <w:top w:w="40" w:type="dxa"/>
              <w:left w:w="40" w:type="dxa"/>
              <w:bottom w:w="40" w:type="dxa"/>
              <w:right w:w="40" w:type="dxa"/>
            </w:tcMar>
          </w:tcPr>
          <w:p w14:paraId="4ACE2528" w14:textId="77777777" w:rsidR="006F587A" w:rsidRDefault="007B2B61">
            <w:pPr>
              <w:jc w:val="center"/>
              <w:textAlignment w:val="top"/>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Viewer12_files/a035psgdonuta06.jpg"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AA" wp14:editId="4ACE6CAB">
                  <wp:extent cx="304800" cy="304800"/>
                  <wp:effectExtent l="0" t="0" r="0" b="0"/>
                  <wp:docPr id="47" name="图片 115"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15" descr="IMG_32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c>
          <w:tcPr>
            <w:tcW w:w="0" w:type="auto"/>
            <w:shd w:val="clear" w:color="auto" w:fill="auto"/>
            <w:tcMar>
              <w:top w:w="40" w:type="dxa"/>
              <w:left w:w="40" w:type="dxa"/>
              <w:bottom w:w="40" w:type="dxa"/>
              <w:right w:w="40" w:type="dxa"/>
            </w:tcMar>
            <w:vAlign w:val="bottom"/>
          </w:tcPr>
          <w:p w14:paraId="4ACE252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center"/>
          </w:tcPr>
          <w:p w14:paraId="4ACE252A" w14:textId="77777777" w:rsidR="006F587A" w:rsidRDefault="007B2B61">
            <w:pPr>
              <w:textAlignment w:val="center"/>
              <w:rPr>
                <w:rFonts w:ascii="Times New Roman" w:hAnsi="Times New Roman"/>
                <w:sz w:val="16"/>
                <w:szCs w:val="16"/>
              </w:rPr>
            </w:pPr>
            <w:r>
              <w:rPr>
                <w:rFonts w:ascii="Arial" w:eastAsia="宋体" w:hAnsi="Arial" w:cs="Arial"/>
                <w:color w:val="333333"/>
                <w:sz w:val="16"/>
                <w:szCs w:val="16"/>
              </w:rPr>
              <w:t>Includes programmable semiconductors, primarily FPGAs and structured ASICs, and related products for communi</w:t>
            </w:r>
            <w:r>
              <w:rPr>
                <w:rFonts w:ascii="Arial" w:eastAsia="宋体" w:hAnsi="Arial" w:cs="Arial"/>
                <w:color w:val="333333"/>
                <w:sz w:val="16"/>
                <w:szCs w:val="16"/>
              </w:rPr>
              <w:t>cations, cloud and enterprise, and embedded market segments.</w:t>
            </w:r>
          </w:p>
        </w:tc>
        <w:tc>
          <w:tcPr>
            <w:tcW w:w="0" w:type="auto"/>
            <w:shd w:val="clear" w:color="auto" w:fill="auto"/>
            <w:tcMar>
              <w:top w:w="40" w:type="dxa"/>
              <w:left w:w="40" w:type="dxa"/>
              <w:bottom w:w="40" w:type="dxa"/>
              <w:right w:w="40" w:type="dxa"/>
            </w:tcMar>
            <w:vAlign w:val="bottom"/>
          </w:tcPr>
          <w:p w14:paraId="4ACE252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bottom"/>
          </w:tcPr>
          <w:p w14:paraId="4ACE252C" w14:textId="77777777" w:rsidR="006F587A" w:rsidRDefault="006F587A">
            <w:pPr>
              <w:rPr>
                <w:rFonts w:ascii="Times New Roman" w:hAnsi="Times New Roman"/>
                <w:sz w:val="20"/>
                <w:szCs w:val="20"/>
              </w:rPr>
            </w:pPr>
          </w:p>
        </w:tc>
      </w:tr>
    </w:tbl>
    <w:p w14:paraId="4ACE252E" w14:textId="77777777" w:rsidR="006F587A" w:rsidRDefault="007B2B61">
      <w:pPr>
        <w:spacing w:line="288" w:lineRule="auto"/>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Viewer12_files/a036pcbizbannerv2.jpg"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AC" wp14:editId="4ACE6CAD">
            <wp:extent cx="304800" cy="304800"/>
            <wp:effectExtent l="0" t="0" r="0" b="0"/>
            <wp:docPr id="144" name="图片 116"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16" descr="IMG_32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bl>
      <w:tblPr>
        <w:tblW w:w="14660" w:type="dxa"/>
        <w:tblCellMar>
          <w:left w:w="0" w:type="dxa"/>
          <w:right w:w="0" w:type="dxa"/>
        </w:tblCellMar>
        <w:tblLook w:val="04A0" w:firstRow="1" w:lastRow="0" w:firstColumn="1" w:lastColumn="0" w:noHBand="0" w:noVBand="1"/>
      </w:tblPr>
      <w:tblGrid>
        <w:gridCol w:w="1795"/>
        <w:gridCol w:w="1469"/>
        <w:gridCol w:w="207"/>
        <w:gridCol w:w="1509"/>
        <w:gridCol w:w="130"/>
        <w:gridCol w:w="4805"/>
        <w:gridCol w:w="130"/>
        <w:gridCol w:w="4615"/>
      </w:tblGrid>
      <w:tr w:rsidR="006F587A" w14:paraId="4ACE2530" w14:textId="77777777">
        <w:tc>
          <w:tcPr>
            <w:tcW w:w="0" w:type="auto"/>
            <w:gridSpan w:val="8"/>
            <w:shd w:val="clear" w:color="auto" w:fill="auto"/>
            <w:vAlign w:val="center"/>
          </w:tcPr>
          <w:p w14:paraId="4ACE252F" w14:textId="77777777" w:rsidR="006F587A" w:rsidRDefault="006F587A">
            <w:pPr>
              <w:rPr>
                <w:rFonts w:ascii="Times New Roman" w:hAnsi="Times New Roman"/>
                <w:sz w:val="20"/>
                <w:szCs w:val="20"/>
              </w:rPr>
            </w:pPr>
          </w:p>
        </w:tc>
      </w:tr>
      <w:tr w:rsidR="006F587A" w14:paraId="4ACE2539" w14:textId="77777777">
        <w:tc>
          <w:tcPr>
            <w:tcW w:w="1600" w:type="dxa"/>
            <w:shd w:val="clear" w:color="auto" w:fill="auto"/>
            <w:vAlign w:val="center"/>
          </w:tcPr>
          <w:p w14:paraId="4ACE2531" w14:textId="77777777" w:rsidR="006F587A" w:rsidRDefault="006F587A">
            <w:pPr>
              <w:rPr>
                <w:rFonts w:ascii="Times New Roman" w:hAnsi="Times New Roman"/>
                <w:sz w:val="20"/>
                <w:szCs w:val="20"/>
              </w:rPr>
            </w:pPr>
          </w:p>
        </w:tc>
        <w:tc>
          <w:tcPr>
            <w:tcW w:w="1200" w:type="dxa"/>
            <w:shd w:val="clear" w:color="auto" w:fill="auto"/>
            <w:vAlign w:val="center"/>
          </w:tcPr>
          <w:p w14:paraId="4ACE2532" w14:textId="77777777" w:rsidR="006F587A" w:rsidRDefault="006F587A">
            <w:pPr>
              <w:rPr>
                <w:rFonts w:ascii="Times New Roman" w:hAnsi="Times New Roman"/>
                <w:sz w:val="20"/>
                <w:szCs w:val="20"/>
              </w:rPr>
            </w:pPr>
          </w:p>
        </w:tc>
        <w:tc>
          <w:tcPr>
            <w:tcW w:w="120" w:type="dxa"/>
            <w:shd w:val="clear" w:color="auto" w:fill="auto"/>
            <w:vAlign w:val="center"/>
          </w:tcPr>
          <w:p w14:paraId="4ACE2533" w14:textId="77777777" w:rsidR="006F587A" w:rsidRDefault="006F587A">
            <w:pPr>
              <w:rPr>
                <w:rFonts w:ascii="Times New Roman" w:hAnsi="Times New Roman"/>
                <w:sz w:val="20"/>
                <w:szCs w:val="20"/>
              </w:rPr>
            </w:pPr>
          </w:p>
        </w:tc>
        <w:tc>
          <w:tcPr>
            <w:tcW w:w="1840" w:type="dxa"/>
            <w:shd w:val="clear" w:color="auto" w:fill="auto"/>
            <w:vAlign w:val="center"/>
          </w:tcPr>
          <w:p w14:paraId="4ACE2534" w14:textId="77777777" w:rsidR="006F587A" w:rsidRDefault="006F587A">
            <w:pPr>
              <w:rPr>
                <w:rFonts w:ascii="Times New Roman" w:hAnsi="Times New Roman"/>
                <w:sz w:val="20"/>
                <w:szCs w:val="20"/>
              </w:rPr>
            </w:pPr>
          </w:p>
        </w:tc>
        <w:tc>
          <w:tcPr>
            <w:tcW w:w="120" w:type="dxa"/>
            <w:shd w:val="clear" w:color="auto" w:fill="auto"/>
            <w:vAlign w:val="center"/>
          </w:tcPr>
          <w:p w14:paraId="4ACE2535" w14:textId="77777777" w:rsidR="006F587A" w:rsidRDefault="006F587A">
            <w:pPr>
              <w:rPr>
                <w:rFonts w:ascii="Times New Roman" w:hAnsi="Times New Roman"/>
                <w:sz w:val="20"/>
                <w:szCs w:val="20"/>
              </w:rPr>
            </w:pPr>
          </w:p>
        </w:tc>
        <w:tc>
          <w:tcPr>
            <w:tcW w:w="4800" w:type="dxa"/>
            <w:shd w:val="clear" w:color="auto" w:fill="auto"/>
            <w:vAlign w:val="center"/>
          </w:tcPr>
          <w:p w14:paraId="4ACE2536" w14:textId="77777777" w:rsidR="006F587A" w:rsidRDefault="006F587A">
            <w:pPr>
              <w:rPr>
                <w:rFonts w:ascii="Times New Roman" w:hAnsi="Times New Roman"/>
                <w:sz w:val="20"/>
                <w:szCs w:val="20"/>
              </w:rPr>
            </w:pPr>
          </w:p>
        </w:tc>
        <w:tc>
          <w:tcPr>
            <w:tcW w:w="120" w:type="dxa"/>
            <w:shd w:val="clear" w:color="auto" w:fill="auto"/>
            <w:vAlign w:val="center"/>
          </w:tcPr>
          <w:p w14:paraId="4ACE2537" w14:textId="77777777" w:rsidR="006F587A" w:rsidRDefault="006F587A">
            <w:pPr>
              <w:rPr>
                <w:rFonts w:ascii="Times New Roman" w:hAnsi="Times New Roman"/>
                <w:sz w:val="20"/>
                <w:szCs w:val="20"/>
              </w:rPr>
            </w:pPr>
          </w:p>
        </w:tc>
        <w:tc>
          <w:tcPr>
            <w:tcW w:w="4800" w:type="dxa"/>
            <w:shd w:val="clear" w:color="auto" w:fill="auto"/>
            <w:vAlign w:val="center"/>
          </w:tcPr>
          <w:p w14:paraId="4ACE2538" w14:textId="77777777" w:rsidR="006F587A" w:rsidRDefault="006F587A">
            <w:pPr>
              <w:rPr>
                <w:rFonts w:ascii="Times New Roman" w:hAnsi="Times New Roman"/>
                <w:sz w:val="20"/>
                <w:szCs w:val="20"/>
              </w:rPr>
            </w:pPr>
          </w:p>
        </w:tc>
      </w:tr>
      <w:tr w:rsidR="006F587A" w14:paraId="4ACE253D" w14:textId="77777777">
        <w:tc>
          <w:tcPr>
            <w:tcW w:w="0" w:type="auto"/>
            <w:gridSpan w:val="2"/>
            <w:tcBorders>
              <w:bottom w:val="single" w:sz="8" w:space="0" w:color="333333"/>
            </w:tcBorders>
            <w:shd w:val="clear" w:color="auto" w:fill="auto"/>
            <w:tcMar>
              <w:top w:w="40" w:type="dxa"/>
              <w:left w:w="40" w:type="dxa"/>
              <w:bottom w:w="40" w:type="dxa"/>
              <w:right w:w="40" w:type="dxa"/>
            </w:tcMar>
            <w:vAlign w:val="bottom"/>
          </w:tcPr>
          <w:p w14:paraId="4ACE253A" w14:textId="77777777" w:rsidR="006F587A" w:rsidRDefault="007B2B61">
            <w:pPr>
              <w:textAlignment w:val="bottom"/>
              <w:rPr>
                <w:rFonts w:ascii="Times New Roman" w:hAnsi="Times New Roman"/>
                <w:sz w:val="20"/>
                <w:szCs w:val="20"/>
              </w:rPr>
            </w:pPr>
            <w:r>
              <w:rPr>
                <w:rFonts w:ascii="Arial" w:eastAsia="宋体" w:hAnsi="Arial" w:cs="Arial"/>
                <w:b/>
                <w:bCs/>
                <w:color w:val="333333"/>
                <w:sz w:val="20"/>
                <w:szCs w:val="20"/>
              </w:rPr>
              <w:t>% INTEL REVENUE</w:t>
            </w:r>
          </w:p>
        </w:tc>
        <w:tc>
          <w:tcPr>
            <w:tcW w:w="0" w:type="auto"/>
            <w:shd w:val="clear" w:color="auto" w:fill="auto"/>
            <w:tcMar>
              <w:top w:w="40" w:type="dxa"/>
              <w:left w:w="40" w:type="dxa"/>
              <w:bottom w:w="40" w:type="dxa"/>
              <w:right w:w="40" w:type="dxa"/>
            </w:tcMar>
            <w:vAlign w:val="bottom"/>
          </w:tcPr>
          <w:p w14:paraId="4ACE253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333333"/>
            </w:tcBorders>
            <w:shd w:val="clear" w:color="auto" w:fill="auto"/>
            <w:tcMar>
              <w:top w:w="40" w:type="dxa"/>
              <w:left w:w="40" w:type="dxa"/>
              <w:bottom w:w="40" w:type="dxa"/>
              <w:right w:w="40" w:type="dxa"/>
            </w:tcMar>
            <w:vAlign w:val="bottom"/>
          </w:tcPr>
          <w:p w14:paraId="4ACE253C" w14:textId="77777777" w:rsidR="006F587A" w:rsidRDefault="007B2B61">
            <w:pPr>
              <w:textAlignment w:val="bottom"/>
              <w:rPr>
                <w:rFonts w:ascii="Times New Roman" w:hAnsi="Times New Roman"/>
                <w:sz w:val="20"/>
                <w:szCs w:val="20"/>
              </w:rPr>
            </w:pPr>
            <w:r>
              <w:rPr>
                <w:rFonts w:ascii="Arial" w:eastAsia="宋体" w:hAnsi="Arial" w:cs="Arial"/>
                <w:b/>
                <w:bCs/>
                <w:color w:val="333333"/>
                <w:sz w:val="20"/>
                <w:szCs w:val="20"/>
              </w:rPr>
              <w:t>KEY PRODUCTS AND MARKETS</w:t>
            </w:r>
          </w:p>
        </w:tc>
      </w:tr>
      <w:tr w:rsidR="006F587A" w14:paraId="4ACE2542" w14:textId="77777777">
        <w:tc>
          <w:tcPr>
            <w:tcW w:w="0" w:type="auto"/>
            <w:shd w:val="clear" w:color="auto" w:fill="auto"/>
            <w:tcMar>
              <w:top w:w="40" w:type="dxa"/>
              <w:left w:w="40" w:type="dxa"/>
              <w:bottom w:w="40" w:type="dxa"/>
              <w:right w:w="40" w:type="dxa"/>
            </w:tcMar>
            <w:vAlign w:val="center"/>
          </w:tcPr>
          <w:p w14:paraId="4ACE253E" w14:textId="77777777" w:rsidR="006F587A" w:rsidRDefault="007B2B61">
            <w:pPr>
              <w:textAlignment w:val="center"/>
              <w:rPr>
                <w:rFonts w:ascii="Times New Roman" w:hAnsi="Times New Roman"/>
                <w:sz w:val="20"/>
                <w:szCs w:val="20"/>
              </w:rPr>
            </w:pPr>
            <w:r>
              <w:rPr>
                <w:rFonts w:ascii="Arial" w:eastAsia="宋体" w:hAnsi="Arial" w:cs="Arial"/>
                <w:b/>
                <w:bCs/>
                <w:color w:val="0071C5"/>
                <w:sz w:val="20"/>
                <w:szCs w:val="20"/>
              </w:rPr>
              <w:t>CCG</w:t>
            </w:r>
          </w:p>
        </w:tc>
        <w:tc>
          <w:tcPr>
            <w:tcW w:w="0" w:type="auto"/>
            <w:shd w:val="clear" w:color="auto" w:fill="auto"/>
            <w:tcMar>
              <w:top w:w="40" w:type="dxa"/>
              <w:left w:w="40" w:type="dxa"/>
              <w:bottom w:w="40" w:type="dxa"/>
              <w:right w:w="40" w:type="dxa"/>
            </w:tcMar>
            <w:vAlign w:val="bottom"/>
          </w:tcPr>
          <w:p w14:paraId="4ACE253F" w14:textId="77777777" w:rsidR="006F587A" w:rsidRDefault="007B2B61">
            <w:pPr>
              <w:jc w:val="center"/>
              <w:textAlignment w:val="bottom"/>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Viewer12_files/a037ccgdonuta06.jpg"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AE" wp14:editId="4ACE6CAF">
                  <wp:extent cx="304800" cy="304800"/>
                  <wp:effectExtent l="0" t="0" r="0" b="0"/>
                  <wp:docPr id="111" name="图片 117"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7" descr="IMG_32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c>
          <w:tcPr>
            <w:tcW w:w="0" w:type="auto"/>
            <w:shd w:val="clear" w:color="auto" w:fill="auto"/>
            <w:tcMar>
              <w:top w:w="40" w:type="dxa"/>
              <w:left w:w="40" w:type="dxa"/>
              <w:bottom w:w="40" w:type="dxa"/>
              <w:right w:w="40" w:type="dxa"/>
            </w:tcMar>
            <w:vAlign w:val="bottom"/>
          </w:tcPr>
          <w:p w14:paraId="4ACE254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shd w:val="clear" w:color="auto" w:fill="auto"/>
            <w:tcMar>
              <w:top w:w="40" w:type="dxa"/>
              <w:left w:w="40" w:type="dxa"/>
              <w:bottom w:w="40" w:type="dxa"/>
              <w:right w:w="40" w:type="dxa"/>
            </w:tcMar>
            <w:vAlign w:val="center"/>
          </w:tcPr>
          <w:p w14:paraId="4ACE2541" w14:textId="77777777" w:rsidR="006F587A" w:rsidRDefault="007B2B61">
            <w:pPr>
              <w:textAlignment w:val="center"/>
              <w:rPr>
                <w:rFonts w:ascii="Times New Roman" w:hAnsi="Times New Roman"/>
                <w:sz w:val="16"/>
                <w:szCs w:val="16"/>
              </w:rPr>
            </w:pPr>
            <w:r>
              <w:rPr>
                <w:rFonts w:ascii="Arial" w:eastAsia="宋体" w:hAnsi="Arial" w:cs="Arial"/>
                <w:color w:val="333333"/>
                <w:sz w:val="16"/>
                <w:szCs w:val="16"/>
              </w:rPr>
              <w:t>Includes platforms designed for end-user form factors, focusing on higher growth segments of 2-in-1, thin-an</w:t>
            </w:r>
            <w:r>
              <w:rPr>
                <w:rFonts w:ascii="Arial" w:eastAsia="宋体" w:hAnsi="Arial" w:cs="Arial"/>
                <w:color w:val="333333"/>
                <w:sz w:val="16"/>
                <w:szCs w:val="16"/>
              </w:rPr>
              <w:t>d-light, commercial and gaming, and growing adjacencies such as connectivity, graphics, and memory.</w:t>
            </w:r>
          </w:p>
        </w:tc>
      </w:tr>
      <w:tr w:rsidR="006F587A" w14:paraId="4ACE254B" w14:textId="77777777">
        <w:tc>
          <w:tcPr>
            <w:tcW w:w="0" w:type="auto"/>
            <w:shd w:val="clear" w:color="auto" w:fill="auto"/>
            <w:tcMar>
              <w:top w:w="40" w:type="dxa"/>
              <w:left w:w="40" w:type="dxa"/>
              <w:bottom w:w="40" w:type="dxa"/>
              <w:right w:w="40" w:type="dxa"/>
            </w:tcMar>
            <w:vAlign w:val="bottom"/>
          </w:tcPr>
          <w:p w14:paraId="4ACE254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54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54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54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54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54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54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54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2551" w14:textId="77777777">
        <w:tc>
          <w:tcPr>
            <w:tcW w:w="0" w:type="auto"/>
            <w:gridSpan w:val="4"/>
            <w:tcBorders>
              <w:bottom w:val="single" w:sz="8" w:space="0" w:color="333333"/>
            </w:tcBorders>
            <w:shd w:val="clear" w:color="auto" w:fill="auto"/>
            <w:tcMar>
              <w:top w:w="40" w:type="dxa"/>
              <w:left w:w="40" w:type="dxa"/>
              <w:bottom w:w="40" w:type="dxa"/>
              <w:right w:w="40" w:type="dxa"/>
            </w:tcMar>
            <w:vAlign w:val="bottom"/>
          </w:tcPr>
          <w:p w14:paraId="4ACE254C" w14:textId="77777777" w:rsidR="006F587A" w:rsidRDefault="007B2B61">
            <w:pPr>
              <w:textAlignment w:val="bottom"/>
              <w:rPr>
                <w:rFonts w:ascii="Times New Roman" w:hAnsi="Times New Roman"/>
                <w:sz w:val="20"/>
                <w:szCs w:val="20"/>
              </w:rPr>
            </w:pPr>
            <w:r>
              <w:rPr>
                <w:rFonts w:ascii="Arial" w:eastAsia="宋体" w:hAnsi="Arial" w:cs="Arial"/>
                <w:b/>
                <w:bCs/>
                <w:color w:val="333333"/>
                <w:sz w:val="20"/>
                <w:szCs w:val="20"/>
              </w:rPr>
              <w:t>HIGHLIGHTS</w:t>
            </w:r>
          </w:p>
        </w:tc>
        <w:tc>
          <w:tcPr>
            <w:tcW w:w="0" w:type="auto"/>
            <w:shd w:val="clear" w:color="auto" w:fill="auto"/>
            <w:tcMar>
              <w:top w:w="40" w:type="dxa"/>
              <w:left w:w="40" w:type="dxa"/>
              <w:bottom w:w="40" w:type="dxa"/>
              <w:right w:w="40" w:type="dxa"/>
            </w:tcMar>
            <w:vAlign w:val="bottom"/>
          </w:tcPr>
          <w:p w14:paraId="4ACE254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254E" w14:textId="77777777" w:rsidR="006F587A" w:rsidRDefault="007B2B61">
            <w:pPr>
              <w:textAlignment w:val="bottom"/>
              <w:rPr>
                <w:rFonts w:ascii="Times New Roman" w:hAnsi="Times New Roman"/>
                <w:sz w:val="20"/>
                <w:szCs w:val="20"/>
              </w:rPr>
            </w:pPr>
            <w:r>
              <w:rPr>
                <w:rFonts w:ascii="Arial" w:eastAsia="宋体" w:hAnsi="Arial" w:cs="Arial"/>
                <w:b/>
                <w:bCs/>
                <w:color w:val="333333"/>
                <w:sz w:val="20"/>
                <w:szCs w:val="20"/>
              </w:rPr>
              <w:t>OPPORTUNITIES</w:t>
            </w:r>
          </w:p>
        </w:tc>
        <w:tc>
          <w:tcPr>
            <w:tcW w:w="0" w:type="auto"/>
            <w:shd w:val="clear" w:color="auto" w:fill="auto"/>
            <w:tcMar>
              <w:top w:w="40" w:type="dxa"/>
              <w:left w:w="40" w:type="dxa"/>
              <w:bottom w:w="40" w:type="dxa"/>
              <w:right w:w="40" w:type="dxa"/>
            </w:tcMar>
            <w:vAlign w:val="bottom"/>
          </w:tcPr>
          <w:p w14:paraId="4ACE254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2550" w14:textId="77777777" w:rsidR="006F587A" w:rsidRDefault="007B2B61">
            <w:pPr>
              <w:textAlignment w:val="bottom"/>
              <w:rPr>
                <w:rFonts w:ascii="Times New Roman" w:hAnsi="Times New Roman"/>
                <w:sz w:val="20"/>
                <w:szCs w:val="20"/>
              </w:rPr>
            </w:pPr>
            <w:r>
              <w:rPr>
                <w:rFonts w:ascii="Arial" w:eastAsia="宋体" w:hAnsi="Arial" w:cs="Arial"/>
                <w:b/>
                <w:bCs/>
                <w:color w:val="333333"/>
                <w:sz w:val="20"/>
                <w:szCs w:val="20"/>
              </w:rPr>
              <w:t>CHALLENGES</w:t>
            </w:r>
          </w:p>
        </w:tc>
      </w:tr>
      <w:tr w:rsidR="006F587A" w14:paraId="4ACE2557" w14:textId="77777777">
        <w:tc>
          <w:tcPr>
            <w:tcW w:w="0" w:type="auto"/>
            <w:gridSpan w:val="4"/>
            <w:shd w:val="clear" w:color="auto" w:fill="auto"/>
            <w:tcMar>
              <w:top w:w="40" w:type="dxa"/>
              <w:left w:w="40" w:type="dxa"/>
              <w:bottom w:w="40" w:type="dxa"/>
              <w:right w:w="40" w:type="dxa"/>
            </w:tcMar>
          </w:tcPr>
          <w:p w14:paraId="4ACE2552" w14:textId="77777777" w:rsidR="006F587A" w:rsidRDefault="007B2B61">
            <w:pPr>
              <w:textAlignment w:val="top"/>
              <w:rPr>
                <w:rFonts w:ascii="Times New Roman" w:hAnsi="Times New Roman"/>
                <w:sz w:val="16"/>
                <w:szCs w:val="16"/>
              </w:rPr>
            </w:pPr>
            <w:r>
              <w:rPr>
                <w:rFonts w:ascii="Arial" w:eastAsia="宋体" w:hAnsi="Arial" w:cs="Arial"/>
                <w:color w:val="333333"/>
                <w:sz w:val="16"/>
                <w:szCs w:val="16"/>
              </w:rPr>
              <w:t xml:space="preserve">Our PC-centric business revenue remained flat year over year. We began shipping our </w:t>
            </w:r>
            <w:r>
              <w:rPr>
                <w:rFonts w:ascii="Arial" w:eastAsia="宋体" w:hAnsi="Arial" w:cs="Arial"/>
                <w:color w:val="333333"/>
                <w:sz w:val="16"/>
                <w:szCs w:val="16"/>
              </w:rPr>
              <w:t>10nm-based 10th generation Intel</w:t>
            </w:r>
            <w:r>
              <w:rPr>
                <w:rFonts w:ascii="Arial" w:eastAsia="宋体" w:hAnsi="Arial" w:cs="Arial"/>
                <w:color w:val="333333"/>
                <w:sz w:val="10"/>
                <w:szCs w:val="10"/>
              </w:rPr>
              <w:t>®</w:t>
            </w:r>
            <w:r>
              <w:rPr>
                <w:rFonts w:ascii="Arial" w:eastAsia="宋体" w:hAnsi="Arial" w:cs="Arial"/>
                <w:color w:val="333333"/>
                <w:sz w:val="16"/>
                <w:szCs w:val="16"/>
              </w:rPr>
              <w:t> Core</w:t>
            </w:r>
            <w:r>
              <w:rPr>
                <w:rFonts w:ascii="Arial" w:eastAsia="宋体" w:hAnsi="Arial" w:cs="Arial"/>
                <w:color w:val="333333"/>
                <w:sz w:val="10"/>
                <w:szCs w:val="10"/>
              </w:rPr>
              <w:t>TM</w:t>
            </w:r>
            <w:r>
              <w:rPr>
                <w:rFonts w:ascii="Arial" w:eastAsia="宋体" w:hAnsi="Arial" w:cs="Arial"/>
                <w:color w:val="333333"/>
                <w:sz w:val="16"/>
                <w:szCs w:val="16"/>
              </w:rPr>
              <w:t> processors, previously referred to as Ice Lake. These processors feature a new core architecture and are expected to deliver increased graphics performance, AI, and new levels of integrated connectivity for thin-and</w:t>
            </w:r>
            <w:r>
              <w:rPr>
                <w:rFonts w:ascii="Arial" w:eastAsia="宋体" w:hAnsi="Arial" w:cs="Arial"/>
                <w:color w:val="333333"/>
                <w:sz w:val="16"/>
                <w:szCs w:val="16"/>
              </w:rPr>
              <w:t xml:space="preserve">-light laptops and 2-in-1s. We divested the majority of our 5G smartphone modem business to increase the focus of 5G efforts on the broader opportunity to modernize network and edge infrastructure while retaining critical IP and modem technology. </w:t>
            </w:r>
          </w:p>
        </w:tc>
        <w:tc>
          <w:tcPr>
            <w:tcW w:w="0" w:type="auto"/>
            <w:shd w:val="clear" w:color="auto" w:fill="auto"/>
            <w:tcMar>
              <w:top w:w="40" w:type="dxa"/>
              <w:left w:w="40" w:type="dxa"/>
              <w:bottom w:w="40" w:type="dxa"/>
              <w:right w:w="40" w:type="dxa"/>
            </w:tcMar>
            <w:vAlign w:val="bottom"/>
          </w:tcPr>
          <w:p w14:paraId="4ACE255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2554" w14:textId="77777777" w:rsidR="006F587A" w:rsidRDefault="007B2B61">
            <w:pPr>
              <w:textAlignment w:val="top"/>
              <w:rPr>
                <w:rFonts w:ascii="Times New Roman" w:hAnsi="Times New Roman"/>
                <w:sz w:val="16"/>
                <w:szCs w:val="16"/>
              </w:rPr>
            </w:pPr>
            <w:r>
              <w:rPr>
                <w:rFonts w:ascii="Arial" w:eastAsia="宋体" w:hAnsi="Arial" w:cs="Arial"/>
                <w:color w:val="333333"/>
                <w:sz w:val="16"/>
                <w:szCs w:val="16"/>
              </w:rPr>
              <w:t>We are</w:t>
            </w:r>
            <w:r>
              <w:rPr>
                <w:rFonts w:ascii="Arial" w:eastAsia="宋体" w:hAnsi="Arial" w:cs="Arial"/>
                <w:color w:val="333333"/>
                <w:sz w:val="16"/>
                <w:szCs w:val="16"/>
              </w:rPr>
              <w:t xml:space="preserve"> targeting an approximately $70 billion PC-centric revenue TAM</w:t>
            </w:r>
            <w:r>
              <w:rPr>
                <w:rFonts w:ascii="Arial" w:eastAsia="宋体" w:hAnsi="Arial" w:cs="Arial"/>
                <w:color w:val="333333"/>
                <w:sz w:val="10"/>
                <w:szCs w:val="10"/>
              </w:rPr>
              <w:t>1</w:t>
            </w:r>
            <w:r>
              <w:rPr>
                <w:rFonts w:ascii="Arial" w:eastAsia="宋体" w:hAnsi="Arial" w:cs="Arial"/>
                <w:color w:val="333333"/>
                <w:sz w:val="16"/>
                <w:szCs w:val="16"/>
              </w:rPr>
              <w:t>. This expanded portfolio includes markets such as connectivity, graphics, and memory, which enables new opportunities as we innovate through the platform. We launched Project Athena, a multi-y</w:t>
            </w:r>
            <w:r>
              <w:rPr>
                <w:rFonts w:ascii="Arial" w:eastAsia="宋体" w:hAnsi="Arial" w:cs="Arial"/>
                <w:color w:val="333333"/>
                <w:sz w:val="16"/>
                <w:szCs w:val="16"/>
              </w:rPr>
              <w:t>ear innovation program designed to deliver advanced laptops that meet ambitious key experience indicators in performance, responsiveness, battery life, form factor, and AI.</w:t>
            </w:r>
          </w:p>
        </w:tc>
        <w:tc>
          <w:tcPr>
            <w:tcW w:w="0" w:type="auto"/>
            <w:shd w:val="clear" w:color="auto" w:fill="auto"/>
            <w:tcMar>
              <w:top w:w="40" w:type="dxa"/>
              <w:left w:w="40" w:type="dxa"/>
              <w:bottom w:w="40" w:type="dxa"/>
              <w:right w:w="40" w:type="dxa"/>
            </w:tcMar>
            <w:vAlign w:val="bottom"/>
          </w:tcPr>
          <w:p w14:paraId="4ACE255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2556" w14:textId="77777777" w:rsidR="006F587A" w:rsidRDefault="007B2B61">
            <w:pPr>
              <w:textAlignment w:val="top"/>
              <w:rPr>
                <w:rFonts w:ascii="Times New Roman" w:hAnsi="Times New Roman"/>
                <w:sz w:val="16"/>
                <w:szCs w:val="16"/>
              </w:rPr>
            </w:pPr>
            <w:r>
              <w:rPr>
                <w:rFonts w:ascii="Arial" w:eastAsia="宋体" w:hAnsi="Arial" w:cs="Arial"/>
                <w:color w:val="333333"/>
                <w:sz w:val="16"/>
                <w:szCs w:val="16"/>
              </w:rPr>
              <w:t>Our PC-centric business is operating in an increasingly competitive environment a</w:t>
            </w:r>
            <w:r>
              <w:rPr>
                <w:rFonts w:ascii="Arial" w:eastAsia="宋体" w:hAnsi="Arial" w:cs="Arial"/>
                <w:color w:val="333333"/>
                <w:sz w:val="16"/>
                <w:szCs w:val="16"/>
              </w:rPr>
              <w:t>nd we are focused on executing an annual cadence of leadership products. Strong demand across our product lines, combined with increased capacity consumed by offsetting factors, contributed to tight supply, particularly at the value end of the PC market. W</w:t>
            </w:r>
            <w:r>
              <w:rPr>
                <w:rFonts w:ascii="Arial" w:eastAsia="宋体" w:hAnsi="Arial" w:cs="Arial"/>
                <w:color w:val="333333"/>
                <w:sz w:val="16"/>
                <w:szCs w:val="16"/>
              </w:rPr>
              <w:t>e are making additional investments in our manufacturing facilities and working with customers to align demand with available supply.</w:t>
            </w:r>
          </w:p>
        </w:tc>
      </w:tr>
    </w:tbl>
    <w:p w14:paraId="4ACE2558" w14:textId="77777777" w:rsidR="006F587A" w:rsidRDefault="007B2B61">
      <w:pPr>
        <w:spacing w:line="288" w:lineRule="auto"/>
        <w:rPr>
          <w:rFonts w:ascii="Times New Roman" w:hAnsi="Times New Roman"/>
          <w:sz w:val="16"/>
          <w:szCs w:val="16"/>
        </w:rPr>
      </w:pPr>
      <w:r>
        <w:rPr>
          <w:rFonts w:ascii="Arial" w:eastAsia="宋体" w:hAnsi="Arial" w:cs="Arial"/>
          <w:i/>
          <w:iCs/>
          <w:color w:val="333333"/>
          <w:sz w:val="10"/>
          <w:szCs w:val="10"/>
        </w:rPr>
        <w:t xml:space="preserve">1 </w:t>
      </w:r>
      <w:r>
        <w:rPr>
          <w:rFonts w:ascii="Arial" w:eastAsia="宋体" w:hAnsi="Arial" w:cs="Arial"/>
          <w:i/>
          <w:iCs/>
          <w:color w:val="333333"/>
          <w:sz w:val="16"/>
          <w:szCs w:val="16"/>
        </w:rPr>
        <w:t xml:space="preserve">Source: Intel calculated 2024 TAM derived from industry analyst reports. </w:t>
      </w:r>
    </w:p>
    <w:p w14:paraId="4ACE2559"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408"/>
        <w:gridCol w:w="2409"/>
        <w:gridCol w:w="3489"/>
      </w:tblGrid>
      <w:tr w:rsidR="006F587A" w14:paraId="4ACE255B" w14:textId="77777777">
        <w:tc>
          <w:tcPr>
            <w:tcW w:w="0" w:type="auto"/>
            <w:gridSpan w:val="3"/>
            <w:shd w:val="clear" w:color="auto" w:fill="auto"/>
            <w:vAlign w:val="center"/>
          </w:tcPr>
          <w:p w14:paraId="4ACE255A" w14:textId="77777777" w:rsidR="006F587A" w:rsidRDefault="006F587A">
            <w:pPr>
              <w:rPr>
                <w:rFonts w:ascii="Times New Roman" w:hAnsi="Times New Roman"/>
                <w:sz w:val="20"/>
                <w:szCs w:val="20"/>
              </w:rPr>
            </w:pPr>
          </w:p>
        </w:tc>
      </w:tr>
      <w:tr w:rsidR="006F587A" w14:paraId="4ACE255F" w14:textId="77777777">
        <w:tc>
          <w:tcPr>
            <w:tcW w:w="1450" w:type="pct"/>
            <w:shd w:val="clear" w:color="auto" w:fill="auto"/>
            <w:vAlign w:val="center"/>
          </w:tcPr>
          <w:p w14:paraId="4ACE255C" w14:textId="77777777" w:rsidR="006F587A" w:rsidRDefault="006F587A">
            <w:pPr>
              <w:rPr>
                <w:rFonts w:ascii="Times New Roman" w:hAnsi="Times New Roman"/>
                <w:sz w:val="20"/>
                <w:szCs w:val="20"/>
              </w:rPr>
            </w:pPr>
          </w:p>
        </w:tc>
        <w:tc>
          <w:tcPr>
            <w:tcW w:w="1450" w:type="pct"/>
            <w:shd w:val="clear" w:color="auto" w:fill="auto"/>
            <w:vAlign w:val="center"/>
          </w:tcPr>
          <w:p w14:paraId="4ACE255D" w14:textId="77777777" w:rsidR="006F587A" w:rsidRDefault="006F587A">
            <w:pPr>
              <w:rPr>
                <w:rFonts w:ascii="Times New Roman" w:hAnsi="Times New Roman"/>
                <w:sz w:val="20"/>
                <w:szCs w:val="20"/>
              </w:rPr>
            </w:pPr>
          </w:p>
        </w:tc>
        <w:tc>
          <w:tcPr>
            <w:tcW w:w="2100" w:type="pct"/>
            <w:shd w:val="clear" w:color="auto" w:fill="auto"/>
            <w:vAlign w:val="center"/>
          </w:tcPr>
          <w:p w14:paraId="4ACE255E" w14:textId="77777777" w:rsidR="006F587A" w:rsidRDefault="006F587A">
            <w:pPr>
              <w:rPr>
                <w:rFonts w:ascii="Times New Roman" w:hAnsi="Times New Roman"/>
                <w:sz w:val="20"/>
                <w:szCs w:val="20"/>
              </w:rPr>
            </w:pPr>
          </w:p>
        </w:tc>
      </w:tr>
      <w:tr w:rsidR="006F587A" w14:paraId="4ACE2563"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2560" w14:textId="77777777" w:rsidR="006F587A" w:rsidRDefault="007B2B61">
            <w:pPr>
              <w:textAlignment w:val="center"/>
              <w:rPr>
                <w:rFonts w:ascii="Times New Roman" w:hAnsi="Times New Roman"/>
                <w:sz w:val="18"/>
                <w:szCs w:val="18"/>
              </w:rPr>
            </w:pP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Viewer12_files/a001intellogo_coverfooter.jpg"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CB0" wp14:editId="4ACE6CB1">
                  <wp:extent cx="304800" cy="304800"/>
                  <wp:effectExtent l="0" t="0" r="0" b="0"/>
                  <wp:docPr id="51" name="图片 118"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18"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r>
              <w:rPr>
                <w:rFonts w:ascii="Arial" w:eastAsia="宋体" w:hAnsi="Arial" w:cs="Arial"/>
                <w:color w:val="333333"/>
                <w:sz w:val="18"/>
                <w:szCs w:val="18"/>
              </w:rPr>
              <w:t>  </w:t>
            </w:r>
            <w:r>
              <w:rPr>
                <w:rFonts w:ascii="Arial" w:eastAsia="宋体" w:hAnsi="Arial" w:cs="Arial"/>
                <w:color w:val="333333"/>
                <w:sz w:val="16"/>
                <w:szCs w:val="16"/>
              </w:rPr>
              <w:t>MD&amp;A</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56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562"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16</w:t>
            </w:r>
          </w:p>
        </w:tc>
      </w:tr>
    </w:tbl>
    <w:p w14:paraId="4ACE2564" w14:textId="77777777" w:rsidR="006F587A" w:rsidRDefault="007B2B61">
      <w:r>
        <w:pict w14:anchorId="4ACE6CB2">
          <v:rect id="_x0000_i1042" style="width:415.3pt;height:1.5pt" o:hralign="center" o:hrstd="t" o:hr="t" fillcolor="#a0a0a0" stroked="f"/>
        </w:pict>
      </w:r>
    </w:p>
    <w:p w14:paraId="4ACE2565" w14:textId="77777777" w:rsidR="006F587A" w:rsidRDefault="007B2B61">
      <w:pPr>
        <w:spacing w:line="288" w:lineRule="auto"/>
        <w:jc w:val="right"/>
        <w:rPr>
          <w:rFonts w:ascii="Times New Roman" w:hAnsi="Times New Roman"/>
          <w:sz w:val="16"/>
          <w:szCs w:val="16"/>
        </w:rPr>
      </w:pPr>
      <w:hyperlink r:id="rId51" w:anchor="s9DB683E2CF52561EB8A73BE37F5BF9BE" w:history="1">
        <w:r>
          <w:rPr>
            <w:rStyle w:val="a5"/>
            <w:rFonts w:ascii="Arial" w:eastAsia="宋体" w:hAnsi="Arial" w:cs="Arial"/>
            <w:b/>
            <w:bCs/>
            <w:sz w:val="16"/>
            <w:szCs w:val="16"/>
          </w:rPr>
          <w:t>Table of Contents</w:t>
        </w:r>
      </w:hyperlink>
    </w:p>
    <w:p w14:paraId="4ACE2566" w14:textId="77777777" w:rsidR="006F587A" w:rsidRDefault="006F587A">
      <w:pPr>
        <w:spacing w:line="288" w:lineRule="auto"/>
        <w:jc w:val="right"/>
        <w:rPr>
          <w:rFonts w:ascii="Times New Roman" w:hAnsi="Times New Roman"/>
          <w:sz w:val="16"/>
          <w:szCs w:val="16"/>
        </w:rPr>
      </w:pPr>
    </w:p>
    <w:p w14:paraId="4ACE2567"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6F587A" w14:paraId="4ACE2569" w14:textId="77777777">
        <w:tc>
          <w:tcPr>
            <w:tcW w:w="0" w:type="auto"/>
            <w:shd w:val="clear" w:color="auto" w:fill="auto"/>
            <w:vAlign w:val="center"/>
          </w:tcPr>
          <w:p w14:paraId="4ACE2568" w14:textId="77777777" w:rsidR="006F587A" w:rsidRDefault="006F587A">
            <w:pPr>
              <w:rPr>
                <w:rFonts w:ascii="Times New Roman" w:hAnsi="Times New Roman"/>
                <w:sz w:val="20"/>
                <w:szCs w:val="20"/>
              </w:rPr>
            </w:pPr>
          </w:p>
        </w:tc>
      </w:tr>
      <w:tr w:rsidR="006F587A" w14:paraId="4ACE256B" w14:textId="77777777">
        <w:tc>
          <w:tcPr>
            <w:tcW w:w="5000" w:type="pct"/>
            <w:shd w:val="clear" w:color="auto" w:fill="auto"/>
            <w:vAlign w:val="center"/>
          </w:tcPr>
          <w:p w14:paraId="4ACE256A" w14:textId="77777777" w:rsidR="006F587A" w:rsidRDefault="006F587A">
            <w:pPr>
              <w:rPr>
                <w:rFonts w:ascii="Times New Roman" w:hAnsi="Times New Roman"/>
                <w:sz w:val="20"/>
                <w:szCs w:val="20"/>
              </w:rPr>
            </w:pPr>
          </w:p>
        </w:tc>
      </w:tr>
      <w:tr w:rsidR="006F587A" w14:paraId="4ACE256D" w14:textId="77777777">
        <w:tc>
          <w:tcPr>
            <w:tcW w:w="0" w:type="auto"/>
            <w:shd w:val="clear" w:color="auto" w:fill="0071C5"/>
            <w:tcMar>
              <w:top w:w="40" w:type="dxa"/>
              <w:left w:w="880" w:type="dxa"/>
              <w:bottom w:w="40" w:type="dxa"/>
              <w:right w:w="40" w:type="dxa"/>
            </w:tcMar>
            <w:vAlign w:val="bottom"/>
          </w:tcPr>
          <w:p w14:paraId="4ACE256C" w14:textId="77777777" w:rsidR="006F587A" w:rsidRDefault="007B2B61">
            <w:pPr>
              <w:textAlignment w:val="bottom"/>
              <w:rPr>
                <w:rFonts w:ascii="Times New Roman" w:hAnsi="Times New Roman"/>
                <w:sz w:val="36"/>
                <w:szCs w:val="36"/>
              </w:rPr>
            </w:pPr>
            <w:r>
              <w:rPr>
                <w:rFonts w:ascii="Arial" w:eastAsia="宋体" w:hAnsi="Arial" w:cs="Arial"/>
                <w:b/>
                <w:bCs/>
                <w:color w:val="FFFFFF"/>
                <w:sz w:val="36"/>
                <w:szCs w:val="36"/>
              </w:rPr>
              <w:t>OUR PRODUCTS</w:t>
            </w:r>
          </w:p>
        </w:tc>
      </w:tr>
    </w:tbl>
    <w:p w14:paraId="4ACE256E" w14:textId="77777777" w:rsidR="006F587A" w:rsidRDefault="006F587A">
      <w:pPr>
        <w:rPr>
          <w:vanish/>
        </w:rPr>
      </w:pPr>
    </w:p>
    <w:tbl>
      <w:tblPr>
        <w:tblW w:w="5000" w:type="pct"/>
        <w:tblCellMar>
          <w:left w:w="0" w:type="dxa"/>
          <w:right w:w="0" w:type="dxa"/>
        </w:tblCellMar>
        <w:tblLook w:val="04A0" w:firstRow="1" w:lastRow="0" w:firstColumn="1" w:lastColumn="0" w:noHBand="0" w:noVBand="1"/>
      </w:tblPr>
      <w:tblGrid>
        <w:gridCol w:w="4153"/>
        <w:gridCol w:w="4153"/>
      </w:tblGrid>
      <w:tr w:rsidR="006F587A" w14:paraId="4ACE2570" w14:textId="77777777">
        <w:tc>
          <w:tcPr>
            <w:tcW w:w="0" w:type="auto"/>
            <w:gridSpan w:val="2"/>
            <w:shd w:val="clear" w:color="auto" w:fill="auto"/>
            <w:vAlign w:val="center"/>
          </w:tcPr>
          <w:p w14:paraId="4ACE256F" w14:textId="77777777" w:rsidR="006F587A" w:rsidRDefault="006F587A">
            <w:pPr>
              <w:rPr>
                <w:rFonts w:ascii="Times New Roman" w:hAnsi="Times New Roman"/>
                <w:sz w:val="20"/>
                <w:szCs w:val="20"/>
              </w:rPr>
            </w:pPr>
          </w:p>
        </w:tc>
      </w:tr>
      <w:tr w:rsidR="006F587A" w14:paraId="4ACE2573" w14:textId="77777777">
        <w:tc>
          <w:tcPr>
            <w:tcW w:w="2500" w:type="pct"/>
            <w:shd w:val="clear" w:color="auto" w:fill="auto"/>
            <w:vAlign w:val="center"/>
          </w:tcPr>
          <w:p w14:paraId="4ACE2571" w14:textId="77777777" w:rsidR="006F587A" w:rsidRDefault="006F587A">
            <w:pPr>
              <w:rPr>
                <w:rFonts w:ascii="Times New Roman" w:hAnsi="Times New Roman"/>
                <w:sz w:val="20"/>
                <w:szCs w:val="20"/>
              </w:rPr>
            </w:pPr>
          </w:p>
        </w:tc>
        <w:tc>
          <w:tcPr>
            <w:tcW w:w="2500" w:type="pct"/>
            <w:shd w:val="clear" w:color="auto" w:fill="auto"/>
            <w:vAlign w:val="center"/>
          </w:tcPr>
          <w:p w14:paraId="4ACE2572" w14:textId="77777777" w:rsidR="006F587A" w:rsidRDefault="006F587A">
            <w:pPr>
              <w:rPr>
                <w:rFonts w:ascii="Times New Roman" w:hAnsi="Times New Roman"/>
                <w:sz w:val="20"/>
                <w:szCs w:val="20"/>
              </w:rPr>
            </w:pPr>
          </w:p>
        </w:tc>
      </w:tr>
      <w:tr w:rsidR="006F587A" w14:paraId="4ACE2575" w14:textId="77777777">
        <w:tc>
          <w:tcPr>
            <w:tcW w:w="0" w:type="auto"/>
            <w:gridSpan w:val="2"/>
            <w:tcBorders>
              <w:bottom w:val="single" w:sz="8" w:space="0" w:color="333333"/>
            </w:tcBorders>
            <w:shd w:val="clear" w:color="auto" w:fill="auto"/>
            <w:tcMar>
              <w:top w:w="40" w:type="dxa"/>
              <w:left w:w="40" w:type="dxa"/>
              <w:bottom w:w="40" w:type="dxa"/>
              <w:right w:w="40" w:type="dxa"/>
            </w:tcMar>
            <w:vAlign w:val="bottom"/>
          </w:tcPr>
          <w:p w14:paraId="4ACE2574" w14:textId="77777777" w:rsidR="006F587A" w:rsidRDefault="007B2B61">
            <w:pPr>
              <w:textAlignment w:val="bottom"/>
              <w:rPr>
                <w:rFonts w:ascii="Times New Roman" w:hAnsi="Times New Roman"/>
                <w:sz w:val="20"/>
                <w:szCs w:val="20"/>
              </w:rPr>
            </w:pPr>
            <w:r>
              <w:rPr>
                <w:rFonts w:ascii="Arial" w:eastAsia="宋体" w:hAnsi="Arial" w:cs="Arial"/>
                <w:b/>
                <w:bCs/>
                <w:color w:val="006EBF"/>
                <w:sz w:val="20"/>
                <w:szCs w:val="20"/>
              </w:rPr>
              <w:t>OUR PRODUCTS PROVIDE END-TO-END SOLUTIONS</w:t>
            </w:r>
          </w:p>
        </w:tc>
      </w:tr>
    </w:tbl>
    <w:p w14:paraId="4ACE2576" w14:textId="77777777" w:rsidR="006F587A" w:rsidRDefault="007B2B61">
      <w:pPr>
        <w:spacing w:line="288" w:lineRule="auto"/>
        <w:rPr>
          <w:rFonts w:ascii="Times New Roman" w:hAnsi="Times New Roman"/>
          <w:sz w:val="20"/>
          <w:szCs w:val="20"/>
        </w:rPr>
      </w:pPr>
      <w:r>
        <w:rPr>
          <w:rFonts w:ascii="Arial" w:eastAsia="宋体" w:hAnsi="Arial" w:cs="Arial"/>
          <w:color w:val="333333"/>
          <w:sz w:val="18"/>
          <w:szCs w:val="18"/>
        </w:rPr>
        <w:t xml:space="preserve">We are at the forefront of developing new technologies and new products as building </w:t>
      </w:r>
      <w:r>
        <w:rPr>
          <w:rFonts w:ascii="Arial" w:eastAsia="宋体" w:hAnsi="Arial" w:cs="Arial"/>
          <w:color w:val="333333"/>
          <w:sz w:val="18"/>
          <w:szCs w:val="18"/>
        </w:rPr>
        <w:t xml:space="preserve">blocks for an increasingly smart and connected world. These technologies and products are used as integrated solutions for a broad spectrum of markets. As we transform beyond a PC-centric company to address the needs of the new data-centric world, we have </w:t>
      </w:r>
      <w:r>
        <w:rPr>
          <w:rFonts w:ascii="Arial" w:eastAsia="宋体" w:hAnsi="Arial" w:cs="Arial"/>
          <w:color w:val="333333"/>
          <w:sz w:val="18"/>
          <w:szCs w:val="18"/>
        </w:rPr>
        <w:t>expanded our product offerings to provide end-to-end solutions, scaling from edge computing to the network, the cloud, and the emerging fields of AI and autonomous driving.</w:t>
      </w:r>
    </w:p>
    <w:p w14:paraId="4ACE2577" w14:textId="77777777" w:rsidR="006F587A" w:rsidRDefault="007B2B61">
      <w:pPr>
        <w:spacing w:line="288" w:lineRule="auto"/>
        <w:ind w:firstLine="2040"/>
        <w:rPr>
          <w:rFonts w:ascii="Times New Roman" w:hAnsi="Times New Roman"/>
          <w:sz w:val="18"/>
          <w:szCs w:val="18"/>
        </w:rPr>
      </w:pP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/INTEL/./Inline XB</w:instrText>
      </w:r>
      <w:r>
        <w:rPr>
          <w:rFonts w:ascii="Times New Roman" w:eastAsia="宋体" w:hAnsi="Times New Roman"/>
          <w:sz w:val="18"/>
          <w:szCs w:val="18"/>
        </w:rPr>
        <w:instrText xml:space="preserve">RL Viewer12_files/a038endtoendsolutions.jpg"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CB3" wp14:editId="4ACE6CB4">
            <wp:extent cx="304800" cy="304800"/>
            <wp:effectExtent l="0" t="0" r="0" b="0"/>
            <wp:docPr id="50" name="图片 120"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20" descr="IMG_32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p>
    <w:tbl>
      <w:tblPr>
        <w:tblW w:w="5000" w:type="pct"/>
        <w:tblCellMar>
          <w:left w:w="0" w:type="dxa"/>
          <w:right w:w="0" w:type="dxa"/>
        </w:tblCellMar>
        <w:tblLook w:val="04A0" w:firstRow="1" w:lastRow="0" w:firstColumn="1" w:lastColumn="0" w:noHBand="0" w:noVBand="1"/>
      </w:tblPr>
      <w:tblGrid>
        <w:gridCol w:w="4153"/>
        <w:gridCol w:w="4153"/>
      </w:tblGrid>
      <w:tr w:rsidR="006F587A" w14:paraId="4ACE2579" w14:textId="77777777">
        <w:tc>
          <w:tcPr>
            <w:tcW w:w="0" w:type="auto"/>
            <w:gridSpan w:val="2"/>
            <w:shd w:val="clear" w:color="auto" w:fill="auto"/>
            <w:vAlign w:val="center"/>
          </w:tcPr>
          <w:p w14:paraId="4ACE2578" w14:textId="77777777" w:rsidR="006F587A" w:rsidRDefault="006F587A">
            <w:pPr>
              <w:rPr>
                <w:rFonts w:ascii="Times New Roman" w:hAnsi="Times New Roman"/>
                <w:sz w:val="20"/>
                <w:szCs w:val="20"/>
              </w:rPr>
            </w:pPr>
          </w:p>
        </w:tc>
      </w:tr>
      <w:tr w:rsidR="006F587A" w14:paraId="4ACE257C" w14:textId="77777777">
        <w:tc>
          <w:tcPr>
            <w:tcW w:w="2500" w:type="pct"/>
            <w:shd w:val="clear" w:color="auto" w:fill="auto"/>
            <w:vAlign w:val="center"/>
          </w:tcPr>
          <w:p w14:paraId="4ACE257A" w14:textId="77777777" w:rsidR="006F587A" w:rsidRDefault="006F587A">
            <w:pPr>
              <w:rPr>
                <w:rFonts w:ascii="Times New Roman" w:hAnsi="Times New Roman"/>
                <w:sz w:val="20"/>
                <w:szCs w:val="20"/>
              </w:rPr>
            </w:pPr>
          </w:p>
        </w:tc>
        <w:tc>
          <w:tcPr>
            <w:tcW w:w="2500" w:type="pct"/>
            <w:shd w:val="clear" w:color="auto" w:fill="auto"/>
            <w:vAlign w:val="center"/>
          </w:tcPr>
          <w:p w14:paraId="4ACE257B" w14:textId="77777777" w:rsidR="006F587A" w:rsidRDefault="006F587A">
            <w:pPr>
              <w:rPr>
                <w:rFonts w:ascii="Times New Roman" w:hAnsi="Times New Roman"/>
                <w:sz w:val="20"/>
                <w:szCs w:val="20"/>
              </w:rPr>
            </w:pPr>
          </w:p>
        </w:tc>
      </w:tr>
      <w:tr w:rsidR="006F587A" w14:paraId="4ACE257E" w14:textId="77777777">
        <w:tc>
          <w:tcPr>
            <w:tcW w:w="0" w:type="auto"/>
            <w:gridSpan w:val="2"/>
            <w:tcBorders>
              <w:bottom w:val="single" w:sz="8" w:space="0" w:color="333333"/>
            </w:tcBorders>
            <w:shd w:val="clear" w:color="auto" w:fill="auto"/>
            <w:tcMar>
              <w:top w:w="40" w:type="dxa"/>
              <w:left w:w="40" w:type="dxa"/>
              <w:bottom w:w="40" w:type="dxa"/>
              <w:right w:w="40" w:type="dxa"/>
            </w:tcMar>
            <w:vAlign w:val="bottom"/>
          </w:tcPr>
          <w:p w14:paraId="4ACE257D" w14:textId="77777777" w:rsidR="006F587A" w:rsidRDefault="007B2B61">
            <w:pPr>
              <w:textAlignment w:val="bottom"/>
              <w:rPr>
                <w:rFonts w:ascii="Times New Roman" w:hAnsi="Times New Roman"/>
                <w:sz w:val="20"/>
                <w:szCs w:val="20"/>
              </w:rPr>
            </w:pPr>
            <w:r>
              <w:rPr>
                <w:rFonts w:ascii="Arial" w:eastAsia="宋体" w:hAnsi="Arial" w:cs="Arial"/>
                <w:b/>
                <w:bCs/>
                <w:color w:val="0071C5"/>
                <w:sz w:val="20"/>
                <w:szCs w:val="20"/>
              </w:rPr>
              <w:t>WE HAVE A BROAD PRODUCT PORTFOLIO</w:t>
            </w:r>
          </w:p>
        </w:tc>
      </w:tr>
    </w:tbl>
    <w:p w14:paraId="4ACE257F" w14:textId="77777777" w:rsidR="006F587A" w:rsidRDefault="007B2B61">
      <w:pPr>
        <w:spacing w:line="288" w:lineRule="auto"/>
        <w:rPr>
          <w:rFonts w:ascii="Times New Roman" w:hAnsi="Times New Roman"/>
          <w:sz w:val="20"/>
          <w:szCs w:val="20"/>
        </w:rPr>
      </w:pPr>
      <w:r>
        <w:rPr>
          <w:rFonts w:ascii="Arial" w:eastAsia="宋体" w:hAnsi="Arial" w:cs="Arial"/>
          <w:color w:val="333333"/>
          <w:sz w:val="18"/>
          <w:szCs w:val="18"/>
        </w:rPr>
        <w:t xml:space="preserve">From processing to transferring, storing, and analyzing data, our broad product portfolio offers innovative solutions to a wide array of </w:t>
      </w:r>
      <w:r>
        <w:rPr>
          <w:rFonts w:ascii="Arial" w:eastAsia="宋体" w:hAnsi="Arial" w:cs="Arial"/>
          <w:color w:val="333333"/>
          <w:sz w:val="18"/>
          <w:szCs w:val="18"/>
        </w:rPr>
        <w:t>customers. These products, such as our gaming CPUs, may be sold directly to end consumers, or they may be further integrated by our customers into end products such as notebooks and storage servers. Combining some of these products—for example, integrating</w:t>
      </w:r>
      <w:r>
        <w:rPr>
          <w:rFonts w:ascii="Arial" w:eastAsia="宋体" w:hAnsi="Arial" w:cs="Arial"/>
          <w:color w:val="333333"/>
          <w:sz w:val="18"/>
          <w:szCs w:val="18"/>
        </w:rPr>
        <w:t xml:space="preserve"> FPGAs and memory with Intel</w:t>
      </w:r>
      <w:r>
        <w:rPr>
          <w:rFonts w:ascii="Arial" w:eastAsia="宋体" w:hAnsi="Arial" w:cs="Arial"/>
          <w:color w:val="333333"/>
          <w:sz w:val="12"/>
          <w:szCs w:val="12"/>
        </w:rPr>
        <w:t>®</w:t>
      </w:r>
      <w:r>
        <w:rPr>
          <w:rFonts w:ascii="Arial" w:eastAsia="宋体" w:hAnsi="Arial" w:cs="Arial"/>
          <w:color w:val="333333"/>
          <w:sz w:val="18"/>
          <w:szCs w:val="18"/>
        </w:rPr>
        <w:t xml:space="preserve"> Xeon</w:t>
      </w:r>
      <w:r>
        <w:rPr>
          <w:rFonts w:ascii="Arial" w:eastAsia="宋体" w:hAnsi="Arial" w:cs="Arial"/>
          <w:color w:val="333333"/>
          <w:sz w:val="12"/>
          <w:szCs w:val="12"/>
        </w:rPr>
        <w:t>®</w:t>
      </w:r>
      <w:r>
        <w:rPr>
          <w:rFonts w:ascii="Arial" w:eastAsia="宋体" w:hAnsi="Arial" w:cs="Arial"/>
          <w:color w:val="333333"/>
          <w:sz w:val="18"/>
          <w:szCs w:val="18"/>
        </w:rPr>
        <w:t xml:space="preserve"> processors in a data-center solution—enables incremental synergistic value and performance. We introduced new products in 2019 such as 10nm-based 10th generation Intel</w:t>
      </w:r>
      <w:r>
        <w:rPr>
          <w:rFonts w:ascii="Arial" w:eastAsia="宋体" w:hAnsi="Arial" w:cs="Arial"/>
          <w:color w:val="333333"/>
          <w:sz w:val="12"/>
          <w:szCs w:val="12"/>
        </w:rPr>
        <w:t>®</w:t>
      </w:r>
      <w:r>
        <w:rPr>
          <w:rFonts w:ascii="Arial" w:eastAsia="宋体" w:hAnsi="Arial" w:cs="Arial"/>
          <w:color w:val="333333"/>
          <w:sz w:val="18"/>
          <w:szCs w:val="18"/>
        </w:rPr>
        <w:t xml:space="preserve"> Core</w:t>
      </w:r>
      <w:r>
        <w:rPr>
          <w:rFonts w:ascii="Arial" w:eastAsia="宋体" w:hAnsi="Arial" w:cs="Arial"/>
          <w:color w:val="333333"/>
          <w:sz w:val="12"/>
          <w:szCs w:val="12"/>
        </w:rPr>
        <w:t>TM</w:t>
      </w:r>
      <w:r>
        <w:rPr>
          <w:rFonts w:ascii="Arial" w:eastAsia="宋体" w:hAnsi="Arial" w:cs="Arial"/>
          <w:color w:val="333333"/>
          <w:sz w:val="18"/>
          <w:szCs w:val="18"/>
        </w:rPr>
        <w:t xml:space="preserve"> processors, Intel</w:t>
      </w:r>
      <w:r>
        <w:rPr>
          <w:rFonts w:ascii="Arial" w:eastAsia="宋体" w:hAnsi="Arial" w:cs="Arial"/>
          <w:color w:val="333333"/>
          <w:sz w:val="12"/>
          <w:szCs w:val="12"/>
        </w:rPr>
        <w:t>®</w:t>
      </w:r>
      <w:r>
        <w:rPr>
          <w:rFonts w:ascii="Arial" w:eastAsia="宋体" w:hAnsi="Arial" w:cs="Arial"/>
          <w:color w:val="333333"/>
          <w:sz w:val="18"/>
          <w:szCs w:val="18"/>
        </w:rPr>
        <w:t xml:space="preserve"> Agilex</w:t>
      </w:r>
      <w:r>
        <w:rPr>
          <w:rFonts w:ascii="Arial" w:eastAsia="宋体" w:hAnsi="Arial" w:cs="Arial"/>
          <w:color w:val="333333"/>
          <w:sz w:val="10"/>
          <w:szCs w:val="10"/>
        </w:rPr>
        <w:t xml:space="preserve">TM </w:t>
      </w:r>
      <w:r>
        <w:rPr>
          <w:rFonts w:ascii="Arial" w:eastAsia="宋体" w:hAnsi="Arial" w:cs="Arial"/>
          <w:color w:val="333333"/>
          <w:sz w:val="18"/>
          <w:szCs w:val="18"/>
        </w:rPr>
        <w:t>FPGAs, 2nd gener</w:t>
      </w:r>
      <w:r>
        <w:rPr>
          <w:rFonts w:ascii="Arial" w:eastAsia="宋体" w:hAnsi="Arial" w:cs="Arial"/>
          <w:color w:val="333333"/>
          <w:sz w:val="18"/>
          <w:szCs w:val="18"/>
        </w:rPr>
        <w:t>ation Intel</w:t>
      </w:r>
      <w:r>
        <w:rPr>
          <w:rFonts w:ascii="Arial" w:eastAsia="宋体" w:hAnsi="Arial" w:cs="Arial"/>
          <w:color w:val="333333"/>
          <w:sz w:val="12"/>
          <w:szCs w:val="12"/>
        </w:rPr>
        <w:t>®</w:t>
      </w:r>
      <w:r>
        <w:rPr>
          <w:rFonts w:ascii="Arial" w:eastAsia="宋体" w:hAnsi="Arial" w:cs="Arial"/>
          <w:color w:val="333333"/>
          <w:sz w:val="18"/>
          <w:szCs w:val="18"/>
        </w:rPr>
        <w:t xml:space="preserve"> Xeon</w:t>
      </w:r>
      <w:r>
        <w:rPr>
          <w:rFonts w:ascii="Arial" w:eastAsia="宋体" w:hAnsi="Arial" w:cs="Arial"/>
          <w:color w:val="333333"/>
          <w:sz w:val="12"/>
          <w:szCs w:val="12"/>
        </w:rPr>
        <w:t>®</w:t>
      </w:r>
      <w:r>
        <w:rPr>
          <w:rFonts w:ascii="Arial" w:eastAsia="宋体" w:hAnsi="Arial" w:cs="Arial"/>
          <w:color w:val="333333"/>
          <w:sz w:val="18"/>
          <w:szCs w:val="18"/>
        </w:rPr>
        <w:t xml:space="preserve"> Scalable processors, and Intel</w:t>
      </w:r>
      <w:r>
        <w:rPr>
          <w:rFonts w:ascii="Arial" w:eastAsia="宋体" w:hAnsi="Arial" w:cs="Arial"/>
          <w:color w:val="333333"/>
          <w:sz w:val="12"/>
          <w:szCs w:val="12"/>
        </w:rPr>
        <w:t>®</w:t>
      </w:r>
      <w:r>
        <w:rPr>
          <w:rFonts w:ascii="Arial" w:eastAsia="宋体" w:hAnsi="Arial" w:cs="Arial"/>
          <w:color w:val="333333"/>
          <w:sz w:val="18"/>
          <w:szCs w:val="18"/>
        </w:rPr>
        <w:t xml:space="preserve"> Optane™ DC persistent memory. </w:t>
      </w:r>
    </w:p>
    <w:p w14:paraId="4ACE2580" w14:textId="77777777" w:rsidR="006F587A" w:rsidRDefault="007B2B61">
      <w:pPr>
        <w:spacing w:line="288" w:lineRule="auto"/>
        <w:ind w:firstLine="1800"/>
        <w:rPr>
          <w:rFonts w:ascii="Times New Roman" w:hAnsi="Times New Roman"/>
          <w:sz w:val="18"/>
          <w:szCs w:val="18"/>
        </w:rPr>
      </w:pPr>
      <w:r>
        <w:rPr>
          <w:rFonts w:ascii="Arial" w:eastAsia="宋体" w:hAnsi="Arial" w:cs="Arial"/>
          <w:color w:val="333333"/>
          <w:sz w:val="18"/>
          <w:szCs w:val="18"/>
        </w:rPr>
        <w:t>    </w:t>
      </w: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Viewer12_files/a039ourproductportfolioa02.jpg"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CB5" wp14:editId="4ACE6CB6">
            <wp:extent cx="304800" cy="304800"/>
            <wp:effectExtent l="0" t="0" r="0" b="0"/>
            <wp:docPr id="53" name="图片 121"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21" descr="IMG_32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p>
    <w:p w14:paraId="4ACE2581" w14:textId="77777777" w:rsidR="006F587A" w:rsidRDefault="007B2B61">
      <w:pPr>
        <w:spacing w:line="288" w:lineRule="auto"/>
        <w:rPr>
          <w:rFonts w:ascii="Times New Roman" w:hAnsi="Times New Roman"/>
          <w:sz w:val="18"/>
          <w:szCs w:val="18"/>
        </w:rPr>
      </w:pPr>
      <w:r>
        <w:rPr>
          <w:rFonts w:ascii="Arial" w:eastAsia="宋体" w:hAnsi="Arial" w:cs="Arial"/>
          <w:color w:val="0071C5"/>
          <w:sz w:val="18"/>
          <w:szCs w:val="18"/>
        </w:rPr>
        <w:t>Platform products:</w:t>
      </w:r>
      <w:r>
        <w:rPr>
          <w:rFonts w:ascii="Arial" w:eastAsia="宋体" w:hAnsi="Arial" w:cs="Arial"/>
          <w:color w:val="333333"/>
          <w:sz w:val="18"/>
          <w:szCs w:val="18"/>
        </w:rPr>
        <w:t xml:space="preserve"> Our platform products can be a CPU and chipset, an SoC, or a multichip package, based on Intel</w:t>
      </w:r>
      <w:r>
        <w:rPr>
          <w:rFonts w:ascii="Arial" w:eastAsia="宋体" w:hAnsi="Arial" w:cs="Arial"/>
          <w:color w:val="333333"/>
          <w:sz w:val="12"/>
          <w:szCs w:val="12"/>
        </w:rPr>
        <w:t>®</w:t>
      </w:r>
      <w:r>
        <w:rPr>
          <w:rFonts w:ascii="Arial" w:eastAsia="宋体" w:hAnsi="Arial" w:cs="Arial"/>
          <w:color w:val="333333"/>
          <w:sz w:val="18"/>
          <w:szCs w:val="18"/>
        </w:rPr>
        <w:t xml:space="preserve"> architecture that processes data and controls other devices in a system. These products are primarily used in solutions sold through CCG, DCG</w:t>
      </w:r>
      <w:r>
        <w:rPr>
          <w:rFonts w:ascii="Arial" w:eastAsia="宋体" w:hAnsi="Arial" w:cs="Arial"/>
          <w:color w:val="333333"/>
          <w:sz w:val="18"/>
          <w:szCs w:val="18"/>
        </w:rPr>
        <w:t xml:space="preserve">, and IOTG. </w:t>
      </w:r>
    </w:p>
    <w:p w14:paraId="4ACE2582" w14:textId="77777777" w:rsidR="006F587A" w:rsidRDefault="007B2B61">
      <w:pPr>
        <w:spacing w:line="288" w:lineRule="auto"/>
        <w:rPr>
          <w:rFonts w:ascii="Times New Roman" w:hAnsi="Times New Roman"/>
          <w:sz w:val="18"/>
          <w:szCs w:val="18"/>
        </w:rPr>
      </w:pPr>
      <w:r>
        <w:rPr>
          <w:rFonts w:ascii="Arial" w:eastAsia="宋体" w:hAnsi="Arial" w:cs="Arial"/>
          <w:color w:val="0071C5"/>
          <w:sz w:val="18"/>
          <w:szCs w:val="18"/>
        </w:rPr>
        <w:t xml:space="preserve">Adjacent products: </w:t>
      </w:r>
      <w:r>
        <w:rPr>
          <w:rFonts w:ascii="Arial" w:eastAsia="宋体" w:hAnsi="Arial" w:cs="Arial"/>
          <w:color w:val="333333"/>
          <w:sz w:val="18"/>
          <w:szCs w:val="18"/>
        </w:rPr>
        <w:t>Our non-platform, or adjacent products, can be combined with platform products to form comprehensive platform solutions to meet customer needs. These products are used in solutions sold through each of our businesses and inc</w:t>
      </w:r>
      <w:r>
        <w:rPr>
          <w:rFonts w:ascii="Arial" w:eastAsia="宋体" w:hAnsi="Arial" w:cs="Arial"/>
          <w:color w:val="333333"/>
          <w:sz w:val="18"/>
          <w:szCs w:val="18"/>
        </w:rPr>
        <w:t>lude the following:</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6F587A" w14:paraId="4ACE2585" w14:textId="77777777">
        <w:trPr>
          <w:tblCellSpacing w:w="0" w:type="dxa"/>
        </w:trPr>
        <w:tc>
          <w:tcPr>
            <w:tcW w:w="960" w:type="dxa"/>
            <w:shd w:val="clear" w:color="auto" w:fill="auto"/>
            <w:vAlign w:val="center"/>
          </w:tcPr>
          <w:p w14:paraId="4ACE2583" w14:textId="77777777" w:rsidR="006F587A" w:rsidRDefault="006F587A">
            <w:pPr>
              <w:rPr>
                <w:rFonts w:ascii="Times New Roman" w:hAnsi="Times New Roman"/>
                <w:sz w:val="20"/>
                <w:szCs w:val="20"/>
              </w:rPr>
            </w:pPr>
          </w:p>
        </w:tc>
        <w:tc>
          <w:tcPr>
            <w:tcW w:w="0" w:type="auto"/>
            <w:shd w:val="clear" w:color="auto" w:fill="auto"/>
            <w:vAlign w:val="center"/>
          </w:tcPr>
          <w:p w14:paraId="4ACE2584" w14:textId="77777777" w:rsidR="006F587A" w:rsidRDefault="006F587A">
            <w:pPr>
              <w:rPr>
                <w:rFonts w:ascii="Times New Roman" w:hAnsi="Times New Roman"/>
                <w:sz w:val="20"/>
                <w:szCs w:val="20"/>
              </w:rPr>
            </w:pPr>
          </w:p>
        </w:tc>
      </w:tr>
      <w:tr w:rsidR="006F587A" w14:paraId="4ACE2588" w14:textId="77777777">
        <w:trPr>
          <w:tblCellSpacing w:w="0" w:type="dxa"/>
        </w:trPr>
        <w:tc>
          <w:tcPr>
            <w:tcW w:w="0" w:type="auto"/>
            <w:shd w:val="clear" w:color="auto" w:fill="auto"/>
          </w:tcPr>
          <w:p w14:paraId="4ACE2586"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2587"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0071C5"/>
                <w:sz w:val="18"/>
                <w:szCs w:val="18"/>
              </w:rPr>
              <w:t>Accelerators</w:t>
            </w:r>
            <w:r>
              <w:rPr>
                <w:rFonts w:ascii="Arial" w:eastAsia="宋体" w:hAnsi="Arial" w:cs="Arial"/>
                <w:color w:val="333333"/>
                <w:sz w:val="18"/>
                <w:szCs w:val="18"/>
              </w:rPr>
              <w:t xml:space="preserve"> - Silicon products that can operate alone or accompany our processors in a system, such as FPGAs, VPUs, and Mobileye EyeQ* SoC</w:t>
            </w:r>
          </w:p>
        </w:tc>
      </w:tr>
    </w:tbl>
    <w:p w14:paraId="4ACE2589" w14:textId="77777777" w:rsidR="006F587A" w:rsidRDefault="006F587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041"/>
      </w:tblGrid>
      <w:tr w:rsidR="006F587A" w14:paraId="4ACE258C" w14:textId="77777777">
        <w:trPr>
          <w:tblCellSpacing w:w="0" w:type="dxa"/>
        </w:trPr>
        <w:tc>
          <w:tcPr>
            <w:tcW w:w="960" w:type="dxa"/>
            <w:shd w:val="clear" w:color="auto" w:fill="auto"/>
            <w:vAlign w:val="center"/>
          </w:tcPr>
          <w:p w14:paraId="4ACE258A" w14:textId="77777777" w:rsidR="006F587A" w:rsidRDefault="006F587A">
            <w:pPr>
              <w:rPr>
                <w:rFonts w:ascii="Times New Roman" w:hAnsi="Times New Roman"/>
                <w:sz w:val="20"/>
                <w:szCs w:val="20"/>
              </w:rPr>
            </w:pPr>
          </w:p>
        </w:tc>
        <w:tc>
          <w:tcPr>
            <w:tcW w:w="0" w:type="auto"/>
            <w:shd w:val="clear" w:color="auto" w:fill="auto"/>
            <w:vAlign w:val="center"/>
          </w:tcPr>
          <w:p w14:paraId="4ACE258B" w14:textId="77777777" w:rsidR="006F587A" w:rsidRDefault="006F587A">
            <w:pPr>
              <w:rPr>
                <w:rFonts w:ascii="Times New Roman" w:hAnsi="Times New Roman"/>
                <w:sz w:val="20"/>
                <w:szCs w:val="20"/>
              </w:rPr>
            </w:pPr>
          </w:p>
        </w:tc>
      </w:tr>
      <w:tr w:rsidR="006F587A" w14:paraId="4ACE258F" w14:textId="77777777">
        <w:trPr>
          <w:tblCellSpacing w:w="0" w:type="dxa"/>
        </w:trPr>
        <w:tc>
          <w:tcPr>
            <w:tcW w:w="0" w:type="auto"/>
            <w:shd w:val="clear" w:color="auto" w:fill="auto"/>
          </w:tcPr>
          <w:p w14:paraId="4ACE258D"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258E"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0071C5"/>
                <w:sz w:val="18"/>
                <w:szCs w:val="18"/>
              </w:rPr>
              <w:t>Boards and systems</w:t>
            </w:r>
            <w:r>
              <w:rPr>
                <w:rFonts w:ascii="Arial" w:eastAsia="宋体" w:hAnsi="Arial" w:cs="Arial"/>
                <w:color w:val="333333"/>
                <w:sz w:val="18"/>
                <w:szCs w:val="18"/>
              </w:rPr>
              <w:t xml:space="preserve"> - Server boards and small form factor systems such as Intel</w:t>
            </w:r>
            <w:r>
              <w:rPr>
                <w:rFonts w:ascii="Arial" w:eastAsia="宋体" w:hAnsi="Arial" w:cs="Arial"/>
                <w:color w:val="333333"/>
                <w:sz w:val="12"/>
                <w:szCs w:val="12"/>
              </w:rPr>
              <w:t>®</w:t>
            </w:r>
            <w:r>
              <w:rPr>
                <w:rFonts w:ascii="Arial" w:eastAsia="宋体" w:hAnsi="Arial" w:cs="Arial"/>
                <w:color w:val="333333"/>
                <w:sz w:val="18"/>
                <w:szCs w:val="18"/>
              </w:rPr>
              <w:t xml:space="preserve"> NUCs</w:t>
            </w:r>
          </w:p>
        </w:tc>
      </w:tr>
    </w:tbl>
    <w:p w14:paraId="4ACE2590" w14:textId="77777777" w:rsidR="006F587A" w:rsidRDefault="006F587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6F587A" w14:paraId="4ACE2593" w14:textId="77777777">
        <w:trPr>
          <w:tblCellSpacing w:w="0" w:type="dxa"/>
        </w:trPr>
        <w:tc>
          <w:tcPr>
            <w:tcW w:w="960" w:type="dxa"/>
            <w:shd w:val="clear" w:color="auto" w:fill="auto"/>
            <w:vAlign w:val="center"/>
          </w:tcPr>
          <w:p w14:paraId="4ACE2591" w14:textId="77777777" w:rsidR="006F587A" w:rsidRDefault="006F587A">
            <w:pPr>
              <w:rPr>
                <w:rFonts w:ascii="Times New Roman" w:hAnsi="Times New Roman"/>
                <w:sz w:val="20"/>
                <w:szCs w:val="20"/>
              </w:rPr>
            </w:pPr>
          </w:p>
        </w:tc>
        <w:tc>
          <w:tcPr>
            <w:tcW w:w="0" w:type="auto"/>
            <w:shd w:val="clear" w:color="auto" w:fill="auto"/>
            <w:vAlign w:val="center"/>
          </w:tcPr>
          <w:p w14:paraId="4ACE2592" w14:textId="77777777" w:rsidR="006F587A" w:rsidRDefault="006F587A">
            <w:pPr>
              <w:rPr>
                <w:rFonts w:ascii="Times New Roman" w:hAnsi="Times New Roman"/>
                <w:sz w:val="20"/>
                <w:szCs w:val="20"/>
              </w:rPr>
            </w:pPr>
          </w:p>
        </w:tc>
      </w:tr>
      <w:tr w:rsidR="006F587A" w14:paraId="4ACE2596" w14:textId="77777777">
        <w:trPr>
          <w:tblCellSpacing w:w="0" w:type="dxa"/>
        </w:trPr>
        <w:tc>
          <w:tcPr>
            <w:tcW w:w="0" w:type="auto"/>
            <w:shd w:val="clear" w:color="auto" w:fill="auto"/>
          </w:tcPr>
          <w:p w14:paraId="4ACE2594"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2595"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0071C5"/>
                <w:sz w:val="18"/>
                <w:szCs w:val="18"/>
              </w:rPr>
              <w:t>Connectivity products</w:t>
            </w:r>
            <w:r>
              <w:rPr>
                <w:rFonts w:ascii="Arial" w:eastAsia="宋体" w:hAnsi="Arial" w:cs="Arial"/>
                <w:color w:val="333333"/>
                <w:sz w:val="18"/>
                <w:szCs w:val="18"/>
              </w:rPr>
              <w:t xml:space="preserve"> - Cellular modems, Ethernet controllers, silicon photonics, Wi-Fi, and Bluetooth</w:t>
            </w:r>
            <w:r>
              <w:rPr>
                <w:rFonts w:ascii="Arial" w:eastAsia="宋体" w:hAnsi="Arial" w:cs="Arial"/>
                <w:color w:val="333333"/>
                <w:sz w:val="12"/>
                <w:szCs w:val="12"/>
              </w:rPr>
              <w:t>®</w:t>
            </w:r>
            <w:r>
              <w:rPr>
                <w:rFonts w:ascii="Arial" w:eastAsia="宋体" w:hAnsi="Arial" w:cs="Arial"/>
                <w:color w:val="333333"/>
                <w:sz w:val="18"/>
                <w:szCs w:val="18"/>
              </w:rPr>
              <w:t> </w:t>
            </w:r>
          </w:p>
        </w:tc>
      </w:tr>
    </w:tbl>
    <w:p w14:paraId="4ACE2597" w14:textId="77777777" w:rsidR="006F587A" w:rsidRDefault="006F587A">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6633"/>
      </w:tblGrid>
      <w:tr w:rsidR="006F587A" w14:paraId="4ACE259A" w14:textId="77777777">
        <w:trPr>
          <w:tblCellSpacing w:w="0" w:type="dxa"/>
        </w:trPr>
        <w:tc>
          <w:tcPr>
            <w:tcW w:w="960" w:type="dxa"/>
            <w:shd w:val="clear" w:color="auto" w:fill="auto"/>
            <w:vAlign w:val="center"/>
          </w:tcPr>
          <w:p w14:paraId="4ACE2598" w14:textId="77777777" w:rsidR="006F587A" w:rsidRDefault="006F587A">
            <w:pPr>
              <w:rPr>
                <w:rFonts w:ascii="Times New Roman" w:hAnsi="Times New Roman"/>
                <w:sz w:val="20"/>
                <w:szCs w:val="20"/>
              </w:rPr>
            </w:pPr>
          </w:p>
        </w:tc>
        <w:tc>
          <w:tcPr>
            <w:tcW w:w="0" w:type="auto"/>
            <w:shd w:val="clear" w:color="auto" w:fill="auto"/>
            <w:vAlign w:val="center"/>
          </w:tcPr>
          <w:p w14:paraId="4ACE2599" w14:textId="77777777" w:rsidR="006F587A" w:rsidRDefault="006F587A">
            <w:pPr>
              <w:rPr>
                <w:rFonts w:ascii="Times New Roman" w:hAnsi="Times New Roman"/>
                <w:sz w:val="20"/>
                <w:szCs w:val="20"/>
              </w:rPr>
            </w:pPr>
          </w:p>
        </w:tc>
      </w:tr>
      <w:tr w:rsidR="006F587A" w14:paraId="4ACE259D" w14:textId="77777777">
        <w:trPr>
          <w:tblCellSpacing w:w="0" w:type="dxa"/>
        </w:trPr>
        <w:tc>
          <w:tcPr>
            <w:tcW w:w="0" w:type="auto"/>
            <w:shd w:val="clear" w:color="auto" w:fill="auto"/>
          </w:tcPr>
          <w:p w14:paraId="4ACE259B"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259C"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0071C5"/>
                <w:sz w:val="18"/>
                <w:szCs w:val="18"/>
              </w:rPr>
              <w:t>Memory and storage products</w:t>
            </w:r>
            <w:r>
              <w:rPr>
                <w:rFonts w:ascii="Arial" w:eastAsia="宋体" w:hAnsi="Arial" w:cs="Arial"/>
                <w:color w:val="333333"/>
                <w:sz w:val="18"/>
                <w:szCs w:val="18"/>
              </w:rPr>
              <w:t xml:space="preserve"> - SSD, persistent memory, and memory components</w:t>
            </w:r>
          </w:p>
        </w:tc>
      </w:tr>
    </w:tbl>
    <w:p w14:paraId="4ACE259E" w14:textId="77777777" w:rsidR="006F587A" w:rsidRDefault="006F587A">
      <w:pPr>
        <w:spacing w:line="288" w:lineRule="auto"/>
        <w:rPr>
          <w:rFonts w:ascii="Times New Roman" w:hAnsi="Times New Roman"/>
          <w:sz w:val="18"/>
          <w:szCs w:val="18"/>
        </w:rPr>
      </w:pPr>
    </w:p>
    <w:p w14:paraId="4ACE259F"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408"/>
        <w:gridCol w:w="2409"/>
        <w:gridCol w:w="3489"/>
      </w:tblGrid>
      <w:tr w:rsidR="006F587A" w14:paraId="4ACE25A1" w14:textId="77777777">
        <w:tc>
          <w:tcPr>
            <w:tcW w:w="0" w:type="auto"/>
            <w:gridSpan w:val="3"/>
            <w:shd w:val="clear" w:color="auto" w:fill="auto"/>
            <w:vAlign w:val="center"/>
          </w:tcPr>
          <w:p w14:paraId="4ACE25A0" w14:textId="77777777" w:rsidR="006F587A" w:rsidRDefault="006F587A">
            <w:pPr>
              <w:rPr>
                <w:rFonts w:ascii="Times New Roman" w:hAnsi="Times New Roman"/>
                <w:sz w:val="20"/>
                <w:szCs w:val="20"/>
              </w:rPr>
            </w:pPr>
          </w:p>
        </w:tc>
      </w:tr>
      <w:tr w:rsidR="006F587A" w14:paraId="4ACE25A5" w14:textId="77777777">
        <w:tc>
          <w:tcPr>
            <w:tcW w:w="1450" w:type="pct"/>
            <w:shd w:val="clear" w:color="auto" w:fill="auto"/>
            <w:vAlign w:val="center"/>
          </w:tcPr>
          <w:p w14:paraId="4ACE25A2" w14:textId="77777777" w:rsidR="006F587A" w:rsidRDefault="006F587A">
            <w:pPr>
              <w:rPr>
                <w:rFonts w:ascii="Times New Roman" w:hAnsi="Times New Roman"/>
                <w:sz w:val="20"/>
                <w:szCs w:val="20"/>
              </w:rPr>
            </w:pPr>
          </w:p>
        </w:tc>
        <w:tc>
          <w:tcPr>
            <w:tcW w:w="1450" w:type="pct"/>
            <w:shd w:val="clear" w:color="auto" w:fill="auto"/>
            <w:vAlign w:val="center"/>
          </w:tcPr>
          <w:p w14:paraId="4ACE25A3" w14:textId="77777777" w:rsidR="006F587A" w:rsidRDefault="006F587A">
            <w:pPr>
              <w:rPr>
                <w:rFonts w:ascii="Times New Roman" w:hAnsi="Times New Roman"/>
                <w:sz w:val="20"/>
                <w:szCs w:val="20"/>
              </w:rPr>
            </w:pPr>
          </w:p>
        </w:tc>
        <w:tc>
          <w:tcPr>
            <w:tcW w:w="2100" w:type="pct"/>
            <w:shd w:val="clear" w:color="auto" w:fill="auto"/>
            <w:vAlign w:val="center"/>
          </w:tcPr>
          <w:p w14:paraId="4ACE25A4" w14:textId="77777777" w:rsidR="006F587A" w:rsidRDefault="006F587A">
            <w:pPr>
              <w:rPr>
                <w:rFonts w:ascii="Times New Roman" w:hAnsi="Times New Roman"/>
                <w:sz w:val="20"/>
                <w:szCs w:val="20"/>
              </w:rPr>
            </w:pPr>
          </w:p>
        </w:tc>
      </w:tr>
      <w:tr w:rsidR="006F587A" w14:paraId="4ACE25A9"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25A6" w14:textId="77777777" w:rsidR="006F587A" w:rsidRDefault="007B2B61">
            <w:pPr>
              <w:textAlignment w:val="center"/>
              <w:rPr>
                <w:rFonts w:ascii="Times New Roman" w:hAnsi="Times New Roman"/>
                <w:sz w:val="18"/>
                <w:szCs w:val="18"/>
              </w:rPr>
            </w:pP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Viewer12_files/a001intellogo_coverfooter.jpg"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CB7" wp14:editId="4ACE6CB8">
                  <wp:extent cx="304800" cy="304800"/>
                  <wp:effectExtent l="0" t="0" r="0" b="0"/>
                  <wp:docPr id="134" name="图片 122"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22"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r>
              <w:rPr>
                <w:rFonts w:ascii="Arial" w:eastAsia="宋体" w:hAnsi="Arial" w:cs="Arial"/>
                <w:color w:val="333333"/>
                <w:sz w:val="18"/>
                <w:szCs w:val="18"/>
              </w:rPr>
              <w:t>  </w:t>
            </w:r>
            <w:r>
              <w:rPr>
                <w:rFonts w:ascii="Arial" w:eastAsia="宋体" w:hAnsi="Arial" w:cs="Arial"/>
                <w:color w:val="333333"/>
                <w:sz w:val="16"/>
                <w:szCs w:val="16"/>
              </w:rPr>
              <w:t>MD&amp;A</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5A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5A8"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17</w:t>
            </w:r>
          </w:p>
        </w:tc>
      </w:tr>
    </w:tbl>
    <w:p w14:paraId="4ACE25AA" w14:textId="77777777" w:rsidR="006F587A" w:rsidRDefault="007B2B61">
      <w:r>
        <w:pict w14:anchorId="4ACE6CB9">
          <v:rect id="_x0000_i1043" style="width:415.3pt;height:1.5pt" o:hralign="center" o:hrstd="t" o:hr="t" fillcolor="#a0a0a0" stroked="f"/>
        </w:pict>
      </w:r>
    </w:p>
    <w:p w14:paraId="4ACE25AB" w14:textId="77777777" w:rsidR="006F587A" w:rsidRDefault="007B2B61">
      <w:pPr>
        <w:spacing w:line="288" w:lineRule="auto"/>
        <w:jc w:val="right"/>
        <w:rPr>
          <w:rFonts w:ascii="Times New Roman" w:hAnsi="Times New Roman"/>
          <w:sz w:val="16"/>
          <w:szCs w:val="16"/>
        </w:rPr>
      </w:pPr>
      <w:hyperlink r:id="rId52" w:anchor="s9DB683E2CF52561EB8A73BE37F5BF9BE" w:history="1">
        <w:r>
          <w:rPr>
            <w:rStyle w:val="a5"/>
            <w:rFonts w:ascii="Arial" w:eastAsia="宋体" w:hAnsi="Arial" w:cs="Arial"/>
            <w:b/>
            <w:bCs/>
            <w:sz w:val="16"/>
            <w:szCs w:val="16"/>
          </w:rPr>
          <w:t>Table of Contents</w:t>
        </w:r>
      </w:hyperlink>
    </w:p>
    <w:p w14:paraId="4ACE25AC" w14:textId="77777777" w:rsidR="006F587A" w:rsidRDefault="006F587A">
      <w:pPr>
        <w:spacing w:line="288" w:lineRule="auto"/>
        <w:jc w:val="right"/>
        <w:rPr>
          <w:rFonts w:ascii="Times New Roman" w:hAnsi="Times New Roman"/>
          <w:sz w:val="16"/>
          <w:szCs w:val="16"/>
        </w:rPr>
      </w:pPr>
    </w:p>
    <w:p w14:paraId="4ACE25AD" w14:textId="77777777" w:rsidR="006F587A" w:rsidRDefault="006F587A">
      <w:pPr>
        <w:rPr>
          <w:rFonts w:ascii="Times New Roman" w:hAnsi="Times New Roman"/>
          <w:sz w:val="20"/>
          <w:szCs w:val="20"/>
        </w:rPr>
      </w:pPr>
    </w:p>
    <w:p w14:paraId="4ACE25AE" w14:textId="77777777" w:rsidR="006F587A" w:rsidRDefault="007B2B61">
      <w:pPr>
        <w:spacing w:line="288" w:lineRule="auto"/>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/INTEL/./I</w:instrText>
      </w:r>
      <w:r>
        <w:rPr>
          <w:rFonts w:ascii="Times New Roman" w:eastAsia="宋体" w:hAnsi="Times New Roman"/>
          <w:sz w:val="20"/>
          <w:szCs w:val="20"/>
        </w:rPr>
        <w:instrText xml:space="preserve">nline XBRL Viewer12_files/a040dcgbannera03.jpg"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BA" wp14:editId="4ACE6CBB">
            <wp:extent cx="304800" cy="304800"/>
            <wp:effectExtent l="0" t="0" r="0" b="0"/>
            <wp:docPr id="52" name="图片 124"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24" descr="IMG_32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bl>
      <w:tblPr>
        <w:tblW w:w="14940" w:type="dxa"/>
        <w:tblCellMar>
          <w:left w:w="0" w:type="dxa"/>
          <w:right w:w="0" w:type="dxa"/>
        </w:tblCellMar>
        <w:tblLook w:val="04A0" w:firstRow="1" w:lastRow="0" w:firstColumn="1" w:lastColumn="0" w:noHBand="0" w:noVBand="1"/>
      </w:tblPr>
      <w:tblGrid>
        <w:gridCol w:w="406"/>
        <w:gridCol w:w="9990"/>
        <w:gridCol w:w="4544"/>
      </w:tblGrid>
      <w:tr w:rsidR="006F587A" w14:paraId="4ACE25B0" w14:textId="77777777">
        <w:tc>
          <w:tcPr>
            <w:tcW w:w="0" w:type="auto"/>
            <w:gridSpan w:val="3"/>
            <w:shd w:val="clear" w:color="auto" w:fill="auto"/>
            <w:vAlign w:val="center"/>
          </w:tcPr>
          <w:p w14:paraId="4ACE25AF" w14:textId="77777777" w:rsidR="006F587A" w:rsidRDefault="006F587A">
            <w:pPr>
              <w:rPr>
                <w:rFonts w:ascii="Times New Roman" w:hAnsi="Times New Roman"/>
                <w:sz w:val="20"/>
                <w:szCs w:val="20"/>
              </w:rPr>
            </w:pPr>
          </w:p>
        </w:tc>
      </w:tr>
      <w:tr w:rsidR="006F587A" w14:paraId="4ACE25B4" w14:textId="77777777">
        <w:tc>
          <w:tcPr>
            <w:tcW w:w="760" w:type="dxa"/>
            <w:shd w:val="clear" w:color="auto" w:fill="auto"/>
            <w:vAlign w:val="center"/>
          </w:tcPr>
          <w:p w14:paraId="4ACE25B1" w14:textId="77777777" w:rsidR="006F587A" w:rsidRDefault="006F587A">
            <w:pPr>
              <w:rPr>
                <w:rFonts w:ascii="Times New Roman" w:hAnsi="Times New Roman"/>
                <w:sz w:val="20"/>
                <w:szCs w:val="20"/>
              </w:rPr>
            </w:pPr>
          </w:p>
        </w:tc>
        <w:tc>
          <w:tcPr>
            <w:tcW w:w="10440" w:type="dxa"/>
            <w:shd w:val="clear" w:color="auto" w:fill="auto"/>
            <w:vAlign w:val="center"/>
          </w:tcPr>
          <w:p w14:paraId="4ACE25B2" w14:textId="77777777" w:rsidR="006F587A" w:rsidRDefault="006F587A">
            <w:pPr>
              <w:rPr>
                <w:rFonts w:ascii="Times New Roman" w:hAnsi="Times New Roman"/>
                <w:sz w:val="20"/>
                <w:szCs w:val="20"/>
              </w:rPr>
            </w:pPr>
          </w:p>
        </w:tc>
        <w:tc>
          <w:tcPr>
            <w:tcW w:w="3700" w:type="dxa"/>
            <w:shd w:val="clear" w:color="auto" w:fill="auto"/>
            <w:vAlign w:val="center"/>
          </w:tcPr>
          <w:p w14:paraId="4ACE25B3" w14:textId="77777777" w:rsidR="006F587A" w:rsidRDefault="006F587A">
            <w:pPr>
              <w:rPr>
                <w:rFonts w:ascii="Times New Roman" w:hAnsi="Times New Roman"/>
                <w:sz w:val="20"/>
                <w:szCs w:val="20"/>
              </w:rPr>
            </w:pPr>
          </w:p>
        </w:tc>
      </w:tr>
      <w:tr w:rsidR="006F587A" w14:paraId="4ACE25B7" w14:textId="77777777">
        <w:tc>
          <w:tcPr>
            <w:tcW w:w="0" w:type="auto"/>
            <w:gridSpan w:val="2"/>
            <w:tcBorders>
              <w:bottom w:val="single" w:sz="8" w:space="0" w:color="333333"/>
            </w:tcBorders>
            <w:shd w:val="clear" w:color="auto" w:fill="auto"/>
            <w:tcMar>
              <w:top w:w="40" w:type="dxa"/>
              <w:left w:w="40" w:type="dxa"/>
              <w:bottom w:w="40" w:type="dxa"/>
              <w:right w:w="40" w:type="dxa"/>
            </w:tcMar>
            <w:vAlign w:val="bottom"/>
          </w:tcPr>
          <w:p w14:paraId="4ACE25B5" w14:textId="77777777" w:rsidR="006F587A" w:rsidRDefault="007B2B61">
            <w:pPr>
              <w:textAlignment w:val="bottom"/>
              <w:rPr>
                <w:rFonts w:ascii="Times New Roman" w:hAnsi="Times New Roman"/>
                <w:sz w:val="20"/>
                <w:szCs w:val="20"/>
              </w:rPr>
            </w:pPr>
            <w:r>
              <w:rPr>
                <w:rFonts w:ascii="Arial" w:eastAsia="宋体" w:hAnsi="Arial" w:cs="Arial"/>
                <w:b/>
                <w:bCs/>
                <w:color w:val="0071C5"/>
                <w:sz w:val="20"/>
                <w:szCs w:val="20"/>
              </w:rPr>
              <w:t>OVERVIEW</w:t>
            </w:r>
          </w:p>
        </w:tc>
        <w:tc>
          <w:tcPr>
            <w:tcW w:w="0" w:type="auto"/>
            <w:vMerge w:val="restart"/>
            <w:shd w:val="clear" w:color="auto" w:fill="auto"/>
            <w:tcMar>
              <w:top w:w="40" w:type="dxa"/>
              <w:left w:w="40" w:type="dxa"/>
              <w:bottom w:w="40" w:type="dxa"/>
              <w:right w:w="40" w:type="dxa"/>
            </w:tcMar>
            <w:vAlign w:val="center"/>
          </w:tcPr>
          <w:p w14:paraId="4ACE25B6" w14:textId="77777777" w:rsidR="006F587A" w:rsidRDefault="007B2B61">
            <w:pPr>
              <w:jc w:val="center"/>
              <w:textAlignment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Viewer12_files/a041navin_circlea02.jpg"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BC" wp14:editId="4ACE6CBD">
                  <wp:extent cx="304800" cy="304800"/>
                  <wp:effectExtent l="0" t="0" r="0" b="0"/>
                  <wp:docPr id="129" name="图片 125"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5" descr="IMG_32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r>
      <w:tr w:rsidR="006F587A" w14:paraId="4ACE25BB" w14:textId="77777777">
        <w:tc>
          <w:tcPr>
            <w:tcW w:w="0" w:type="auto"/>
            <w:gridSpan w:val="2"/>
            <w:shd w:val="clear" w:color="auto" w:fill="auto"/>
            <w:tcMar>
              <w:top w:w="40" w:type="dxa"/>
              <w:left w:w="40" w:type="dxa"/>
              <w:bottom w:w="40" w:type="dxa"/>
              <w:right w:w="40" w:type="dxa"/>
            </w:tcMar>
          </w:tcPr>
          <w:p w14:paraId="4ACE25B8"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 xml:space="preserve">DCG develops workload-optimized platforms for compute, storage, and network functions. Market </w:t>
            </w:r>
            <w:r>
              <w:rPr>
                <w:rFonts w:ascii="Arial" w:eastAsia="宋体" w:hAnsi="Arial" w:cs="Arial"/>
                <w:color w:val="333333"/>
                <w:sz w:val="18"/>
                <w:szCs w:val="18"/>
              </w:rPr>
              <w:t>segments include cloud service providers, enterprise and government, and communications service providers. In the first half of 2019, DCG customers, specifically the cloud service providers and enterprise and government market segments absorbed capacity an</w:t>
            </w:r>
            <w:r>
              <w:rPr>
                <w:rFonts w:ascii="Arial" w:eastAsia="宋体" w:hAnsi="Arial" w:cs="Arial"/>
                <w:color w:val="333333"/>
                <w:sz w:val="18"/>
                <w:szCs w:val="18"/>
              </w:rPr>
              <w:t>d worked through inventory after a historic customer-driven platform refresh in 2018. As consumption picked back up in the second half of 2019, DCG returned to growth. Continued demand for cloud computing and solutions built for the network and edge fueled</w:t>
            </w:r>
            <w:r>
              <w:rPr>
                <w:rFonts w:ascii="Arial" w:eastAsia="宋体" w:hAnsi="Arial" w:cs="Arial"/>
                <w:color w:val="333333"/>
                <w:sz w:val="18"/>
                <w:szCs w:val="18"/>
              </w:rPr>
              <w:t xml:space="preserve"> growth.</w:t>
            </w:r>
          </w:p>
          <w:p w14:paraId="4ACE25B9" w14:textId="77777777" w:rsidR="006F587A" w:rsidRDefault="006F587A">
            <w:pPr>
              <w:textAlignment w:val="top"/>
              <w:rPr>
                <w:rFonts w:ascii="Times New Roman" w:hAnsi="Times New Roman"/>
                <w:sz w:val="18"/>
                <w:szCs w:val="18"/>
              </w:rPr>
            </w:pPr>
          </w:p>
        </w:tc>
        <w:tc>
          <w:tcPr>
            <w:tcW w:w="0" w:type="auto"/>
            <w:vMerge/>
            <w:shd w:val="clear" w:color="auto" w:fill="auto"/>
            <w:tcMar>
              <w:top w:w="40" w:type="dxa"/>
              <w:left w:w="40" w:type="dxa"/>
              <w:bottom w:w="40" w:type="dxa"/>
              <w:right w:w="40" w:type="dxa"/>
            </w:tcMar>
            <w:vAlign w:val="center"/>
          </w:tcPr>
          <w:p w14:paraId="4ACE25BA" w14:textId="77777777" w:rsidR="006F587A" w:rsidRDefault="006F587A">
            <w:pPr>
              <w:rPr>
                <w:rFonts w:ascii="Times New Roman" w:hAnsi="Times New Roman"/>
                <w:sz w:val="20"/>
                <w:szCs w:val="20"/>
              </w:rPr>
            </w:pPr>
          </w:p>
        </w:tc>
      </w:tr>
      <w:tr w:rsidR="006F587A" w14:paraId="4ACE25BF" w14:textId="77777777">
        <w:tc>
          <w:tcPr>
            <w:tcW w:w="0" w:type="auto"/>
            <w:shd w:val="clear" w:color="auto" w:fill="auto"/>
            <w:tcMar>
              <w:top w:w="40" w:type="dxa"/>
              <w:left w:w="40" w:type="dxa"/>
              <w:bottom w:w="40" w:type="dxa"/>
              <w:right w:w="40" w:type="dxa"/>
            </w:tcMar>
            <w:vAlign w:val="bottom"/>
          </w:tcPr>
          <w:p w14:paraId="4ACE25B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5B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center"/>
          </w:tcPr>
          <w:p w14:paraId="4ACE25BE" w14:textId="77777777" w:rsidR="006F587A" w:rsidRDefault="006F587A">
            <w:pPr>
              <w:rPr>
                <w:rFonts w:ascii="Times New Roman" w:hAnsi="Times New Roman"/>
                <w:sz w:val="20"/>
                <w:szCs w:val="20"/>
              </w:rPr>
            </w:pPr>
          </w:p>
        </w:tc>
      </w:tr>
      <w:tr w:rsidR="006F587A" w14:paraId="4ACE25C2" w14:textId="77777777">
        <w:tc>
          <w:tcPr>
            <w:tcW w:w="0" w:type="auto"/>
            <w:gridSpan w:val="2"/>
            <w:tcBorders>
              <w:bottom w:val="single" w:sz="8" w:space="0" w:color="333333"/>
            </w:tcBorders>
            <w:shd w:val="clear" w:color="auto" w:fill="auto"/>
            <w:tcMar>
              <w:top w:w="40" w:type="dxa"/>
              <w:left w:w="40" w:type="dxa"/>
              <w:bottom w:w="40" w:type="dxa"/>
              <w:right w:w="40" w:type="dxa"/>
            </w:tcMar>
            <w:vAlign w:val="bottom"/>
          </w:tcPr>
          <w:p w14:paraId="4ACE25C0" w14:textId="77777777" w:rsidR="006F587A" w:rsidRDefault="007B2B61">
            <w:pPr>
              <w:textAlignment w:val="bottom"/>
              <w:rPr>
                <w:rFonts w:ascii="Times New Roman" w:hAnsi="Times New Roman"/>
                <w:sz w:val="20"/>
                <w:szCs w:val="20"/>
              </w:rPr>
            </w:pPr>
            <w:r>
              <w:rPr>
                <w:rFonts w:ascii="Arial" w:eastAsia="宋体" w:hAnsi="Arial" w:cs="Arial"/>
                <w:b/>
                <w:bCs/>
                <w:color w:val="0071C5"/>
                <w:sz w:val="20"/>
                <w:szCs w:val="20"/>
              </w:rPr>
              <w:t>HIGHLIGHTS AND SEGMENT IMPERATIVES</w:t>
            </w:r>
          </w:p>
        </w:tc>
        <w:tc>
          <w:tcPr>
            <w:tcW w:w="0" w:type="auto"/>
            <w:vMerge/>
            <w:shd w:val="clear" w:color="auto" w:fill="auto"/>
            <w:tcMar>
              <w:top w:w="40" w:type="dxa"/>
              <w:left w:w="40" w:type="dxa"/>
              <w:bottom w:w="40" w:type="dxa"/>
              <w:right w:w="40" w:type="dxa"/>
            </w:tcMar>
            <w:vAlign w:val="center"/>
          </w:tcPr>
          <w:p w14:paraId="4ACE25C1" w14:textId="77777777" w:rsidR="006F587A" w:rsidRDefault="006F587A">
            <w:pPr>
              <w:rPr>
                <w:rFonts w:ascii="Times New Roman" w:hAnsi="Times New Roman"/>
                <w:sz w:val="20"/>
                <w:szCs w:val="20"/>
              </w:rPr>
            </w:pPr>
          </w:p>
        </w:tc>
      </w:tr>
      <w:tr w:rsidR="006F587A" w14:paraId="4ACE25C6" w14:textId="77777777">
        <w:tc>
          <w:tcPr>
            <w:tcW w:w="0" w:type="auto"/>
            <w:shd w:val="clear" w:color="auto" w:fill="auto"/>
            <w:tcMar>
              <w:top w:w="40" w:type="dxa"/>
              <w:left w:w="40" w:type="dxa"/>
              <w:bottom w:w="40" w:type="dxa"/>
              <w:right w:w="40" w:type="dxa"/>
            </w:tcMar>
            <w:vAlign w:val="bottom"/>
          </w:tcPr>
          <w:p w14:paraId="4ACE25C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5C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tcPr>
          <w:p w14:paraId="4ACE25C5" w14:textId="77777777" w:rsidR="006F587A" w:rsidRDefault="007B2B61">
            <w:pPr>
              <w:textAlignment w:val="top"/>
              <w:rPr>
                <w:rFonts w:ascii="Times New Roman" w:hAnsi="Times New Roman"/>
                <w:sz w:val="18"/>
                <w:szCs w:val="18"/>
              </w:rPr>
            </w:pPr>
            <w:r>
              <w:rPr>
                <w:rFonts w:ascii="Arial" w:eastAsia="宋体" w:hAnsi="Arial" w:cs="Arial"/>
                <w:b/>
                <w:bCs/>
                <w:i/>
                <w:iCs/>
                <w:color w:val="333333"/>
                <w:sz w:val="18"/>
                <w:szCs w:val="18"/>
              </w:rPr>
              <w:t>"Our workload-optimized, broad portfolio strategy uniquely enables our customers to move, store, and process the world's data."</w:t>
            </w:r>
            <w:r>
              <w:rPr>
                <w:rFonts w:ascii="Arial" w:eastAsia="宋体" w:hAnsi="Arial" w:cs="Arial"/>
                <w:b/>
                <w:bCs/>
                <w:i/>
                <w:iCs/>
                <w:color w:val="333333"/>
                <w:sz w:val="18"/>
                <w:szCs w:val="18"/>
              </w:rPr>
              <w:br/>
            </w:r>
            <w:r>
              <w:rPr>
                <w:rFonts w:ascii="Arial" w:eastAsia="宋体" w:hAnsi="Arial" w:cs="Arial"/>
                <w:b/>
                <w:bCs/>
                <w:i/>
                <w:iCs/>
                <w:color w:val="333333"/>
                <w:sz w:val="18"/>
                <w:szCs w:val="18"/>
              </w:rPr>
              <w:br/>
              <w:t xml:space="preserve">—Navin Shenoy, </w:t>
            </w:r>
            <w:r>
              <w:rPr>
                <w:rFonts w:ascii="Arial" w:eastAsia="宋体" w:hAnsi="Arial" w:cs="Arial"/>
                <w:i/>
                <w:iCs/>
                <w:color w:val="333333"/>
                <w:sz w:val="18"/>
                <w:szCs w:val="18"/>
              </w:rPr>
              <w:t>Data Platforms Group</w:t>
            </w:r>
            <w:r>
              <w:rPr>
                <w:rFonts w:ascii="Arial" w:eastAsia="宋体" w:hAnsi="Arial" w:cs="Arial"/>
                <w:i/>
                <w:iCs/>
                <w:color w:val="333333"/>
                <w:sz w:val="12"/>
                <w:szCs w:val="12"/>
              </w:rPr>
              <w:t>2</w:t>
            </w:r>
            <w:r>
              <w:rPr>
                <w:rFonts w:ascii="Arial" w:eastAsia="宋体" w:hAnsi="Arial" w:cs="Arial"/>
                <w:i/>
                <w:iCs/>
                <w:color w:val="333333"/>
                <w:sz w:val="18"/>
                <w:szCs w:val="18"/>
              </w:rPr>
              <w:t> General Manager</w:t>
            </w:r>
          </w:p>
        </w:tc>
      </w:tr>
      <w:tr w:rsidR="006F587A" w14:paraId="4ACE25CA" w14:textId="77777777">
        <w:tc>
          <w:tcPr>
            <w:tcW w:w="0" w:type="auto"/>
            <w:shd w:val="clear" w:color="auto" w:fill="auto"/>
            <w:tcMar>
              <w:top w:w="40" w:type="dxa"/>
              <w:left w:w="40" w:type="dxa"/>
              <w:bottom w:w="40" w:type="dxa"/>
              <w:right w:w="40" w:type="dxa"/>
            </w:tcMar>
          </w:tcPr>
          <w:p w14:paraId="4ACE25C7" w14:textId="77777777" w:rsidR="006F587A" w:rsidRDefault="007B2B61">
            <w:pPr>
              <w:jc w:val="center"/>
              <w:textAlignment w:val="top"/>
              <w:rPr>
                <w:rFonts w:ascii="Times New Roman" w:hAnsi="Times New Roman"/>
                <w:sz w:val="18"/>
                <w:szCs w:val="18"/>
              </w:rPr>
            </w:pPr>
            <w:r>
              <w:rPr>
                <w:rFonts w:ascii="Arial" w:eastAsia="宋体" w:hAnsi="Arial" w:cs="Arial"/>
                <w:color w:val="003C71"/>
                <w:sz w:val="18"/>
                <w:szCs w:val="18"/>
              </w:rPr>
              <w:t>●</w:t>
            </w:r>
          </w:p>
        </w:tc>
        <w:tc>
          <w:tcPr>
            <w:tcW w:w="0" w:type="auto"/>
            <w:shd w:val="clear" w:color="auto" w:fill="auto"/>
            <w:tcMar>
              <w:top w:w="40" w:type="dxa"/>
              <w:left w:w="40" w:type="dxa"/>
              <w:bottom w:w="40" w:type="dxa"/>
              <w:right w:w="40" w:type="dxa"/>
            </w:tcMar>
          </w:tcPr>
          <w:p w14:paraId="4ACE25C8"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 xml:space="preserve">We </w:t>
            </w:r>
            <w:r>
              <w:rPr>
                <w:rFonts w:ascii="Arial" w:eastAsia="宋体" w:hAnsi="Arial" w:cs="Arial"/>
                <w:color w:val="333333"/>
                <w:sz w:val="18"/>
                <w:szCs w:val="18"/>
              </w:rPr>
              <w:t>delivered sweeping innovation across our data-centric product portfolio, including introduction of the 2nd generation Intel</w:t>
            </w:r>
            <w:r>
              <w:rPr>
                <w:rFonts w:ascii="Arial" w:eastAsia="宋体" w:hAnsi="Arial" w:cs="Arial"/>
                <w:color w:val="333333"/>
                <w:sz w:val="12"/>
                <w:szCs w:val="12"/>
              </w:rPr>
              <w:t xml:space="preserve">® </w:t>
            </w:r>
            <w:r>
              <w:rPr>
                <w:rFonts w:ascii="Arial" w:eastAsia="宋体" w:hAnsi="Arial" w:cs="Arial"/>
                <w:color w:val="333333"/>
                <w:sz w:val="18"/>
                <w:szCs w:val="18"/>
              </w:rPr>
              <w:t>Xeon</w:t>
            </w:r>
            <w:r>
              <w:rPr>
                <w:rFonts w:ascii="Arial" w:eastAsia="宋体" w:hAnsi="Arial" w:cs="Arial"/>
                <w:color w:val="333333"/>
                <w:sz w:val="12"/>
                <w:szCs w:val="12"/>
              </w:rPr>
              <w:t>®</w:t>
            </w:r>
            <w:r>
              <w:rPr>
                <w:rFonts w:ascii="Arial" w:eastAsia="宋体" w:hAnsi="Arial" w:cs="Arial"/>
                <w:color w:val="333333"/>
                <w:sz w:val="18"/>
                <w:szCs w:val="18"/>
              </w:rPr>
              <w:t> Scalable processor family for the data center, first market introduction of Intel</w:t>
            </w:r>
            <w:r>
              <w:rPr>
                <w:rFonts w:ascii="Arial" w:eastAsia="宋体" w:hAnsi="Arial" w:cs="Arial"/>
                <w:color w:val="333333"/>
                <w:sz w:val="12"/>
                <w:szCs w:val="12"/>
              </w:rPr>
              <w:t xml:space="preserve">® </w:t>
            </w:r>
            <w:r>
              <w:rPr>
                <w:rFonts w:ascii="Arial" w:eastAsia="宋体" w:hAnsi="Arial" w:cs="Arial"/>
                <w:color w:val="333333"/>
                <w:sz w:val="18"/>
                <w:szCs w:val="18"/>
              </w:rPr>
              <w:t>Optane</w:t>
            </w:r>
            <w:r>
              <w:rPr>
                <w:rFonts w:ascii="Arial" w:eastAsia="宋体" w:hAnsi="Arial" w:cs="Arial"/>
                <w:color w:val="333333"/>
                <w:sz w:val="12"/>
                <w:szCs w:val="12"/>
              </w:rPr>
              <w:t>TM</w:t>
            </w:r>
            <w:r>
              <w:rPr>
                <w:rFonts w:ascii="Arial" w:eastAsia="宋体" w:hAnsi="Arial" w:cs="Arial"/>
                <w:color w:val="333333"/>
                <w:sz w:val="18"/>
                <w:szCs w:val="18"/>
              </w:rPr>
              <w:t xml:space="preserve"> DC persistent memory, new </w:t>
            </w:r>
            <w:r>
              <w:rPr>
                <w:rFonts w:ascii="Arial" w:eastAsia="宋体" w:hAnsi="Arial" w:cs="Arial"/>
                <w:color w:val="333333"/>
                <w:sz w:val="18"/>
                <w:szCs w:val="18"/>
              </w:rPr>
              <w:t>Intel</w:t>
            </w:r>
            <w:r>
              <w:rPr>
                <w:rFonts w:ascii="Arial" w:eastAsia="宋体" w:hAnsi="Arial" w:cs="Arial"/>
                <w:color w:val="333333"/>
                <w:sz w:val="12"/>
                <w:szCs w:val="12"/>
              </w:rPr>
              <w:t>®</w:t>
            </w:r>
            <w:r>
              <w:rPr>
                <w:rFonts w:ascii="Arial" w:eastAsia="宋体" w:hAnsi="Arial" w:cs="Arial"/>
                <w:color w:val="333333"/>
                <w:sz w:val="18"/>
                <w:szCs w:val="18"/>
              </w:rPr>
              <w:t> Xeon</w:t>
            </w:r>
            <w:r>
              <w:rPr>
                <w:rFonts w:ascii="Arial" w:eastAsia="宋体" w:hAnsi="Arial" w:cs="Arial"/>
                <w:color w:val="333333"/>
                <w:sz w:val="12"/>
                <w:szCs w:val="12"/>
              </w:rPr>
              <w:t>®</w:t>
            </w:r>
            <w:r>
              <w:rPr>
                <w:rFonts w:ascii="Arial" w:eastAsia="宋体" w:hAnsi="Arial" w:cs="Arial"/>
                <w:color w:val="333333"/>
                <w:sz w:val="18"/>
                <w:szCs w:val="18"/>
              </w:rPr>
              <w:t> D processors, and Intel</w:t>
            </w:r>
            <w:r>
              <w:rPr>
                <w:rFonts w:ascii="Arial" w:eastAsia="宋体" w:hAnsi="Arial" w:cs="Arial"/>
                <w:color w:val="333333"/>
                <w:sz w:val="12"/>
                <w:szCs w:val="12"/>
              </w:rPr>
              <w:t>®</w:t>
            </w:r>
            <w:r>
              <w:rPr>
                <w:rFonts w:ascii="Arial" w:eastAsia="宋体" w:hAnsi="Arial" w:cs="Arial"/>
                <w:color w:val="333333"/>
                <w:sz w:val="18"/>
                <w:szCs w:val="18"/>
              </w:rPr>
              <w:t> 800 series Ethernet adapters.</w:t>
            </w:r>
          </w:p>
        </w:tc>
        <w:tc>
          <w:tcPr>
            <w:tcW w:w="0" w:type="auto"/>
            <w:vMerge/>
            <w:shd w:val="clear" w:color="auto" w:fill="auto"/>
            <w:tcMar>
              <w:top w:w="40" w:type="dxa"/>
              <w:left w:w="40" w:type="dxa"/>
              <w:bottom w:w="40" w:type="dxa"/>
              <w:right w:w="40" w:type="dxa"/>
            </w:tcMar>
          </w:tcPr>
          <w:p w14:paraId="4ACE25C9" w14:textId="77777777" w:rsidR="006F587A" w:rsidRDefault="006F587A">
            <w:pPr>
              <w:rPr>
                <w:rFonts w:ascii="Times New Roman" w:hAnsi="Times New Roman"/>
                <w:sz w:val="20"/>
                <w:szCs w:val="20"/>
              </w:rPr>
            </w:pPr>
          </w:p>
        </w:tc>
      </w:tr>
      <w:tr w:rsidR="006F587A" w14:paraId="4ACE25CE" w14:textId="77777777">
        <w:tc>
          <w:tcPr>
            <w:tcW w:w="0" w:type="auto"/>
            <w:shd w:val="clear" w:color="auto" w:fill="auto"/>
            <w:tcMar>
              <w:top w:w="40" w:type="dxa"/>
              <w:left w:w="40" w:type="dxa"/>
              <w:bottom w:w="40" w:type="dxa"/>
              <w:right w:w="40" w:type="dxa"/>
            </w:tcMar>
          </w:tcPr>
          <w:p w14:paraId="4ACE25CB" w14:textId="77777777" w:rsidR="006F587A" w:rsidRDefault="007B2B61">
            <w:pPr>
              <w:jc w:val="center"/>
              <w:textAlignment w:val="top"/>
              <w:rPr>
                <w:rFonts w:ascii="Times New Roman" w:hAnsi="Times New Roman"/>
                <w:sz w:val="18"/>
                <w:szCs w:val="18"/>
              </w:rPr>
            </w:pPr>
            <w:r>
              <w:rPr>
                <w:rFonts w:ascii="Arial" w:eastAsia="宋体" w:hAnsi="Arial" w:cs="Arial"/>
                <w:color w:val="003C71"/>
                <w:sz w:val="18"/>
                <w:szCs w:val="18"/>
              </w:rPr>
              <w:t>●</w:t>
            </w:r>
          </w:p>
        </w:tc>
        <w:tc>
          <w:tcPr>
            <w:tcW w:w="0" w:type="auto"/>
            <w:shd w:val="clear" w:color="auto" w:fill="auto"/>
            <w:tcMar>
              <w:top w:w="40" w:type="dxa"/>
              <w:left w:w="40" w:type="dxa"/>
              <w:bottom w:w="40" w:type="dxa"/>
              <w:right w:w="40" w:type="dxa"/>
            </w:tcMar>
          </w:tcPr>
          <w:p w14:paraId="4ACE25CC"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Adjacent products saw double-digit revenue growth primarily due to Intel</w:t>
            </w:r>
            <w:r>
              <w:rPr>
                <w:rFonts w:ascii="Arial" w:eastAsia="宋体" w:hAnsi="Arial" w:cs="Arial"/>
                <w:color w:val="333333"/>
                <w:sz w:val="12"/>
                <w:szCs w:val="12"/>
              </w:rPr>
              <w:t xml:space="preserve">® </w:t>
            </w:r>
            <w:r>
              <w:rPr>
                <w:rFonts w:ascii="Arial" w:eastAsia="宋体" w:hAnsi="Arial" w:cs="Arial"/>
                <w:color w:val="333333"/>
                <w:sz w:val="18"/>
                <w:szCs w:val="18"/>
              </w:rPr>
              <w:t>Silicon Photonics and Intel</w:t>
            </w:r>
            <w:r>
              <w:rPr>
                <w:rFonts w:ascii="Arial" w:eastAsia="宋体" w:hAnsi="Arial" w:cs="Arial"/>
                <w:color w:val="333333"/>
                <w:sz w:val="12"/>
                <w:szCs w:val="12"/>
              </w:rPr>
              <w:t xml:space="preserve">® </w:t>
            </w:r>
            <w:r>
              <w:rPr>
                <w:rFonts w:ascii="Arial" w:eastAsia="宋体" w:hAnsi="Arial" w:cs="Arial"/>
                <w:color w:val="333333"/>
                <w:sz w:val="18"/>
                <w:szCs w:val="18"/>
              </w:rPr>
              <w:t>Optane</w:t>
            </w:r>
            <w:r>
              <w:rPr>
                <w:rFonts w:ascii="Arial" w:eastAsia="宋体" w:hAnsi="Arial" w:cs="Arial"/>
                <w:color w:val="333333"/>
                <w:sz w:val="12"/>
                <w:szCs w:val="12"/>
              </w:rPr>
              <w:t>TM</w:t>
            </w:r>
            <w:r>
              <w:rPr>
                <w:rFonts w:ascii="Arial" w:eastAsia="宋体" w:hAnsi="Arial" w:cs="Arial"/>
                <w:color w:val="333333"/>
                <w:sz w:val="18"/>
                <w:szCs w:val="18"/>
              </w:rPr>
              <w:t> DC persistent memory.</w:t>
            </w:r>
          </w:p>
        </w:tc>
        <w:tc>
          <w:tcPr>
            <w:tcW w:w="0" w:type="auto"/>
            <w:vMerge/>
            <w:shd w:val="clear" w:color="auto" w:fill="auto"/>
            <w:tcMar>
              <w:top w:w="40" w:type="dxa"/>
              <w:left w:w="40" w:type="dxa"/>
              <w:bottom w:w="40" w:type="dxa"/>
              <w:right w:w="40" w:type="dxa"/>
            </w:tcMar>
          </w:tcPr>
          <w:p w14:paraId="4ACE25CD" w14:textId="77777777" w:rsidR="006F587A" w:rsidRDefault="006F587A">
            <w:pPr>
              <w:rPr>
                <w:rFonts w:ascii="Times New Roman" w:hAnsi="Times New Roman"/>
                <w:sz w:val="20"/>
                <w:szCs w:val="20"/>
              </w:rPr>
            </w:pPr>
          </w:p>
        </w:tc>
      </w:tr>
      <w:tr w:rsidR="006F587A" w14:paraId="4ACE25D2" w14:textId="77777777">
        <w:tc>
          <w:tcPr>
            <w:tcW w:w="0" w:type="auto"/>
            <w:shd w:val="clear" w:color="auto" w:fill="auto"/>
            <w:tcMar>
              <w:top w:w="40" w:type="dxa"/>
              <w:left w:w="40" w:type="dxa"/>
              <w:bottom w:w="40" w:type="dxa"/>
              <w:right w:w="40" w:type="dxa"/>
            </w:tcMar>
          </w:tcPr>
          <w:p w14:paraId="4ACE25CF" w14:textId="77777777" w:rsidR="006F587A" w:rsidRDefault="007B2B61">
            <w:pPr>
              <w:jc w:val="center"/>
              <w:textAlignment w:val="top"/>
              <w:rPr>
                <w:rFonts w:ascii="Times New Roman" w:hAnsi="Times New Roman"/>
                <w:sz w:val="18"/>
                <w:szCs w:val="18"/>
              </w:rPr>
            </w:pPr>
            <w:r>
              <w:rPr>
                <w:rFonts w:ascii="Arial" w:eastAsia="宋体" w:hAnsi="Arial" w:cs="Arial"/>
                <w:color w:val="003C71"/>
                <w:sz w:val="18"/>
                <w:szCs w:val="18"/>
              </w:rPr>
              <w:t>●</w:t>
            </w:r>
          </w:p>
        </w:tc>
        <w:tc>
          <w:tcPr>
            <w:tcW w:w="0" w:type="auto"/>
            <w:shd w:val="clear" w:color="auto" w:fill="auto"/>
            <w:tcMar>
              <w:top w:w="40" w:type="dxa"/>
              <w:left w:w="40" w:type="dxa"/>
              <w:bottom w:w="40" w:type="dxa"/>
              <w:right w:w="40" w:type="dxa"/>
            </w:tcMar>
          </w:tcPr>
          <w:p w14:paraId="4ACE25D0"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 xml:space="preserve">DCG has significant opportunities in </w:t>
            </w:r>
            <w:r>
              <w:rPr>
                <w:rFonts w:ascii="Arial" w:eastAsia="宋体" w:hAnsi="Arial" w:cs="Arial"/>
                <w:color w:val="333333"/>
                <w:sz w:val="18"/>
                <w:szCs w:val="18"/>
              </w:rPr>
              <w:t>cloud, networking, AI, and data analytics. As we broadened our product offerings and continued to innovate, the data center market TAM</w:t>
            </w:r>
            <w:r>
              <w:rPr>
                <w:rFonts w:ascii="Arial" w:eastAsia="宋体" w:hAnsi="Arial" w:cs="Arial"/>
                <w:color w:val="333333"/>
                <w:sz w:val="12"/>
                <w:szCs w:val="12"/>
              </w:rPr>
              <w:t>1</w:t>
            </w:r>
            <w:r>
              <w:rPr>
                <w:rFonts w:ascii="Arial" w:eastAsia="宋体" w:hAnsi="Arial" w:cs="Arial"/>
                <w:color w:val="333333"/>
                <w:sz w:val="18"/>
                <w:szCs w:val="18"/>
              </w:rPr>
              <w:t> is expected to grow to approximately $90 billion by 2024.</w:t>
            </w:r>
          </w:p>
        </w:tc>
        <w:tc>
          <w:tcPr>
            <w:tcW w:w="0" w:type="auto"/>
            <w:vMerge/>
            <w:shd w:val="clear" w:color="auto" w:fill="auto"/>
            <w:tcMar>
              <w:top w:w="40" w:type="dxa"/>
              <w:left w:w="40" w:type="dxa"/>
              <w:bottom w:w="40" w:type="dxa"/>
              <w:right w:w="40" w:type="dxa"/>
            </w:tcMar>
          </w:tcPr>
          <w:p w14:paraId="4ACE25D1" w14:textId="77777777" w:rsidR="006F587A" w:rsidRDefault="006F587A">
            <w:pPr>
              <w:rPr>
                <w:rFonts w:ascii="Times New Roman" w:hAnsi="Times New Roman"/>
                <w:sz w:val="20"/>
                <w:szCs w:val="20"/>
              </w:rPr>
            </w:pPr>
          </w:p>
        </w:tc>
      </w:tr>
      <w:tr w:rsidR="006F587A" w14:paraId="4ACE25D6" w14:textId="77777777">
        <w:tc>
          <w:tcPr>
            <w:tcW w:w="0" w:type="auto"/>
            <w:shd w:val="clear" w:color="auto" w:fill="auto"/>
            <w:tcMar>
              <w:top w:w="40" w:type="dxa"/>
              <w:left w:w="40" w:type="dxa"/>
              <w:bottom w:w="40" w:type="dxa"/>
              <w:right w:w="40" w:type="dxa"/>
            </w:tcMar>
            <w:vAlign w:val="bottom"/>
          </w:tcPr>
          <w:p w14:paraId="4ACE25D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5D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tcPr>
          <w:p w14:paraId="4ACE25D5" w14:textId="77777777" w:rsidR="006F587A" w:rsidRDefault="006F587A">
            <w:pPr>
              <w:rPr>
                <w:rFonts w:ascii="Times New Roman" w:hAnsi="Times New Roman"/>
                <w:sz w:val="20"/>
                <w:szCs w:val="20"/>
              </w:rPr>
            </w:pPr>
          </w:p>
        </w:tc>
      </w:tr>
    </w:tbl>
    <w:p w14:paraId="4ACE25D7" w14:textId="77777777" w:rsidR="006F587A" w:rsidRDefault="006F587A">
      <w:pPr>
        <w:rPr>
          <w:vanish/>
        </w:rPr>
      </w:pPr>
    </w:p>
    <w:tbl>
      <w:tblPr>
        <w:tblW w:w="14640" w:type="dxa"/>
        <w:tblCellMar>
          <w:left w:w="0" w:type="dxa"/>
          <w:right w:w="0" w:type="dxa"/>
        </w:tblCellMar>
        <w:tblLook w:val="04A0" w:firstRow="1" w:lastRow="0" w:firstColumn="1" w:lastColumn="0" w:noHBand="0" w:noVBand="1"/>
      </w:tblPr>
      <w:tblGrid>
        <w:gridCol w:w="14640"/>
      </w:tblGrid>
      <w:tr w:rsidR="006F587A" w14:paraId="4ACE25D9" w14:textId="77777777">
        <w:tc>
          <w:tcPr>
            <w:tcW w:w="0" w:type="auto"/>
            <w:shd w:val="clear" w:color="auto" w:fill="auto"/>
            <w:vAlign w:val="center"/>
          </w:tcPr>
          <w:p w14:paraId="4ACE25D8" w14:textId="77777777" w:rsidR="006F587A" w:rsidRDefault="006F587A">
            <w:pPr>
              <w:rPr>
                <w:rFonts w:ascii="Times New Roman" w:hAnsi="Times New Roman"/>
                <w:sz w:val="20"/>
                <w:szCs w:val="20"/>
              </w:rPr>
            </w:pPr>
          </w:p>
        </w:tc>
      </w:tr>
      <w:tr w:rsidR="006F587A" w14:paraId="4ACE25DB" w14:textId="77777777">
        <w:tc>
          <w:tcPr>
            <w:tcW w:w="14640" w:type="dxa"/>
            <w:shd w:val="clear" w:color="auto" w:fill="auto"/>
            <w:vAlign w:val="center"/>
          </w:tcPr>
          <w:p w14:paraId="4ACE25DA" w14:textId="77777777" w:rsidR="006F587A" w:rsidRDefault="006F587A">
            <w:pPr>
              <w:rPr>
                <w:rFonts w:ascii="Times New Roman" w:hAnsi="Times New Roman"/>
                <w:sz w:val="20"/>
                <w:szCs w:val="20"/>
              </w:rPr>
            </w:pPr>
          </w:p>
        </w:tc>
      </w:tr>
      <w:tr w:rsidR="006F587A" w14:paraId="4ACE25DD" w14:textId="77777777">
        <w:tc>
          <w:tcPr>
            <w:tcW w:w="0" w:type="auto"/>
            <w:tcBorders>
              <w:bottom w:val="single" w:sz="8" w:space="0" w:color="333333"/>
            </w:tcBorders>
            <w:shd w:val="clear" w:color="auto" w:fill="auto"/>
            <w:tcMar>
              <w:top w:w="40" w:type="dxa"/>
              <w:left w:w="40" w:type="dxa"/>
              <w:bottom w:w="40" w:type="dxa"/>
              <w:right w:w="40" w:type="dxa"/>
            </w:tcMar>
            <w:vAlign w:val="bottom"/>
          </w:tcPr>
          <w:p w14:paraId="4ACE25DC" w14:textId="77777777" w:rsidR="006F587A" w:rsidRDefault="007B2B61">
            <w:pPr>
              <w:textAlignment w:val="bottom"/>
              <w:rPr>
                <w:rFonts w:ascii="Times New Roman" w:hAnsi="Times New Roman"/>
                <w:sz w:val="20"/>
                <w:szCs w:val="20"/>
              </w:rPr>
            </w:pPr>
            <w:r>
              <w:rPr>
                <w:rFonts w:ascii="Arial" w:eastAsia="宋体" w:hAnsi="Arial" w:cs="Arial"/>
                <w:b/>
                <w:bCs/>
                <w:color w:val="0071C5"/>
                <w:sz w:val="20"/>
                <w:szCs w:val="20"/>
              </w:rPr>
              <w:t>5-YEAR TRENDS</w:t>
            </w:r>
          </w:p>
        </w:tc>
      </w:tr>
    </w:tbl>
    <w:p w14:paraId="4ACE25DE" w14:textId="77777777" w:rsidR="006F587A" w:rsidRDefault="007B2B61">
      <w:pPr>
        <w:spacing w:line="288" w:lineRule="auto"/>
        <w:ind w:firstLine="960"/>
        <w:rPr>
          <w:rFonts w:ascii="Times New Roman" w:hAnsi="Times New Roman"/>
          <w:sz w:val="18"/>
          <w:szCs w:val="18"/>
        </w:rPr>
      </w:pP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Viewer12_files/chart9_dcg5yrrevenue.jpg"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CBE" wp14:editId="4ACE6CBF">
            <wp:extent cx="304800" cy="304800"/>
            <wp:effectExtent l="0" t="0" r="0" b="0"/>
            <wp:docPr id="69" name="图片 126"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26" descr="IMG_32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/INTEL/./Inline XBRL Viewer12_files/chart</w:instrText>
      </w:r>
      <w:r>
        <w:rPr>
          <w:rFonts w:ascii="Times New Roman" w:eastAsia="宋体" w:hAnsi="Times New Roman"/>
          <w:sz w:val="18"/>
          <w:szCs w:val="18"/>
        </w:rPr>
        <w:instrText xml:space="preserve">10_dcg5yropincome.jpg"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CC0" wp14:editId="4ACE6CC1">
            <wp:extent cx="304800" cy="304800"/>
            <wp:effectExtent l="0" t="0" r="0" b="0"/>
            <wp:docPr id="107" name="图片 127"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27" descr="IMG_33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p>
    <w:p w14:paraId="4ACE25DF" w14:textId="77777777" w:rsidR="006F587A" w:rsidRDefault="007B2B61">
      <w:pPr>
        <w:spacing w:line="288" w:lineRule="auto"/>
        <w:ind w:firstLine="960"/>
        <w:rPr>
          <w:rFonts w:ascii="Times New Roman" w:hAnsi="Times New Roman"/>
          <w:sz w:val="20"/>
          <w:szCs w:val="20"/>
        </w:rPr>
      </w:pPr>
      <w:r>
        <w:rPr>
          <w:rFonts w:ascii="Arial" w:eastAsia="宋体" w:hAnsi="Arial" w:cs="Arial"/>
          <w:color w:val="333333"/>
          <w:sz w:val="18"/>
          <w:szCs w:val="18"/>
        </w:rPr>
        <w:t>    </w:t>
      </w:r>
    </w:p>
    <w:tbl>
      <w:tblPr>
        <w:tblW w:w="14380" w:type="dxa"/>
        <w:tblCellMar>
          <w:left w:w="0" w:type="dxa"/>
          <w:right w:w="0" w:type="dxa"/>
        </w:tblCellMar>
        <w:tblLook w:val="04A0" w:firstRow="1" w:lastRow="0" w:firstColumn="1" w:lastColumn="0" w:noHBand="0" w:noVBand="1"/>
      </w:tblPr>
      <w:tblGrid>
        <w:gridCol w:w="1646"/>
        <w:gridCol w:w="1808"/>
        <w:gridCol w:w="2671"/>
        <w:gridCol w:w="2531"/>
        <w:gridCol w:w="2089"/>
        <w:gridCol w:w="3233"/>
        <w:gridCol w:w="402"/>
      </w:tblGrid>
      <w:tr w:rsidR="006F587A" w14:paraId="4ACE25E1" w14:textId="77777777">
        <w:tc>
          <w:tcPr>
            <w:tcW w:w="0" w:type="auto"/>
            <w:gridSpan w:val="7"/>
            <w:shd w:val="clear" w:color="auto" w:fill="auto"/>
            <w:vAlign w:val="center"/>
          </w:tcPr>
          <w:p w14:paraId="4ACE25E0" w14:textId="77777777" w:rsidR="006F587A" w:rsidRDefault="006F587A">
            <w:pPr>
              <w:rPr>
                <w:rFonts w:ascii="Times New Roman" w:hAnsi="Times New Roman"/>
                <w:sz w:val="20"/>
                <w:szCs w:val="20"/>
              </w:rPr>
            </w:pPr>
          </w:p>
        </w:tc>
      </w:tr>
      <w:tr w:rsidR="006F587A" w14:paraId="4ACE25E9" w14:textId="77777777">
        <w:tc>
          <w:tcPr>
            <w:tcW w:w="1640" w:type="dxa"/>
            <w:shd w:val="clear" w:color="auto" w:fill="auto"/>
            <w:vAlign w:val="center"/>
          </w:tcPr>
          <w:p w14:paraId="4ACE25E2" w14:textId="77777777" w:rsidR="006F587A" w:rsidRDefault="006F587A">
            <w:pPr>
              <w:rPr>
                <w:rFonts w:ascii="Times New Roman" w:hAnsi="Times New Roman"/>
                <w:sz w:val="20"/>
                <w:szCs w:val="20"/>
              </w:rPr>
            </w:pPr>
          </w:p>
        </w:tc>
        <w:tc>
          <w:tcPr>
            <w:tcW w:w="1800" w:type="dxa"/>
            <w:shd w:val="clear" w:color="auto" w:fill="auto"/>
            <w:vAlign w:val="center"/>
          </w:tcPr>
          <w:p w14:paraId="4ACE25E3" w14:textId="77777777" w:rsidR="006F587A" w:rsidRDefault="006F587A">
            <w:pPr>
              <w:rPr>
                <w:rFonts w:ascii="Times New Roman" w:hAnsi="Times New Roman"/>
                <w:sz w:val="20"/>
                <w:szCs w:val="20"/>
              </w:rPr>
            </w:pPr>
          </w:p>
        </w:tc>
        <w:tc>
          <w:tcPr>
            <w:tcW w:w="2660" w:type="dxa"/>
            <w:shd w:val="clear" w:color="auto" w:fill="auto"/>
            <w:vAlign w:val="center"/>
          </w:tcPr>
          <w:p w14:paraId="4ACE25E4" w14:textId="77777777" w:rsidR="006F587A" w:rsidRDefault="006F587A">
            <w:pPr>
              <w:rPr>
                <w:rFonts w:ascii="Times New Roman" w:hAnsi="Times New Roman"/>
                <w:sz w:val="20"/>
                <w:szCs w:val="20"/>
              </w:rPr>
            </w:pPr>
          </w:p>
        </w:tc>
        <w:tc>
          <w:tcPr>
            <w:tcW w:w="2520" w:type="dxa"/>
            <w:shd w:val="clear" w:color="auto" w:fill="auto"/>
            <w:vAlign w:val="center"/>
          </w:tcPr>
          <w:p w14:paraId="4ACE25E5" w14:textId="77777777" w:rsidR="006F587A" w:rsidRDefault="006F587A">
            <w:pPr>
              <w:rPr>
                <w:rFonts w:ascii="Times New Roman" w:hAnsi="Times New Roman"/>
                <w:sz w:val="20"/>
                <w:szCs w:val="20"/>
              </w:rPr>
            </w:pPr>
          </w:p>
        </w:tc>
        <w:tc>
          <w:tcPr>
            <w:tcW w:w="2080" w:type="dxa"/>
            <w:shd w:val="clear" w:color="auto" w:fill="auto"/>
            <w:vAlign w:val="center"/>
          </w:tcPr>
          <w:p w14:paraId="4ACE25E6" w14:textId="77777777" w:rsidR="006F587A" w:rsidRDefault="006F587A">
            <w:pPr>
              <w:rPr>
                <w:rFonts w:ascii="Times New Roman" w:hAnsi="Times New Roman"/>
                <w:sz w:val="20"/>
                <w:szCs w:val="20"/>
              </w:rPr>
            </w:pPr>
          </w:p>
        </w:tc>
        <w:tc>
          <w:tcPr>
            <w:tcW w:w="3220" w:type="dxa"/>
            <w:shd w:val="clear" w:color="auto" w:fill="auto"/>
            <w:vAlign w:val="center"/>
          </w:tcPr>
          <w:p w14:paraId="4ACE25E7" w14:textId="77777777" w:rsidR="006F587A" w:rsidRDefault="006F587A">
            <w:pPr>
              <w:rPr>
                <w:rFonts w:ascii="Times New Roman" w:hAnsi="Times New Roman"/>
                <w:sz w:val="20"/>
                <w:szCs w:val="20"/>
              </w:rPr>
            </w:pPr>
          </w:p>
        </w:tc>
        <w:tc>
          <w:tcPr>
            <w:tcW w:w="400" w:type="dxa"/>
            <w:shd w:val="clear" w:color="auto" w:fill="auto"/>
            <w:vAlign w:val="center"/>
          </w:tcPr>
          <w:p w14:paraId="4ACE25E8" w14:textId="77777777" w:rsidR="006F587A" w:rsidRDefault="006F587A">
            <w:pPr>
              <w:rPr>
                <w:rFonts w:ascii="Times New Roman" w:hAnsi="Times New Roman"/>
                <w:sz w:val="20"/>
                <w:szCs w:val="20"/>
              </w:rPr>
            </w:pPr>
          </w:p>
        </w:tc>
      </w:tr>
      <w:tr w:rsidR="006F587A" w14:paraId="4ACE25F2" w14:textId="77777777">
        <w:tc>
          <w:tcPr>
            <w:tcW w:w="0" w:type="auto"/>
            <w:shd w:val="clear" w:color="auto" w:fill="auto"/>
            <w:tcMar>
              <w:top w:w="40" w:type="dxa"/>
              <w:left w:w="40" w:type="dxa"/>
              <w:bottom w:w="40" w:type="dxa"/>
              <w:right w:w="40" w:type="dxa"/>
            </w:tcMar>
            <w:vAlign w:val="bottom"/>
          </w:tcPr>
          <w:p w14:paraId="4ACE25E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25EB" w14:textId="77777777" w:rsidR="006F587A" w:rsidRDefault="007B2B61">
            <w:pPr>
              <w:textAlignment w:val="top"/>
              <w:rPr>
                <w:rFonts w:ascii="Times New Roman" w:hAnsi="Times New Roman"/>
                <w:sz w:val="16"/>
                <w:szCs w:val="16"/>
              </w:rPr>
            </w:pPr>
            <w:r>
              <w:rPr>
                <w:rFonts w:ascii="Arial" w:eastAsia="宋体" w:hAnsi="Arial" w:cs="Arial"/>
                <w:color w:val="003C71"/>
                <w:sz w:val="16"/>
                <w:szCs w:val="16"/>
              </w:rPr>
              <w:t xml:space="preserve">■ </w:t>
            </w:r>
            <w:r>
              <w:rPr>
                <w:rFonts w:ascii="Arial" w:eastAsia="宋体" w:hAnsi="Arial" w:cs="Arial"/>
                <w:color w:val="333333"/>
                <w:sz w:val="16"/>
                <w:szCs w:val="16"/>
              </w:rPr>
              <w:t>Revenue $B</w:t>
            </w:r>
          </w:p>
        </w:tc>
        <w:tc>
          <w:tcPr>
            <w:tcW w:w="0" w:type="auto"/>
            <w:shd w:val="clear" w:color="auto" w:fill="auto"/>
            <w:tcMar>
              <w:top w:w="40" w:type="dxa"/>
              <w:left w:w="40" w:type="dxa"/>
              <w:bottom w:w="40" w:type="dxa"/>
              <w:right w:w="40" w:type="dxa"/>
            </w:tcMar>
          </w:tcPr>
          <w:p w14:paraId="4ACE25EC" w14:textId="77777777" w:rsidR="006F587A" w:rsidRDefault="007B2B61">
            <w:pPr>
              <w:textAlignment w:val="top"/>
              <w:rPr>
                <w:rFonts w:ascii="Times New Roman" w:hAnsi="Times New Roman"/>
                <w:sz w:val="16"/>
                <w:szCs w:val="16"/>
              </w:rPr>
            </w:pPr>
            <w:r>
              <w:rPr>
                <w:rFonts w:ascii="Arial" w:eastAsia="宋体" w:hAnsi="Arial" w:cs="Arial"/>
                <w:b/>
                <w:bCs/>
                <w:color w:val="FAAC16"/>
                <w:sz w:val="16"/>
                <w:szCs w:val="16"/>
              </w:rPr>
              <w:t xml:space="preserve">— </w:t>
            </w:r>
            <w:r>
              <w:rPr>
                <w:rFonts w:ascii="Arial" w:eastAsia="宋体" w:hAnsi="Arial" w:cs="Arial"/>
                <w:color w:val="333333"/>
                <w:sz w:val="16"/>
                <w:szCs w:val="16"/>
              </w:rPr>
              <w:t>Year over Year Growth</w:t>
            </w:r>
          </w:p>
        </w:tc>
        <w:tc>
          <w:tcPr>
            <w:tcW w:w="0" w:type="auto"/>
            <w:shd w:val="clear" w:color="auto" w:fill="auto"/>
            <w:tcMar>
              <w:top w:w="40" w:type="dxa"/>
              <w:left w:w="40" w:type="dxa"/>
              <w:bottom w:w="40" w:type="dxa"/>
              <w:right w:w="40" w:type="dxa"/>
            </w:tcMar>
            <w:vAlign w:val="bottom"/>
          </w:tcPr>
          <w:p w14:paraId="4ACE25E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25EE" w14:textId="77777777" w:rsidR="006F587A" w:rsidRDefault="007B2B61">
            <w:pPr>
              <w:textAlignment w:val="top"/>
              <w:rPr>
                <w:rFonts w:ascii="Times New Roman" w:hAnsi="Times New Roman"/>
                <w:sz w:val="16"/>
                <w:szCs w:val="16"/>
              </w:rPr>
            </w:pPr>
            <w:r>
              <w:rPr>
                <w:rFonts w:ascii="Arial" w:eastAsia="宋体" w:hAnsi="Arial" w:cs="Arial"/>
                <w:color w:val="00AEEF"/>
                <w:sz w:val="16"/>
                <w:szCs w:val="16"/>
              </w:rPr>
              <w:t>■</w:t>
            </w:r>
            <w:r>
              <w:rPr>
                <w:rFonts w:ascii="Arial" w:eastAsia="宋体" w:hAnsi="Arial" w:cs="Arial"/>
                <w:color w:val="333333"/>
                <w:sz w:val="16"/>
                <w:szCs w:val="16"/>
              </w:rPr>
              <w:t> Op Income $B</w:t>
            </w:r>
          </w:p>
        </w:tc>
        <w:tc>
          <w:tcPr>
            <w:tcW w:w="0" w:type="auto"/>
            <w:shd w:val="clear" w:color="auto" w:fill="auto"/>
            <w:tcMar>
              <w:top w:w="40" w:type="dxa"/>
              <w:left w:w="40" w:type="dxa"/>
              <w:bottom w:w="40" w:type="dxa"/>
              <w:right w:w="40" w:type="dxa"/>
            </w:tcMar>
          </w:tcPr>
          <w:p w14:paraId="4ACE25EF" w14:textId="77777777" w:rsidR="006F587A" w:rsidRDefault="007B2B61">
            <w:pPr>
              <w:textAlignment w:val="top"/>
              <w:rPr>
                <w:rFonts w:ascii="Times New Roman" w:hAnsi="Times New Roman"/>
                <w:sz w:val="16"/>
                <w:szCs w:val="16"/>
              </w:rPr>
            </w:pPr>
            <w:r>
              <w:rPr>
                <w:rFonts w:ascii="Arial" w:eastAsia="宋体" w:hAnsi="Arial" w:cs="Arial"/>
                <w:b/>
                <w:bCs/>
                <w:color w:val="FAAC16"/>
                <w:sz w:val="16"/>
                <w:szCs w:val="16"/>
              </w:rPr>
              <w:t xml:space="preserve">— </w:t>
            </w:r>
            <w:r>
              <w:rPr>
                <w:rFonts w:ascii="Arial" w:eastAsia="宋体" w:hAnsi="Arial" w:cs="Arial"/>
                <w:color w:val="333333"/>
                <w:sz w:val="16"/>
                <w:szCs w:val="16"/>
              </w:rPr>
              <w:t>Year over Year Growth</w:t>
            </w:r>
          </w:p>
          <w:p w14:paraId="4ACE25F0" w14:textId="77777777" w:rsidR="006F587A" w:rsidRDefault="006F587A">
            <w:pPr>
              <w:textAlignment w:val="top"/>
              <w:rPr>
                <w:rFonts w:ascii="Times New Roman" w:hAnsi="Times New Roman"/>
                <w:sz w:val="16"/>
                <w:szCs w:val="16"/>
              </w:rPr>
            </w:pPr>
          </w:p>
        </w:tc>
        <w:tc>
          <w:tcPr>
            <w:tcW w:w="0" w:type="auto"/>
            <w:shd w:val="clear" w:color="auto" w:fill="auto"/>
            <w:tcMar>
              <w:top w:w="40" w:type="dxa"/>
              <w:left w:w="40" w:type="dxa"/>
              <w:bottom w:w="40" w:type="dxa"/>
              <w:right w:w="40" w:type="dxa"/>
            </w:tcMar>
            <w:vAlign w:val="bottom"/>
          </w:tcPr>
          <w:p w14:paraId="4ACE25F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bl>
    <w:p w14:paraId="4ACE25F3" w14:textId="77777777" w:rsidR="006F587A" w:rsidRDefault="007B2B61">
      <w:pPr>
        <w:spacing w:line="288" w:lineRule="auto"/>
        <w:rPr>
          <w:rFonts w:ascii="Times New Roman" w:hAnsi="Times New Roman"/>
          <w:sz w:val="16"/>
          <w:szCs w:val="16"/>
        </w:rPr>
      </w:pPr>
      <w:r>
        <w:rPr>
          <w:rFonts w:ascii="Arial" w:eastAsia="宋体" w:hAnsi="Arial" w:cs="Arial"/>
          <w:i/>
          <w:iCs/>
          <w:color w:val="333333"/>
          <w:sz w:val="10"/>
          <w:szCs w:val="10"/>
        </w:rPr>
        <w:t xml:space="preserve">1 </w:t>
      </w:r>
      <w:r>
        <w:rPr>
          <w:rFonts w:ascii="Arial" w:eastAsia="宋体" w:hAnsi="Arial" w:cs="Arial"/>
          <w:i/>
          <w:iCs/>
          <w:color w:val="333333"/>
          <w:sz w:val="16"/>
          <w:szCs w:val="16"/>
        </w:rPr>
        <w:t>Source: Intel calculated 2024 TAM derived from industry analyst reports.</w:t>
      </w:r>
    </w:p>
    <w:p w14:paraId="4ACE25F4" w14:textId="77777777" w:rsidR="006F587A" w:rsidRDefault="007B2B61">
      <w:pPr>
        <w:spacing w:line="288" w:lineRule="auto"/>
        <w:rPr>
          <w:rFonts w:ascii="Times New Roman" w:hAnsi="Times New Roman"/>
          <w:sz w:val="16"/>
          <w:szCs w:val="16"/>
        </w:rPr>
      </w:pPr>
      <w:r>
        <w:rPr>
          <w:rFonts w:ascii="Arial" w:eastAsia="宋体" w:hAnsi="Arial" w:cs="Arial"/>
          <w:i/>
          <w:iCs/>
          <w:color w:val="333333"/>
          <w:sz w:val="10"/>
          <w:szCs w:val="10"/>
        </w:rPr>
        <w:t xml:space="preserve">2 </w:t>
      </w:r>
      <w:r>
        <w:rPr>
          <w:rFonts w:ascii="Arial" w:eastAsia="宋体" w:hAnsi="Arial" w:cs="Arial"/>
          <w:i/>
          <w:iCs/>
          <w:color w:val="333333"/>
          <w:sz w:val="16"/>
          <w:szCs w:val="16"/>
        </w:rPr>
        <w:t xml:space="preserve">Our Data Platforms Group </w:t>
      </w:r>
      <w:r>
        <w:rPr>
          <w:rFonts w:ascii="Arial" w:eastAsia="宋体" w:hAnsi="Arial" w:cs="Arial"/>
          <w:i/>
          <w:iCs/>
          <w:color w:val="333333"/>
          <w:sz w:val="16"/>
          <w:szCs w:val="16"/>
        </w:rPr>
        <w:t>includes our DCG segment. See "Information About Our Executive Officers" within Other Key Information for more details.</w:t>
      </w:r>
    </w:p>
    <w:p w14:paraId="4ACE25F5"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408"/>
        <w:gridCol w:w="2409"/>
        <w:gridCol w:w="3489"/>
      </w:tblGrid>
      <w:tr w:rsidR="006F587A" w14:paraId="4ACE25F7" w14:textId="77777777">
        <w:tc>
          <w:tcPr>
            <w:tcW w:w="0" w:type="auto"/>
            <w:gridSpan w:val="3"/>
            <w:shd w:val="clear" w:color="auto" w:fill="auto"/>
            <w:vAlign w:val="center"/>
          </w:tcPr>
          <w:p w14:paraId="4ACE25F6" w14:textId="77777777" w:rsidR="006F587A" w:rsidRDefault="006F587A">
            <w:pPr>
              <w:rPr>
                <w:rFonts w:ascii="Times New Roman" w:hAnsi="Times New Roman"/>
                <w:sz w:val="20"/>
                <w:szCs w:val="20"/>
              </w:rPr>
            </w:pPr>
          </w:p>
        </w:tc>
      </w:tr>
      <w:tr w:rsidR="006F587A" w14:paraId="4ACE25FB" w14:textId="77777777">
        <w:tc>
          <w:tcPr>
            <w:tcW w:w="1450" w:type="pct"/>
            <w:shd w:val="clear" w:color="auto" w:fill="auto"/>
            <w:vAlign w:val="center"/>
          </w:tcPr>
          <w:p w14:paraId="4ACE25F8" w14:textId="77777777" w:rsidR="006F587A" w:rsidRDefault="006F587A">
            <w:pPr>
              <w:rPr>
                <w:rFonts w:ascii="Times New Roman" w:hAnsi="Times New Roman"/>
                <w:sz w:val="20"/>
                <w:szCs w:val="20"/>
              </w:rPr>
            </w:pPr>
          </w:p>
        </w:tc>
        <w:tc>
          <w:tcPr>
            <w:tcW w:w="1450" w:type="pct"/>
            <w:shd w:val="clear" w:color="auto" w:fill="auto"/>
            <w:vAlign w:val="center"/>
          </w:tcPr>
          <w:p w14:paraId="4ACE25F9" w14:textId="77777777" w:rsidR="006F587A" w:rsidRDefault="006F587A">
            <w:pPr>
              <w:rPr>
                <w:rFonts w:ascii="Times New Roman" w:hAnsi="Times New Roman"/>
                <w:sz w:val="20"/>
                <w:szCs w:val="20"/>
              </w:rPr>
            </w:pPr>
          </w:p>
        </w:tc>
        <w:tc>
          <w:tcPr>
            <w:tcW w:w="2100" w:type="pct"/>
            <w:shd w:val="clear" w:color="auto" w:fill="auto"/>
            <w:vAlign w:val="center"/>
          </w:tcPr>
          <w:p w14:paraId="4ACE25FA" w14:textId="77777777" w:rsidR="006F587A" w:rsidRDefault="006F587A">
            <w:pPr>
              <w:rPr>
                <w:rFonts w:ascii="Times New Roman" w:hAnsi="Times New Roman"/>
                <w:sz w:val="20"/>
                <w:szCs w:val="20"/>
              </w:rPr>
            </w:pPr>
          </w:p>
        </w:tc>
      </w:tr>
      <w:tr w:rsidR="006F587A" w14:paraId="4ACE25FF"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25FC" w14:textId="77777777" w:rsidR="006F587A" w:rsidRDefault="007B2B61">
            <w:pPr>
              <w:textAlignment w:val="center"/>
              <w:rPr>
                <w:rFonts w:ascii="Times New Roman" w:hAnsi="Times New Roman"/>
                <w:sz w:val="18"/>
                <w:szCs w:val="18"/>
              </w:rPr>
            </w:pP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Viewer12_files/a001intellogo_coverfooter.jpg"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CC2" wp14:editId="4ACE6CC3">
                  <wp:extent cx="304800" cy="304800"/>
                  <wp:effectExtent l="0" t="0" r="0" b="0"/>
                  <wp:docPr id="109" name="图片 128"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28"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r>
              <w:rPr>
                <w:rFonts w:ascii="Arial" w:eastAsia="宋体" w:hAnsi="Arial" w:cs="Arial"/>
                <w:color w:val="333333"/>
                <w:sz w:val="18"/>
                <w:szCs w:val="18"/>
              </w:rPr>
              <w:t>  </w:t>
            </w:r>
            <w:r>
              <w:rPr>
                <w:rFonts w:ascii="Arial" w:eastAsia="宋体" w:hAnsi="Arial" w:cs="Arial"/>
                <w:color w:val="333333"/>
                <w:sz w:val="16"/>
                <w:szCs w:val="16"/>
              </w:rPr>
              <w:t>MD&amp;A</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5F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5FE"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18</w:t>
            </w:r>
          </w:p>
        </w:tc>
      </w:tr>
    </w:tbl>
    <w:p w14:paraId="4ACE2600" w14:textId="77777777" w:rsidR="006F587A" w:rsidRDefault="007B2B61">
      <w:r>
        <w:pict w14:anchorId="4ACE6CC4">
          <v:rect id="_x0000_i1044" style="width:415.3pt;height:1.5pt" o:hralign="center" o:hrstd="t" o:hr="t" fillcolor="#a0a0a0" stroked="f"/>
        </w:pict>
      </w:r>
    </w:p>
    <w:p w14:paraId="4ACE2601" w14:textId="77777777" w:rsidR="006F587A" w:rsidRDefault="007B2B61">
      <w:pPr>
        <w:spacing w:line="288" w:lineRule="auto"/>
        <w:jc w:val="right"/>
        <w:rPr>
          <w:rFonts w:ascii="Times New Roman" w:hAnsi="Times New Roman"/>
          <w:sz w:val="16"/>
          <w:szCs w:val="16"/>
        </w:rPr>
      </w:pPr>
      <w:hyperlink r:id="rId53" w:anchor="s9DB683E2CF52561EB8A73BE37F5BF9BE" w:history="1">
        <w:r>
          <w:rPr>
            <w:rStyle w:val="a5"/>
            <w:rFonts w:ascii="Arial" w:eastAsia="宋体" w:hAnsi="Arial" w:cs="Arial"/>
            <w:b/>
            <w:bCs/>
            <w:sz w:val="16"/>
            <w:szCs w:val="16"/>
          </w:rPr>
          <w:t>Table of Contents</w:t>
        </w:r>
      </w:hyperlink>
    </w:p>
    <w:p w14:paraId="4ACE2602" w14:textId="77777777" w:rsidR="006F587A" w:rsidRDefault="006F587A">
      <w:pPr>
        <w:spacing w:line="288" w:lineRule="auto"/>
        <w:jc w:val="right"/>
        <w:rPr>
          <w:rFonts w:ascii="Times New Roman" w:hAnsi="Times New Roman"/>
          <w:sz w:val="16"/>
          <w:szCs w:val="16"/>
        </w:rPr>
      </w:pPr>
    </w:p>
    <w:p w14:paraId="4ACE2603" w14:textId="77777777" w:rsidR="006F587A" w:rsidRDefault="006F587A">
      <w:pPr>
        <w:rPr>
          <w:rFonts w:ascii="Times New Roman" w:hAnsi="Times New Roman"/>
          <w:sz w:val="20"/>
          <w:szCs w:val="20"/>
        </w:rPr>
      </w:pPr>
    </w:p>
    <w:p w14:paraId="4ACE2604" w14:textId="77777777" w:rsidR="006F587A" w:rsidRDefault="007B2B61">
      <w:pPr>
        <w:spacing w:line="288" w:lineRule="auto"/>
        <w:rPr>
          <w:rFonts w:ascii="Times New Roman" w:hAnsi="Times New Roman"/>
        </w:rPr>
      </w:pPr>
      <w:r>
        <w:rPr>
          <w:rFonts w:ascii="Arial" w:eastAsia="宋体" w:hAnsi="Arial" w:cs="Arial"/>
          <w:b/>
          <w:bCs/>
          <w:color w:val="0071C5"/>
        </w:rPr>
        <w:t>MARKET AND BUSINESS OVERVIEW</w:t>
      </w:r>
    </w:p>
    <w:p w14:paraId="4ACE2605" w14:textId="77777777" w:rsidR="006F587A" w:rsidRDefault="007B2B61">
      <w:pPr>
        <w:spacing w:line="288" w:lineRule="auto"/>
        <w:rPr>
          <w:rFonts w:ascii="Times New Roman" w:hAnsi="Times New Roman"/>
          <w:sz w:val="20"/>
          <w:szCs w:val="20"/>
        </w:rPr>
      </w:pPr>
      <w:r>
        <w:rPr>
          <w:rFonts w:ascii="Arial" w:eastAsia="宋体" w:hAnsi="Arial" w:cs="Arial"/>
          <w:b/>
          <w:bCs/>
          <w:color w:val="333333"/>
          <w:sz w:val="20"/>
          <w:szCs w:val="20"/>
        </w:rPr>
        <w:t>Market trends and strategy</w:t>
      </w:r>
    </w:p>
    <w:p w14:paraId="4ACE2606"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Data is a significant force in society, and is being generated at an unprecedented pace. Data center customers want to work with partners who can deliver platforms to address their most important </w:t>
      </w:r>
      <w:r>
        <w:rPr>
          <w:rFonts w:ascii="Arial" w:eastAsia="宋体" w:hAnsi="Arial" w:cs="Arial"/>
          <w:color w:val="333333"/>
          <w:sz w:val="18"/>
          <w:szCs w:val="18"/>
        </w:rPr>
        <w:lastRenderedPageBreak/>
        <w:t>technology challenges. Additionally, as more data is generat</w:t>
      </w:r>
      <w:r>
        <w:rPr>
          <w:rFonts w:ascii="Arial" w:eastAsia="宋体" w:hAnsi="Arial" w:cs="Arial"/>
          <w:color w:val="333333"/>
          <w:sz w:val="18"/>
          <w:szCs w:val="18"/>
        </w:rPr>
        <w:t>ed, organizations are seeking to analyze data closer to point of origin, giving rise to a data-centric edge environment across industries and providers. We expect the massive growth of data worldwide will increase demand to move, store, and process data an</w:t>
      </w:r>
      <w:r>
        <w:rPr>
          <w:rFonts w:ascii="Arial" w:eastAsia="宋体" w:hAnsi="Arial" w:cs="Arial"/>
          <w:color w:val="333333"/>
          <w:sz w:val="18"/>
          <w:szCs w:val="18"/>
        </w:rPr>
        <w:t>d extract value from data. We are one of the few companies that touches every part of the data-centric compute landscape, and we have invested both organically and through acquisitions to capitalize on these demands. We expect these trends to continue to f</w:t>
      </w:r>
      <w:r>
        <w:rPr>
          <w:rFonts w:ascii="Arial" w:eastAsia="宋体" w:hAnsi="Arial" w:cs="Arial"/>
          <w:color w:val="333333"/>
          <w:sz w:val="18"/>
          <w:szCs w:val="18"/>
        </w:rPr>
        <w:t xml:space="preserve">uel demand in DCG and other data-centric businesses in the long term. </w:t>
      </w:r>
    </w:p>
    <w:p w14:paraId="4ACE2607" w14:textId="77777777" w:rsidR="006F587A" w:rsidRDefault="007B2B61">
      <w:pPr>
        <w:spacing w:line="288" w:lineRule="auto"/>
        <w:ind w:firstLine="1080"/>
        <w:rPr>
          <w:rFonts w:ascii="Times New Roman" w:hAnsi="Times New Roman"/>
          <w:sz w:val="18"/>
          <w:szCs w:val="18"/>
        </w:rPr>
      </w:pP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Viewer12_files/a042dcgmarketsegments.jpg"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CC5" wp14:editId="4ACE6CC6">
            <wp:extent cx="304800" cy="304800"/>
            <wp:effectExtent l="0" t="0" r="0" b="0"/>
            <wp:docPr id="80" name="图片 130" descr="IMG_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30" descr="IMG_33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p>
    <w:p w14:paraId="4ACE2608"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DCG focuses on three market segme</w:t>
      </w:r>
      <w:r>
        <w:rPr>
          <w:rFonts w:ascii="Arial" w:eastAsia="宋体" w:hAnsi="Arial" w:cs="Arial"/>
          <w:color w:val="333333"/>
          <w:sz w:val="18"/>
          <w:szCs w:val="18"/>
        </w:rPr>
        <w:t>nts: cloud service providers, enterprise and government, and communications service providers. In 2019, cloud revenue grew as service providers continued to invest in infrastructure to meet the explosive demand for digital services, AI, and data analytics.</w:t>
      </w:r>
      <w:r>
        <w:rPr>
          <w:rFonts w:ascii="Arial" w:eastAsia="宋体" w:hAnsi="Arial" w:cs="Arial"/>
          <w:color w:val="333333"/>
          <w:sz w:val="18"/>
          <w:szCs w:val="18"/>
        </w:rPr>
        <w:t xml:space="preserve"> Cloud service provider revenue was down in the first half as customers absorbed capacity and worked through inventory after a historic 2018 platform refresh; this trend stabilized in the second half of 2019. In our enterprise and government market segment</w:t>
      </w:r>
      <w:r>
        <w:rPr>
          <w:rFonts w:ascii="Arial" w:eastAsia="宋体" w:hAnsi="Arial" w:cs="Arial"/>
          <w:color w:val="333333"/>
          <w:sz w:val="18"/>
          <w:szCs w:val="18"/>
        </w:rPr>
        <w:t xml:space="preserve">, legacy architecture continues to decline on-premise, but enterprises are rapidly embracing cloud as an architecture, and we expect to continue to see growth in hybrid and multi-cloud deployments. In the communications service provider market segment, we </w:t>
      </w:r>
      <w:r>
        <w:rPr>
          <w:rFonts w:ascii="Arial" w:eastAsia="宋体" w:hAnsi="Arial" w:cs="Arial"/>
          <w:color w:val="333333"/>
          <w:sz w:val="18"/>
          <w:szCs w:val="18"/>
        </w:rPr>
        <w:t>gained market segment share as customers chose to virtualize and transform their networks and prepare for the 5G transition using Intel</w:t>
      </w:r>
      <w:r>
        <w:rPr>
          <w:rFonts w:ascii="Arial" w:eastAsia="宋体" w:hAnsi="Arial" w:cs="Arial"/>
          <w:color w:val="333333"/>
          <w:sz w:val="12"/>
          <w:szCs w:val="12"/>
        </w:rPr>
        <w:t>®</w:t>
      </w:r>
      <w:r>
        <w:rPr>
          <w:rFonts w:ascii="Arial" w:eastAsia="宋体" w:hAnsi="Arial" w:cs="Arial"/>
          <w:color w:val="333333"/>
          <w:sz w:val="18"/>
          <w:szCs w:val="18"/>
        </w:rPr>
        <w:t xml:space="preserve"> architecture.</w:t>
      </w:r>
    </w:p>
    <w:p w14:paraId="4ACE2609" w14:textId="77777777" w:rsidR="006F587A" w:rsidRDefault="007B2B61">
      <w:pPr>
        <w:spacing w:line="288" w:lineRule="auto"/>
        <w:ind w:firstLine="1320"/>
        <w:rPr>
          <w:rFonts w:ascii="Times New Roman" w:hAnsi="Times New Roman"/>
          <w:sz w:val="18"/>
          <w:szCs w:val="18"/>
        </w:rPr>
      </w:pP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/INTEL/./Inline XBRL Viewer12_files/a043</w:instrText>
      </w:r>
      <w:r>
        <w:rPr>
          <w:rFonts w:ascii="Times New Roman" w:eastAsia="宋体" w:hAnsi="Times New Roman"/>
          <w:sz w:val="18"/>
          <w:szCs w:val="18"/>
        </w:rPr>
        <w:instrText xml:space="preserve">datacentricinfra2.jpg"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CC7" wp14:editId="4ACE6CC8">
            <wp:extent cx="304800" cy="304800"/>
            <wp:effectExtent l="0" t="0" r="0" b="0"/>
            <wp:docPr id="112" name="图片 131" descr="IMG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31" descr="IMG_33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p>
    <w:p w14:paraId="4ACE260A" w14:textId="77777777" w:rsidR="006F587A" w:rsidRDefault="007B2B61">
      <w:pPr>
        <w:spacing w:line="288" w:lineRule="auto"/>
        <w:rPr>
          <w:rFonts w:ascii="Times New Roman" w:hAnsi="Times New Roman"/>
          <w:sz w:val="20"/>
          <w:szCs w:val="20"/>
        </w:rPr>
      </w:pPr>
      <w:r>
        <w:rPr>
          <w:rFonts w:ascii="Arial" w:eastAsia="宋体" w:hAnsi="Arial" w:cs="Arial"/>
          <w:b/>
          <w:bCs/>
          <w:color w:val="333333"/>
          <w:sz w:val="20"/>
          <w:szCs w:val="20"/>
        </w:rPr>
        <w:t>Products and competitiveness</w:t>
      </w:r>
    </w:p>
    <w:p w14:paraId="4ACE260B"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We offer customers an unmatched, broad portfolio of platforms and technologies designed to provide workload-optimized performance across compute, storage, and network. These </w:t>
      </w:r>
      <w:r>
        <w:rPr>
          <w:rFonts w:ascii="Arial" w:eastAsia="宋体" w:hAnsi="Arial" w:cs="Arial"/>
          <w:color w:val="333333"/>
          <w:sz w:val="18"/>
          <w:szCs w:val="18"/>
        </w:rPr>
        <w:t>offerings span the full spectrum from the data center core to the network edge. In addition, DCG focuses on lowering the total cost of ownership and on other specific workload optimizations for the enterprise, cloud service provider, and communications ser</w:t>
      </w:r>
      <w:r>
        <w:rPr>
          <w:rFonts w:ascii="Arial" w:eastAsia="宋体" w:hAnsi="Arial" w:cs="Arial"/>
          <w:color w:val="333333"/>
          <w:sz w:val="18"/>
          <w:szCs w:val="18"/>
        </w:rPr>
        <w:t>vice provider market segments, with hardware-enhanced performance optimizations for AI workloads. DCG's platform value can be extended through Intel adjacent products such as FPGAs and SSDs. As a leading provider of data center platforms, we face competiti</w:t>
      </w:r>
      <w:r>
        <w:rPr>
          <w:rFonts w:ascii="Arial" w:eastAsia="宋体" w:hAnsi="Arial" w:cs="Arial"/>
          <w:color w:val="333333"/>
          <w:sz w:val="18"/>
          <w:szCs w:val="18"/>
        </w:rPr>
        <w:t>on from competitors such as Advanced Micro Devices, Inc. (AMD), providers of GPU products such as NVIDIA Corporation (NVIDIA), companies using ARM* architecture, new entrants developing products customized for specific data center workloads, and from inter</w:t>
      </w:r>
      <w:r>
        <w:rPr>
          <w:rFonts w:ascii="Arial" w:eastAsia="宋体" w:hAnsi="Arial" w:cs="Arial"/>
          <w:color w:val="333333"/>
          <w:sz w:val="18"/>
          <w:szCs w:val="18"/>
        </w:rPr>
        <w:t>nally developed solutions by cloud service providers and others. We expect an increasingly competitive environment in 2020.</w:t>
      </w:r>
    </w:p>
    <w:p w14:paraId="4ACE260C"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With over 23 million units shipped to date, the Intel</w:t>
      </w:r>
      <w:r>
        <w:rPr>
          <w:rFonts w:ascii="Arial" w:eastAsia="宋体" w:hAnsi="Arial" w:cs="Arial"/>
          <w:color w:val="333333"/>
          <w:sz w:val="12"/>
          <w:szCs w:val="12"/>
        </w:rPr>
        <w:t>®</w:t>
      </w:r>
      <w:r>
        <w:rPr>
          <w:rFonts w:ascii="Arial" w:eastAsia="宋体" w:hAnsi="Arial" w:cs="Arial"/>
          <w:color w:val="333333"/>
          <w:sz w:val="18"/>
          <w:szCs w:val="18"/>
        </w:rPr>
        <w:t xml:space="preserve"> Xeon</w:t>
      </w:r>
      <w:r>
        <w:rPr>
          <w:rFonts w:ascii="Arial" w:eastAsia="宋体" w:hAnsi="Arial" w:cs="Arial"/>
          <w:color w:val="333333"/>
          <w:sz w:val="12"/>
          <w:szCs w:val="12"/>
        </w:rPr>
        <w:t>®</w:t>
      </w:r>
      <w:r>
        <w:rPr>
          <w:rFonts w:ascii="Arial" w:eastAsia="宋体" w:hAnsi="Arial" w:cs="Arial"/>
          <w:color w:val="333333"/>
          <w:sz w:val="18"/>
          <w:szCs w:val="18"/>
        </w:rPr>
        <w:t xml:space="preserve"> Scalable platform provides the foundation for the data-centric era. In </w:t>
      </w:r>
      <w:r>
        <w:rPr>
          <w:rFonts w:ascii="Arial" w:eastAsia="宋体" w:hAnsi="Arial" w:cs="Arial"/>
          <w:color w:val="333333"/>
          <w:sz w:val="18"/>
          <w:szCs w:val="18"/>
        </w:rPr>
        <w:t>2019, we launched our 2nd generation Intel</w:t>
      </w:r>
      <w:r>
        <w:rPr>
          <w:rFonts w:ascii="Arial" w:eastAsia="宋体" w:hAnsi="Arial" w:cs="Arial"/>
          <w:color w:val="333333"/>
          <w:sz w:val="12"/>
          <w:szCs w:val="12"/>
        </w:rPr>
        <w:t>®</w:t>
      </w:r>
      <w:r>
        <w:rPr>
          <w:rFonts w:ascii="Arial" w:eastAsia="宋体" w:hAnsi="Arial" w:cs="Arial"/>
          <w:color w:val="333333"/>
          <w:sz w:val="18"/>
          <w:szCs w:val="18"/>
        </w:rPr>
        <w:t xml:space="preserve"> Xeon</w:t>
      </w:r>
      <w:r>
        <w:rPr>
          <w:rFonts w:ascii="Arial" w:eastAsia="宋体" w:hAnsi="Arial" w:cs="Arial"/>
          <w:color w:val="333333"/>
          <w:sz w:val="12"/>
          <w:szCs w:val="12"/>
        </w:rPr>
        <w:t xml:space="preserve">® </w:t>
      </w:r>
      <w:r>
        <w:rPr>
          <w:rFonts w:ascii="Arial" w:eastAsia="宋体" w:hAnsi="Arial" w:cs="Arial"/>
          <w:color w:val="333333"/>
          <w:sz w:val="18"/>
          <w:szCs w:val="18"/>
        </w:rPr>
        <w:t>Scalable processors, formerly Cascade Lake, which include Intel</w:t>
      </w:r>
      <w:r>
        <w:rPr>
          <w:rFonts w:ascii="Arial" w:eastAsia="宋体" w:hAnsi="Arial" w:cs="Arial"/>
          <w:color w:val="333333"/>
          <w:sz w:val="12"/>
          <w:szCs w:val="12"/>
        </w:rPr>
        <w:t>®</w:t>
      </w:r>
      <w:r>
        <w:rPr>
          <w:rFonts w:ascii="Arial" w:eastAsia="宋体" w:hAnsi="Arial" w:cs="Arial"/>
          <w:color w:val="333333"/>
          <w:sz w:val="18"/>
          <w:szCs w:val="18"/>
        </w:rPr>
        <w:t xml:space="preserve"> Deep Learning Boost. As the industry's only CPUs with built-in AI acceleration, Intel</w:t>
      </w:r>
      <w:r>
        <w:rPr>
          <w:rFonts w:ascii="Arial" w:eastAsia="宋体" w:hAnsi="Arial" w:cs="Arial"/>
          <w:color w:val="333333"/>
          <w:sz w:val="12"/>
          <w:szCs w:val="12"/>
        </w:rPr>
        <w:t>®</w:t>
      </w:r>
      <w:r>
        <w:rPr>
          <w:rFonts w:ascii="Arial" w:eastAsia="宋体" w:hAnsi="Arial" w:cs="Arial"/>
          <w:color w:val="333333"/>
          <w:sz w:val="18"/>
          <w:szCs w:val="18"/>
        </w:rPr>
        <w:t xml:space="preserve"> Xeon</w:t>
      </w:r>
      <w:r>
        <w:rPr>
          <w:rFonts w:ascii="Arial" w:eastAsia="宋体" w:hAnsi="Arial" w:cs="Arial"/>
          <w:color w:val="333333"/>
          <w:sz w:val="12"/>
          <w:szCs w:val="12"/>
        </w:rPr>
        <w:t>®</w:t>
      </w:r>
      <w:r>
        <w:rPr>
          <w:rFonts w:ascii="Arial" w:eastAsia="宋体" w:hAnsi="Arial" w:cs="Arial"/>
          <w:color w:val="333333"/>
          <w:sz w:val="18"/>
          <w:szCs w:val="18"/>
        </w:rPr>
        <w:t xml:space="preserve"> processors can help customers solve challenging </w:t>
      </w:r>
      <w:r>
        <w:rPr>
          <w:rFonts w:ascii="Arial" w:eastAsia="宋体" w:hAnsi="Arial" w:cs="Arial"/>
          <w:color w:val="333333"/>
          <w:sz w:val="18"/>
          <w:szCs w:val="18"/>
        </w:rPr>
        <w:t>problems and gain insight for future opportunities. We also shipped new generations of our Intel</w:t>
      </w:r>
      <w:r>
        <w:rPr>
          <w:rFonts w:ascii="Arial" w:eastAsia="宋体" w:hAnsi="Arial" w:cs="Arial"/>
          <w:color w:val="333333"/>
          <w:sz w:val="12"/>
          <w:szCs w:val="12"/>
        </w:rPr>
        <w:t>®</w:t>
      </w:r>
      <w:r>
        <w:rPr>
          <w:rFonts w:ascii="Arial" w:eastAsia="宋体" w:hAnsi="Arial" w:cs="Arial"/>
          <w:color w:val="333333"/>
          <w:sz w:val="18"/>
          <w:szCs w:val="18"/>
        </w:rPr>
        <w:t xml:space="preserve"> Xeon</w:t>
      </w:r>
      <w:r>
        <w:rPr>
          <w:rFonts w:ascii="Arial" w:eastAsia="宋体" w:hAnsi="Arial" w:cs="Arial"/>
          <w:color w:val="333333"/>
          <w:sz w:val="12"/>
          <w:szCs w:val="12"/>
        </w:rPr>
        <w:t>®</w:t>
      </w:r>
      <w:r>
        <w:rPr>
          <w:rFonts w:ascii="Arial" w:eastAsia="宋体" w:hAnsi="Arial" w:cs="Arial"/>
          <w:color w:val="333333"/>
          <w:sz w:val="18"/>
          <w:szCs w:val="18"/>
        </w:rPr>
        <w:t xml:space="preserve"> D processor product family, designed to deliver improved performance in space- and power-constrained environments. Beyond processing everything, we are </w:t>
      </w:r>
      <w:r>
        <w:rPr>
          <w:rFonts w:ascii="Arial" w:eastAsia="宋体" w:hAnsi="Arial" w:cs="Arial"/>
          <w:color w:val="333333"/>
          <w:sz w:val="18"/>
          <w:szCs w:val="18"/>
        </w:rPr>
        <w:t>enhancing users' digital experiences through continued expansion of adjacent product offerings to store and move data more effectively, such as Intel</w:t>
      </w:r>
      <w:r>
        <w:rPr>
          <w:rFonts w:ascii="Arial" w:eastAsia="宋体" w:hAnsi="Arial" w:cs="Arial"/>
          <w:color w:val="333333"/>
          <w:sz w:val="12"/>
          <w:szCs w:val="12"/>
        </w:rPr>
        <w:t xml:space="preserve">® </w:t>
      </w:r>
      <w:r>
        <w:rPr>
          <w:rFonts w:ascii="Arial" w:eastAsia="宋体" w:hAnsi="Arial" w:cs="Arial"/>
          <w:color w:val="333333"/>
          <w:sz w:val="18"/>
          <w:szCs w:val="18"/>
        </w:rPr>
        <w:t>Optane</w:t>
      </w:r>
      <w:r>
        <w:rPr>
          <w:rFonts w:ascii="Arial" w:eastAsia="宋体" w:hAnsi="Arial" w:cs="Arial"/>
          <w:color w:val="333333"/>
          <w:sz w:val="12"/>
          <w:szCs w:val="12"/>
        </w:rPr>
        <w:t>TM</w:t>
      </w:r>
      <w:r>
        <w:rPr>
          <w:rFonts w:ascii="Arial" w:eastAsia="宋体" w:hAnsi="Arial" w:cs="Arial"/>
          <w:color w:val="333333"/>
          <w:sz w:val="18"/>
          <w:szCs w:val="18"/>
        </w:rPr>
        <w:t xml:space="preserve"> DC persistent memory and Intel</w:t>
      </w:r>
      <w:r>
        <w:rPr>
          <w:rFonts w:ascii="Arial" w:eastAsia="宋体" w:hAnsi="Arial" w:cs="Arial"/>
          <w:color w:val="333333"/>
          <w:sz w:val="12"/>
          <w:szCs w:val="12"/>
        </w:rPr>
        <w:t>®</w:t>
      </w:r>
      <w:r>
        <w:rPr>
          <w:rFonts w:ascii="Arial" w:eastAsia="宋体" w:hAnsi="Arial" w:cs="Arial"/>
          <w:color w:val="333333"/>
          <w:sz w:val="18"/>
          <w:szCs w:val="18"/>
        </w:rPr>
        <w:t xml:space="preserve"> 800 series Ethernet adapters.</w:t>
      </w:r>
    </w:p>
    <w:p w14:paraId="4ACE260D"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408"/>
        <w:gridCol w:w="2409"/>
        <w:gridCol w:w="3489"/>
      </w:tblGrid>
      <w:tr w:rsidR="006F587A" w14:paraId="4ACE260F" w14:textId="77777777">
        <w:tc>
          <w:tcPr>
            <w:tcW w:w="0" w:type="auto"/>
            <w:gridSpan w:val="3"/>
            <w:shd w:val="clear" w:color="auto" w:fill="auto"/>
            <w:vAlign w:val="center"/>
          </w:tcPr>
          <w:p w14:paraId="4ACE260E" w14:textId="77777777" w:rsidR="006F587A" w:rsidRDefault="006F587A">
            <w:pPr>
              <w:rPr>
                <w:rFonts w:ascii="Times New Roman" w:hAnsi="Times New Roman"/>
                <w:sz w:val="20"/>
                <w:szCs w:val="20"/>
              </w:rPr>
            </w:pPr>
          </w:p>
        </w:tc>
      </w:tr>
      <w:tr w:rsidR="006F587A" w14:paraId="4ACE2613" w14:textId="77777777">
        <w:tc>
          <w:tcPr>
            <w:tcW w:w="1450" w:type="pct"/>
            <w:shd w:val="clear" w:color="auto" w:fill="auto"/>
            <w:vAlign w:val="center"/>
          </w:tcPr>
          <w:p w14:paraId="4ACE2610" w14:textId="77777777" w:rsidR="006F587A" w:rsidRDefault="006F587A">
            <w:pPr>
              <w:rPr>
                <w:rFonts w:ascii="Times New Roman" w:hAnsi="Times New Roman"/>
                <w:sz w:val="20"/>
                <w:szCs w:val="20"/>
              </w:rPr>
            </w:pPr>
          </w:p>
        </w:tc>
        <w:tc>
          <w:tcPr>
            <w:tcW w:w="1450" w:type="pct"/>
            <w:shd w:val="clear" w:color="auto" w:fill="auto"/>
            <w:vAlign w:val="center"/>
          </w:tcPr>
          <w:p w14:paraId="4ACE2611" w14:textId="77777777" w:rsidR="006F587A" w:rsidRDefault="006F587A">
            <w:pPr>
              <w:rPr>
                <w:rFonts w:ascii="Times New Roman" w:hAnsi="Times New Roman"/>
                <w:sz w:val="20"/>
                <w:szCs w:val="20"/>
              </w:rPr>
            </w:pPr>
          </w:p>
        </w:tc>
        <w:tc>
          <w:tcPr>
            <w:tcW w:w="2100" w:type="pct"/>
            <w:shd w:val="clear" w:color="auto" w:fill="auto"/>
            <w:vAlign w:val="center"/>
          </w:tcPr>
          <w:p w14:paraId="4ACE2612" w14:textId="77777777" w:rsidR="006F587A" w:rsidRDefault="006F587A">
            <w:pPr>
              <w:rPr>
                <w:rFonts w:ascii="Times New Roman" w:hAnsi="Times New Roman"/>
                <w:sz w:val="20"/>
                <w:szCs w:val="20"/>
              </w:rPr>
            </w:pPr>
          </w:p>
        </w:tc>
      </w:tr>
      <w:tr w:rsidR="006F587A" w14:paraId="4ACE2617"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2614" w14:textId="77777777" w:rsidR="006F587A" w:rsidRDefault="007B2B61">
            <w:pPr>
              <w:textAlignment w:val="center"/>
              <w:rPr>
                <w:rFonts w:ascii="Times New Roman" w:hAnsi="Times New Roman"/>
                <w:sz w:val="18"/>
                <w:szCs w:val="18"/>
              </w:rPr>
            </w:pP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Viewer12_files/a001intellogo_coverfooter.jpg"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CC9" wp14:editId="4ACE6CCA">
                  <wp:extent cx="304800" cy="304800"/>
                  <wp:effectExtent l="0" t="0" r="0" b="0"/>
                  <wp:docPr id="127" name="图片 132"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32"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r>
              <w:rPr>
                <w:rFonts w:ascii="Arial" w:eastAsia="宋体" w:hAnsi="Arial" w:cs="Arial"/>
                <w:color w:val="333333"/>
                <w:sz w:val="18"/>
                <w:szCs w:val="18"/>
              </w:rPr>
              <w:t>  </w:t>
            </w:r>
            <w:r>
              <w:rPr>
                <w:rFonts w:ascii="Arial" w:eastAsia="宋体" w:hAnsi="Arial" w:cs="Arial"/>
                <w:color w:val="333333"/>
                <w:sz w:val="16"/>
                <w:szCs w:val="16"/>
              </w:rPr>
              <w:t>MD&amp;A</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61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616"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19</w:t>
            </w:r>
          </w:p>
        </w:tc>
      </w:tr>
    </w:tbl>
    <w:p w14:paraId="4ACE2618" w14:textId="77777777" w:rsidR="006F587A" w:rsidRDefault="007B2B61">
      <w:r>
        <w:pict w14:anchorId="4ACE6CCB">
          <v:rect id="_x0000_i1045" style="width:415.3pt;height:1.5pt" o:hralign="center" o:hrstd="t" o:hr="t" fillcolor="#a0a0a0" stroked="f"/>
        </w:pict>
      </w:r>
    </w:p>
    <w:p w14:paraId="4ACE2619" w14:textId="77777777" w:rsidR="006F587A" w:rsidRDefault="007B2B61">
      <w:pPr>
        <w:spacing w:line="288" w:lineRule="auto"/>
        <w:jc w:val="right"/>
        <w:rPr>
          <w:rFonts w:ascii="Times New Roman" w:hAnsi="Times New Roman"/>
          <w:sz w:val="16"/>
          <w:szCs w:val="16"/>
        </w:rPr>
      </w:pPr>
      <w:hyperlink r:id="rId54" w:anchor="s9DB683E2CF52561EB8A73BE37F5BF9BE" w:history="1">
        <w:r>
          <w:rPr>
            <w:rStyle w:val="a5"/>
            <w:rFonts w:ascii="Arial" w:eastAsia="宋体" w:hAnsi="Arial" w:cs="Arial"/>
            <w:b/>
            <w:bCs/>
            <w:sz w:val="16"/>
            <w:szCs w:val="16"/>
          </w:rPr>
          <w:t>Table of Contents</w:t>
        </w:r>
      </w:hyperlink>
    </w:p>
    <w:p w14:paraId="4ACE261A" w14:textId="77777777" w:rsidR="006F587A" w:rsidRDefault="006F587A">
      <w:pPr>
        <w:spacing w:line="288" w:lineRule="auto"/>
        <w:jc w:val="right"/>
        <w:rPr>
          <w:rFonts w:ascii="Times New Roman" w:hAnsi="Times New Roman"/>
          <w:sz w:val="16"/>
          <w:szCs w:val="16"/>
        </w:rPr>
      </w:pPr>
    </w:p>
    <w:p w14:paraId="4ACE261B" w14:textId="77777777" w:rsidR="006F587A" w:rsidRDefault="006F587A">
      <w:pPr>
        <w:rPr>
          <w:rFonts w:ascii="Times New Roman" w:hAnsi="Times New Roman"/>
          <w:sz w:val="20"/>
          <w:szCs w:val="20"/>
        </w:rPr>
      </w:pPr>
    </w:p>
    <w:p w14:paraId="4ACE261C" w14:textId="77777777" w:rsidR="006F587A" w:rsidRDefault="007B2B61">
      <w:pPr>
        <w:spacing w:line="288" w:lineRule="auto"/>
        <w:rPr>
          <w:rFonts w:ascii="Times New Roman" w:hAnsi="Times New Roman"/>
        </w:rPr>
      </w:pPr>
      <w:r>
        <w:rPr>
          <w:rFonts w:ascii="Arial" w:eastAsia="宋体" w:hAnsi="Arial" w:cs="Arial"/>
          <w:b/>
          <w:bCs/>
          <w:color w:val="0071C5"/>
        </w:rPr>
        <w:t>FINANCIAL PERFORMANCE</w:t>
      </w:r>
    </w:p>
    <w:tbl>
      <w:tblPr>
        <w:tblW w:w="14620" w:type="dxa"/>
        <w:tblCellMar>
          <w:left w:w="0" w:type="dxa"/>
          <w:right w:w="0" w:type="dxa"/>
        </w:tblCellMar>
        <w:tblLook w:val="04A0" w:firstRow="1" w:lastRow="0" w:firstColumn="1" w:lastColumn="0" w:noHBand="0" w:noVBand="1"/>
      </w:tblPr>
      <w:tblGrid>
        <w:gridCol w:w="400"/>
        <w:gridCol w:w="6180"/>
        <w:gridCol w:w="1220"/>
        <w:gridCol w:w="6100"/>
        <w:gridCol w:w="720"/>
      </w:tblGrid>
      <w:tr w:rsidR="006F587A" w14:paraId="4ACE261E" w14:textId="77777777">
        <w:tc>
          <w:tcPr>
            <w:tcW w:w="0" w:type="auto"/>
            <w:gridSpan w:val="5"/>
            <w:shd w:val="clear" w:color="auto" w:fill="auto"/>
            <w:vAlign w:val="center"/>
          </w:tcPr>
          <w:p w14:paraId="4ACE261D" w14:textId="77777777" w:rsidR="006F587A" w:rsidRDefault="006F587A">
            <w:pPr>
              <w:rPr>
                <w:rFonts w:ascii="Times New Roman" w:hAnsi="Times New Roman"/>
                <w:sz w:val="20"/>
                <w:szCs w:val="20"/>
              </w:rPr>
            </w:pPr>
          </w:p>
        </w:tc>
      </w:tr>
      <w:tr w:rsidR="006F587A" w14:paraId="4ACE2624" w14:textId="77777777">
        <w:tc>
          <w:tcPr>
            <w:tcW w:w="400" w:type="dxa"/>
            <w:shd w:val="clear" w:color="auto" w:fill="auto"/>
            <w:vAlign w:val="center"/>
          </w:tcPr>
          <w:p w14:paraId="4ACE261F" w14:textId="77777777" w:rsidR="006F587A" w:rsidRDefault="006F587A">
            <w:pPr>
              <w:rPr>
                <w:rFonts w:ascii="Times New Roman" w:hAnsi="Times New Roman"/>
                <w:sz w:val="20"/>
                <w:szCs w:val="20"/>
              </w:rPr>
            </w:pPr>
          </w:p>
        </w:tc>
        <w:tc>
          <w:tcPr>
            <w:tcW w:w="6180" w:type="dxa"/>
            <w:shd w:val="clear" w:color="auto" w:fill="auto"/>
            <w:vAlign w:val="center"/>
          </w:tcPr>
          <w:p w14:paraId="4ACE2620" w14:textId="77777777" w:rsidR="006F587A" w:rsidRDefault="006F587A">
            <w:pPr>
              <w:rPr>
                <w:rFonts w:ascii="Times New Roman" w:hAnsi="Times New Roman"/>
                <w:sz w:val="20"/>
                <w:szCs w:val="20"/>
              </w:rPr>
            </w:pPr>
          </w:p>
        </w:tc>
        <w:tc>
          <w:tcPr>
            <w:tcW w:w="1220" w:type="dxa"/>
            <w:shd w:val="clear" w:color="auto" w:fill="auto"/>
            <w:vAlign w:val="center"/>
          </w:tcPr>
          <w:p w14:paraId="4ACE2621" w14:textId="77777777" w:rsidR="006F587A" w:rsidRDefault="006F587A">
            <w:pPr>
              <w:rPr>
                <w:rFonts w:ascii="Times New Roman" w:hAnsi="Times New Roman"/>
                <w:sz w:val="20"/>
                <w:szCs w:val="20"/>
              </w:rPr>
            </w:pPr>
          </w:p>
        </w:tc>
        <w:tc>
          <w:tcPr>
            <w:tcW w:w="6100" w:type="dxa"/>
            <w:shd w:val="clear" w:color="auto" w:fill="auto"/>
            <w:vAlign w:val="center"/>
          </w:tcPr>
          <w:p w14:paraId="4ACE2622" w14:textId="77777777" w:rsidR="006F587A" w:rsidRDefault="006F587A">
            <w:pPr>
              <w:rPr>
                <w:rFonts w:ascii="Times New Roman" w:hAnsi="Times New Roman"/>
                <w:sz w:val="20"/>
                <w:szCs w:val="20"/>
              </w:rPr>
            </w:pPr>
          </w:p>
        </w:tc>
        <w:tc>
          <w:tcPr>
            <w:tcW w:w="720" w:type="dxa"/>
            <w:shd w:val="clear" w:color="auto" w:fill="auto"/>
            <w:vAlign w:val="center"/>
          </w:tcPr>
          <w:p w14:paraId="4ACE2623" w14:textId="77777777" w:rsidR="006F587A" w:rsidRDefault="006F587A">
            <w:pPr>
              <w:rPr>
                <w:rFonts w:ascii="Times New Roman" w:hAnsi="Times New Roman"/>
                <w:sz w:val="20"/>
                <w:szCs w:val="20"/>
              </w:rPr>
            </w:pPr>
          </w:p>
        </w:tc>
      </w:tr>
      <w:tr w:rsidR="006F587A" w14:paraId="4ACE262A" w14:textId="77777777">
        <w:tc>
          <w:tcPr>
            <w:tcW w:w="0" w:type="auto"/>
            <w:shd w:val="clear" w:color="auto" w:fill="auto"/>
            <w:tcMar>
              <w:top w:w="40" w:type="dxa"/>
              <w:left w:w="40" w:type="dxa"/>
              <w:bottom w:w="40" w:type="dxa"/>
              <w:right w:w="40" w:type="dxa"/>
            </w:tcMar>
            <w:vAlign w:val="bottom"/>
          </w:tcPr>
          <w:p w14:paraId="4ACE262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2626" w14:textId="77777777" w:rsidR="006F587A" w:rsidRDefault="007B2B61">
            <w:pPr>
              <w:jc w:val="center"/>
              <w:textAlignment w:val="bottom"/>
              <w:rPr>
                <w:rFonts w:ascii="Times New Roman" w:hAnsi="Times New Roman"/>
                <w:sz w:val="20"/>
                <w:szCs w:val="20"/>
              </w:rPr>
            </w:pPr>
            <w:r>
              <w:rPr>
                <w:rFonts w:ascii="Arial" w:eastAsia="宋体" w:hAnsi="Arial" w:cs="Arial"/>
                <w:b/>
                <w:bCs/>
                <w:color w:val="0071C5"/>
                <w:sz w:val="20"/>
                <w:szCs w:val="20"/>
              </w:rPr>
              <w:t>DCG REVENUE $B</w:t>
            </w:r>
          </w:p>
        </w:tc>
        <w:tc>
          <w:tcPr>
            <w:tcW w:w="0" w:type="auto"/>
            <w:shd w:val="clear" w:color="auto" w:fill="auto"/>
            <w:tcMar>
              <w:top w:w="40" w:type="dxa"/>
              <w:left w:w="40" w:type="dxa"/>
              <w:bottom w:w="40" w:type="dxa"/>
              <w:right w:w="40" w:type="dxa"/>
            </w:tcMar>
            <w:vAlign w:val="bottom"/>
          </w:tcPr>
          <w:p w14:paraId="4ACE262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2628" w14:textId="77777777" w:rsidR="006F587A" w:rsidRDefault="007B2B61">
            <w:pPr>
              <w:jc w:val="center"/>
              <w:textAlignment w:val="bottom"/>
              <w:rPr>
                <w:rFonts w:ascii="Times New Roman" w:hAnsi="Times New Roman"/>
                <w:sz w:val="20"/>
                <w:szCs w:val="20"/>
              </w:rPr>
            </w:pPr>
            <w:r>
              <w:rPr>
                <w:rFonts w:ascii="Arial" w:eastAsia="宋体" w:hAnsi="Arial" w:cs="Arial"/>
                <w:b/>
                <w:bCs/>
                <w:color w:val="0071C5"/>
                <w:sz w:val="20"/>
                <w:szCs w:val="20"/>
              </w:rPr>
              <w:t>DCG OPERATING INCOME $B</w:t>
            </w:r>
          </w:p>
        </w:tc>
        <w:tc>
          <w:tcPr>
            <w:tcW w:w="0" w:type="auto"/>
            <w:shd w:val="clear" w:color="auto" w:fill="auto"/>
            <w:tcMar>
              <w:top w:w="40" w:type="dxa"/>
              <w:left w:w="40" w:type="dxa"/>
              <w:bottom w:w="40" w:type="dxa"/>
              <w:right w:w="40" w:type="dxa"/>
            </w:tcMar>
            <w:vAlign w:val="bottom"/>
          </w:tcPr>
          <w:p w14:paraId="4ACE262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bl>
    <w:p w14:paraId="4ACE262B" w14:textId="77777777" w:rsidR="006F587A" w:rsidRDefault="007B2B61">
      <w:pPr>
        <w:spacing w:line="288" w:lineRule="auto"/>
        <w:rPr>
          <w:rFonts w:ascii="Times New Roman" w:hAnsi="Times New Roman"/>
          <w:sz w:val="20"/>
          <w:szCs w:val="20"/>
        </w:rPr>
      </w:pPr>
      <w:r>
        <w:rPr>
          <w:rFonts w:ascii="Times New Roman" w:eastAsia="宋体" w:hAnsi="Times New Roman"/>
          <w:sz w:val="20"/>
          <w:szCs w:val="20"/>
        </w:rPr>
        <w:lastRenderedPageBreak/>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Viewer12_files/chart11_dcg3yrrevenue.jpg"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CC" wp14:editId="4ACE6CCD">
            <wp:extent cx="304800" cy="304800"/>
            <wp:effectExtent l="0" t="0" r="0" b="0"/>
            <wp:docPr id="114" name="图片 134" descr="IMG_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34" descr="IMG_33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/INTEL/./Inline XBRL Viewer12_files/char</w:instrText>
      </w:r>
      <w:r>
        <w:rPr>
          <w:rFonts w:ascii="Times New Roman" w:eastAsia="宋体" w:hAnsi="Times New Roman"/>
          <w:sz w:val="20"/>
          <w:szCs w:val="20"/>
        </w:rPr>
        <w:instrText xml:space="preserve">t12_dcg3yropincome.jpg"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CE" wp14:editId="4ACE6CCF">
            <wp:extent cx="304800" cy="304800"/>
            <wp:effectExtent l="0" t="0" r="0" b="0"/>
            <wp:docPr id="113" name="图片 135" descr="IMG_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35" descr="IMG_33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bl>
      <w:tblPr>
        <w:tblW w:w="14640" w:type="dxa"/>
        <w:tblCellMar>
          <w:left w:w="0" w:type="dxa"/>
          <w:right w:w="0" w:type="dxa"/>
        </w:tblCellMar>
        <w:tblLook w:val="04A0" w:firstRow="1" w:lastRow="0" w:firstColumn="1" w:lastColumn="0" w:noHBand="0" w:noVBand="1"/>
      </w:tblPr>
      <w:tblGrid>
        <w:gridCol w:w="2183"/>
        <w:gridCol w:w="1442"/>
        <w:gridCol w:w="11015"/>
      </w:tblGrid>
      <w:tr w:rsidR="006F587A" w14:paraId="4ACE262D" w14:textId="77777777">
        <w:tc>
          <w:tcPr>
            <w:tcW w:w="0" w:type="auto"/>
            <w:gridSpan w:val="3"/>
            <w:shd w:val="clear" w:color="auto" w:fill="auto"/>
            <w:vAlign w:val="center"/>
          </w:tcPr>
          <w:p w14:paraId="4ACE262C" w14:textId="77777777" w:rsidR="006F587A" w:rsidRDefault="006F587A">
            <w:pPr>
              <w:rPr>
                <w:rFonts w:ascii="Times New Roman" w:hAnsi="Times New Roman"/>
                <w:sz w:val="20"/>
                <w:szCs w:val="20"/>
              </w:rPr>
            </w:pPr>
          </w:p>
        </w:tc>
      </w:tr>
      <w:tr w:rsidR="006F587A" w14:paraId="4ACE2631" w14:textId="77777777">
        <w:tc>
          <w:tcPr>
            <w:tcW w:w="2180" w:type="dxa"/>
            <w:shd w:val="clear" w:color="auto" w:fill="auto"/>
            <w:vAlign w:val="center"/>
          </w:tcPr>
          <w:p w14:paraId="4ACE262E" w14:textId="77777777" w:rsidR="006F587A" w:rsidRDefault="006F587A">
            <w:pPr>
              <w:rPr>
                <w:rFonts w:ascii="Times New Roman" w:hAnsi="Times New Roman"/>
                <w:sz w:val="20"/>
                <w:szCs w:val="20"/>
              </w:rPr>
            </w:pPr>
          </w:p>
        </w:tc>
        <w:tc>
          <w:tcPr>
            <w:tcW w:w="1440" w:type="dxa"/>
            <w:shd w:val="clear" w:color="auto" w:fill="auto"/>
            <w:vAlign w:val="center"/>
          </w:tcPr>
          <w:p w14:paraId="4ACE262F" w14:textId="77777777" w:rsidR="006F587A" w:rsidRDefault="006F587A">
            <w:pPr>
              <w:rPr>
                <w:rFonts w:ascii="Times New Roman" w:hAnsi="Times New Roman"/>
                <w:sz w:val="20"/>
                <w:szCs w:val="20"/>
              </w:rPr>
            </w:pPr>
          </w:p>
        </w:tc>
        <w:tc>
          <w:tcPr>
            <w:tcW w:w="11000" w:type="dxa"/>
            <w:shd w:val="clear" w:color="auto" w:fill="auto"/>
            <w:vAlign w:val="center"/>
          </w:tcPr>
          <w:p w14:paraId="4ACE2630" w14:textId="77777777" w:rsidR="006F587A" w:rsidRDefault="006F587A">
            <w:pPr>
              <w:rPr>
                <w:rFonts w:ascii="Times New Roman" w:hAnsi="Times New Roman"/>
                <w:sz w:val="20"/>
                <w:szCs w:val="20"/>
              </w:rPr>
            </w:pPr>
          </w:p>
        </w:tc>
      </w:tr>
      <w:tr w:rsidR="006F587A" w14:paraId="4ACE2635" w14:textId="77777777">
        <w:tc>
          <w:tcPr>
            <w:tcW w:w="0" w:type="auto"/>
            <w:shd w:val="clear" w:color="auto" w:fill="auto"/>
            <w:tcMar>
              <w:top w:w="40" w:type="dxa"/>
              <w:left w:w="40" w:type="dxa"/>
              <w:bottom w:w="40" w:type="dxa"/>
              <w:right w:w="40" w:type="dxa"/>
            </w:tcMar>
            <w:vAlign w:val="bottom"/>
          </w:tcPr>
          <w:p w14:paraId="4ACE263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4ACE2633" w14:textId="77777777" w:rsidR="006F587A" w:rsidRDefault="007B2B61">
            <w:pPr>
              <w:textAlignment w:val="center"/>
              <w:rPr>
                <w:rFonts w:ascii="Times New Roman" w:hAnsi="Times New Roman"/>
                <w:sz w:val="18"/>
                <w:szCs w:val="18"/>
              </w:rPr>
            </w:pPr>
            <w:r>
              <w:rPr>
                <w:rFonts w:ascii="Arial" w:eastAsia="宋体" w:hAnsi="Arial" w:cs="Arial"/>
                <w:color w:val="003C71"/>
                <w:sz w:val="18"/>
                <w:szCs w:val="18"/>
              </w:rPr>
              <w:t>■</w:t>
            </w:r>
            <w:r>
              <w:rPr>
                <w:rFonts w:ascii="Arial" w:eastAsia="宋体" w:hAnsi="Arial" w:cs="Arial"/>
                <w:color w:val="333333"/>
                <w:sz w:val="18"/>
                <w:szCs w:val="18"/>
              </w:rPr>
              <w:t> </w:t>
            </w:r>
            <w:r>
              <w:rPr>
                <w:rFonts w:ascii="Arial" w:eastAsia="宋体" w:hAnsi="Arial" w:cs="Arial"/>
                <w:color w:val="333333"/>
                <w:sz w:val="16"/>
                <w:szCs w:val="16"/>
              </w:rPr>
              <w:t>Platform</w:t>
            </w:r>
          </w:p>
        </w:tc>
        <w:tc>
          <w:tcPr>
            <w:tcW w:w="0" w:type="auto"/>
            <w:shd w:val="clear" w:color="auto" w:fill="auto"/>
            <w:tcMar>
              <w:top w:w="40" w:type="dxa"/>
              <w:left w:w="40" w:type="dxa"/>
              <w:bottom w:w="40" w:type="dxa"/>
              <w:right w:w="40" w:type="dxa"/>
            </w:tcMar>
            <w:vAlign w:val="center"/>
          </w:tcPr>
          <w:p w14:paraId="4ACE2634" w14:textId="77777777" w:rsidR="006F587A" w:rsidRDefault="007B2B61">
            <w:pPr>
              <w:textAlignment w:val="center"/>
              <w:rPr>
                <w:rFonts w:ascii="Times New Roman" w:hAnsi="Times New Roman"/>
                <w:sz w:val="18"/>
                <w:szCs w:val="18"/>
              </w:rPr>
            </w:pPr>
            <w:r>
              <w:rPr>
                <w:rFonts w:ascii="Arial" w:eastAsia="宋体" w:hAnsi="Arial" w:cs="Arial"/>
                <w:color w:val="FFA300"/>
                <w:sz w:val="18"/>
                <w:szCs w:val="18"/>
              </w:rPr>
              <w:t>■</w:t>
            </w:r>
            <w:r>
              <w:rPr>
                <w:rFonts w:ascii="Arial" w:eastAsia="宋体" w:hAnsi="Arial" w:cs="Arial"/>
                <w:color w:val="333333"/>
                <w:sz w:val="18"/>
                <w:szCs w:val="18"/>
              </w:rPr>
              <w:t>  </w:t>
            </w:r>
            <w:r>
              <w:rPr>
                <w:rFonts w:ascii="Arial" w:eastAsia="宋体" w:hAnsi="Arial" w:cs="Arial"/>
                <w:color w:val="333333"/>
                <w:sz w:val="16"/>
                <w:szCs w:val="16"/>
              </w:rPr>
              <w:t>Adjacent</w:t>
            </w:r>
          </w:p>
        </w:tc>
      </w:tr>
    </w:tbl>
    <w:p w14:paraId="4ACE2636" w14:textId="77777777" w:rsidR="006F587A" w:rsidRDefault="006F587A">
      <w:pPr>
        <w:rPr>
          <w:vanish/>
        </w:rPr>
      </w:pPr>
    </w:p>
    <w:tbl>
      <w:tblPr>
        <w:tblW w:w="5000" w:type="pct"/>
        <w:tblCellMar>
          <w:left w:w="0" w:type="dxa"/>
          <w:right w:w="0" w:type="dxa"/>
        </w:tblCellMar>
        <w:tblLook w:val="04A0" w:firstRow="1" w:lastRow="0" w:firstColumn="1" w:lastColumn="0" w:noHBand="0" w:noVBand="1"/>
      </w:tblPr>
      <w:tblGrid>
        <w:gridCol w:w="8306"/>
      </w:tblGrid>
      <w:tr w:rsidR="006F587A" w14:paraId="4ACE2638" w14:textId="77777777">
        <w:tc>
          <w:tcPr>
            <w:tcW w:w="0" w:type="auto"/>
            <w:shd w:val="clear" w:color="auto" w:fill="auto"/>
            <w:vAlign w:val="center"/>
          </w:tcPr>
          <w:p w14:paraId="4ACE2637" w14:textId="77777777" w:rsidR="006F587A" w:rsidRDefault="006F587A">
            <w:pPr>
              <w:rPr>
                <w:rFonts w:ascii="Times New Roman" w:hAnsi="Times New Roman"/>
                <w:sz w:val="20"/>
                <w:szCs w:val="20"/>
              </w:rPr>
            </w:pPr>
          </w:p>
        </w:tc>
      </w:tr>
      <w:tr w:rsidR="006F587A" w14:paraId="4ACE263A" w14:textId="77777777">
        <w:tc>
          <w:tcPr>
            <w:tcW w:w="5000" w:type="pct"/>
            <w:shd w:val="clear" w:color="auto" w:fill="auto"/>
            <w:vAlign w:val="center"/>
          </w:tcPr>
          <w:p w14:paraId="4ACE2639" w14:textId="77777777" w:rsidR="006F587A" w:rsidRDefault="006F587A">
            <w:pPr>
              <w:rPr>
                <w:rFonts w:ascii="Times New Roman" w:hAnsi="Times New Roman"/>
                <w:sz w:val="20"/>
                <w:szCs w:val="20"/>
              </w:rPr>
            </w:pPr>
          </w:p>
        </w:tc>
      </w:tr>
      <w:tr w:rsidR="006F587A" w14:paraId="4ACE263C" w14:textId="77777777">
        <w:tc>
          <w:tcPr>
            <w:tcW w:w="0" w:type="auto"/>
            <w:tcBorders>
              <w:bottom w:val="single" w:sz="8" w:space="0" w:color="333333"/>
            </w:tcBorders>
            <w:shd w:val="clear" w:color="auto" w:fill="auto"/>
            <w:tcMar>
              <w:top w:w="40" w:type="dxa"/>
              <w:left w:w="40" w:type="dxa"/>
              <w:bottom w:w="40" w:type="dxa"/>
              <w:right w:w="40" w:type="dxa"/>
            </w:tcMar>
            <w:vAlign w:val="bottom"/>
          </w:tcPr>
          <w:p w14:paraId="4ACE263B" w14:textId="77777777" w:rsidR="006F587A" w:rsidRDefault="007B2B61">
            <w:pPr>
              <w:textAlignment w:val="bottom"/>
              <w:rPr>
                <w:rFonts w:ascii="Times New Roman" w:hAnsi="Times New Roman"/>
                <w:sz w:val="20"/>
                <w:szCs w:val="20"/>
              </w:rPr>
            </w:pPr>
            <w:r>
              <w:rPr>
                <w:rFonts w:ascii="Arial" w:eastAsia="宋体" w:hAnsi="Arial" w:cs="Arial"/>
                <w:b/>
                <w:bCs/>
                <w:color w:val="0071C5"/>
                <w:sz w:val="20"/>
                <w:szCs w:val="20"/>
              </w:rPr>
              <w:t>REVENUE SUMMARY</w:t>
            </w:r>
          </w:p>
        </w:tc>
      </w:tr>
    </w:tbl>
    <w:p w14:paraId="4ACE263D" w14:textId="77777777" w:rsidR="006F587A" w:rsidRDefault="006F587A">
      <w:pPr>
        <w:rPr>
          <w:vanish/>
        </w:rPr>
      </w:pPr>
    </w:p>
    <w:tbl>
      <w:tblPr>
        <w:tblW w:w="0" w:type="auto"/>
        <w:tblCellSpacing w:w="0" w:type="dxa"/>
        <w:tblCellMar>
          <w:left w:w="0" w:type="dxa"/>
          <w:bottom w:w="160" w:type="dxa"/>
          <w:right w:w="0" w:type="dxa"/>
        </w:tblCellMar>
        <w:tblLook w:val="04A0" w:firstRow="1" w:lastRow="0" w:firstColumn="1" w:lastColumn="0" w:noHBand="0" w:noVBand="1"/>
      </w:tblPr>
      <w:tblGrid>
        <w:gridCol w:w="240"/>
        <w:gridCol w:w="8066"/>
      </w:tblGrid>
      <w:tr w:rsidR="006F587A" w14:paraId="4ACE2640" w14:textId="77777777">
        <w:trPr>
          <w:tblCellSpacing w:w="0" w:type="dxa"/>
        </w:trPr>
        <w:tc>
          <w:tcPr>
            <w:tcW w:w="240" w:type="dxa"/>
            <w:shd w:val="clear" w:color="auto" w:fill="auto"/>
            <w:vAlign w:val="center"/>
          </w:tcPr>
          <w:p w14:paraId="4ACE263E" w14:textId="77777777" w:rsidR="006F587A" w:rsidRDefault="006F587A">
            <w:pPr>
              <w:rPr>
                <w:rFonts w:ascii="Times New Roman" w:hAnsi="Times New Roman"/>
                <w:sz w:val="20"/>
                <w:szCs w:val="20"/>
              </w:rPr>
            </w:pPr>
          </w:p>
        </w:tc>
        <w:tc>
          <w:tcPr>
            <w:tcW w:w="0" w:type="auto"/>
            <w:shd w:val="clear" w:color="auto" w:fill="auto"/>
            <w:vAlign w:val="center"/>
          </w:tcPr>
          <w:p w14:paraId="4ACE263F" w14:textId="77777777" w:rsidR="006F587A" w:rsidRDefault="006F587A">
            <w:pPr>
              <w:rPr>
                <w:rFonts w:ascii="Times New Roman" w:hAnsi="Times New Roman"/>
                <w:sz w:val="20"/>
                <w:szCs w:val="20"/>
              </w:rPr>
            </w:pPr>
          </w:p>
        </w:tc>
      </w:tr>
      <w:tr w:rsidR="006F587A" w14:paraId="4ACE2643" w14:textId="77777777">
        <w:trPr>
          <w:tblCellSpacing w:w="0" w:type="dxa"/>
        </w:trPr>
        <w:tc>
          <w:tcPr>
            <w:tcW w:w="0" w:type="auto"/>
            <w:shd w:val="clear" w:color="auto" w:fill="auto"/>
          </w:tcPr>
          <w:p w14:paraId="4ACE2641"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2642"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Higher platform ASPs from stronger core mix was partially offset by platform volume decline primarily from TAM contraction in the </w:t>
            </w:r>
            <w:r>
              <w:rPr>
                <w:rFonts w:ascii="Arial" w:eastAsia="宋体" w:hAnsi="Arial" w:cs="Arial"/>
                <w:color w:val="333333"/>
                <w:sz w:val="18"/>
                <w:szCs w:val="18"/>
              </w:rPr>
              <w:t>enterprise and government market segment.</w:t>
            </w:r>
          </w:p>
        </w:tc>
      </w:tr>
    </w:tbl>
    <w:p w14:paraId="4ACE2644" w14:textId="77777777" w:rsidR="006F587A" w:rsidRDefault="006F587A">
      <w:pPr>
        <w:rPr>
          <w:vanish/>
        </w:rPr>
      </w:pPr>
    </w:p>
    <w:tbl>
      <w:tblPr>
        <w:tblW w:w="0" w:type="auto"/>
        <w:tblCellSpacing w:w="0" w:type="dxa"/>
        <w:tblCellMar>
          <w:left w:w="0" w:type="dxa"/>
          <w:bottom w:w="160" w:type="dxa"/>
          <w:right w:w="0" w:type="dxa"/>
        </w:tblCellMar>
        <w:tblLook w:val="04A0" w:firstRow="1" w:lastRow="0" w:firstColumn="1" w:lastColumn="0" w:noHBand="0" w:noVBand="1"/>
      </w:tblPr>
      <w:tblGrid>
        <w:gridCol w:w="240"/>
        <w:gridCol w:w="6847"/>
      </w:tblGrid>
      <w:tr w:rsidR="006F587A" w14:paraId="4ACE2647" w14:textId="77777777">
        <w:trPr>
          <w:tblCellSpacing w:w="0" w:type="dxa"/>
        </w:trPr>
        <w:tc>
          <w:tcPr>
            <w:tcW w:w="240" w:type="dxa"/>
            <w:shd w:val="clear" w:color="auto" w:fill="auto"/>
            <w:vAlign w:val="center"/>
          </w:tcPr>
          <w:p w14:paraId="4ACE2645" w14:textId="77777777" w:rsidR="006F587A" w:rsidRDefault="006F587A">
            <w:pPr>
              <w:rPr>
                <w:rFonts w:ascii="Times New Roman" w:hAnsi="Times New Roman"/>
                <w:sz w:val="20"/>
                <w:szCs w:val="20"/>
              </w:rPr>
            </w:pPr>
          </w:p>
        </w:tc>
        <w:tc>
          <w:tcPr>
            <w:tcW w:w="0" w:type="auto"/>
            <w:shd w:val="clear" w:color="auto" w:fill="auto"/>
            <w:vAlign w:val="center"/>
          </w:tcPr>
          <w:p w14:paraId="4ACE2646" w14:textId="77777777" w:rsidR="006F587A" w:rsidRDefault="006F587A">
            <w:pPr>
              <w:rPr>
                <w:rFonts w:ascii="Times New Roman" w:hAnsi="Times New Roman"/>
                <w:sz w:val="20"/>
                <w:szCs w:val="20"/>
              </w:rPr>
            </w:pPr>
          </w:p>
        </w:tc>
      </w:tr>
      <w:tr w:rsidR="006F587A" w14:paraId="4ACE264A" w14:textId="77777777">
        <w:trPr>
          <w:tblCellSpacing w:w="0" w:type="dxa"/>
        </w:trPr>
        <w:tc>
          <w:tcPr>
            <w:tcW w:w="0" w:type="auto"/>
            <w:shd w:val="clear" w:color="auto" w:fill="auto"/>
          </w:tcPr>
          <w:p w14:paraId="4ACE2648"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2649"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Adjacent growth driven by the continued expansion of Intel</w:t>
            </w:r>
            <w:r>
              <w:rPr>
                <w:rFonts w:ascii="Arial" w:eastAsia="宋体" w:hAnsi="Arial" w:cs="Arial"/>
                <w:color w:val="333333"/>
                <w:sz w:val="12"/>
                <w:szCs w:val="12"/>
              </w:rPr>
              <w:t xml:space="preserve">® </w:t>
            </w:r>
            <w:r>
              <w:rPr>
                <w:rFonts w:ascii="Arial" w:eastAsia="宋体" w:hAnsi="Arial" w:cs="Arial"/>
                <w:color w:val="333333"/>
                <w:sz w:val="18"/>
                <w:szCs w:val="18"/>
              </w:rPr>
              <w:t>Silicon Photonics in 2019.</w:t>
            </w:r>
          </w:p>
        </w:tc>
      </w:tr>
    </w:tbl>
    <w:p w14:paraId="4ACE264B" w14:textId="77777777" w:rsidR="006F587A" w:rsidRDefault="006F587A">
      <w:pPr>
        <w:rPr>
          <w:vanish/>
        </w:rPr>
      </w:pP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6F587A" w14:paraId="4ACE264E" w14:textId="77777777">
        <w:trPr>
          <w:tblCellSpacing w:w="0" w:type="dxa"/>
        </w:trPr>
        <w:tc>
          <w:tcPr>
            <w:tcW w:w="240" w:type="dxa"/>
            <w:shd w:val="clear" w:color="auto" w:fill="auto"/>
            <w:vAlign w:val="center"/>
          </w:tcPr>
          <w:p w14:paraId="4ACE264C" w14:textId="77777777" w:rsidR="006F587A" w:rsidRDefault="006F587A">
            <w:pPr>
              <w:rPr>
                <w:rFonts w:ascii="Times New Roman" w:hAnsi="Times New Roman"/>
                <w:sz w:val="20"/>
                <w:szCs w:val="20"/>
              </w:rPr>
            </w:pPr>
          </w:p>
        </w:tc>
        <w:tc>
          <w:tcPr>
            <w:tcW w:w="0" w:type="auto"/>
            <w:shd w:val="clear" w:color="auto" w:fill="auto"/>
            <w:vAlign w:val="center"/>
          </w:tcPr>
          <w:p w14:paraId="4ACE264D" w14:textId="77777777" w:rsidR="006F587A" w:rsidRDefault="006F587A">
            <w:pPr>
              <w:rPr>
                <w:rFonts w:ascii="Times New Roman" w:hAnsi="Times New Roman"/>
                <w:sz w:val="20"/>
                <w:szCs w:val="20"/>
              </w:rPr>
            </w:pPr>
          </w:p>
        </w:tc>
      </w:tr>
      <w:tr w:rsidR="006F587A" w14:paraId="4ACE2651" w14:textId="77777777">
        <w:trPr>
          <w:tblCellSpacing w:w="0" w:type="dxa"/>
        </w:trPr>
        <w:tc>
          <w:tcPr>
            <w:tcW w:w="0" w:type="auto"/>
            <w:shd w:val="clear" w:color="auto" w:fill="auto"/>
          </w:tcPr>
          <w:p w14:paraId="4ACE264F"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2650"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Comparing 2019 to 2018, revenue from cloud service providers was up 13%, enterprise and government was down </w:t>
            </w:r>
            <w:r>
              <w:rPr>
                <w:rFonts w:ascii="Arial" w:eastAsia="宋体" w:hAnsi="Arial" w:cs="Arial"/>
                <w:color w:val="333333"/>
                <w:sz w:val="18"/>
                <w:szCs w:val="18"/>
              </w:rPr>
              <w:t>14%, and communications service providers was up 6% (up 40%, up 2%, and up 25%, respectively, comparing 2018 to 2017).</w:t>
            </w:r>
          </w:p>
        </w:tc>
      </w:tr>
    </w:tbl>
    <w:p w14:paraId="4ACE2652" w14:textId="77777777" w:rsidR="006F587A" w:rsidRDefault="006F587A">
      <w:pPr>
        <w:rPr>
          <w:vanish/>
        </w:rPr>
      </w:pPr>
    </w:p>
    <w:tbl>
      <w:tblPr>
        <w:tblW w:w="5000" w:type="pct"/>
        <w:tblCellMar>
          <w:left w:w="0" w:type="dxa"/>
          <w:right w:w="0" w:type="dxa"/>
        </w:tblCellMar>
        <w:tblLook w:val="04A0" w:firstRow="1" w:lastRow="0" w:firstColumn="1" w:lastColumn="0" w:noHBand="0" w:noVBand="1"/>
      </w:tblPr>
      <w:tblGrid>
        <w:gridCol w:w="3534"/>
        <w:gridCol w:w="543"/>
        <w:gridCol w:w="626"/>
        <w:gridCol w:w="130"/>
        <w:gridCol w:w="142"/>
        <w:gridCol w:w="794"/>
        <w:gridCol w:w="100"/>
        <w:gridCol w:w="130"/>
        <w:gridCol w:w="545"/>
        <w:gridCol w:w="628"/>
        <w:gridCol w:w="130"/>
        <w:gridCol w:w="142"/>
        <w:gridCol w:w="795"/>
        <w:gridCol w:w="67"/>
      </w:tblGrid>
      <w:tr w:rsidR="006F587A" w14:paraId="4ACE2654" w14:textId="77777777">
        <w:tc>
          <w:tcPr>
            <w:tcW w:w="0" w:type="auto"/>
            <w:gridSpan w:val="14"/>
            <w:shd w:val="clear" w:color="auto" w:fill="auto"/>
            <w:vAlign w:val="center"/>
          </w:tcPr>
          <w:p w14:paraId="4ACE2653" w14:textId="77777777" w:rsidR="006F587A" w:rsidRDefault="006F587A">
            <w:pPr>
              <w:rPr>
                <w:rFonts w:ascii="Times New Roman" w:hAnsi="Times New Roman"/>
                <w:sz w:val="20"/>
                <w:szCs w:val="20"/>
              </w:rPr>
            </w:pPr>
          </w:p>
        </w:tc>
      </w:tr>
      <w:tr w:rsidR="006F587A" w14:paraId="4ACE2663" w14:textId="77777777">
        <w:tc>
          <w:tcPr>
            <w:tcW w:w="2150" w:type="pct"/>
            <w:shd w:val="clear" w:color="auto" w:fill="auto"/>
            <w:vAlign w:val="center"/>
          </w:tcPr>
          <w:p w14:paraId="4ACE2655" w14:textId="77777777" w:rsidR="006F587A" w:rsidRDefault="006F587A">
            <w:pPr>
              <w:rPr>
                <w:rFonts w:ascii="Times New Roman" w:hAnsi="Times New Roman"/>
                <w:sz w:val="20"/>
                <w:szCs w:val="20"/>
              </w:rPr>
            </w:pPr>
          </w:p>
        </w:tc>
        <w:tc>
          <w:tcPr>
            <w:tcW w:w="350" w:type="pct"/>
            <w:shd w:val="clear" w:color="auto" w:fill="auto"/>
            <w:vAlign w:val="center"/>
          </w:tcPr>
          <w:p w14:paraId="4ACE2656" w14:textId="77777777" w:rsidR="006F587A" w:rsidRDefault="006F587A">
            <w:pPr>
              <w:rPr>
                <w:rFonts w:ascii="Times New Roman" w:hAnsi="Times New Roman"/>
                <w:sz w:val="20"/>
                <w:szCs w:val="20"/>
              </w:rPr>
            </w:pPr>
          </w:p>
        </w:tc>
        <w:tc>
          <w:tcPr>
            <w:tcW w:w="400" w:type="pct"/>
            <w:shd w:val="clear" w:color="auto" w:fill="auto"/>
            <w:vAlign w:val="center"/>
          </w:tcPr>
          <w:p w14:paraId="4ACE2657" w14:textId="77777777" w:rsidR="006F587A" w:rsidRDefault="006F587A">
            <w:pPr>
              <w:rPr>
                <w:rFonts w:ascii="Times New Roman" w:hAnsi="Times New Roman"/>
                <w:sz w:val="20"/>
                <w:szCs w:val="20"/>
              </w:rPr>
            </w:pPr>
          </w:p>
        </w:tc>
        <w:tc>
          <w:tcPr>
            <w:tcW w:w="50" w:type="pct"/>
            <w:shd w:val="clear" w:color="auto" w:fill="auto"/>
            <w:vAlign w:val="center"/>
          </w:tcPr>
          <w:p w14:paraId="4ACE2658" w14:textId="77777777" w:rsidR="006F587A" w:rsidRDefault="006F587A">
            <w:pPr>
              <w:rPr>
                <w:rFonts w:ascii="Times New Roman" w:hAnsi="Times New Roman"/>
                <w:sz w:val="20"/>
                <w:szCs w:val="20"/>
              </w:rPr>
            </w:pPr>
          </w:p>
        </w:tc>
        <w:tc>
          <w:tcPr>
            <w:tcW w:w="50" w:type="pct"/>
            <w:shd w:val="clear" w:color="auto" w:fill="auto"/>
            <w:vAlign w:val="center"/>
          </w:tcPr>
          <w:p w14:paraId="4ACE2659" w14:textId="77777777" w:rsidR="006F587A" w:rsidRDefault="006F587A">
            <w:pPr>
              <w:rPr>
                <w:rFonts w:ascii="Times New Roman" w:hAnsi="Times New Roman"/>
                <w:sz w:val="20"/>
                <w:szCs w:val="20"/>
              </w:rPr>
            </w:pPr>
          </w:p>
        </w:tc>
        <w:tc>
          <w:tcPr>
            <w:tcW w:w="500" w:type="pct"/>
            <w:shd w:val="clear" w:color="auto" w:fill="auto"/>
            <w:vAlign w:val="center"/>
          </w:tcPr>
          <w:p w14:paraId="4ACE265A" w14:textId="77777777" w:rsidR="006F587A" w:rsidRDefault="006F587A">
            <w:pPr>
              <w:rPr>
                <w:rFonts w:ascii="Times New Roman" w:hAnsi="Times New Roman"/>
                <w:sz w:val="20"/>
                <w:szCs w:val="20"/>
              </w:rPr>
            </w:pPr>
          </w:p>
        </w:tc>
        <w:tc>
          <w:tcPr>
            <w:tcW w:w="50" w:type="pct"/>
            <w:shd w:val="clear" w:color="auto" w:fill="auto"/>
            <w:vAlign w:val="center"/>
          </w:tcPr>
          <w:p w14:paraId="4ACE265B" w14:textId="77777777" w:rsidR="006F587A" w:rsidRDefault="006F587A">
            <w:pPr>
              <w:rPr>
                <w:rFonts w:ascii="Times New Roman" w:hAnsi="Times New Roman"/>
                <w:sz w:val="20"/>
                <w:szCs w:val="20"/>
              </w:rPr>
            </w:pPr>
          </w:p>
        </w:tc>
        <w:tc>
          <w:tcPr>
            <w:tcW w:w="50" w:type="pct"/>
            <w:shd w:val="clear" w:color="auto" w:fill="auto"/>
            <w:vAlign w:val="center"/>
          </w:tcPr>
          <w:p w14:paraId="4ACE265C" w14:textId="77777777" w:rsidR="006F587A" w:rsidRDefault="006F587A">
            <w:pPr>
              <w:rPr>
                <w:rFonts w:ascii="Times New Roman" w:hAnsi="Times New Roman"/>
                <w:sz w:val="20"/>
                <w:szCs w:val="20"/>
              </w:rPr>
            </w:pPr>
          </w:p>
        </w:tc>
        <w:tc>
          <w:tcPr>
            <w:tcW w:w="350" w:type="pct"/>
            <w:shd w:val="clear" w:color="auto" w:fill="auto"/>
            <w:vAlign w:val="center"/>
          </w:tcPr>
          <w:p w14:paraId="4ACE265D" w14:textId="77777777" w:rsidR="006F587A" w:rsidRDefault="006F587A">
            <w:pPr>
              <w:rPr>
                <w:rFonts w:ascii="Times New Roman" w:hAnsi="Times New Roman"/>
                <w:sz w:val="20"/>
                <w:szCs w:val="20"/>
              </w:rPr>
            </w:pPr>
          </w:p>
        </w:tc>
        <w:tc>
          <w:tcPr>
            <w:tcW w:w="400" w:type="pct"/>
            <w:shd w:val="clear" w:color="auto" w:fill="auto"/>
            <w:vAlign w:val="center"/>
          </w:tcPr>
          <w:p w14:paraId="4ACE265E" w14:textId="77777777" w:rsidR="006F587A" w:rsidRDefault="006F587A">
            <w:pPr>
              <w:rPr>
                <w:rFonts w:ascii="Times New Roman" w:hAnsi="Times New Roman"/>
                <w:sz w:val="20"/>
                <w:szCs w:val="20"/>
              </w:rPr>
            </w:pPr>
          </w:p>
        </w:tc>
        <w:tc>
          <w:tcPr>
            <w:tcW w:w="50" w:type="pct"/>
            <w:shd w:val="clear" w:color="auto" w:fill="auto"/>
            <w:vAlign w:val="center"/>
          </w:tcPr>
          <w:p w14:paraId="4ACE265F" w14:textId="77777777" w:rsidR="006F587A" w:rsidRDefault="006F587A">
            <w:pPr>
              <w:rPr>
                <w:rFonts w:ascii="Times New Roman" w:hAnsi="Times New Roman"/>
                <w:sz w:val="20"/>
                <w:szCs w:val="20"/>
              </w:rPr>
            </w:pPr>
          </w:p>
        </w:tc>
        <w:tc>
          <w:tcPr>
            <w:tcW w:w="50" w:type="pct"/>
            <w:shd w:val="clear" w:color="auto" w:fill="auto"/>
            <w:vAlign w:val="center"/>
          </w:tcPr>
          <w:p w14:paraId="4ACE2660" w14:textId="77777777" w:rsidR="006F587A" w:rsidRDefault="006F587A">
            <w:pPr>
              <w:rPr>
                <w:rFonts w:ascii="Times New Roman" w:hAnsi="Times New Roman"/>
                <w:sz w:val="20"/>
                <w:szCs w:val="20"/>
              </w:rPr>
            </w:pPr>
          </w:p>
        </w:tc>
        <w:tc>
          <w:tcPr>
            <w:tcW w:w="500" w:type="pct"/>
            <w:shd w:val="clear" w:color="auto" w:fill="auto"/>
            <w:vAlign w:val="center"/>
          </w:tcPr>
          <w:p w14:paraId="4ACE2661" w14:textId="77777777" w:rsidR="006F587A" w:rsidRDefault="006F587A">
            <w:pPr>
              <w:rPr>
                <w:rFonts w:ascii="Times New Roman" w:hAnsi="Times New Roman"/>
                <w:sz w:val="20"/>
                <w:szCs w:val="20"/>
              </w:rPr>
            </w:pPr>
          </w:p>
        </w:tc>
        <w:tc>
          <w:tcPr>
            <w:tcW w:w="50" w:type="pct"/>
            <w:shd w:val="clear" w:color="auto" w:fill="auto"/>
            <w:vAlign w:val="center"/>
          </w:tcPr>
          <w:p w14:paraId="4ACE2662" w14:textId="77777777" w:rsidR="006F587A" w:rsidRDefault="006F587A">
            <w:pPr>
              <w:rPr>
                <w:rFonts w:ascii="Times New Roman" w:hAnsi="Times New Roman"/>
                <w:sz w:val="20"/>
                <w:szCs w:val="20"/>
              </w:rPr>
            </w:pPr>
          </w:p>
        </w:tc>
      </w:tr>
      <w:tr w:rsidR="006F587A" w14:paraId="4ACE2668" w14:textId="77777777">
        <w:tc>
          <w:tcPr>
            <w:tcW w:w="0" w:type="auto"/>
            <w:shd w:val="clear" w:color="auto" w:fill="auto"/>
            <w:tcMar>
              <w:top w:w="40" w:type="dxa"/>
              <w:left w:w="40" w:type="dxa"/>
              <w:bottom w:w="40" w:type="dxa"/>
              <w:right w:w="40" w:type="dxa"/>
            </w:tcMar>
            <w:vAlign w:val="bottom"/>
          </w:tcPr>
          <w:p w14:paraId="4ACE266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71C5"/>
            </w:tcBorders>
            <w:shd w:val="clear" w:color="auto" w:fill="auto"/>
            <w:tcMar>
              <w:top w:w="40" w:type="dxa"/>
              <w:left w:w="40" w:type="dxa"/>
              <w:bottom w:w="40" w:type="dxa"/>
              <w:right w:w="40" w:type="dxa"/>
            </w:tcMar>
            <w:vAlign w:val="bottom"/>
          </w:tcPr>
          <w:p w14:paraId="4ACE2665"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2019 – 2018</w:t>
            </w:r>
          </w:p>
        </w:tc>
        <w:tc>
          <w:tcPr>
            <w:tcW w:w="0" w:type="auto"/>
            <w:shd w:val="clear" w:color="auto" w:fill="auto"/>
            <w:tcMar>
              <w:top w:w="40" w:type="dxa"/>
              <w:left w:w="40" w:type="dxa"/>
              <w:bottom w:w="40" w:type="dxa"/>
              <w:right w:w="40" w:type="dxa"/>
            </w:tcMar>
            <w:vAlign w:val="bottom"/>
          </w:tcPr>
          <w:p w14:paraId="4ACE266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71C5"/>
            </w:tcBorders>
            <w:shd w:val="clear" w:color="auto" w:fill="auto"/>
            <w:tcMar>
              <w:top w:w="40" w:type="dxa"/>
              <w:left w:w="40" w:type="dxa"/>
              <w:bottom w:w="40" w:type="dxa"/>
              <w:right w:w="40" w:type="dxa"/>
            </w:tcMar>
            <w:vAlign w:val="bottom"/>
          </w:tcPr>
          <w:p w14:paraId="4ACE2667"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2018 – 2017</w:t>
            </w:r>
          </w:p>
        </w:tc>
      </w:tr>
      <w:tr w:rsidR="006F587A" w14:paraId="4ACE2671"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2669" w14:textId="77777777" w:rsidR="006F587A" w:rsidRDefault="007B2B61">
            <w:pPr>
              <w:textAlignment w:val="bottom"/>
              <w:rPr>
                <w:rFonts w:ascii="Times New Roman" w:hAnsi="Times New Roman"/>
                <w:sz w:val="16"/>
                <w:szCs w:val="16"/>
              </w:rPr>
            </w:pPr>
            <w:r>
              <w:rPr>
                <w:rFonts w:ascii="Arial" w:eastAsia="宋体" w:hAnsi="Arial" w:cs="Arial"/>
                <w:b/>
                <w:bCs/>
                <w:color w:val="333333"/>
                <w:sz w:val="16"/>
                <w:szCs w:val="16"/>
              </w:rPr>
              <w:t>(Dollars in Millions)</w:t>
            </w:r>
          </w:p>
        </w:tc>
        <w:tc>
          <w:tcPr>
            <w:tcW w:w="0" w:type="auto"/>
            <w:gridSpan w:val="2"/>
            <w:tcBorders>
              <w:bottom w:val="single" w:sz="8" w:space="0" w:color="0071C5"/>
            </w:tcBorders>
            <w:shd w:val="clear" w:color="auto" w:fill="auto"/>
            <w:tcMar>
              <w:top w:w="40" w:type="dxa"/>
              <w:left w:w="40" w:type="dxa"/>
              <w:bottom w:w="40" w:type="dxa"/>
              <w:right w:w="40" w:type="dxa"/>
            </w:tcMar>
            <w:vAlign w:val="bottom"/>
          </w:tcPr>
          <w:p w14:paraId="4ACE266A"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Growth</w:t>
            </w:r>
          </w:p>
        </w:tc>
        <w:tc>
          <w:tcPr>
            <w:tcW w:w="0" w:type="auto"/>
            <w:shd w:val="clear" w:color="auto" w:fill="auto"/>
            <w:tcMar>
              <w:top w:w="40" w:type="dxa"/>
              <w:left w:w="40" w:type="dxa"/>
              <w:bottom w:w="40" w:type="dxa"/>
              <w:right w:w="40" w:type="dxa"/>
            </w:tcMar>
            <w:vAlign w:val="bottom"/>
          </w:tcPr>
          <w:p w14:paraId="4ACE266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266C"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Impact</w:t>
            </w:r>
          </w:p>
        </w:tc>
        <w:tc>
          <w:tcPr>
            <w:tcW w:w="0" w:type="auto"/>
            <w:shd w:val="clear" w:color="auto" w:fill="auto"/>
            <w:tcMar>
              <w:top w:w="40" w:type="dxa"/>
              <w:left w:w="40" w:type="dxa"/>
              <w:bottom w:w="40" w:type="dxa"/>
              <w:right w:w="40" w:type="dxa"/>
            </w:tcMar>
            <w:vAlign w:val="bottom"/>
          </w:tcPr>
          <w:p w14:paraId="4ACE266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71C5"/>
            </w:tcBorders>
            <w:shd w:val="clear" w:color="auto" w:fill="auto"/>
            <w:tcMar>
              <w:top w:w="40" w:type="dxa"/>
              <w:left w:w="40" w:type="dxa"/>
              <w:bottom w:w="40" w:type="dxa"/>
              <w:right w:w="40" w:type="dxa"/>
            </w:tcMar>
            <w:vAlign w:val="bottom"/>
          </w:tcPr>
          <w:p w14:paraId="4ACE266E"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Growth</w:t>
            </w:r>
          </w:p>
        </w:tc>
        <w:tc>
          <w:tcPr>
            <w:tcW w:w="0" w:type="auto"/>
            <w:shd w:val="clear" w:color="auto" w:fill="auto"/>
            <w:tcMar>
              <w:top w:w="40" w:type="dxa"/>
              <w:left w:w="40" w:type="dxa"/>
              <w:bottom w:w="40" w:type="dxa"/>
              <w:right w:w="40" w:type="dxa"/>
            </w:tcMar>
            <w:vAlign w:val="bottom"/>
          </w:tcPr>
          <w:p w14:paraId="4ACE266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2670"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Impact</w:t>
            </w:r>
          </w:p>
        </w:tc>
      </w:tr>
      <w:tr w:rsidR="006F587A" w14:paraId="4ACE267C" w14:textId="77777777">
        <w:tc>
          <w:tcPr>
            <w:tcW w:w="0" w:type="auto"/>
            <w:shd w:val="clear" w:color="auto" w:fill="auto"/>
            <w:tcMar>
              <w:top w:w="40" w:type="dxa"/>
              <w:left w:w="40" w:type="dxa"/>
              <w:bottom w:w="40" w:type="dxa"/>
              <w:right w:w="40" w:type="dxa"/>
            </w:tcMar>
            <w:vAlign w:val="bottom"/>
          </w:tcPr>
          <w:p w14:paraId="4ACE267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67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67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67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267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67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67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67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67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267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268B" w14:textId="77777777">
        <w:tc>
          <w:tcPr>
            <w:tcW w:w="0" w:type="auto"/>
            <w:shd w:val="clear" w:color="auto" w:fill="auto"/>
            <w:tcMar>
              <w:top w:w="40" w:type="dxa"/>
              <w:left w:w="40" w:type="dxa"/>
              <w:bottom w:w="40" w:type="dxa"/>
              <w:right w:w="40" w:type="dxa"/>
            </w:tcMar>
            <w:vAlign w:val="center"/>
          </w:tcPr>
          <w:p w14:paraId="4ACE267D" w14:textId="77777777" w:rsidR="006F587A" w:rsidRDefault="007B2B61">
            <w:pPr>
              <w:textAlignment w:val="center"/>
              <w:rPr>
                <w:rFonts w:ascii="Times New Roman" w:hAnsi="Times New Roman"/>
                <w:sz w:val="18"/>
                <w:szCs w:val="18"/>
              </w:rPr>
            </w:pPr>
            <w:r>
              <w:rPr>
                <w:rFonts w:ascii="Arial" w:eastAsia="宋体" w:hAnsi="Arial" w:cs="Arial"/>
                <w:color w:val="333333"/>
                <w:sz w:val="18"/>
                <w:szCs w:val="18"/>
              </w:rPr>
              <w:t>Platform volume</w:t>
            </w:r>
          </w:p>
        </w:tc>
        <w:tc>
          <w:tcPr>
            <w:tcW w:w="0" w:type="auto"/>
            <w:shd w:val="clear" w:color="auto" w:fill="auto"/>
            <w:tcMar>
              <w:top w:w="40" w:type="dxa"/>
              <w:left w:w="40" w:type="dxa"/>
              <w:bottom w:w="40" w:type="dxa"/>
              <w:right w:w="40" w:type="dxa"/>
            </w:tcMar>
            <w:vAlign w:val="center"/>
          </w:tcPr>
          <w:p w14:paraId="4ACE267E" w14:textId="77777777" w:rsidR="006F587A" w:rsidRDefault="007B2B61">
            <w:pPr>
              <w:jc w:val="right"/>
              <w:textAlignment w:val="center"/>
              <w:rPr>
                <w:rFonts w:ascii="Times New Roman" w:hAnsi="Times New Roman"/>
                <w:sz w:val="18"/>
                <w:szCs w:val="18"/>
              </w:rPr>
            </w:pPr>
            <w:r>
              <w:rPr>
                <w:rFonts w:ascii="Arial" w:eastAsia="宋体" w:hAnsi="Arial" w:cs="Arial"/>
                <w:color w:val="0071C5"/>
                <w:sz w:val="18"/>
                <w:szCs w:val="18"/>
              </w:rPr>
              <w:t>down</w:t>
            </w:r>
          </w:p>
        </w:tc>
        <w:tc>
          <w:tcPr>
            <w:tcW w:w="0" w:type="auto"/>
            <w:shd w:val="clear" w:color="auto" w:fill="auto"/>
            <w:tcMar>
              <w:top w:w="40" w:type="dxa"/>
              <w:left w:w="40" w:type="dxa"/>
              <w:bottom w:w="40" w:type="dxa"/>
              <w:right w:w="40" w:type="dxa"/>
            </w:tcMar>
            <w:vAlign w:val="center"/>
          </w:tcPr>
          <w:p w14:paraId="4ACE267F" w14:textId="77777777" w:rsidR="006F587A" w:rsidRDefault="007B2B61">
            <w:pPr>
              <w:textAlignment w:val="center"/>
              <w:rPr>
                <w:rFonts w:ascii="Times New Roman" w:hAnsi="Times New Roman"/>
                <w:sz w:val="18"/>
                <w:szCs w:val="18"/>
              </w:rPr>
            </w:pPr>
            <w:r>
              <w:rPr>
                <w:rFonts w:ascii="Arial" w:eastAsia="宋体" w:hAnsi="Arial" w:cs="Arial"/>
                <w:color w:val="0071C5"/>
                <w:sz w:val="18"/>
                <w:szCs w:val="18"/>
              </w:rPr>
              <w:t>(3)%</w:t>
            </w:r>
          </w:p>
        </w:tc>
        <w:tc>
          <w:tcPr>
            <w:tcW w:w="0" w:type="auto"/>
            <w:shd w:val="clear" w:color="auto" w:fill="auto"/>
            <w:tcMar>
              <w:top w:w="40" w:type="dxa"/>
              <w:left w:w="40" w:type="dxa"/>
              <w:bottom w:w="40" w:type="dxa"/>
              <w:right w:w="40" w:type="dxa"/>
            </w:tcMar>
            <w:vAlign w:val="bottom"/>
          </w:tcPr>
          <w:p w14:paraId="4ACE268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ACE2681" w14:textId="77777777" w:rsidR="006F587A" w:rsidRDefault="007B2B61">
            <w:pPr>
              <w:textAlignment w:val="center"/>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center"/>
          </w:tcPr>
          <w:p w14:paraId="4ACE2682" w14:textId="77777777" w:rsidR="006F587A" w:rsidRDefault="007B2B61">
            <w:pPr>
              <w:jc w:val="right"/>
              <w:textAlignment w:val="center"/>
              <w:rPr>
                <w:rFonts w:ascii="Times New Roman" w:hAnsi="Times New Roman"/>
                <w:sz w:val="18"/>
                <w:szCs w:val="18"/>
              </w:rPr>
            </w:pPr>
            <w:r>
              <w:rPr>
                <w:rFonts w:ascii="Arial" w:eastAsia="宋体" w:hAnsi="Arial" w:cs="Arial"/>
                <w:color w:val="0071C5"/>
                <w:sz w:val="18"/>
                <w:szCs w:val="18"/>
              </w:rPr>
              <w:t>(654</w:t>
            </w:r>
          </w:p>
        </w:tc>
        <w:tc>
          <w:tcPr>
            <w:tcW w:w="0" w:type="auto"/>
            <w:shd w:val="clear" w:color="auto" w:fill="auto"/>
            <w:tcMar>
              <w:top w:w="40" w:type="dxa"/>
              <w:bottom w:w="40" w:type="dxa"/>
              <w:right w:w="40" w:type="dxa"/>
            </w:tcMar>
            <w:vAlign w:val="center"/>
          </w:tcPr>
          <w:p w14:paraId="4ACE2683" w14:textId="77777777" w:rsidR="006F587A" w:rsidRDefault="007B2B61">
            <w:pPr>
              <w:textAlignment w:val="center"/>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268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4ACE2685" w14:textId="77777777" w:rsidR="006F587A" w:rsidRDefault="007B2B61">
            <w:pPr>
              <w:jc w:val="right"/>
              <w:textAlignment w:val="center"/>
              <w:rPr>
                <w:rFonts w:ascii="Times New Roman" w:hAnsi="Times New Roman"/>
                <w:sz w:val="18"/>
                <w:szCs w:val="18"/>
              </w:rPr>
            </w:pPr>
            <w:r>
              <w:rPr>
                <w:rFonts w:ascii="Arial" w:eastAsia="宋体" w:hAnsi="Arial" w:cs="Arial"/>
                <w:color w:val="333333"/>
                <w:sz w:val="18"/>
                <w:szCs w:val="18"/>
              </w:rPr>
              <w:t>up</w:t>
            </w:r>
          </w:p>
        </w:tc>
        <w:tc>
          <w:tcPr>
            <w:tcW w:w="0" w:type="auto"/>
            <w:shd w:val="clear" w:color="auto" w:fill="auto"/>
            <w:tcMar>
              <w:top w:w="40" w:type="dxa"/>
              <w:left w:w="40" w:type="dxa"/>
              <w:bottom w:w="40" w:type="dxa"/>
              <w:right w:w="40" w:type="dxa"/>
            </w:tcMar>
            <w:vAlign w:val="center"/>
          </w:tcPr>
          <w:p w14:paraId="4ACE2686" w14:textId="77777777" w:rsidR="006F587A" w:rsidRDefault="007B2B61">
            <w:pPr>
              <w:textAlignment w:val="center"/>
              <w:rPr>
                <w:rFonts w:ascii="Times New Roman" w:hAnsi="Times New Roman"/>
                <w:sz w:val="18"/>
                <w:szCs w:val="18"/>
              </w:rPr>
            </w:pPr>
            <w:r>
              <w:rPr>
                <w:rFonts w:ascii="Arial" w:eastAsia="宋体" w:hAnsi="Arial" w:cs="Arial"/>
                <w:color w:val="333333"/>
                <w:sz w:val="18"/>
                <w:szCs w:val="18"/>
              </w:rPr>
              <w:t>13%</w:t>
            </w:r>
          </w:p>
        </w:tc>
        <w:tc>
          <w:tcPr>
            <w:tcW w:w="0" w:type="auto"/>
            <w:shd w:val="clear" w:color="auto" w:fill="auto"/>
            <w:tcMar>
              <w:top w:w="40" w:type="dxa"/>
              <w:left w:w="40" w:type="dxa"/>
              <w:bottom w:w="40" w:type="dxa"/>
              <w:right w:w="40" w:type="dxa"/>
            </w:tcMar>
            <w:vAlign w:val="bottom"/>
          </w:tcPr>
          <w:p w14:paraId="4ACE268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ACE2688" w14:textId="77777777" w:rsidR="006F587A" w:rsidRDefault="007B2B61">
            <w:pPr>
              <w:textAlignment w:val="center"/>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center"/>
          </w:tcPr>
          <w:p w14:paraId="4ACE2689" w14:textId="77777777" w:rsidR="006F587A" w:rsidRDefault="007B2B61">
            <w:pPr>
              <w:jc w:val="right"/>
              <w:textAlignment w:val="center"/>
              <w:rPr>
                <w:rFonts w:ascii="Times New Roman" w:hAnsi="Times New Roman"/>
                <w:sz w:val="18"/>
                <w:szCs w:val="18"/>
              </w:rPr>
            </w:pPr>
            <w:r>
              <w:rPr>
                <w:rFonts w:ascii="Arial" w:eastAsia="宋体" w:hAnsi="Arial" w:cs="Arial"/>
                <w:color w:val="333333"/>
                <w:sz w:val="18"/>
                <w:szCs w:val="18"/>
              </w:rPr>
              <w:t>2,334</w:t>
            </w:r>
          </w:p>
        </w:tc>
        <w:tc>
          <w:tcPr>
            <w:tcW w:w="0" w:type="auto"/>
            <w:shd w:val="clear" w:color="auto" w:fill="auto"/>
            <w:vAlign w:val="bottom"/>
          </w:tcPr>
          <w:p w14:paraId="4ACE268A" w14:textId="77777777" w:rsidR="006F587A" w:rsidRDefault="006F587A">
            <w:pPr>
              <w:textAlignment w:val="bottom"/>
              <w:rPr>
                <w:rFonts w:ascii="Times New Roman" w:hAnsi="Times New Roman"/>
                <w:sz w:val="20"/>
                <w:szCs w:val="20"/>
              </w:rPr>
            </w:pPr>
          </w:p>
        </w:tc>
      </w:tr>
      <w:tr w:rsidR="006F587A" w14:paraId="4ACE2698" w14:textId="77777777">
        <w:tc>
          <w:tcPr>
            <w:tcW w:w="0" w:type="auto"/>
            <w:shd w:val="clear" w:color="auto" w:fill="auto"/>
            <w:tcMar>
              <w:top w:w="40" w:type="dxa"/>
              <w:left w:w="40" w:type="dxa"/>
              <w:bottom w:w="40" w:type="dxa"/>
              <w:right w:w="40" w:type="dxa"/>
            </w:tcMar>
            <w:vAlign w:val="bottom"/>
          </w:tcPr>
          <w:p w14:paraId="4ACE268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Platform ASP</w:t>
            </w:r>
          </w:p>
        </w:tc>
        <w:tc>
          <w:tcPr>
            <w:tcW w:w="0" w:type="auto"/>
            <w:shd w:val="clear" w:color="auto" w:fill="auto"/>
            <w:tcMar>
              <w:top w:w="40" w:type="dxa"/>
              <w:left w:w="40" w:type="dxa"/>
              <w:bottom w:w="40" w:type="dxa"/>
              <w:right w:w="40" w:type="dxa"/>
            </w:tcMar>
            <w:vAlign w:val="center"/>
          </w:tcPr>
          <w:p w14:paraId="4ACE268D" w14:textId="77777777" w:rsidR="006F587A" w:rsidRDefault="007B2B61">
            <w:pPr>
              <w:jc w:val="right"/>
              <w:textAlignment w:val="center"/>
              <w:rPr>
                <w:rFonts w:ascii="Times New Roman" w:hAnsi="Times New Roman"/>
                <w:sz w:val="18"/>
                <w:szCs w:val="18"/>
              </w:rPr>
            </w:pPr>
            <w:r>
              <w:rPr>
                <w:rFonts w:ascii="Arial" w:eastAsia="宋体" w:hAnsi="Arial" w:cs="Arial"/>
                <w:color w:val="0071C5"/>
                <w:sz w:val="18"/>
                <w:szCs w:val="18"/>
              </w:rPr>
              <w:t>up</w:t>
            </w:r>
          </w:p>
        </w:tc>
        <w:tc>
          <w:tcPr>
            <w:tcW w:w="0" w:type="auto"/>
            <w:shd w:val="clear" w:color="auto" w:fill="auto"/>
            <w:tcMar>
              <w:top w:w="40" w:type="dxa"/>
              <w:left w:w="40" w:type="dxa"/>
              <w:bottom w:w="40" w:type="dxa"/>
              <w:right w:w="40" w:type="dxa"/>
            </w:tcMar>
            <w:vAlign w:val="center"/>
          </w:tcPr>
          <w:p w14:paraId="4ACE268E" w14:textId="77777777" w:rsidR="006F587A" w:rsidRDefault="007B2B61">
            <w:pPr>
              <w:textAlignment w:val="center"/>
              <w:rPr>
                <w:rFonts w:ascii="Times New Roman" w:hAnsi="Times New Roman"/>
                <w:sz w:val="18"/>
                <w:szCs w:val="18"/>
              </w:rPr>
            </w:pPr>
            <w:r>
              <w:rPr>
                <w:rFonts w:ascii="Arial" w:eastAsia="宋体" w:hAnsi="Arial" w:cs="Arial"/>
                <w:color w:val="0071C5"/>
                <w:sz w:val="18"/>
                <w:szCs w:val="18"/>
              </w:rPr>
              <w:t>5%</w:t>
            </w:r>
          </w:p>
        </w:tc>
        <w:tc>
          <w:tcPr>
            <w:tcW w:w="0" w:type="auto"/>
            <w:shd w:val="clear" w:color="auto" w:fill="auto"/>
            <w:tcMar>
              <w:top w:w="40" w:type="dxa"/>
              <w:left w:w="40" w:type="dxa"/>
              <w:bottom w:w="40" w:type="dxa"/>
              <w:right w:w="40" w:type="dxa"/>
            </w:tcMar>
            <w:vAlign w:val="bottom"/>
          </w:tcPr>
          <w:p w14:paraId="4ACE268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ACE2690" w14:textId="77777777" w:rsidR="006F587A" w:rsidRDefault="007B2B61">
            <w:pPr>
              <w:jc w:val="right"/>
              <w:textAlignment w:val="center"/>
              <w:rPr>
                <w:rFonts w:ascii="Times New Roman" w:hAnsi="Times New Roman"/>
                <w:sz w:val="18"/>
                <w:szCs w:val="18"/>
              </w:rPr>
            </w:pPr>
            <w:r>
              <w:rPr>
                <w:rFonts w:ascii="Arial" w:eastAsia="宋体" w:hAnsi="Arial" w:cs="Arial"/>
                <w:color w:val="0071C5"/>
                <w:sz w:val="18"/>
                <w:szCs w:val="18"/>
              </w:rPr>
              <w:t>940</w:t>
            </w:r>
          </w:p>
        </w:tc>
        <w:tc>
          <w:tcPr>
            <w:tcW w:w="0" w:type="auto"/>
            <w:shd w:val="clear" w:color="auto" w:fill="auto"/>
            <w:vAlign w:val="bottom"/>
          </w:tcPr>
          <w:p w14:paraId="4ACE269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69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4ACE2693" w14:textId="77777777" w:rsidR="006F587A" w:rsidRDefault="007B2B61">
            <w:pPr>
              <w:jc w:val="right"/>
              <w:textAlignment w:val="center"/>
              <w:rPr>
                <w:rFonts w:ascii="Times New Roman" w:hAnsi="Times New Roman"/>
                <w:sz w:val="18"/>
                <w:szCs w:val="18"/>
              </w:rPr>
            </w:pPr>
            <w:r>
              <w:rPr>
                <w:rFonts w:ascii="Arial" w:eastAsia="宋体" w:hAnsi="Arial" w:cs="Arial"/>
                <w:color w:val="333333"/>
                <w:sz w:val="18"/>
                <w:szCs w:val="18"/>
              </w:rPr>
              <w:t>up</w:t>
            </w:r>
          </w:p>
        </w:tc>
        <w:tc>
          <w:tcPr>
            <w:tcW w:w="0" w:type="auto"/>
            <w:shd w:val="clear" w:color="auto" w:fill="auto"/>
            <w:tcMar>
              <w:top w:w="40" w:type="dxa"/>
              <w:left w:w="40" w:type="dxa"/>
              <w:bottom w:w="40" w:type="dxa"/>
              <w:right w:w="40" w:type="dxa"/>
            </w:tcMar>
            <w:vAlign w:val="center"/>
          </w:tcPr>
          <w:p w14:paraId="4ACE2694" w14:textId="77777777" w:rsidR="006F587A" w:rsidRDefault="007B2B61">
            <w:pPr>
              <w:textAlignment w:val="center"/>
              <w:rPr>
                <w:rFonts w:ascii="Times New Roman" w:hAnsi="Times New Roman"/>
                <w:sz w:val="18"/>
                <w:szCs w:val="18"/>
              </w:rPr>
            </w:pPr>
            <w:r>
              <w:rPr>
                <w:rFonts w:ascii="Arial" w:eastAsia="宋体" w:hAnsi="Arial" w:cs="Arial"/>
                <w:color w:val="333333"/>
                <w:sz w:val="18"/>
                <w:szCs w:val="18"/>
              </w:rPr>
              <w:t>7%</w:t>
            </w:r>
          </w:p>
        </w:tc>
        <w:tc>
          <w:tcPr>
            <w:tcW w:w="0" w:type="auto"/>
            <w:shd w:val="clear" w:color="auto" w:fill="auto"/>
            <w:tcMar>
              <w:top w:w="40" w:type="dxa"/>
              <w:left w:w="40" w:type="dxa"/>
              <w:bottom w:w="40" w:type="dxa"/>
              <w:right w:w="40" w:type="dxa"/>
            </w:tcMar>
            <w:vAlign w:val="bottom"/>
          </w:tcPr>
          <w:p w14:paraId="4ACE269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ACE2696" w14:textId="77777777" w:rsidR="006F587A" w:rsidRDefault="007B2B61">
            <w:pPr>
              <w:jc w:val="right"/>
              <w:textAlignment w:val="center"/>
              <w:rPr>
                <w:rFonts w:ascii="Times New Roman" w:hAnsi="Times New Roman"/>
                <w:sz w:val="18"/>
                <w:szCs w:val="18"/>
              </w:rPr>
            </w:pPr>
            <w:r>
              <w:rPr>
                <w:rFonts w:ascii="Arial" w:eastAsia="宋体" w:hAnsi="Arial" w:cs="Arial"/>
                <w:color w:val="333333"/>
                <w:sz w:val="18"/>
                <w:szCs w:val="18"/>
              </w:rPr>
              <w:t>1,382</w:t>
            </w:r>
          </w:p>
        </w:tc>
        <w:tc>
          <w:tcPr>
            <w:tcW w:w="0" w:type="auto"/>
            <w:shd w:val="clear" w:color="auto" w:fill="auto"/>
            <w:vAlign w:val="bottom"/>
          </w:tcPr>
          <w:p w14:paraId="4ACE2697" w14:textId="77777777" w:rsidR="006F587A" w:rsidRDefault="006F587A">
            <w:pPr>
              <w:textAlignment w:val="bottom"/>
              <w:rPr>
                <w:rFonts w:ascii="Times New Roman" w:hAnsi="Times New Roman"/>
                <w:sz w:val="20"/>
                <w:szCs w:val="20"/>
              </w:rPr>
            </w:pPr>
          </w:p>
        </w:tc>
      </w:tr>
      <w:tr w:rsidR="006F587A" w14:paraId="4ACE26A5" w14:textId="77777777">
        <w:tc>
          <w:tcPr>
            <w:tcW w:w="0" w:type="auto"/>
            <w:shd w:val="clear" w:color="auto" w:fill="auto"/>
            <w:tcMar>
              <w:top w:w="40" w:type="dxa"/>
              <w:left w:w="40" w:type="dxa"/>
              <w:bottom w:w="40" w:type="dxa"/>
              <w:right w:w="40" w:type="dxa"/>
            </w:tcMar>
            <w:vAlign w:val="bottom"/>
          </w:tcPr>
          <w:p w14:paraId="4ACE269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Adjacent products</w:t>
            </w:r>
          </w:p>
        </w:tc>
        <w:tc>
          <w:tcPr>
            <w:tcW w:w="0" w:type="auto"/>
            <w:shd w:val="clear" w:color="auto" w:fill="auto"/>
            <w:tcMar>
              <w:top w:w="40" w:type="dxa"/>
              <w:left w:w="40" w:type="dxa"/>
              <w:bottom w:w="40" w:type="dxa"/>
              <w:right w:w="40" w:type="dxa"/>
            </w:tcMar>
            <w:vAlign w:val="center"/>
          </w:tcPr>
          <w:p w14:paraId="4ACE269A" w14:textId="77777777" w:rsidR="006F587A" w:rsidRDefault="007B2B61">
            <w:pPr>
              <w:jc w:val="right"/>
              <w:textAlignment w:val="center"/>
              <w:rPr>
                <w:rFonts w:ascii="Times New Roman" w:hAnsi="Times New Roman"/>
                <w:sz w:val="18"/>
                <w:szCs w:val="18"/>
              </w:rPr>
            </w:pPr>
            <w:r>
              <w:rPr>
                <w:rFonts w:ascii="Arial" w:eastAsia="宋体" w:hAnsi="Arial" w:cs="Arial"/>
                <w:color w:val="0071C5"/>
                <w:sz w:val="18"/>
                <w:szCs w:val="18"/>
              </w:rPr>
              <w:t>up</w:t>
            </w:r>
          </w:p>
        </w:tc>
        <w:tc>
          <w:tcPr>
            <w:tcW w:w="0" w:type="auto"/>
            <w:shd w:val="clear" w:color="auto" w:fill="auto"/>
            <w:tcMar>
              <w:top w:w="40" w:type="dxa"/>
              <w:left w:w="40" w:type="dxa"/>
              <w:bottom w:w="40" w:type="dxa"/>
              <w:right w:w="40" w:type="dxa"/>
            </w:tcMar>
            <w:vAlign w:val="center"/>
          </w:tcPr>
          <w:p w14:paraId="4ACE269B" w14:textId="77777777" w:rsidR="006F587A" w:rsidRDefault="007B2B61">
            <w:pPr>
              <w:textAlignment w:val="center"/>
              <w:rPr>
                <w:rFonts w:ascii="Times New Roman" w:hAnsi="Times New Roman"/>
                <w:sz w:val="18"/>
                <w:szCs w:val="18"/>
              </w:rPr>
            </w:pPr>
            <w:r>
              <w:rPr>
                <w:rFonts w:ascii="Arial" w:eastAsia="宋体" w:hAnsi="Arial" w:cs="Arial"/>
                <w:color w:val="0071C5"/>
                <w:sz w:val="18"/>
                <w:szCs w:val="18"/>
              </w:rPr>
              <w:t>11%</w:t>
            </w:r>
          </w:p>
        </w:tc>
        <w:tc>
          <w:tcPr>
            <w:tcW w:w="0" w:type="auto"/>
            <w:shd w:val="clear" w:color="auto" w:fill="auto"/>
            <w:tcMar>
              <w:top w:w="40" w:type="dxa"/>
              <w:left w:w="40" w:type="dxa"/>
              <w:bottom w:w="40" w:type="dxa"/>
              <w:right w:w="40" w:type="dxa"/>
            </w:tcMar>
            <w:vAlign w:val="bottom"/>
          </w:tcPr>
          <w:p w14:paraId="4ACE269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ACE269D" w14:textId="77777777" w:rsidR="006F587A" w:rsidRDefault="007B2B61">
            <w:pPr>
              <w:jc w:val="right"/>
              <w:textAlignment w:val="center"/>
              <w:rPr>
                <w:rFonts w:ascii="Times New Roman" w:hAnsi="Times New Roman"/>
                <w:sz w:val="18"/>
                <w:szCs w:val="18"/>
              </w:rPr>
            </w:pPr>
            <w:r>
              <w:rPr>
                <w:rFonts w:ascii="Arial" w:eastAsia="宋体" w:hAnsi="Arial" w:cs="Arial"/>
                <w:color w:val="0071C5"/>
                <w:sz w:val="18"/>
                <w:szCs w:val="18"/>
              </w:rPr>
              <w:t>204</w:t>
            </w:r>
          </w:p>
        </w:tc>
        <w:tc>
          <w:tcPr>
            <w:tcW w:w="0" w:type="auto"/>
            <w:shd w:val="clear" w:color="auto" w:fill="auto"/>
            <w:vAlign w:val="bottom"/>
          </w:tcPr>
          <w:p w14:paraId="4ACE269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69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4ACE26A0" w14:textId="77777777" w:rsidR="006F587A" w:rsidRDefault="007B2B61">
            <w:pPr>
              <w:jc w:val="right"/>
              <w:textAlignment w:val="center"/>
              <w:rPr>
                <w:rFonts w:ascii="Times New Roman" w:hAnsi="Times New Roman"/>
                <w:sz w:val="18"/>
                <w:szCs w:val="18"/>
              </w:rPr>
            </w:pPr>
            <w:r>
              <w:rPr>
                <w:rFonts w:ascii="Arial" w:eastAsia="宋体" w:hAnsi="Arial" w:cs="Arial"/>
                <w:color w:val="333333"/>
                <w:sz w:val="18"/>
                <w:szCs w:val="18"/>
              </w:rPr>
              <w:t>up</w:t>
            </w:r>
          </w:p>
        </w:tc>
        <w:tc>
          <w:tcPr>
            <w:tcW w:w="0" w:type="auto"/>
            <w:shd w:val="clear" w:color="auto" w:fill="auto"/>
            <w:tcMar>
              <w:top w:w="40" w:type="dxa"/>
              <w:left w:w="40" w:type="dxa"/>
              <w:bottom w:w="40" w:type="dxa"/>
              <w:right w:w="40" w:type="dxa"/>
            </w:tcMar>
            <w:vAlign w:val="center"/>
          </w:tcPr>
          <w:p w14:paraId="4ACE26A1" w14:textId="77777777" w:rsidR="006F587A" w:rsidRDefault="007B2B61">
            <w:pPr>
              <w:textAlignment w:val="center"/>
              <w:rPr>
                <w:rFonts w:ascii="Times New Roman" w:hAnsi="Times New Roman"/>
                <w:sz w:val="18"/>
                <w:szCs w:val="18"/>
              </w:rPr>
            </w:pPr>
            <w:r>
              <w:rPr>
                <w:rFonts w:ascii="Arial" w:eastAsia="宋体" w:hAnsi="Arial" w:cs="Arial"/>
                <w:color w:val="333333"/>
                <w:sz w:val="18"/>
                <w:szCs w:val="18"/>
              </w:rPr>
              <w:t>13%</w:t>
            </w:r>
          </w:p>
        </w:tc>
        <w:tc>
          <w:tcPr>
            <w:tcW w:w="0" w:type="auto"/>
            <w:shd w:val="clear" w:color="auto" w:fill="auto"/>
            <w:tcMar>
              <w:top w:w="40" w:type="dxa"/>
              <w:left w:w="40" w:type="dxa"/>
              <w:bottom w:w="40" w:type="dxa"/>
              <w:right w:w="40" w:type="dxa"/>
            </w:tcMar>
            <w:vAlign w:val="bottom"/>
          </w:tcPr>
          <w:p w14:paraId="4ACE26A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ACE26A3" w14:textId="77777777" w:rsidR="006F587A" w:rsidRDefault="007B2B61">
            <w:pPr>
              <w:jc w:val="right"/>
              <w:textAlignment w:val="center"/>
              <w:rPr>
                <w:rFonts w:ascii="Times New Roman" w:hAnsi="Times New Roman"/>
                <w:sz w:val="18"/>
                <w:szCs w:val="18"/>
              </w:rPr>
            </w:pPr>
            <w:r>
              <w:rPr>
                <w:rFonts w:ascii="Arial" w:eastAsia="宋体" w:hAnsi="Arial" w:cs="Arial"/>
                <w:color w:val="333333"/>
                <w:sz w:val="18"/>
                <w:szCs w:val="18"/>
              </w:rPr>
              <w:t>211</w:t>
            </w:r>
          </w:p>
        </w:tc>
        <w:tc>
          <w:tcPr>
            <w:tcW w:w="0" w:type="auto"/>
            <w:shd w:val="clear" w:color="auto" w:fill="auto"/>
            <w:vAlign w:val="bottom"/>
          </w:tcPr>
          <w:p w14:paraId="4ACE26A4" w14:textId="77777777" w:rsidR="006F587A" w:rsidRDefault="006F587A">
            <w:pPr>
              <w:textAlignment w:val="bottom"/>
              <w:rPr>
                <w:rFonts w:ascii="Times New Roman" w:hAnsi="Times New Roman"/>
                <w:sz w:val="20"/>
                <w:szCs w:val="20"/>
              </w:rPr>
            </w:pPr>
          </w:p>
        </w:tc>
      </w:tr>
      <w:tr w:rsidR="006F587A" w14:paraId="4ACE26B0" w14:textId="77777777">
        <w:tc>
          <w:tcPr>
            <w:tcW w:w="0" w:type="auto"/>
            <w:shd w:val="clear" w:color="auto" w:fill="auto"/>
            <w:tcMar>
              <w:top w:w="40" w:type="dxa"/>
              <w:left w:w="40" w:type="dxa"/>
              <w:bottom w:w="40" w:type="dxa"/>
              <w:right w:w="40" w:type="dxa"/>
            </w:tcMar>
            <w:vAlign w:val="bottom"/>
          </w:tcPr>
          <w:p w14:paraId="4ACE26A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6A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6A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6A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26A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6A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6A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6A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6A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26A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26BF" w14:textId="77777777">
        <w:tc>
          <w:tcPr>
            <w:tcW w:w="0" w:type="auto"/>
            <w:shd w:val="clear" w:color="auto" w:fill="auto"/>
            <w:tcMar>
              <w:top w:w="40" w:type="dxa"/>
              <w:left w:w="40" w:type="dxa"/>
              <w:bottom w:w="40" w:type="dxa"/>
              <w:right w:w="40" w:type="dxa"/>
            </w:tcMar>
            <w:vAlign w:val="bottom"/>
          </w:tcPr>
          <w:p w14:paraId="4ACE26B1"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Total change in revenue</w:t>
            </w:r>
          </w:p>
        </w:tc>
        <w:tc>
          <w:tcPr>
            <w:tcW w:w="0" w:type="auto"/>
            <w:shd w:val="clear" w:color="auto" w:fill="auto"/>
            <w:tcMar>
              <w:top w:w="40" w:type="dxa"/>
              <w:left w:w="40" w:type="dxa"/>
              <w:bottom w:w="40" w:type="dxa"/>
              <w:right w:w="40" w:type="dxa"/>
            </w:tcMar>
            <w:vAlign w:val="bottom"/>
          </w:tcPr>
          <w:p w14:paraId="4ACE26B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6B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6B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ACE26B5"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ACE26B6"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490</w:t>
            </w:r>
          </w:p>
        </w:tc>
        <w:tc>
          <w:tcPr>
            <w:tcW w:w="0" w:type="auto"/>
            <w:tcBorders>
              <w:top w:val="single" w:sz="8" w:space="0" w:color="000000"/>
              <w:bottom w:val="double" w:sz="6" w:space="0" w:color="000000"/>
            </w:tcBorders>
            <w:shd w:val="clear" w:color="auto" w:fill="auto"/>
            <w:vAlign w:val="bottom"/>
          </w:tcPr>
          <w:p w14:paraId="4ACE26B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6B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6B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6B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6B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ACE26BC"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ACE26BD"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3,927</w:t>
            </w:r>
          </w:p>
        </w:tc>
        <w:tc>
          <w:tcPr>
            <w:tcW w:w="0" w:type="auto"/>
            <w:tcBorders>
              <w:top w:val="single" w:sz="8" w:space="0" w:color="000000"/>
              <w:bottom w:val="double" w:sz="6" w:space="0" w:color="000000"/>
            </w:tcBorders>
            <w:shd w:val="clear" w:color="auto" w:fill="auto"/>
            <w:vAlign w:val="bottom"/>
          </w:tcPr>
          <w:p w14:paraId="4ACE26BE" w14:textId="77777777" w:rsidR="006F587A" w:rsidRDefault="006F587A">
            <w:pPr>
              <w:textAlignment w:val="bottom"/>
              <w:rPr>
                <w:rFonts w:ascii="Times New Roman" w:hAnsi="Times New Roman"/>
                <w:sz w:val="20"/>
                <w:szCs w:val="20"/>
              </w:rPr>
            </w:pPr>
          </w:p>
        </w:tc>
      </w:tr>
    </w:tbl>
    <w:p w14:paraId="4ACE26C0" w14:textId="77777777" w:rsidR="006F587A" w:rsidRDefault="006F587A">
      <w:pPr>
        <w:rPr>
          <w:vanish/>
        </w:rPr>
      </w:pPr>
    </w:p>
    <w:tbl>
      <w:tblPr>
        <w:tblW w:w="5000" w:type="pct"/>
        <w:tblCellMar>
          <w:left w:w="0" w:type="dxa"/>
          <w:right w:w="0" w:type="dxa"/>
        </w:tblCellMar>
        <w:tblLook w:val="04A0" w:firstRow="1" w:lastRow="0" w:firstColumn="1" w:lastColumn="0" w:noHBand="0" w:noVBand="1"/>
      </w:tblPr>
      <w:tblGrid>
        <w:gridCol w:w="8306"/>
      </w:tblGrid>
      <w:tr w:rsidR="006F587A" w14:paraId="4ACE26C2" w14:textId="77777777">
        <w:tc>
          <w:tcPr>
            <w:tcW w:w="0" w:type="auto"/>
            <w:shd w:val="clear" w:color="auto" w:fill="auto"/>
            <w:vAlign w:val="center"/>
          </w:tcPr>
          <w:p w14:paraId="4ACE26C1" w14:textId="77777777" w:rsidR="006F587A" w:rsidRDefault="006F587A">
            <w:pPr>
              <w:rPr>
                <w:rFonts w:ascii="Times New Roman" w:hAnsi="Times New Roman"/>
                <w:sz w:val="20"/>
                <w:szCs w:val="20"/>
              </w:rPr>
            </w:pPr>
          </w:p>
        </w:tc>
      </w:tr>
      <w:tr w:rsidR="006F587A" w14:paraId="4ACE26C4" w14:textId="77777777">
        <w:tc>
          <w:tcPr>
            <w:tcW w:w="5000" w:type="pct"/>
            <w:shd w:val="clear" w:color="auto" w:fill="auto"/>
            <w:vAlign w:val="center"/>
          </w:tcPr>
          <w:p w14:paraId="4ACE26C3" w14:textId="77777777" w:rsidR="006F587A" w:rsidRDefault="006F587A">
            <w:pPr>
              <w:rPr>
                <w:rFonts w:ascii="Times New Roman" w:hAnsi="Times New Roman"/>
                <w:sz w:val="20"/>
                <w:szCs w:val="20"/>
              </w:rPr>
            </w:pPr>
          </w:p>
        </w:tc>
      </w:tr>
      <w:tr w:rsidR="006F587A" w14:paraId="4ACE26C6" w14:textId="77777777">
        <w:tc>
          <w:tcPr>
            <w:tcW w:w="0" w:type="auto"/>
            <w:tcBorders>
              <w:bottom w:val="single" w:sz="8" w:space="0" w:color="333333"/>
            </w:tcBorders>
            <w:shd w:val="clear" w:color="auto" w:fill="auto"/>
            <w:tcMar>
              <w:top w:w="40" w:type="dxa"/>
              <w:left w:w="40" w:type="dxa"/>
              <w:bottom w:w="40" w:type="dxa"/>
              <w:right w:w="40" w:type="dxa"/>
            </w:tcMar>
            <w:vAlign w:val="bottom"/>
          </w:tcPr>
          <w:p w14:paraId="4ACE26C5" w14:textId="77777777" w:rsidR="006F587A" w:rsidRDefault="007B2B61">
            <w:pPr>
              <w:textAlignment w:val="bottom"/>
              <w:rPr>
                <w:rFonts w:ascii="Times New Roman" w:hAnsi="Times New Roman"/>
                <w:sz w:val="20"/>
                <w:szCs w:val="20"/>
              </w:rPr>
            </w:pPr>
            <w:r>
              <w:rPr>
                <w:rFonts w:ascii="Arial" w:eastAsia="宋体" w:hAnsi="Arial" w:cs="Arial"/>
                <w:b/>
                <w:bCs/>
                <w:color w:val="0071C5"/>
                <w:sz w:val="20"/>
                <w:szCs w:val="20"/>
              </w:rPr>
              <w:t xml:space="preserve">OPERATING INCOME </w:t>
            </w:r>
            <w:r>
              <w:rPr>
                <w:rFonts w:ascii="Arial" w:eastAsia="宋体" w:hAnsi="Arial" w:cs="Arial"/>
                <w:b/>
                <w:bCs/>
                <w:color w:val="0071C5"/>
                <w:sz w:val="20"/>
                <w:szCs w:val="20"/>
              </w:rPr>
              <w:t>SUMMARY</w:t>
            </w:r>
          </w:p>
        </w:tc>
      </w:tr>
    </w:tbl>
    <w:p w14:paraId="4ACE26C7"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Operating income decreased 11% year over year, and operating margin was 44% in 2019. </w:t>
      </w:r>
    </w:p>
    <w:tbl>
      <w:tblPr>
        <w:tblW w:w="5000" w:type="pct"/>
        <w:tblCellMar>
          <w:left w:w="0" w:type="dxa"/>
          <w:right w:w="0" w:type="dxa"/>
        </w:tblCellMar>
        <w:tblLook w:val="04A0" w:firstRow="1" w:lastRow="0" w:firstColumn="1" w:lastColumn="0" w:noHBand="0" w:noVBand="1"/>
      </w:tblPr>
      <w:tblGrid>
        <w:gridCol w:w="142"/>
        <w:gridCol w:w="686"/>
        <w:gridCol w:w="100"/>
        <w:gridCol w:w="130"/>
        <w:gridCol w:w="7248"/>
      </w:tblGrid>
      <w:tr w:rsidR="006F587A" w14:paraId="4ACE26C9" w14:textId="77777777">
        <w:tc>
          <w:tcPr>
            <w:tcW w:w="0" w:type="auto"/>
            <w:gridSpan w:val="5"/>
            <w:shd w:val="clear" w:color="auto" w:fill="auto"/>
            <w:vAlign w:val="center"/>
          </w:tcPr>
          <w:p w14:paraId="4ACE26C8" w14:textId="77777777" w:rsidR="006F587A" w:rsidRDefault="006F587A">
            <w:pPr>
              <w:rPr>
                <w:rFonts w:ascii="Times New Roman" w:hAnsi="Times New Roman"/>
                <w:sz w:val="20"/>
                <w:szCs w:val="20"/>
              </w:rPr>
            </w:pPr>
          </w:p>
        </w:tc>
      </w:tr>
      <w:tr w:rsidR="006F587A" w14:paraId="4ACE26CF" w14:textId="77777777">
        <w:tc>
          <w:tcPr>
            <w:tcW w:w="50" w:type="pct"/>
            <w:shd w:val="clear" w:color="auto" w:fill="auto"/>
            <w:vAlign w:val="center"/>
          </w:tcPr>
          <w:p w14:paraId="4ACE26CA" w14:textId="77777777" w:rsidR="006F587A" w:rsidRDefault="006F587A">
            <w:pPr>
              <w:rPr>
                <w:rFonts w:ascii="Times New Roman" w:hAnsi="Times New Roman"/>
                <w:sz w:val="20"/>
                <w:szCs w:val="20"/>
              </w:rPr>
            </w:pPr>
          </w:p>
        </w:tc>
        <w:tc>
          <w:tcPr>
            <w:tcW w:w="450" w:type="pct"/>
            <w:shd w:val="clear" w:color="auto" w:fill="auto"/>
            <w:vAlign w:val="center"/>
          </w:tcPr>
          <w:p w14:paraId="4ACE26CB" w14:textId="77777777" w:rsidR="006F587A" w:rsidRDefault="006F587A">
            <w:pPr>
              <w:rPr>
                <w:rFonts w:ascii="Times New Roman" w:hAnsi="Times New Roman"/>
                <w:sz w:val="20"/>
                <w:szCs w:val="20"/>
              </w:rPr>
            </w:pPr>
          </w:p>
        </w:tc>
        <w:tc>
          <w:tcPr>
            <w:tcW w:w="50" w:type="pct"/>
            <w:shd w:val="clear" w:color="auto" w:fill="auto"/>
            <w:vAlign w:val="center"/>
          </w:tcPr>
          <w:p w14:paraId="4ACE26CC" w14:textId="77777777" w:rsidR="006F587A" w:rsidRDefault="006F587A">
            <w:pPr>
              <w:rPr>
                <w:rFonts w:ascii="Times New Roman" w:hAnsi="Times New Roman"/>
                <w:sz w:val="20"/>
                <w:szCs w:val="20"/>
              </w:rPr>
            </w:pPr>
          </w:p>
        </w:tc>
        <w:tc>
          <w:tcPr>
            <w:tcW w:w="50" w:type="pct"/>
            <w:shd w:val="clear" w:color="auto" w:fill="auto"/>
            <w:vAlign w:val="center"/>
          </w:tcPr>
          <w:p w14:paraId="4ACE26CD" w14:textId="77777777" w:rsidR="006F587A" w:rsidRDefault="006F587A">
            <w:pPr>
              <w:rPr>
                <w:rFonts w:ascii="Times New Roman" w:hAnsi="Times New Roman"/>
                <w:sz w:val="20"/>
                <w:szCs w:val="20"/>
              </w:rPr>
            </w:pPr>
          </w:p>
        </w:tc>
        <w:tc>
          <w:tcPr>
            <w:tcW w:w="4400" w:type="pct"/>
            <w:shd w:val="clear" w:color="auto" w:fill="auto"/>
            <w:vAlign w:val="center"/>
          </w:tcPr>
          <w:p w14:paraId="4ACE26CE" w14:textId="77777777" w:rsidR="006F587A" w:rsidRDefault="006F587A">
            <w:pPr>
              <w:rPr>
                <w:rFonts w:ascii="Times New Roman" w:hAnsi="Times New Roman"/>
                <w:sz w:val="20"/>
                <w:szCs w:val="20"/>
              </w:rPr>
            </w:pPr>
          </w:p>
        </w:tc>
      </w:tr>
      <w:tr w:rsidR="006F587A" w14:paraId="4ACE26D3" w14:textId="77777777">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26D0"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4ACE26D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71C5"/>
            </w:tcBorders>
            <w:shd w:val="clear" w:color="auto" w:fill="auto"/>
            <w:tcMar>
              <w:top w:w="40" w:type="dxa"/>
              <w:left w:w="40" w:type="dxa"/>
              <w:bottom w:w="40" w:type="dxa"/>
              <w:right w:w="40" w:type="dxa"/>
            </w:tcMar>
            <w:vAlign w:val="bottom"/>
          </w:tcPr>
          <w:p w14:paraId="4ACE26D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26D9" w14:textId="77777777">
        <w:tc>
          <w:tcPr>
            <w:tcW w:w="0" w:type="auto"/>
            <w:tcBorders>
              <w:bottom w:val="single" w:sz="8" w:space="0" w:color="333333"/>
            </w:tcBorders>
            <w:shd w:val="clear" w:color="auto" w:fill="auto"/>
            <w:tcMar>
              <w:top w:w="40" w:type="dxa"/>
              <w:left w:w="40" w:type="dxa"/>
              <w:bottom w:w="40" w:type="dxa"/>
            </w:tcMar>
            <w:vAlign w:val="bottom"/>
          </w:tcPr>
          <w:p w14:paraId="4ACE26D4"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bottom w:val="single" w:sz="8" w:space="0" w:color="333333"/>
            </w:tcBorders>
            <w:shd w:val="clear" w:color="auto" w:fill="auto"/>
            <w:tcMar>
              <w:top w:w="40" w:type="dxa"/>
              <w:bottom w:w="40" w:type="dxa"/>
            </w:tcMar>
            <w:vAlign w:val="bottom"/>
          </w:tcPr>
          <w:p w14:paraId="4ACE26D5"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10,227</w:t>
            </w:r>
          </w:p>
        </w:tc>
        <w:tc>
          <w:tcPr>
            <w:tcW w:w="0" w:type="auto"/>
            <w:tcBorders>
              <w:bottom w:val="single" w:sz="8" w:space="0" w:color="333333"/>
            </w:tcBorders>
            <w:shd w:val="clear" w:color="auto" w:fill="auto"/>
            <w:vAlign w:val="bottom"/>
          </w:tcPr>
          <w:p w14:paraId="4ACE26D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6D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26D8"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2019 Operating Income</w:t>
            </w:r>
          </w:p>
        </w:tc>
      </w:tr>
      <w:tr w:rsidR="006F587A" w14:paraId="4ACE26DE" w14:textId="77777777">
        <w:tc>
          <w:tcPr>
            <w:tcW w:w="0" w:type="auto"/>
            <w:gridSpan w:val="2"/>
            <w:shd w:val="clear" w:color="auto" w:fill="auto"/>
            <w:tcMar>
              <w:top w:w="40" w:type="dxa"/>
              <w:left w:w="40" w:type="dxa"/>
              <w:bottom w:w="40" w:type="dxa"/>
            </w:tcMar>
            <w:vAlign w:val="bottom"/>
          </w:tcPr>
          <w:p w14:paraId="4ACE26DA"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(805</w:t>
            </w:r>
          </w:p>
        </w:tc>
        <w:tc>
          <w:tcPr>
            <w:tcW w:w="0" w:type="auto"/>
            <w:shd w:val="clear" w:color="auto" w:fill="auto"/>
            <w:tcMar>
              <w:top w:w="40" w:type="dxa"/>
              <w:bottom w:w="40" w:type="dxa"/>
              <w:right w:w="40" w:type="dxa"/>
            </w:tcMar>
            <w:vAlign w:val="bottom"/>
          </w:tcPr>
          <w:p w14:paraId="4ACE26DB"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26D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6D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Higher period charges, primarily associated with the initial ramp of 10nm</w:t>
            </w:r>
          </w:p>
        </w:tc>
      </w:tr>
      <w:tr w:rsidR="006F587A" w14:paraId="4ACE26E3" w14:textId="77777777">
        <w:tc>
          <w:tcPr>
            <w:tcW w:w="0" w:type="auto"/>
            <w:gridSpan w:val="2"/>
            <w:shd w:val="clear" w:color="auto" w:fill="auto"/>
            <w:tcMar>
              <w:top w:w="40" w:type="dxa"/>
              <w:left w:w="40" w:type="dxa"/>
              <w:bottom w:w="40" w:type="dxa"/>
            </w:tcMar>
            <w:vAlign w:val="bottom"/>
          </w:tcPr>
          <w:p w14:paraId="4ACE26DF"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(510</w:t>
            </w:r>
          </w:p>
        </w:tc>
        <w:tc>
          <w:tcPr>
            <w:tcW w:w="0" w:type="auto"/>
            <w:shd w:val="clear" w:color="auto" w:fill="auto"/>
            <w:tcMar>
              <w:top w:w="40" w:type="dxa"/>
              <w:bottom w:w="40" w:type="dxa"/>
              <w:right w:w="40" w:type="dxa"/>
            </w:tcMar>
            <w:vAlign w:val="bottom"/>
          </w:tcPr>
          <w:p w14:paraId="4ACE26E0"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26E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6E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Higher operating expenses primarily related to R&amp;D</w:t>
            </w:r>
          </w:p>
        </w:tc>
      </w:tr>
      <w:tr w:rsidR="006F587A" w14:paraId="4ACE26E8" w14:textId="77777777">
        <w:tc>
          <w:tcPr>
            <w:tcW w:w="0" w:type="auto"/>
            <w:gridSpan w:val="2"/>
            <w:shd w:val="clear" w:color="auto" w:fill="auto"/>
            <w:tcMar>
              <w:top w:w="40" w:type="dxa"/>
              <w:left w:w="40" w:type="dxa"/>
              <w:bottom w:w="40" w:type="dxa"/>
            </w:tcMar>
            <w:vAlign w:val="bottom"/>
          </w:tcPr>
          <w:p w14:paraId="4ACE26E4"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(140</w:t>
            </w:r>
          </w:p>
        </w:tc>
        <w:tc>
          <w:tcPr>
            <w:tcW w:w="0" w:type="auto"/>
            <w:shd w:val="clear" w:color="auto" w:fill="auto"/>
            <w:tcMar>
              <w:top w:w="40" w:type="dxa"/>
              <w:bottom w:w="40" w:type="dxa"/>
              <w:right w:w="40" w:type="dxa"/>
            </w:tcMar>
            <w:vAlign w:val="bottom"/>
          </w:tcPr>
          <w:p w14:paraId="4ACE26E5"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26E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6E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Lower gross margin from adjacent businesses</w:t>
            </w:r>
          </w:p>
        </w:tc>
      </w:tr>
      <w:tr w:rsidR="006F587A" w14:paraId="4ACE26ED" w14:textId="77777777">
        <w:tc>
          <w:tcPr>
            <w:tcW w:w="0" w:type="auto"/>
            <w:gridSpan w:val="2"/>
            <w:shd w:val="clear" w:color="auto" w:fill="auto"/>
            <w:tcMar>
              <w:top w:w="40" w:type="dxa"/>
              <w:left w:w="40" w:type="dxa"/>
              <w:bottom w:w="40" w:type="dxa"/>
            </w:tcMar>
            <w:vAlign w:val="bottom"/>
          </w:tcPr>
          <w:p w14:paraId="4ACE26E9"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(80</w:t>
            </w:r>
          </w:p>
        </w:tc>
        <w:tc>
          <w:tcPr>
            <w:tcW w:w="0" w:type="auto"/>
            <w:shd w:val="clear" w:color="auto" w:fill="auto"/>
            <w:tcMar>
              <w:top w:w="40" w:type="dxa"/>
              <w:bottom w:w="40" w:type="dxa"/>
              <w:right w:w="40" w:type="dxa"/>
            </w:tcMar>
            <w:vAlign w:val="bottom"/>
          </w:tcPr>
          <w:p w14:paraId="4ACE26EA"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26E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6E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Higher platform unit cost</w:t>
            </w:r>
          </w:p>
        </w:tc>
      </w:tr>
      <w:tr w:rsidR="006F587A" w14:paraId="4ACE26F2" w14:textId="77777777">
        <w:tc>
          <w:tcPr>
            <w:tcW w:w="0" w:type="auto"/>
            <w:gridSpan w:val="2"/>
            <w:shd w:val="clear" w:color="auto" w:fill="auto"/>
            <w:tcMar>
              <w:top w:w="40" w:type="dxa"/>
              <w:left w:w="40" w:type="dxa"/>
              <w:bottom w:w="40" w:type="dxa"/>
            </w:tcMar>
            <w:vAlign w:val="bottom"/>
          </w:tcPr>
          <w:p w14:paraId="4ACE26EE"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370</w:t>
            </w:r>
          </w:p>
        </w:tc>
        <w:tc>
          <w:tcPr>
            <w:tcW w:w="0" w:type="auto"/>
            <w:shd w:val="clear" w:color="auto" w:fill="auto"/>
            <w:vAlign w:val="bottom"/>
          </w:tcPr>
          <w:p w14:paraId="4ACE26E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6F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6F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Higher gross margin from platform revenue</w:t>
            </w:r>
          </w:p>
        </w:tc>
      </w:tr>
      <w:tr w:rsidR="006F587A" w14:paraId="4ACE26F7" w14:textId="77777777">
        <w:tc>
          <w:tcPr>
            <w:tcW w:w="0" w:type="auto"/>
            <w:gridSpan w:val="2"/>
            <w:shd w:val="clear" w:color="auto" w:fill="auto"/>
            <w:tcMar>
              <w:top w:w="40" w:type="dxa"/>
              <w:left w:w="40" w:type="dxa"/>
              <w:bottom w:w="40" w:type="dxa"/>
            </w:tcMar>
            <w:vAlign w:val="bottom"/>
          </w:tcPr>
          <w:p w14:paraId="4ACE26F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(84</w:t>
            </w:r>
          </w:p>
        </w:tc>
        <w:tc>
          <w:tcPr>
            <w:tcW w:w="0" w:type="auto"/>
            <w:shd w:val="clear" w:color="auto" w:fill="auto"/>
            <w:tcMar>
              <w:top w:w="40" w:type="dxa"/>
              <w:bottom w:w="40" w:type="dxa"/>
              <w:right w:w="40" w:type="dxa"/>
            </w:tcMar>
            <w:vAlign w:val="bottom"/>
          </w:tcPr>
          <w:p w14:paraId="4ACE26F4"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26F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6F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Other</w:t>
            </w:r>
          </w:p>
        </w:tc>
      </w:tr>
      <w:tr w:rsidR="006F587A" w14:paraId="4ACE26FD" w14:textId="77777777">
        <w:tc>
          <w:tcPr>
            <w:tcW w:w="0" w:type="auto"/>
            <w:tcBorders>
              <w:top w:val="single" w:sz="8" w:space="0" w:color="333333"/>
              <w:bottom w:val="single" w:sz="8" w:space="0" w:color="333333"/>
            </w:tcBorders>
            <w:shd w:val="clear" w:color="auto" w:fill="auto"/>
            <w:tcMar>
              <w:top w:w="40" w:type="dxa"/>
              <w:left w:w="40" w:type="dxa"/>
              <w:bottom w:w="40" w:type="dxa"/>
            </w:tcMar>
            <w:vAlign w:val="bottom"/>
          </w:tcPr>
          <w:p w14:paraId="4ACE26F8"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single" w:sz="8" w:space="0" w:color="333333"/>
            </w:tcBorders>
            <w:shd w:val="clear" w:color="auto" w:fill="auto"/>
            <w:tcMar>
              <w:top w:w="40" w:type="dxa"/>
              <w:bottom w:w="40" w:type="dxa"/>
            </w:tcMar>
            <w:vAlign w:val="bottom"/>
          </w:tcPr>
          <w:p w14:paraId="4ACE26F9"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11,476</w:t>
            </w:r>
          </w:p>
        </w:tc>
        <w:tc>
          <w:tcPr>
            <w:tcW w:w="0" w:type="auto"/>
            <w:tcBorders>
              <w:top w:val="single" w:sz="8" w:space="0" w:color="333333"/>
              <w:bottom w:val="single" w:sz="8" w:space="0" w:color="333333"/>
            </w:tcBorders>
            <w:shd w:val="clear" w:color="auto" w:fill="auto"/>
            <w:vAlign w:val="bottom"/>
          </w:tcPr>
          <w:p w14:paraId="4ACE26F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6F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single" w:sz="8" w:space="0" w:color="333333"/>
            </w:tcBorders>
            <w:shd w:val="clear" w:color="auto" w:fill="auto"/>
            <w:tcMar>
              <w:top w:w="40" w:type="dxa"/>
              <w:left w:w="40" w:type="dxa"/>
              <w:bottom w:w="40" w:type="dxa"/>
              <w:right w:w="40" w:type="dxa"/>
            </w:tcMar>
            <w:vAlign w:val="bottom"/>
          </w:tcPr>
          <w:p w14:paraId="4ACE26FC"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2018 Operating Income</w:t>
            </w:r>
          </w:p>
        </w:tc>
      </w:tr>
      <w:tr w:rsidR="006F587A" w14:paraId="4ACE2702" w14:textId="77777777">
        <w:tc>
          <w:tcPr>
            <w:tcW w:w="0" w:type="auto"/>
            <w:gridSpan w:val="2"/>
            <w:shd w:val="clear" w:color="auto" w:fill="auto"/>
            <w:tcMar>
              <w:top w:w="40" w:type="dxa"/>
              <w:left w:w="40" w:type="dxa"/>
              <w:bottom w:w="40" w:type="dxa"/>
            </w:tcMar>
            <w:vAlign w:val="bottom"/>
          </w:tcPr>
          <w:p w14:paraId="4ACE26F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3,445</w:t>
            </w:r>
          </w:p>
        </w:tc>
        <w:tc>
          <w:tcPr>
            <w:tcW w:w="0" w:type="auto"/>
            <w:shd w:val="clear" w:color="auto" w:fill="auto"/>
            <w:vAlign w:val="bottom"/>
          </w:tcPr>
          <w:p w14:paraId="4ACE26F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70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70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Higher gross margin from platform revenue</w:t>
            </w:r>
          </w:p>
        </w:tc>
      </w:tr>
      <w:tr w:rsidR="006F587A" w14:paraId="4ACE2707" w14:textId="77777777">
        <w:tc>
          <w:tcPr>
            <w:tcW w:w="0" w:type="auto"/>
            <w:gridSpan w:val="2"/>
            <w:shd w:val="clear" w:color="auto" w:fill="auto"/>
            <w:tcMar>
              <w:top w:w="40" w:type="dxa"/>
              <w:left w:w="40" w:type="dxa"/>
              <w:bottom w:w="40" w:type="dxa"/>
            </w:tcMar>
            <w:vAlign w:val="bottom"/>
          </w:tcPr>
          <w:p w14:paraId="4ACE2703"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(350</w:t>
            </w:r>
          </w:p>
        </w:tc>
        <w:tc>
          <w:tcPr>
            <w:tcW w:w="0" w:type="auto"/>
            <w:shd w:val="clear" w:color="auto" w:fill="auto"/>
            <w:tcMar>
              <w:top w:w="40" w:type="dxa"/>
              <w:bottom w:w="40" w:type="dxa"/>
              <w:right w:w="40" w:type="dxa"/>
            </w:tcMar>
            <w:vAlign w:val="bottom"/>
          </w:tcPr>
          <w:p w14:paraId="4ACE270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270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70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Higher platform unit cost</w:t>
            </w:r>
          </w:p>
        </w:tc>
      </w:tr>
      <w:tr w:rsidR="006F587A" w14:paraId="4ACE270C" w14:textId="77777777">
        <w:tc>
          <w:tcPr>
            <w:tcW w:w="0" w:type="auto"/>
            <w:gridSpan w:val="2"/>
            <w:shd w:val="clear" w:color="auto" w:fill="auto"/>
            <w:tcMar>
              <w:top w:w="40" w:type="dxa"/>
              <w:left w:w="40" w:type="dxa"/>
              <w:bottom w:w="40" w:type="dxa"/>
            </w:tcMar>
            <w:vAlign w:val="bottom"/>
          </w:tcPr>
          <w:p w14:paraId="4ACE270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(14</w:t>
            </w:r>
          </w:p>
        </w:tc>
        <w:tc>
          <w:tcPr>
            <w:tcW w:w="0" w:type="auto"/>
            <w:shd w:val="clear" w:color="auto" w:fill="auto"/>
            <w:tcMar>
              <w:top w:w="40" w:type="dxa"/>
              <w:bottom w:w="40" w:type="dxa"/>
              <w:right w:w="40" w:type="dxa"/>
            </w:tcMar>
            <w:vAlign w:val="bottom"/>
          </w:tcPr>
          <w:p w14:paraId="4ACE270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270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70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Other</w:t>
            </w:r>
          </w:p>
        </w:tc>
      </w:tr>
      <w:tr w:rsidR="006F587A" w14:paraId="4ACE2712" w14:textId="77777777">
        <w:tc>
          <w:tcPr>
            <w:tcW w:w="0" w:type="auto"/>
            <w:tcBorders>
              <w:top w:val="single" w:sz="8" w:space="0" w:color="333333"/>
              <w:bottom w:val="single" w:sz="8" w:space="0" w:color="333333"/>
            </w:tcBorders>
            <w:shd w:val="clear" w:color="auto" w:fill="auto"/>
            <w:tcMar>
              <w:top w:w="40" w:type="dxa"/>
              <w:left w:w="40" w:type="dxa"/>
              <w:bottom w:w="40" w:type="dxa"/>
            </w:tcMar>
            <w:vAlign w:val="bottom"/>
          </w:tcPr>
          <w:p w14:paraId="4ACE270D"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single" w:sz="8" w:space="0" w:color="333333"/>
            </w:tcBorders>
            <w:shd w:val="clear" w:color="auto" w:fill="auto"/>
            <w:tcMar>
              <w:top w:w="40" w:type="dxa"/>
              <w:bottom w:w="40" w:type="dxa"/>
            </w:tcMar>
            <w:vAlign w:val="bottom"/>
          </w:tcPr>
          <w:p w14:paraId="4ACE270E"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8,395</w:t>
            </w:r>
          </w:p>
        </w:tc>
        <w:tc>
          <w:tcPr>
            <w:tcW w:w="0" w:type="auto"/>
            <w:tcBorders>
              <w:top w:val="single" w:sz="8" w:space="0" w:color="333333"/>
              <w:bottom w:val="single" w:sz="8" w:space="0" w:color="333333"/>
            </w:tcBorders>
            <w:shd w:val="clear" w:color="auto" w:fill="auto"/>
            <w:vAlign w:val="bottom"/>
          </w:tcPr>
          <w:p w14:paraId="4ACE270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71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single" w:sz="8" w:space="0" w:color="333333"/>
            </w:tcBorders>
            <w:shd w:val="clear" w:color="auto" w:fill="auto"/>
            <w:tcMar>
              <w:top w:w="40" w:type="dxa"/>
              <w:left w:w="40" w:type="dxa"/>
              <w:bottom w:w="40" w:type="dxa"/>
              <w:right w:w="40" w:type="dxa"/>
            </w:tcMar>
            <w:vAlign w:val="bottom"/>
          </w:tcPr>
          <w:p w14:paraId="4ACE2711"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2017 Operating Income</w:t>
            </w:r>
          </w:p>
        </w:tc>
      </w:tr>
    </w:tbl>
    <w:p w14:paraId="4ACE2713" w14:textId="77777777" w:rsidR="006F587A" w:rsidRDefault="006F587A">
      <w:pPr>
        <w:spacing w:line="288" w:lineRule="auto"/>
        <w:rPr>
          <w:rFonts w:ascii="Times New Roman" w:hAnsi="Times New Roman"/>
          <w:sz w:val="18"/>
          <w:szCs w:val="18"/>
        </w:rPr>
      </w:pPr>
    </w:p>
    <w:p w14:paraId="4ACE2714"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492"/>
        <w:gridCol w:w="2658"/>
        <w:gridCol w:w="3156"/>
      </w:tblGrid>
      <w:tr w:rsidR="006F587A" w14:paraId="4ACE2716" w14:textId="77777777">
        <w:tc>
          <w:tcPr>
            <w:tcW w:w="0" w:type="auto"/>
            <w:gridSpan w:val="3"/>
            <w:shd w:val="clear" w:color="auto" w:fill="auto"/>
            <w:vAlign w:val="center"/>
          </w:tcPr>
          <w:p w14:paraId="4ACE2715" w14:textId="77777777" w:rsidR="006F587A" w:rsidRDefault="006F587A">
            <w:pPr>
              <w:rPr>
                <w:rFonts w:ascii="Times New Roman" w:hAnsi="Times New Roman"/>
                <w:sz w:val="20"/>
                <w:szCs w:val="20"/>
              </w:rPr>
            </w:pPr>
          </w:p>
        </w:tc>
      </w:tr>
      <w:tr w:rsidR="006F587A" w14:paraId="4ACE271A" w14:textId="77777777">
        <w:tc>
          <w:tcPr>
            <w:tcW w:w="1500" w:type="pct"/>
            <w:shd w:val="clear" w:color="auto" w:fill="auto"/>
            <w:vAlign w:val="center"/>
          </w:tcPr>
          <w:p w14:paraId="4ACE2717" w14:textId="77777777" w:rsidR="006F587A" w:rsidRDefault="006F587A">
            <w:pPr>
              <w:rPr>
                <w:rFonts w:ascii="Times New Roman" w:hAnsi="Times New Roman"/>
                <w:sz w:val="20"/>
                <w:szCs w:val="20"/>
              </w:rPr>
            </w:pPr>
          </w:p>
        </w:tc>
        <w:tc>
          <w:tcPr>
            <w:tcW w:w="1600" w:type="pct"/>
            <w:shd w:val="clear" w:color="auto" w:fill="auto"/>
            <w:vAlign w:val="center"/>
          </w:tcPr>
          <w:p w14:paraId="4ACE2718" w14:textId="77777777" w:rsidR="006F587A" w:rsidRDefault="006F587A">
            <w:pPr>
              <w:rPr>
                <w:rFonts w:ascii="Times New Roman" w:hAnsi="Times New Roman"/>
                <w:sz w:val="20"/>
                <w:szCs w:val="20"/>
              </w:rPr>
            </w:pPr>
          </w:p>
        </w:tc>
        <w:tc>
          <w:tcPr>
            <w:tcW w:w="1900" w:type="pct"/>
            <w:shd w:val="clear" w:color="auto" w:fill="auto"/>
            <w:vAlign w:val="center"/>
          </w:tcPr>
          <w:p w14:paraId="4ACE2719" w14:textId="77777777" w:rsidR="006F587A" w:rsidRDefault="006F587A">
            <w:pPr>
              <w:rPr>
                <w:rFonts w:ascii="Times New Roman" w:hAnsi="Times New Roman"/>
                <w:sz w:val="20"/>
                <w:szCs w:val="20"/>
              </w:rPr>
            </w:pPr>
          </w:p>
        </w:tc>
      </w:tr>
      <w:tr w:rsidR="006F587A" w14:paraId="4ACE271D" w14:textId="77777777">
        <w:tc>
          <w:tcPr>
            <w:tcW w:w="0" w:type="auto"/>
            <w:gridSpan w:val="2"/>
            <w:tcBorders>
              <w:top w:val="single" w:sz="8" w:space="0" w:color="0071C5"/>
            </w:tcBorders>
            <w:shd w:val="clear" w:color="auto" w:fill="auto"/>
            <w:tcMar>
              <w:top w:w="40" w:type="dxa"/>
              <w:left w:w="40" w:type="dxa"/>
              <w:bottom w:w="40" w:type="dxa"/>
              <w:right w:w="40" w:type="dxa"/>
            </w:tcMar>
            <w:vAlign w:val="center"/>
          </w:tcPr>
          <w:p w14:paraId="4ACE271B" w14:textId="77777777" w:rsidR="006F587A" w:rsidRDefault="007B2B61">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CD0" wp14:editId="4ACE6CD1">
                  <wp:extent cx="304800" cy="304800"/>
                  <wp:effectExtent l="0" t="0" r="0" b="0"/>
                  <wp:docPr id="212" name="图片 136"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136"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MD&amp;A</w:t>
            </w:r>
          </w:p>
        </w:tc>
        <w:tc>
          <w:tcPr>
            <w:tcW w:w="0" w:type="auto"/>
            <w:tcBorders>
              <w:top w:val="single" w:sz="8" w:space="0" w:color="0071C5"/>
            </w:tcBorders>
            <w:shd w:val="clear" w:color="auto" w:fill="auto"/>
            <w:tcMar>
              <w:top w:w="40" w:type="dxa"/>
              <w:left w:w="40" w:type="dxa"/>
              <w:bottom w:w="40" w:type="dxa"/>
              <w:right w:w="40" w:type="dxa"/>
            </w:tcMar>
            <w:vAlign w:val="center"/>
          </w:tcPr>
          <w:p w14:paraId="4ACE271C" w14:textId="77777777" w:rsidR="006F587A" w:rsidRDefault="007B2B61">
            <w:pPr>
              <w:jc w:val="right"/>
              <w:textAlignment w:val="center"/>
              <w:rPr>
                <w:rFonts w:ascii="Times New Roman" w:hAnsi="Times New Roman"/>
                <w:sz w:val="16"/>
                <w:szCs w:val="16"/>
              </w:rPr>
            </w:pPr>
            <w:r>
              <w:rPr>
                <w:rFonts w:ascii="Arial" w:eastAsia="宋体" w:hAnsi="Arial" w:cs="Arial"/>
                <w:color w:val="333333"/>
                <w:sz w:val="16"/>
                <w:szCs w:val="16"/>
              </w:rPr>
              <w:t>20</w:t>
            </w:r>
          </w:p>
        </w:tc>
      </w:tr>
    </w:tbl>
    <w:p w14:paraId="4ACE271E" w14:textId="77777777" w:rsidR="006F587A" w:rsidRDefault="007B2B61">
      <w:r>
        <w:pict w14:anchorId="4ACE6CD2">
          <v:rect id="_x0000_i1046" style="width:415.3pt;height:1.5pt" o:hralign="center" o:hrstd="t" o:hr="t" fillcolor="#a0a0a0" stroked="f"/>
        </w:pict>
      </w:r>
    </w:p>
    <w:p w14:paraId="4ACE271F" w14:textId="77777777" w:rsidR="006F587A" w:rsidRDefault="007B2B61">
      <w:pPr>
        <w:spacing w:line="288" w:lineRule="auto"/>
        <w:jc w:val="right"/>
        <w:rPr>
          <w:rFonts w:ascii="Times New Roman" w:hAnsi="Times New Roman"/>
          <w:sz w:val="16"/>
          <w:szCs w:val="16"/>
        </w:rPr>
      </w:pPr>
      <w:hyperlink r:id="rId55" w:anchor="s9DB683E2CF52561EB8A73BE37F5BF9BE" w:history="1">
        <w:r>
          <w:rPr>
            <w:rStyle w:val="a5"/>
            <w:rFonts w:ascii="Arial" w:eastAsia="宋体" w:hAnsi="Arial" w:cs="Arial"/>
            <w:b/>
            <w:bCs/>
            <w:sz w:val="16"/>
            <w:szCs w:val="16"/>
          </w:rPr>
          <w:t>Table of Contents</w:t>
        </w:r>
      </w:hyperlink>
    </w:p>
    <w:p w14:paraId="4ACE2720" w14:textId="77777777" w:rsidR="006F587A" w:rsidRDefault="006F587A">
      <w:pPr>
        <w:spacing w:line="288" w:lineRule="auto"/>
        <w:jc w:val="right"/>
        <w:rPr>
          <w:rFonts w:ascii="Times New Roman" w:hAnsi="Times New Roman"/>
          <w:sz w:val="16"/>
          <w:szCs w:val="16"/>
        </w:rPr>
      </w:pPr>
    </w:p>
    <w:p w14:paraId="4ACE2721" w14:textId="77777777" w:rsidR="006F587A" w:rsidRDefault="006F587A">
      <w:pPr>
        <w:rPr>
          <w:rFonts w:ascii="Times New Roman" w:hAnsi="Times New Roman"/>
          <w:sz w:val="20"/>
          <w:szCs w:val="20"/>
        </w:rPr>
      </w:pPr>
    </w:p>
    <w:p w14:paraId="4ACE2722" w14:textId="77777777" w:rsidR="006F587A" w:rsidRDefault="007B2B61">
      <w:pPr>
        <w:spacing w:line="288" w:lineRule="auto"/>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/INTEL/./I</w:instrText>
      </w:r>
      <w:r>
        <w:rPr>
          <w:rFonts w:ascii="Times New Roman" w:eastAsia="宋体" w:hAnsi="Times New Roman"/>
          <w:sz w:val="20"/>
          <w:szCs w:val="20"/>
        </w:rPr>
        <w:instrText xml:space="preserve">nline XBRL Viewer12_files/a044iotbanner2.jpg"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D3" wp14:editId="4ACE6CD4">
            <wp:extent cx="304800" cy="304800"/>
            <wp:effectExtent l="0" t="0" r="0" b="0"/>
            <wp:docPr id="207" name="图片 138" descr="IMG_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138" descr="IMG_33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4ACE2723" w14:textId="77777777" w:rsidR="006F587A" w:rsidRDefault="007B2B61">
      <w:pPr>
        <w:spacing w:line="288" w:lineRule="auto"/>
        <w:ind w:firstLine="960"/>
        <w:rPr>
          <w:rFonts w:ascii="Times New Roman" w:hAnsi="Times New Roman"/>
          <w:sz w:val="18"/>
          <w:szCs w:val="18"/>
        </w:rPr>
      </w:pPr>
      <w:r>
        <w:rPr>
          <w:rFonts w:ascii="Arial" w:eastAsia="宋体" w:hAnsi="Arial" w:cs="Arial"/>
          <w:color w:val="333333"/>
          <w:sz w:val="18"/>
          <w:szCs w:val="18"/>
        </w:rPr>
        <w:t xml:space="preserve">As more intelligence is moving to the edge, more industries are harnessing the power of data to create business value, to innovate, and to grow. We are using our </w:t>
      </w:r>
      <w:r>
        <w:rPr>
          <w:rFonts w:ascii="Arial" w:eastAsia="宋体" w:hAnsi="Arial" w:cs="Arial"/>
          <w:color w:val="333333"/>
          <w:sz w:val="18"/>
          <w:szCs w:val="18"/>
        </w:rPr>
        <w:t xml:space="preserve">architecture, accelerators, and software assets, combined with scale and partners, to develop a growing Internet of Things portfolio. Our Internet of Things portfolio is comprised of our IOTG and Mobileye businesses. IOTG develops high-performance compute </w:t>
      </w:r>
      <w:r>
        <w:rPr>
          <w:rFonts w:ascii="Arial" w:eastAsia="宋体" w:hAnsi="Arial" w:cs="Arial"/>
          <w:color w:val="333333"/>
          <w:sz w:val="18"/>
          <w:szCs w:val="18"/>
        </w:rPr>
        <w:t>for targeted verticals and embedded markets. Mobileye is the global leader in the development of computer vision and machine learning-based sensing, data analysis, localization, mapping, and driving policy technology for ADAS and autonomous driving.</w:t>
      </w:r>
    </w:p>
    <w:tbl>
      <w:tblPr>
        <w:tblW w:w="5000" w:type="pct"/>
        <w:tblCellMar>
          <w:left w:w="0" w:type="dxa"/>
          <w:right w:w="0" w:type="dxa"/>
        </w:tblCellMar>
        <w:tblLook w:val="04A0" w:firstRow="1" w:lastRow="0" w:firstColumn="1" w:lastColumn="0" w:noHBand="0" w:noVBand="1"/>
      </w:tblPr>
      <w:tblGrid>
        <w:gridCol w:w="8306"/>
      </w:tblGrid>
      <w:tr w:rsidR="006F587A" w14:paraId="4ACE2725" w14:textId="77777777">
        <w:tc>
          <w:tcPr>
            <w:tcW w:w="0" w:type="auto"/>
            <w:shd w:val="clear" w:color="auto" w:fill="auto"/>
            <w:vAlign w:val="center"/>
          </w:tcPr>
          <w:p w14:paraId="4ACE2724" w14:textId="77777777" w:rsidR="006F587A" w:rsidRDefault="006F587A">
            <w:pPr>
              <w:rPr>
                <w:rFonts w:ascii="Times New Roman" w:hAnsi="Times New Roman"/>
                <w:sz w:val="20"/>
                <w:szCs w:val="20"/>
              </w:rPr>
            </w:pPr>
          </w:p>
        </w:tc>
      </w:tr>
      <w:tr w:rsidR="006F587A" w14:paraId="4ACE2727" w14:textId="77777777">
        <w:tc>
          <w:tcPr>
            <w:tcW w:w="5000" w:type="pct"/>
            <w:shd w:val="clear" w:color="auto" w:fill="auto"/>
            <w:vAlign w:val="center"/>
          </w:tcPr>
          <w:p w14:paraId="4ACE2726" w14:textId="77777777" w:rsidR="006F587A" w:rsidRDefault="006F587A">
            <w:pPr>
              <w:rPr>
                <w:rFonts w:ascii="Times New Roman" w:hAnsi="Times New Roman"/>
                <w:sz w:val="20"/>
                <w:szCs w:val="20"/>
              </w:rPr>
            </w:pPr>
          </w:p>
        </w:tc>
      </w:tr>
      <w:tr w:rsidR="006F587A" w14:paraId="4ACE2729" w14:textId="77777777">
        <w:tc>
          <w:tcPr>
            <w:tcW w:w="0" w:type="auto"/>
            <w:shd w:val="clear" w:color="auto" w:fill="0071C5"/>
            <w:tcMar>
              <w:top w:w="40" w:type="dxa"/>
              <w:left w:w="880" w:type="dxa"/>
              <w:bottom w:w="40" w:type="dxa"/>
              <w:right w:w="40" w:type="dxa"/>
            </w:tcMar>
          </w:tcPr>
          <w:p w14:paraId="4ACE2728" w14:textId="77777777" w:rsidR="006F587A" w:rsidRDefault="007B2B61">
            <w:pPr>
              <w:textAlignment w:val="top"/>
              <w:rPr>
                <w:rFonts w:ascii="Times New Roman" w:hAnsi="Times New Roman"/>
                <w:sz w:val="44"/>
                <w:szCs w:val="44"/>
              </w:rPr>
            </w:pPr>
            <w:r>
              <w:rPr>
                <w:rFonts w:ascii="sans-serif" w:eastAsia="sans-serif" w:hAnsi="sans-serif" w:cs="sans-serif"/>
                <w:color w:val="FFFFFF"/>
                <w:sz w:val="44"/>
                <w:szCs w:val="44"/>
              </w:rPr>
              <w:t>IN</w:t>
            </w:r>
            <w:r>
              <w:rPr>
                <w:rFonts w:ascii="sans-serif" w:eastAsia="sans-serif" w:hAnsi="sans-serif" w:cs="sans-serif"/>
                <w:color w:val="FFFFFF"/>
                <w:sz w:val="44"/>
                <w:szCs w:val="44"/>
              </w:rPr>
              <w:t>TERNET OF THINGS GROUP</w:t>
            </w:r>
          </w:p>
        </w:tc>
      </w:tr>
    </w:tbl>
    <w:p w14:paraId="4ACE272A" w14:textId="77777777" w:rsidR="006F587A" w:rsidRDefault="006F587A">
      <w:pPr>
        <w:rPr>
          <w:vanish/>
        </w:rPr>
      </w:pPr>
    </w:p>
    <w:tbl>
      <w:tblPr>
        <w:tblW w:w="14660" w:type="dxa"/>
        <w:tblCellMar>
          <w:left w:w="0" w:type="dxa"/>
          <w:right w:w="0" w:type="dxa"/>
        </w:tblCellMar>
        <w:tblLook w:val="04A0" w:firstRow="1" w:lastRow="0" w:firstColumn="1" w:lastColumn="0" w:noHBand="0" w:noVBand="1"/>
      </w:tblPr>
      <w:tblGrid>
        <w:gridCol w:w="296"/>
        <w:gridCol w:w="7575"/>
        <w:gridCol w:w="6789"/>
      </w:tblGrid>
      <w:tr w:rsidR="006F587A" w14:paraId="4ACE272C" w14:textId="77777777">
        <w:tc>
          <w:tcPr>
            <w:tcW w:w="0" w:type="auto"/>
            <w:gridSpan w:val="3"/>
            <w:shd w:val="clear" w:color="auto" w:fill="auto"/>
            <w:vAlign w:val="center"/>
          </w:tcPr>
          <w:p w14:paraId="4ACE272B" w14:textId="77777777" w:rsidR="006F587A" w:rsidRDefault="006F587A">
            <w:pPr>
              <w:rPr>
                <w:rFonts w:ascii="Times New Roman" w:hAnsi="Times New Roman"/>
                <w:sz w:val="20"/>
                <w:szCs w:val="20"/>
              </w:rPr>
            </w:pPr>
          </w:p>
        </w:tc>
      </w:tr>
      <w:tr w:rsidR="006F587A" w14:paraId="4ACE2730" w14:textId="77777777">
        <w:tc>
          <w:tcPr>
            <w:tcW w:w="760" w:type="dxa"/>
            <w:shd w:val="clear" w:color="auto" w:fill="auto"/>
            <w:vAlign w:val="center"/>
          </w:tcPr>
          <w:p w14:paraId="4ACE272D" w14:textId="77777777" w:rsidR="006F587A" w:rsidRDefault="006F587A">
            <w:pPr>
              <w:rPr>
                <w:rFonts w:ascii="Times New Roman" w:hAnsi="Times New Roman"/>
                <w:sz w:val="20"/>
                <w:szCs w:val="20"/>
              </w:rPr>
            </w:pPr>
          </w:p>
        </w:tc>
        <w:tc>
          <w:tcPr>
            <w:tcW w:w="10440" w:type="dxa"/>
            <w:shd w:val="clear" w:color="auto" w:fill="auto"/>
            <w:vAlign w:val="center"/>
          </w:tcPr>
          <w:p w14:paraId="4ACE272E" w14:textId="77777777" w:rsidR="006F587A" w:rsidRDefault="006F587A">
            <w:pPr>
              <w:rPr>
                <w:rFonts w:ascii="Times New Roman" w:hAnsi="Times New Roman"/>
                <w:sz w:val="20"/>
                <w:szCs w:val="20"/>
              </w:rPr>
            </w:pPr>
          </w:p>
        </w:tc>
        <w:tc>
          <w:tcPr>
            <w:tcW w:w="3400" w:type="dxa"/>
            <w:shd w:val="clear" w:color="auto" w:fill="auto"/>
            <w:vAlign w:val="center"/>
          </w:tcPr>
          <w:p w14:paraId="4ACE272F" w14:textId="77777777" w:rsidR="006F587A" w:rsidRDefault="006F587A">
            <w:pPr>
              <w:rPr>
                <w:rFonts w:ascii="Times New Roman" w:hAnsi="Times New Roman"/>
                <w:sz w:val="20"/>
                <w:szCs w:val="20"/>
              </w:rPr>
            </w:pPr>
          </w:p>
        </w:tc>
      </w:tr>
      <w:tr w:rsidR="006F587A" w14:paraId="4ACE2733" w14:textId="77777777">
        <w:tc>
          <w:tcPr>
            <w:tcW w:w="0" w:type="auto"/>
            <w:gridSpan w:val="2"/>
            <w:tcBorders>
              <w:bottom w:val="single" w:sz="8" w:space="0" w:color="333333"/>
            </w:tcBorders>
            <w:shd w:val="clear" w:color="auto" w:fill="auto"/>
            <w:tcMar>
              <w:top w:w="40" w:type="dxa"/>
              <w:left w:w="40" w:type="dxa"/>
              <w:bottom w:w="40" w:type="dxa"/>
              <w:right w:w="40" w:type="dxa"/>
            </w:tcMar>
            <w:vAlign w:val="bottom"/>
          </w:tcPr>
          <w:p w14:paraId="4ACE2731" w14:textId="77777777" w:rsidR="006F587A" w:rsidRDefault="007B2B61">
            <w:pPr>
              <w:textAlignment w:val="bottom"/>
              <w:rPr>
                <w:rFonts w:ascii="Times New Roman" w:hAnsi="Times New Roman"/>
                <w:sz w:val="20"/>
                <w:szCs w:val="20"/>
              </w:rPr>
            </w:pPr>
            <w:r>
              <w:rPr>
                <w:rFonts w:ascii="Arial" w:eastAsia="宋体" w:hAnsi="Arial" w:cs="Arial"/>
                <w:b/>
                <w:bCs/>
                <w:color w:val="0071C5"/>
                <w:sz w:val="20"/>
                <w:szCs w:val="20"/>
              </w:rPr>
              <w:t>OVERVIEW</w:t>
            </w:r>
          </w:p>
        </w:tc>
        <w:tc>
          <w:tcPr>
            <w:tcW w:w="0" w:type="auto"/>
            <w:vMerge w:val="restart"/>
            <w:shd w:val="clear" w:color="auto" w:fill="auto"/>
            <w:tcMar>
              <w:top w:w="40" w:type="dxa"/>
              <w:left w:w="40" w:type="dxa"/>
              <w:bottom w:w="40" w:type="dxa"/>
              <w:right w:w="40" w:type="dxa"/>
            </w:tcMar>
            <w:vAlign w:val="bottom"/>
          </w:tcPr>
          <w:p w14:paraId="4ACE2732" w14:textId="77777777" w:rsidR="006F587A" w:rsidRDefault="007B2B61">
            <w:pPr>
              <w:jc w:val="center"/>
              <w:textAlignment w:val="bottom"/>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Viewer12_files/a045tomla02.jpg"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D5" wp14:editId="4ACE6CD6">
                  <wp:extent cx="304800" cy="304800"/>
                  <wp:effectExtent l="0" t="0" r="0" b="0"/>
                  <wp:docPr id="253" name="图片 139" descr="IMG_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139" descr="IMG_33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r>
      <w:tr w:rsidR="006F587A" w14:paraId="4ACE2736" w14:textId="77777777">
        <w:tc>
          <w:tcPr>
            <w:tcW w:w="0" w:type="auto"/>
            <w:gridSpan w:val="2"/>
            <w:tcBorders>
              <w:top w:val="single" w:sz="8" w:space="0" w:color="333333"/>
            </w:tcBorders>
            <w:shd w:val="clear" w:color="auto" w:fill="auto"/>
            <w:tcMar>
              <w:top w:w="40" w:type="dxa"/>
              <w:left w:w="40" w:type="dxa"/>
              <w:bottom w:w="40" w:type="dxa"/>
              <w:right w:w="40" w:type="dxa"/>
            </w:tcMar>
          </w:tcPr>
          <w:p w14:paraId="4ACE2734"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 xml:space="preserve">IOTG develops high-performance compute for targeted verticals and embedded markets. Our customers include </w:t>
            </w:r>
            <w:r>
              <w:rPr>
                <w:rFonts w:ascii="Arial" w:eastAsia="宋体" w:hAnsi="Arial" w:cs="Arial"/>
                <w:color w:val="333333"/>
                <w:sz w:val="18"/>
                <w:szCs w:val="18"/>
              </w:rPr>
              <w:t>retailers, manufacturers, healthcare providers, energy companies, automakers, and governments. We facilitate our customers creating, storing, and processing data generated by connected devices to accelerate business transformations.</w:t>
            </w:r>
          </w:p>
        </w:tc>
        <w:tc>
          <w:tcPr>
            <w:tcW w:w="0" w:type="auto"/>
            <w:vMerge/>
            <w:shd w:val="clear" w:color="auto" w:fill="auto"/>
            <w:tcMar>
              <w:top w:w="40" w:type="dxa"/>
              <w:left w:w="40" w:type="dxa"/>
              <w:bottom w:w="40" w:type="dxa"/>
              <w:right w:w="40" w:type="dxa"/>
            </w:tcMar>
            <w:vAlign w:val="bottom"/>
          </w:tcPr>
          <w:p w14:paraId="4ACE2735" w14:textId="77777777" w:rsidR="006F587A" w:rsidRDefault="006F587A">
            <w:pPr>
              <w:rPr>
                <w:rFonts w:ascii="Times New Roman" w:hAnsi="Times New Roman"/>
                <w:sz w:val="20"/>
                <w:szCs w:val="20"/>
              </w:rPr>
            </w:pPr>
          </w:p>
        </w:tc>
      </w:tr>
      <w:tr w:rsidR="006F587A" w14:paraId="4ACE273A" w14:textId="77777777">
        <w:tc>
          <w:tcPr>
            <w:tcW w:w="0" w:type="auto"/>
            <w:shd w:val="clear" w:color="auto" w:fill="auto"/>
            <w:tcMar>
              <w:top w:w="40" w:type="dxa"/>
              <w:left w:w="40" w:type="dxa"/>
              <w:bottom w:w="40" w:type="dxa"/>
              <w:right w:w="40" w:type="dxa"/>
            </w:tcMar>
            <w:vAlign w:val="bottom"/>
          </w:tcPr>
          <w:p w14:paraId="4ACE273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73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bottom"/>
          </w:tcPr>
          <w:p w14:paraId="4ACE2739" w14:textId="77777777" w:rsidR="006F587A" w:rsidRDefault="006F587A">
            <w:pPr>
              <w:rPr>
                <w:rFonts w:ascii="Times New Roman" w:hAnsi="Times New Roman"/>
                <w:sz w:val="20"/>
                <w:szCs w:val="20"/>
              </w:rPr>
            </w:pPr>
          </w:p>
        </w:tc>
      </w:tr>
      <w:tr w:rsidR="006F587A" w14:paraId="4ACE273D" w14:textId="77777777">
        <w:tc>
          <w:tcPr>
            <w:tcW w:w="0" w:type="auto"/>
            <w:gridSpan w:val="2"/>
            <w:tcBorders>
              <w:bottom w:val="single" w:sz="8" w:space="0" w:color="333333"/>
            </w:tcBorders>
            <w:shd w:val="clear" w:color="auto" w:fill="auto"/>
            <w:tcMar>
              <w:top w:w="40" w:type="dxa"/>
              <w:left w:w="40" w:type="dxa"/>
              <w:bottom w:w="40" w:type="dxa"/>
              <w:right w:w="40" w:type="dxa"/>
            </w:tcMar>
            <w:vAlign w:val="bottom"/>
          </w:tcPr>
          <w:p w14:paraId="4ACE273B" w14:textId="77777777" w:rsidR="006F587A" w:rsidRDefault="007B2B61">
            <w:pPr>
              <w:textAlignment w:val="bottom"/>
              <w:rPr>
                <w:rFonts w:ascii="Times New Roman" w:hAnsi="Times New Roman"/>
                <w:sz w:val="20"/>
                <w:szCs w:val="20"/>
              </w:rPr>
            </w:pPr>
            <w:r>
              <w:rPr>
                <w:rFonts w:ascii="Arial" w:eastAsia="宋体" w:hAnsi="Arial" w:cs="Arial"/>
                <w:b/>
                <w:bCs/>
                <w:color w:val="0071C5"/>
                <w:sz w:val="20"/>
                <w:szCs w:val="20"/>
              </w:rPr>
              <w:t>HIGHLIGHTS AND SEGMENT IMPERATIVES</w:t>
            </w:r>
          </w:p>
        </w:tc>
        <w:tc>
          <w:tcPr>
            <w:tcW w:w="0" w:type="auto"/>
            <w:vMerge/>
            <w:shd w:val="clear" w:color="auto" w:fill="auto"/>
            <w:tcMar>
              <w:top w:w="40" w:type="dxa"/>
              <w:left w:w="40" w:type="dxa"/>
              <w:bottom w:w="40" w:type="dxa"/>
              <w:right w:w="40" w:type="dxa"/>
            </w:tcMar>
            <w:vAlign w:val="bottom"/>
          </w:tcPr>
          <w:p w14:paraId="4ACE273C" w14:textId="77777777" w:rsidR="006F587A" w:rsidRDefault="006F587A">
            <w:pPr>
              <w:rPr>
                <w:rFonts w:ascii="Times New Roman" w:hAnsi="Times New Roman"/>
                <w:sz w:val="20"/>
                <w:szCs w:val="20"/>
              </w:rPr>
            </w:pPr>
          </w:p>
        </w:tc>
      </w:tr>
      <w:tr w:rsidR="006F587A" w14:paraId="4ACE2741" w14:textId="77777777">
        <w:tc>
          <w:tcPr>
            <w:tcW w:w="0" w:type="auto"/>
            <w:shd w:val="clear" w:color="auto" w:fill="auto"/>
            <w:tcMar>
              <w:top w:w="40" w:type="dxa"/>
              <w:left w:w="40" w:type="dxa"/>
              <w:bottom w:w="40" w:type="dxa"/>
              <w:right w:w="40" w:type="dxa"/>
            </w:tcMar>
            <w:vAlign w:val="bottom"/>
          </w:tcPr>
          <w:p w14:paraId="4ACE273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73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bottom"/>
          </w:tcPr>
          <w:p w14:paraId="4ACE2740" w14:textId="77777777" w:rsidR="006F587A" w:rsidRDefault="006F587A">
            <w:pPr>
              <w:rPr>
                <w:rFonts w:ascii="Times New Roman" w:hAnsi="Times New Roman"/>
                <w:sz w:val="20"/>
                <w:szCs w:val="20"/>
              </w:rPr>
            </w:pPr>
          </w:p>
        </w:tc>
      </w:tr>
      <w:tr w:rsidR="006F587A" w14:paraId="4ACE2745" w14:textId="77777777">
        <w:tc>
          <w:tcPr>
            <w:tcW w:w="0" w:type="auto"/>
            <w:shd w:val="clear" w:color="auto" w:fill="auto"/>
            <w:tcMar>
              <w:top w:w="40" w:type="dxa"/>
              <w:left w:w="40" w:type="dxa"/>
              <w:bottom w:w="40" w:type="dxa"/>
              <w:right w:w="40" w:type="dxa"/>
            </w:tcMar>
          </w:tcPr>
          <w:p w14:paraId="4ACE2742" w14:textId="77777777" w:rsidR="006F587A" w:rsidRDefault="007B2B61">
            <w:pPr>
              <w:jc w:val="center"/>
              <w:textAlignment w:val="top"/>
              <w:rPr>
                <w:rFonts w:ascii="Times New Roman" w:hAnsi="Times New Roman"/>
                <w:sz w:val="18"/>
                <w:szCs w:val="18"/>
              </w:rPr>
            </w:pPr>
            <w:r>
              <w:rPr>
                <w:rFonts w:ascii="Arial" w:eastAsia="宋体" w:hAnsi="Arial" w:cs="Arial"/>
                <w:color w:val="003C71"/>
                <w:sz w:val="18"/>
                <w:szCs w:val="18"/>
              </w:rPr>
              <w:t>●</w:t>
            </w:r>
          </w:p>
        </w:tc>
        <w:tc>
          <w:tcPr>
            <w:tcW w:w="0" w:type="auto"/>
            <w:shd w:val="clear" w:color="auto" w:fill="auto"/>
            <w:tcMar>
              <w:top w:w="40" w:type="dxa"/>
              <w:left w:w="40" w:type="dxa"/>
              <w:bottom w:w="40" w:type="dxa"/>
              <w:right w:w="40" w:type="dxa"/>
            </w:tcMar>
          </w:tcPr>
          <w:p w14:paraId="4ACE2743"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 xml:space="preserve">IOTG achieved record revenue and operating income in 2019 on broad business strength and growing demand for edge computing and computer vision-based applications. </w:t>
            </w:r>
          </w:p>
        </w:tc>
        <w:tc>
          <w:tcPr>
            <w:tcW w:w="0" w:type="auto"/>
            <w:vMerge/>
            <w:shd w:val="clear" w:color="auto" w:fill="auto"/>
            <w:tcMar>
              <w:top w:w="40" w:type="dxa"/>
              <w:left w:w="40" w:type="dxa"/>
              <w:bottom w:w="40" w:type="dxa"/>
              <w:right w:w="40" w:type="dxa"/>
            </w:tcMar>
            <w:vAlign w:val="bottom"/>
          </w:tcPr>
          <w:p w14:paraId="4ACE2744" w14:textId="77777777" w:rsidR="006F587A" w:rsidRDefault="006F587A">
            <w:pPr>
              <w:rPr>
                <w:rFonts w:ascii="Times New Roman" w:hAnsi="Times New Roman"/>
                <w:sz w:val="20"/>
                <w:szCs w:val="20"/>
              </w:rPr>
            </w:pPr>
          </w:p>
        </w:tc>
      </w:tr>
      <w:tr w:rsidR="006F587A" w14:paraId="4ACE274B" w14:textId="77777777">
        <w:tc>
          <w:tcPr>
            <w:tcW w:w="0" w:type="auto"/>
            <w:shd w:val="clear" w:color="auto" w:fill="auto"/>
            <w:tcMar>
              <w:top w:w="40" w:type="dxa"/>
              <w:left w:w="40" w:type="dxa"/>
              <w:bottom w:w="40" w:type="dxa"/>
              <w:right w:w="40" w:type="dxa"/>
            </w:tcMar>
          </w:tcPr>
          <w:p w14:paraId="4ACE2746" w14:textId="77777777" w:rsidR="006F587A" w:rsidRDefault="007B2B61">
            <w:pPr>
              <w:jc w:val="center"/>
              <w:textAlignment w:val="top"/>
              <w:rPr>
                <w:rFonts w:ascii="Times New Roman" w:hAnsi="Times New Roman"/>
                <w:sz w:val="18"/>
                <w:szCs w:val="18"/>
              </w:rPr>
            </w:pPr>
            <w:r>
              <w:rPr>
                <w:rFonts w:ascii="Arial" w:eastAsia="宋体" w:hAnsi="Arial" w:cs="Arial"/>
                <w:color w:val="003C71"/>
                <w:sz w:val="18"/>
                <w:szCs w:val="18"/>
              </w:rPr>
              <w:t>●</w:t>
            </w:r>
          </w:p>
        </w:tc>
        <w:tc>
          <w:tcPr>
            <w:tcW w:w="0" w:type="auto"/>
            <w:shd w:val="clear" w:color="auto" w:fill="auto"/>
            <w:tcMar>
              <w:top w:w="40" w:type="dxa"/>
              <w:left w:w="40" w:type="dxa"/>
              <w:bottom w:w="40" w:type="dxa"/>
              <w:right w:w="40" w:type="dxa"/>
            </w:tcMar>
          </w:tcPr>
          <w:p w14:paraId="4ACE2747"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Since 2015, IOTG has had average revenue growth of 14% and operating income growth of 22</w:t>
            </w:r>
            <w:r>
              <w:rPr>
                <w:rFonts w:ascii="Arial" w:eastAsia="宋体" w:hAnsi="Arial" w:cs="Arial"/>
                <w:color w:val="333333"/>
                <w:sz w:val="18"/>
                <w:szCs w:val="18"/>
              </w:rPr>
              <w:t xml:space="preserve">% per year. </w:t>
            </w:r>
          </w:p>
        </w:tc>
        <w:tc>
          <w:tcPr>
            <w:tcW w:w="0" w:type="auto"/>
            <w:vMerge w:val="restart"/>
            <w:shd w:val="clear" w:color="auto" w:fill="auto"/>
            <w:tcMar>
              <w:top w:w="40" w:type="dxa"/>
              <w:left w:w="40" w:type="dxa"/>
              <w:bottom w:w="40" w:type="dxa"/>
              <w:right w:w="40" w:type="dxa"/>
            </w:tcMar>
          </w:tcPr>
          <w:p w14:paraId="4ACE2748" w14:textId="77777777" w:rsidR="006F587A" w:rsidRDefault="007B2B61">
            <w:pPr>
              <w:textAlignment w:val="top"/>
              <w:rPr>
                <w:rFonts w:ascii="Times New Roman" w:hAnsi="Times New Roman"/>
                <w:sz w:val="18"/>
                <w:szCs w:val="18"/>
              </w:rPr>
            </w:pPr>
            <w:r>
              <w:rPr>
                <w:rFonts w:ascii="Arial" w:eastAsia="宋体" w:hAnsi="Arial" w:cs="Arial"/>
                <w:b/>
                <w:bCs/>
                <w:i/>
                <w:iCs/>
                <w:color w:val="000000"/>
                <w:sz w:val="18"/>
                <w:szCs w:val="18"/>
              </w:rPr>
              <w:t>"Intel’s pioneering work in AI and proven data-centric strategy enabled us to predict the massive opportunity of edge computing—years ahead of the industry. Edge is not just a theoretical market opportunity. Together with our ecosystem partner</w:t>
            </w:r>
            <w:r>
              <w:rPr>
                <w:rFonts w:ascii="Arial" w:eastAsia="宋体" w:hAnsi="Arial" w:cs="Arial"/>
                <w:b/>
                <w:bCs/>
                <w:i/>
                <w:iCs/>
                <w:color w:val="000000"/>
                <w:sz w:val="18"/>
                <w:szCs w:val="18"/>
              </w:rPr>
              <w:t>s and developers, we’re delivering on this vision today and driving tangible financial results."</w:t>
            </w:r>
          </w:p>
          <w:p w14:paraId="4ACE2749" w14:textId="77777777" w:rsidR="006F587A" w:rsidRDefault="006F587A">
            <w:pPr>
              <w:textAlignment w:val="top"/>
              <w:rPr>
                <w:rFonts w:ascii="Times New Roman" w:hAnsi="Times New Roman"/>
                <w:sz w:val="18"/>
                <w:szCs w:val="18"/>
              </w:rPr>
            </w:pPr>
          </w:p>
          <w:p w14:paraId="4ACE274A" w14:textId="77777777" w:rsidR="006F587A" w:rsidRDefault="007B2B61">
            <w:pPr>
              <w:textAlignment w:val="top"/>
              <w:rPr>
                <w:rFonts w:ascii="Times New Roman" w:hAnsi="Times New Roman"/>
                <w:sz w:val="18"/>
                <w:szCs w:val="18"/>
              </w:rPr>
            </w:pPr>
            <w:r>
              <w:rPr>
                <w:rFonts w:ascii="Arial" w:eastAsia="宋体" w:hAnsi="Arial" w:cs="Arial"/>
                <w:b/>
                <w:bCs/>
                <w:i/>
                <w:iCs/>
                <w:color w:val="000000"/>
                <w:sz w:val="18"/>
                <w:szCs w:val="18"/>
              </w:rPr>
              <w:t xml:space="preserve">—Tom Lantzsch, </w:t>
            </w:r>
            <w:r>
              <w:rPr>
                <w:rFonts w:ascii="Arial" w:eastAsia="宋体" w:hAnsi="Arial" w:cs="Arial"/>
                <w:i/>
                <w:iCs/>
                <w:color w:val="000000"/>
                <w:sz w:val="18"/>
                <w:szCs w:val="18"/>
              </w:rPr>
              <w:t>IOTG General Manager</w:t>
            </w:r>
          </w:p>
        </w:tc>
      </w:tr>
      <w:tr w:rsidR="006F587A" w14:paraId="4ACE274F" w14:textId="77777777">
        <w:tc>
          <w:tcPr>
            <w:tcW w:w="0" w:type="auto"/>
            <w:shd w:val="clear" w:color="auto" w:fill="auto"/>
            <w:tcMar>
              <w:top w:w="40" w:type="dxa"/>
              <w:left w:w="40" w:type="dxa"/>
              <w:bottom w:w="40" w:type="dxa"/>
              <w:right w:w="40" w:type="dxa"/>
            </w:tcMar>
          </w:tcPr>
          <w:p w14:paraId="4ACE274C" w14:textId="77777777" w:rsidR="006F587A" w:rsidRDefault="007B2B61">
            <w:pPr>
              <w:jc w:val="center"/>
              <w:textAlignment w:val="top"/>
              <w:rPr>
                <w:rFonts w:ascii="Times New Roman" w:hAnsi="Times New Roman"/>
                <w:sz w:val="18"/>
                <w:szCs w:val="18"/>
              </w:rPr>
            </w:pPr>
            <w:r>
              <w:rPr>
                <w:rFonts w:ascii="Arial" w:eastAsia="宋体" w:hAnsi="Arial" w:cs="Arial"/>
                <w:color w:val="003C71"/>
                <w:sz w:val="18"/>
                <w:szCs w:val="18"/>
              </w:rPr>
              <w:t>●</w:t>
            </w:r>
          </w:p>
        </w:tc>
        <w:tc>
          <w:tcPr>
            <w:tcW w:w="0" w:type="auto"/>
            <w:shd w:val="clear" w:color="auto" w:fill="auto"/>
            <w:tcMar>
              <w:top w:w="40" w:type="dxa"/>
              <w:left w:w="40" w:type="dxa"/>
              <w:bottom w:w="40" w:type="dxa"/>
              <w:right w:w="40" w:type="dxa"/>
            </w:tcMar>
          </w:tcPr>
          <w:p w14:paraId="4ACE274D"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 xml:space="preserve">We see significant opportunity for growth driven by an architectural shift toward edge computing, which extends </w:t>
            </w:r>
            <w:r>
              <w:rPr>
                <w:rFonts w:ascii="Arial" w:eastAsia="宋体" w:hAnsi="Arial" w:cs="Arial"/>
                <w:color w:val="333333"/>
                <w:sz w:val="18"/>
                <w:szCs w:val="18"/>
              </w:rPr>
              <w:t>compute from centralized points to be closer to the source inputs.</w:t>
            </w:r>
          </w:p>
        </w:tc>
        <w:tc>
          <w:tcPr>
            <w:tcW w:w="0" w:type="auto"/>
            <w:vMerge/>
            <w:shd w:val="clear" w:color="auto" w:fill="auto"/>
            <w:tcMar>
              <w:top w:w="40" w:type="dxa"/>
              <w:left w:w="40" w:type="dxa"/>
              <w:bottom w:w="40" w:type="dxa"/>
              <w:right w:w="40" w:type="dxa"/>
            </w:tcMar>
          </w:tcPr>
          <w:p w14:paraId="4ACE274E" w14:textId="77777777" w:rsidR="006F587A" w:rsidRDefault="006F587A">
            <w:pPr>
              <w:rPr>
                <w:rFonts w:ascii="Times New Roman" w:hAnsi="Times New Roman"/>
                <w:sz w:val="20"/>
                <w:szCs w:val="20"/>
              </w:rPr>
            </w:pPr>
          </w:p>
        </w:tc>
      </w:tr>
      <w:tr w:rsidR="006F587A" w14:paraId="4ACE2753" w14:textId="77777777">
        <w:tc>
          <w:tcPr>
            <w:tcW w:w="0" w:type="auto"/>
            <w:shd w:val="clear" w:color="auto" w:fill="auto"/>
            <w:tcMar>
              <w:top w:w="40" w:type="dxa"/>
              <w:left w:w="40" w:type="dxa"/>
              <w:bottom w:w="40" w:type="dxa"/>
              <w:right w:w="40" w:type="dxa"/>
            </w:tcMar>
          </w:tcPr>
          <w:p w14:paraId="4ACE2750" w14:textId="77777777" w:rsidR="006F587A" w:rsidRDefault="007B2B61">
            <w:pPr>
              <w:jc w:val="center"/>
              <w:textAlignment w:val="top"/>
              <w:rPr>
                <w:rFonts w:ascii="Times New Roman" w:hAnsi="Times New Roman"/>
                <w:sz w:val="18"/>
                <w:szCs w:val="18"/>
              </w:rPr>
            </w:pPr>
            <w:r>
              <w:rPr>
                <w:rFonts w:ascii="Arial" w:eastAsia="宋体" w:hAnsi="Arial" w:cs="Arial"/>
                <w:color w:val="003C71"/>
                <w:sz w:val="18"/>
                <w:szCs w:val="18"/>
              </w:rPr>
              <w:t>●</w:t>
            </w:r>
          </w:p>
        </w:tc>
        <w:tc>
          <w:tcPr>
            <w:tcW w:w="0" w:type="auto"/>
            <w:shd w:val="clear" w:color="auto" w:fill="auto"/>
            <w:tcMar>
              <w:top w:w="40" w:type="dxa"/>
              <w:left w:w="40" w:type="dxa"/>
              <w:bottom w:w="40" w:type="dxa"/>
              <w:right w:w="40" w:type="dxa"/>
            </w:tcMar>
          </w:tcPr>
          <w:p w14:paraId="4ACE2751"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We continue to provide updated solutions to accelerate market adoption of computer vision and AI applications. This includes advances in existing offerings such as the OpenVINO™ toolkit</w:t>
            </w:r>
            <w:r>
              <w:rPr>
                <w:rFonts w:ascii="Arial" w:eastAsia="宋体" w:hAnsi="Arial" w:cs="Arial"/>
                <w:color w:val="333333"/>
                <w:sz w:val="18"/>
                <w:szCs w:val="18"/>
              </w:rPr>
              <w:t xml:space="preserve">, development of the Edge AI Nanodegree* with Udacity to enrich and train the next generation of developers, and the release of Intel® AI DevCloud for the Edge, which allows customers to identify Edge AI solutions that deliver the best mix of performance, </w:t>
            </w:r>
            <w:r>
              <w:rPr>
                <w:rFonts w:ascii="Arial" w:eastAsia="宋体" w:hAnsi="Arial" w:cs="Arial"/>
                <w:color w:val="333333"/>
                <w:sz w:val="18"/>
                <w:szCs w:val="18"/>
              </w:rPr>
              <w:t>power, and price.</w:t>
            </w:r>
          </w:p>
        </w:tc>
        <w:tc>
          <w:tcPr>
            <w:tcW w:w="0" w:type="auto"/>
            <w:vMerge/>
            <w:shd w:val="clear" w:color="auto" w:fill="auto"/>
            <w:tcMar>
              <w:top w:w="40" w:type="dxa"/>
              <w:left w:w="40" w:type="dxa"/>
              <w:bottom w:w="40" w:type="dxa"/>
              <w:right w:w="40" w:type="dxa"/>
            </w:tcMar>
          </w:tcPr>
          <w:p w14:paraId="4ACE2752" w14:textId="77777777" w:rsidR="006F587A" w:rsidRDefault="006F587A">
            <w:pPr>
              <w:rPr>
                <w:rFonts w:ascii="Times New Roman" w:hAnsi="Times New Roman"/>
                <w:sz w:val="20"/>
                <w:szCs w:val="20"/>
              </w:rPr>
            </w:pPr>
          </w:p>
        </w:tc>
      </w:tr>
      <w:tr w:rsidR="006F587A" w14:paraId="4ACE2758" w14:textId="77777777">
        <w:tc>
          <w:tcPr>
            <w:tcW w:w="0" w:type="auto"/>
            <w:shd w:val="clear" w:color="auto" w:fill="auto"/>
            <w:tcMar>
              <w:top w:w="40" w:type="dxa"/>
              <w:left w:w="40" w:type="dxa"/>
              <w:bottom w:w="40" w:type="dxa"/>
              <w:right w:w="40" w:type="dxa"/>
            </w:tcMar>
          </w:tcPr>
          <w:p w14:paraId="4ACE2754" w14:textId="77777777" w:rsidR="006F587A" w:rsidRDefault="007B2B61">
            <w:pPr>
              <w:jc w:val="center"/>
              <w:textAlignment w:val="top"/>
              <w:rPr>
                <w:rFonts w:ascii="Times New Roman" w:hAnsi="Times New Roman"/>
                <w:sz w:val="18"/>
                <w:szCs w:val="18"/>
              </w:rPr>
            </w:pPr>
            <w:r>
              <w:rPr>
                <w:rFonts w:ascii="Arial" w:eastAsia="宋体" w:hAnsi="Arial" w:cs="Arial"/>
                <w:color w:val="003C71"/>
                <w:sz w:val="18"/>
                <w:szCs w:val="18"/>
              </w:rPr>
              <w:t>●</w:t>
            </w:r>
          </w:p>
        </w:tc>
        <w:tc>
          <w:tcPr>
            <w:tcW w:w="0" w:type="auto"/>
            <w:shd w:val="clear" w:color="auto" w:fill="auto"/>
            <w:tcMar>
              <w:top w:w="40" w:type="dxa"/>
              <w:left w:w="40" w:type="dxa"/>
              <w:bottom w:w="40" w:type="dxa"/>
              <w:right w:w="40" w:type="dxa"/>
            </w:tcMar>
          </w:tcPr>
          <w:p w14:paraId="4ACE2755"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To deliver on the transformative promise of the Internet of Things, we are working with our ecosystem partners to continue to grow the portfolio of Intel</w:t>
            </w:r>
            <w:r>
              <w:rPr>
                <w:rFonts w:ascii="Arial" w:eastAsia="宋体" w:hAnsi="Arial" w:cs="Arial"/>
                <w:color w:val="333333"/>
                <w:sz w:val="12"/>
                <w:szCs w:val="12"/>
              </w:rPr>
              <w:t xml:space="preserve">® </w:t>
            </w:r>
            <w:r>
              <w:rPr>
                <w:rFonts w:ascii="Arial" w:eastAsia="宋体" w:hAnsi="Arial" w:cs="Arial"/>
                <w:color w:val="333333"/>
                <w:sz w:val="18"/>
                <w:szCs w:val="18"/>
              </w:rPr>
              <w:t>IoT Market Ready Solutions (Intel</w:t>
            </w:r>
            <w:r>
              <w:rPr>
                <w:rFonts w:ascii="Arial" w:eastAsia="宋体" w:hAnsi="Arial" w:cs="Arial"/>
                <w:color w:val="333333"/>
                <w:sz w:val="12"/>
                <w:szCs w:val="12"/>
              </w:rPr>
              <w:t>®</w:t>
            </w:r>
            <w:r>
              <w:rPr>
                <w:rFonts w:ascii="Arial" w:eastAsia="宋体" w:hAnsi="Arial" w:cs="Arial"/>
                <w:color w:val="333333"/>
                <w:sz w:val="18"/>
                <w:szCs w:val="18"/>
              </w:rPr>
              <w:t xml:space="preserve"> IMRS)—scalable, end-to-end </w:t>
            </w:r>
            <w:r>
              <w:rPr>
                <w:rFonts w:ascii="Arial" w:eastAsia="宋体" w:hAnsi="Arial" w:cs="Arial"/>
                <w:color w:val="333333"/>
                <w:sz w:val="18"/>
                <w:szCs w:val="18"/>
              </w:rPr>
              <w:t>solutions that provide solid business results today and lay the foundation for the future. Currently, IOTG has over 170 Intel® IMRS supporting approximately 5,000 new end-to-end deployments in more than 100 countries.</w:t>
            </w:r>
          </w:p>
          <w:p w14:paraId="4ACE2756" w14:textId="77777777" w:rsidR="006F587A" w:rsidRDefault="006F587A">
            <w:pPr>
              <w:textAlignment w:val="top"/>
              <w:rPr>
                <w:rFonts w:ascii="Times New Roman" w:hAnsi="Times New Roman"/>
                <w:sz w:val="18"/>
                <w:szCs w:val="18"/>
              </w:rPr>
            </w:pPr>
          </w:p>
        </w:tc>
        <w:tc>
          <w:tcPr>
            <w:tcW w:w="0" w:type="auto"/>
            <w:vMerge/>
            <w:shd w:val="clear" w:color="auto" w:fill="auto"/>
            <w:tcMar>
              <w:top w:w="40" w:type="dxa"/>
              <w:left w:w="40" w:type="dxa"/>
              <w:bottom w:w="40" w:type="dxa"/>
              <w:right w:w="40" w:type="dxa"/>
            </w:tcMar>
          </w:tcPr>
          <w:p w14:paraId="4ACE2757" w14:textId="77777777" w:rsidR="006F587A" w:rsidRDefault="006F587A">
            <w:pPr>
              <w:rPr>
                <w:rFonts w:ascii="Times New Roman" w:hAnsi="Times New Roman"/>
                <w:sz w:val="20"/>
                <w:szCs w:val="20"/>
              </w:rPr>
            </w:pPr>
          </w:p>
        </w:tc>
      </w:tr>
    </w:tbl>
    <w:p w14:paraId="4ACE2759"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408"/>
        <w:gridCol w:w="2409"/>
        <w:gridCol w:w="3489"/>
      </w:tblGrid>
      <w:tr w:rsidR="006F587A" w14:paraId="4ACE275B" w14:textId="77777777">
        <w:tc>
          <w:tcPr>
            <w:tcW w:w="0" w:type="auto"/>
            <w:gridSpan w:val="3"/>
            <w:shd w:val="clear" w:color="auto" w:fill="auto"/>
            <w:vAlign w:val="center"/>
          </w:tcPr>
          <w:p w14:paraId="4ACE275A" w14:textId="77777777" w:rsidR="006F587A" w:rsidRDefault="006F587A">
            <w:pPr>
              <w:rPr>
                <w:rFonts w:ascii="Times New Roman" w:hAnsi="Times New Roman"/>
                <w:sz w:val="20"/>
                <w:szCs w:val="20"/>
              </w:rPr>
            </w:pPr>
          </w:p>
        </w:tc>
      </w:tr>
      <w:tr w:rsidR="006F587A" w14:paraId="4ACE275F" w14:textId="77777777">
        <w:tc>
          <w:tcPr>
            <w:tcW w:w="1450" w:type="pct"/>
            <w:shd w:val="clear" w:color="auto" w:fill="auto"/>
            <w:vAlign w:val="center"/>
          </w:tcPr>
          <w:p w14:paraId="4ACE275C" w14:textId="77777777" w:rsidR="006F587A" w:rsidRDefault="006F587A">
            <w:pPr>
              <w:rPr>
                <w:rFonts w:ascii="Times New Roman" w:hAnsi="Times New Roman"/>
                <w:sz w:val="20"/>
                <w:szCs w:val="20"/>
              </w:rPr>
            </w:pPr>
          </w:p>
        </w:tc>
        <w:tc>
          <w:tcPr>
            <w:tcW w:w="1450" w:type="pct"/>
            <w:shd w:val="clear" w:color="auto" w:fill="auto"/>
            <w:vAlign w:val="center"/>
          </w:tcPr>
          <w:p w14:paraId="4ACE275D" w14:textId="77777777" w:rsidR="006F587A" w:rsidRDefault="006F587A">
            <w:pPr>
              <w:rPr>
                <w:rFonts w:ascii="Times New Roman" w:hAnsi="Times New Roman"/>
                <w:sz w:val="20"/>
                <w:szCs w:val="20"/>
              </w:rPr>
            </w:pPr>
          </w:p>
        </w:tc>
        <w:tc>
          <w:tcPr>
            <w:tcW w:w="2100" w:type="pct"/>
            <w:shd w:val="clear" w:color="auto" w:fill="auto"/>
            <w:vAlign w:val="center"/>
          </w:tcPr>
          <w:p w14:paraId="4ACE275E" w14:textId="77777777" w:rsidR="006F587A" w:rsidRDefault="006F587A">
            <w:pPr>
              <w:rPr>
                <w:rFonts w:ascii="Times New Roman" w:hAnsi="Times New Roman"/>
                <w:sz w:val="20"/>
                <w:szCs w:val="20"/>
              </w:rPr>
            </w:pPr>
          </w:p>
        </w:tc>
      </w:tr>
      <w:tr w:rsidR="006F587A" w14:paraId="4ACE2763"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2760" w14:textId="77777777" w:rsidR="006F587A" w:rsidRDefault="007B2B61">
            <w:pPr>
              <w:textAlignment w:val="center"/>
              <w:rPr>
                <w:rFonts w:ascii="Times New Roman" w:hAnsi="Times New Roman"/>
                <w:sz w:val="18"/>
                <w:szCs w:val="18"/>
              </w:rPr>
            </w:pP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Viewer12_files/a001intellogo_coverfooter.jpg"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CD7" wp14:editId="4ACE6CD8">
                  <wp:extent cx="304800" cy="304800"/>
                  <wp:effectExtent l="0" t="0" r="0" b="0"/>
                  <wp:docPr id="200" name="图片 140"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140"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r>
              <w:rPr>
                <w:rFonts w:ascii="Arial" w:eastAsia="宋体" w:hAnsi="Arial" w:cs="Arial"/>
                <w:color w:val="333333"/>
                <w:sz w:val="18"/>
                <w:szCs w:val="18"/>
              </w:rPr>
              <w:t>  </w:t>
            </w:r>
            <w:r>
              <w:rPr>
                <w:rFonts w:ascii="Arial" w:eastAsia="宋体" w:hAnsi="Arial" w:cs="Arial"/>
                <w:color w:val="333333"/>
                <w:sz w:val="16"/>
                <w:szCs w:val="16"/>
              </w:rPr>
              <w:t>MD&amp;A</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76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762"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21</w:t>
            </w:r>
          </w:p>
        </w:tc>
      </w:tr>
    </w:tbl>
    <w:p w14:paraId="4ACE2764" w14:textId="77777777" w:rsidR="006F587A" w:rsidRDefault="007B2B61">
      <w:r>
        <w:pict w14:anchorId="4ACE6CD9">
          <v:rect id="_x0000_i1047" style="width:415.3pt;height:1.5pt" o:hralign="center" o:hrstd="t" o:hr="t" fillcolor="#a0a0a0" stroked="f"/>
        </w:pict>
      </w:r>
    </w:p>
    <w:p w14:paraId="4ACE2765" w14:textId="77777777" w:rsidR="006F587A" w:rsidRDefault="007B2B61">
      <w:pPr>
        <w:spacing w:line="288" w:lineRule="auto"/>
        <w:jc w:val="right"/>
        <w:rPr>
          <w:rFonts w:ascii="Times New Roman" w:hAnsi="Times New Roman"/>
          <w:sz w:val="16"/>
          <w:szCs w:val="16"/>
        </w:rPr>
      </w:pPr>
      <w:hyperlink r:id="rId56" w:anchor="s9DB683E2CF52561EB8A73BE37F5BF9BE" w:history="1">
        <w:r>
          <w:rPr>
            <w:rStyle w:val="a5"/>
            <w:rFonts w:ascii="Arial" w:eastAsia="宋体" w:hAnsi="Arial" w:cs="Arial"/>
            <w:b/>
            <w:bCs/>
            <w:sz w:val="16"/>
            <w:szCs w:val="16"/>
          </w:rPr>
          <w:t>Table of Contents</w:t>
        </w:r>
      </w:hyperlink>
    </w:p>
    <w:p w14:paraId="4ACE2766" w14:textId="77777777" w:rsidR="006F587A" w:rsidRDefault="006F587A">
      <w:pPr>
        <w:spacing w:line="288" w:lineRule="auto"/>
        <w:jc w:val="right"/>
        <w:rPr>
          <w:rFonts w:ascii="Times New Roman" w:hAnsi="Times New Roman"/>
          <w:sz w:val="16"/>
          <w:szCs w:val="16"/>
        </w:rPr>
      </w:pPr>
    </w:p>
    <w:p w14:paraId="4ACE2767" w14:textId="77777777" w:rsidR="006F587A" w:rsidRDefault="006F587A">
      <w:pPr>
        <w:rPr>
          <w:rFonts w:ascii="Times New Roman" w:hAnsi="Times New Roman"/>
          <w:sz w:val="20"/>
          <w:szCs w:val="20"/>
        </w:rPr>
      </w:pPr>
    </w:p>
    <w:tbl>
      <w:tblPr>
        <w:tblW w:w="14640" w:type="dxa"/>
        <w:tblCellMar>
          <w:left w:w="0" w:type="dxa"/>
          <w:right w:w="0" w:type="dxa"/>
        </w:tblCellMar>
        <w:tblLook w:val="04A0" w:firstRow="1" w:lastRow="0" w:firstColumn="1" w:lastColumn="0" w:noHBand="0" w:noVBand="1"/>
      </w:tblPr>
      <w:tblGrid>
        <w:gridCol w:w="14640"/>
      </w:tblGrid>
      <w:tr w:rsidR="006F587A" w14:paraId="4ACE2769" w14:textId="77777777">
        <w:tc>
          <w:tcPr>
            <w:tcW w:w="0" w:type="auto"/>
            <w:shd w:val="clear" w:color="auto" w:fill="auto"/>
            <w:vAlign w:val="center"/>
          </w:tcPr>
          <w:p w14:paraId="4ACE2768" w14:textId="77777777" w:rsidR="006F587A" w:rsidRDefault="006F587A">
            <w:pPr>
              <w:rPr>
                <w:rFonts w:ascii="Times New Roman" w:hAnsi="Times New Roman"/>
                <w:sz w:val="20"/>
                <w:szCs w:val="20"/>
              </w:rPr>
            </w:pPr>
          </w:p>
        </w:tc>
      </w:tr>
      <w:tr w:rsidR="006F587A" w14:paraId="4ACE276B" w14:textId="77777777">
        <w:tc>
          <w:tcPr>
            <w:tcW w:w="14640" w:type="dxa"/>
            <w:shd w:val="clear" w:color="auto" w:fill="auto"/>
            <w:vAlign w:val="center"/>
          </w:tcPr>
          <w:p w14:paraId="4ACE276A" w14:textId="77777777" w:rsidR="006F587A" w:rsidRDefault="006F587A">
            <w:pPr>
              <w:rPr>
                <w:rFonts w:ascii="Times New Roman" w:hAnsi="Times New Roman"/>
                <w:sz w:val="20"/>
                <w:szCs w:val="20"/>
              </w:rPr>
            </w:pPr>
          </w:p>
        </w:tc>
      </w:tr>
      <w:tr w:rsidR="006F587A" w14:paraId="4ACE276D" w14:textId="77777777">
        <w:tc>
          <w:tcPr>
            <w:tcW w:w="0" w:type="auto"/>
            <w:tcBorders>
              <w:bottom w:val="single" w:sz="8" w:space="0" w:color="333333"/>
            </w:tcBorders>
            <w:shd w:val="clear" w:color="auto" w:fill="auto"/>
            <w:tcMar>
              <w:top w:w="40" w:type="dxa"/>
              <w:left w:w="40" w:type="dxa"/>
              <w:bottom w:w="40" w:type="dxa"/>
              <w:right w:w="40" w:type="dxa"/>
            </w:tcMar>
            <w:vAlign w:val="bottom"/>
          </w:tcPr>
          <w:p w14:paraId="4ACE276C" w14:textId="77777777" w:rsidR="006F587A" w:rsidRDefault="007B2B61">
            <w:pPr>
              <w:textAlignment w:val="bottom"/>
              <w:rPr>
                <w:rFonts w:ascii="Times New Roman" w:hAnsi="Times New Roman"/>
                <w:sz w:val="20"/>
                <w:szCs w:val="20"/>
              </w:rPr>
            </w:pPr>
            <w:r>
              <w:rPr>
                <w:rFonts w:ascii="Arial" w:eastAsia="宋体" w:hAnsi="Arial" w:cs="Arial"/>
                <w:b/>
                <w:bCs/>
                <w:color w:val="0071C5"/>
                <w:sz w:val="20"/>
                <w:szCs w:val="20"/>
              </w:rPr>
              <w:t>5-YEAR TRENDS</w:t>
            </w:r>
          </w:p>
        </w:tc>
      </w:tr>
    </w:tbl>
    <w:p w14:paraId="4ACE276E" w14:textId="77777777" w:rsidR="006F587A" w:rsidRDefault="007B2B61">
      <w:pPr>
        <w:spacing w:line="288" w:lineRule="auto"/>
        <w:rPr>
          <w:rFonts w:ascii="Times New Roman" w:hAnsi="Times New Roman"/>
          <w:sz w:val="18"/>
          <w:szCs w:val="18"/>
        </w:rPr>
      </w:pP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Viewer12_files/chart13_iotg5yrrevenue.jpg"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CDA" wp14:editId="4ACE6CDB">
            <wp:extent cx="304800" cy="304800"/>
            <wp:effectExtent l="0" t="0" r="0" b="0"/>
            <wp:docPr id="248" name="图片 142" descr="IMG_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142" descr="IMG_34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/INTEL/./Inline XBRL Viewer12_files/cha</w:instrText>
      </w:r>
      <w:r>
        <w:rPr>
          <w:rFonts w:ascii="Times New Roman" w:eastAsia="宋体" w:hAnsi="Times New Roman"/>
          <w:sz w:val="18"/>
          <w:szCs w:val="18"/>
        </w:rPr>
        <w:instrText xml:space="preserve">rt14_iotg5yropincome.jpg"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CDC" wp14:editId="4ACE6CDD">
            <wp:extent cx="304800" cy="304800"/>
            <wp:effectExtent l="0" t="0" r="0" b="0"/>
            <wp:docPr id="245" name="图片 143" descr="IMG_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143" descr="IMG_34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p>
    <w:tbl>
      <w:tblPr>
        <w:tblW w:w="14660" w:type="dxa"/>
        <w:tblCellMar>
          <w:left w:w="0" w:type="dxa"/>
          <w:right w:w="0" w:type="dxa"/>
        </w:tblCellMar>
        <w:tblLook w:val="04A0" w:firstRow="1" w:lastRow="0" w:firstColumn="1" w:lastColumn="0" w:noHBand="0" w:noVBand="1"/>
      </w:tblPr>
      <w:tblGrid>
        <w:gridCol w:w="1208"/>
        <w:gridCol w:w="1890"/>
        <w:gridCol w:w="2654"/>
        <w:gridCol w:w="824"/>
        <w:gridCol w:w="1890"/>
        <w:gridCol w:w="1770"/>
        <w:gridCol w:w="2775"/>
        <w:gridCol w:w="1287"/>
        <w:gridCol w:w="362"/>
      </w:tblGrid>
      <w:tr w:rsidR="006F587A" w14:paraId="4ACE2770" w14:textId="77777777">
        <w:tc>
          <w:tcPr>
            <w:tcW w:w="0" w:type="auto"/>
            <w:gridSpan w:val="9"/>
            <w:shd w:val="clear" w:color="auto" w:fill="auto"/>
            <w:vAlign w:val="center"/>
          </w:tcPr>
          <w:p w14:paraId="4ACE276F" w14:textId="77777777" w:rsidR="006F587A" w:rsidRDefault="006F587A">
            <w:pPr>
              <w:rPr>
                <w:rFonts w:ascii="Times New Roman" w:hAnsi="Times New Roman"/>
                <w:sz w:val="20"/>
                <w:szCs w:val="20"/>
              </w:rPr>
            </w:pPr>
          </w:p>
        </w:tc>
      </w:tr>
      <w:tr w:rsidR="006F587A" w14:paraId="4ACE277A" w14:textId="77777777">
        <w:tc>
          <w:tcPr>
            <w:tcW w:w="1200" w:type="dxa"/>
            <w:shd w:val="clear" w:color="auto" w:fill="auto"/>
            <w:vAlign w:val="center"/>
          </w:tcPr>
          <w:p w14:paraId="4ACE2771" w14:textId="77777777" w:rsidR="006F587A" w:rsidRDefault="006F587A">
            <w:pPr>
              <w:rPr>
                <w:rFonts w:ascii="Times New Roman" w:hAnsi="Times New Roman"/>
                <w:sz w:val="20"/>
                <w:szCs w:val="20"/>
              </w:rPr>
            </w:pPr>
          </w:p>
        </w:tc>
        <w:tc>
          <w:tcPr>
            <w:tcW w:w="1880" w:type="dxa"/>
            <w:shd w:val="clear" w:color="auto" w:fill="auto"/>
            <w:vAlign w:val="center"/>
          </w:tcPr>
          <w:p w14:paraId="4ACE2772" w14:textId="77777777" w:rsidR="006F587A" w:rsidRDefault="006F587A">
            <w:pPr>
              <w:rPr>
                <w:rFonts w:ascii="Times New Roman" w:hAnsi="Times New Roman"/>
                <w:sz w:val="20"/>
                <w:szCs w:val="20"/>
              </w:rPr>
            </w:pPr>
          </w:p>
        </w:tc>
        <w:tc>
          <w:tcPr>
            <w:tcW w:w="2640" w:type="dxa"/>
            <w:shd w:val="clear" w:color="auto" w:fill="auto"/>
            <w:vAlign w:val="center"/>
          </w:tcPr>
          <w:p w14:paraId="4ACE2773" w14:textId="77777777" w:rsidR="006F587A" w:rsidRDefault="006F587A">
            <w:pPr>
              <w:rPr>
                <w:rFonts w:ascii="Times New Roman" w:hAnsi="Times New Roman"/>
                <w:sz w:val="20"/>
                <w:szCs w:val="20"/>
              </w:rPr>
            </w:pPr>
          </w:p>
        </w:tc>
        <w:tc>
          <w:tcPr>
            <w:tcW w:w="820" w:type="dxa"/>
            <w:shd w:val="clear" w:color="auto" w:fill="auto"/>
            <w:vAlign w:val="center"/>
          </w:tcPr>
          <w:p w14:paraId="4ACE2774" w14:textId="77777777" w:rsidR="006F587A" w:rsidRDefault="006F587A">
            <w:pPr>
              <w:rPr>
                <w:rFonts w:ascii="Times New Roman" w:hAnsi="Times New Roman"/>
                <w:sz w:val="20"/>
                <w:szCs w:val="20"/>
              </w:rPr>
            </w:pPr>
          </w:p>
        </w:tc>
        <w:tc>
          <w:tcPr>
            <w:tcW w:w="1880" w:type="dxa"/>
            <w:shd w:val="clear" w:color="auto" w:fill="auto"/>
            <w:vAlign w:val="center"/>
          </w:tcPr>
          <w:p w14:paraId="4ACE2775" w14:textId="77777777" w:rsidR="006F587A" w:rsidRDefault="006F587A">
            <w:pPr>
              <w:rPr>
                <w:rFonts w:ascii="Times New Roman" w:hAnsi="Times New Roman"/>
                <w:sz w:val="20"/>
                <w:szCs w:val="20"/>
              </w:rPr>
            </w:pPr>
          </w:p>
        </w:tc>
        <w:tc>
          <w:tcPr>
            <w:tcW w:w="1760" w:type="dxa"/>
            <w:shd w:val="clear" w:color="auto" w:fill="auto"/>
            <w:vAlign w:val="center"/>
          </w:tcPr>
          <w:p w14:paraId="4ACE2776" w14:textId="77777777" w:rsidR="006F587A" w:rsidRDefault="006F587A">
            <w:pPr>
              <w:rPr>
                <w:rFonts w:ascii="Times New Roman" w:hAnsi="Times New Roman"/>
                <w:sz w:val="20"/>
                <w:szCs w:val="20"/>
              </w:rPr>
            </w:pPr>
          </w:p>
        </w:tc>
        <w:tc>
          <w:tcPr>
            <w:tcW w:w="2760" w:type="dxa"/>
            <w:shd w:val="clear" w:color="auto" w:fill="auto"/>
            <w:vAlign w:val="center"/>
          </w:tcPr>
          <w:p w14:paraId="4ACE2777" w14:textId="77777777" w:rsidR="006F587A" w:rsidRDefault="006F587A">
            <w:pPr>
              <w:rPr>
                <w:rFonts w:ascii="Times New Roman" w:hAnsi="Times New Roman"/>
                <w:sz w:val="20"/>
                <w:szCs w:val="20"/>
              </w:rPr>
            </w:pPr>
          </w:p>
        </w:tc>
        <w:tc>
          <w:tcPr>
            <w:tcW w:w="1280" w:type="dxa"/>
            <w:shd w:val="clear" w:color="auto" w:fill="auto"/>
            <w:vAlign w:val="center"/>
          </w:tcPr>
          <w:p w14:paraId="4ACE2778" w14:textId="77777777" w:rsidR="006F587A" w:rsidRDefault="006F587A">
            <w:pPr>
              <w:rPr>
                <w:rFonts w:ascii="Times New Roman" w:hAnsi="Times New Roman"/>
                <w:sz w:val="20"/>
                <w:szCs w:val="20"/>
              </w:rPr>
            </w:pPr>
          </w:p>
        </w:tc>
        <w:tc>
          <w:tcPr>
            <w:tcW w:w="360" w:type="dxa"/>
            <w:shd w:val="clear" w:color="auto" w:fill="auto"/>
            <w:vAlign w:val="center"/>
          </w:tcPr>
          <w:p w14:paraId="4ACE2779" w14:textId="77777777" w:rsidR="006F587A" w:rsidRDefault="006F587A">
            <w:pPr>
              <w:rPr>
                <w:rFonts w:ascii="Times New Roman" w:hAnsi="Times New Roman"/>
                <w:sz w:val="20"/>
                <w:szCs w:val="20"/>
              </w:rPr>
            </w:pPr>
          </w:p>
        </w:tc>
      </w:tr>
      <w:tr w:rsidR="006F587A" w14:paraId="4ACE2784" w14:textId="77777777">
        <w:tc>
          <w:tcPr>
            <w:tcW w:w="0" w:type="auto"/>
            <w:shd w:val="clear" w:color="auto" w:fill="auto"/>
            <w:tcMar>
              <w:top w:w="40" w:type="dxa"/>
              <w:left w:w="40" w:type="dxa"/>
              <w:bottom w:w="40" w:type="dxa"/>
              <w:right w:w="40" w:type="dxa"/>
            </w:tcMar>
            <w:vAlign w:val="bottom"/>
          </w:tcPr>
          <w:p w14:paraId="4ACE277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77C" w14:textId="77777777" w:rsidR="006F587A" w:rsidRDefault="007B2B61">
            <w:pPr>
              <w:textAlignment w:val="bottom"/>
              <w:rPr>
                <w:rFonts w:ascii="Times New Roman" w:hAnsi="Times New Roman"/>
                <w:sz w:val="16"/>
                <w:szCs w:val="16"/>
              </w:rPr>
            </w:pPr>
            <w:r>
              <w:rPr>
                <w:rFonts w:ascii="Arial" w:eastAsia="宋体" w:hAnsi="Arial" w:cs="Arial"/>
                <w:color w:val="333333"/>
                <w:sz w:val="16"/>
                <w:szCs w:val="16"/>
              </w:rPr>
              <w:t>■ Revenue $B</w:t>
            </w:r>
          </w:p>
        </w:tc>
        <w:tc>
          <w:tcPr>
            <w:tcW w:w="0" w:type="auto"/>
            <w:shd w:val="clear" w:color="auto" w:fill="auto"/>
            <w:tcMar>
              <w:top w:w="40" w:type="dxa"/>
              <w:left w:w="40" w:type="dxa"/>
              <w:bottom w:w="40" w:type="dxa"/>
              <w:right w:w="40" w:type="dxa"/>
            </w:tcMar>
            <w:vAlign w:val="bottom"/>
          </w:tcPr>
          <w:p w14:paraId="4ACE277D" w14:textId="77777777" w:rsidR="006F587A" w:rsidRDefault="007B2B61">
            <w:pPr>
              <w:textAlignment w:val="bottom"/>
              <w:rPr>
                <w:rFonts w:ascii="Times New Roman" w:hAnsi="Times New Roman"/>
                <w:sz w:val="16"/>
                <w:szCs w:val="16"/>
              </w:rPr>
            </w:pPr>
            <w:r>
              <w:rPr>
                <w:rFonts w:ascii="Arial" w:eastAsia="宋体" w:hAnsi="Arial" w:cs="Arial"/>
                <w:b/>
                <w:bCs/>
                <w:color w:val="FAAC16"/>
                <w:sz w:val="16"/>
                <w:szCs w:val="16"/>
              </w:rPr>
              <w:t xml:space="preserve">— </w:t>
            </w:r>
            <w:r>
              <w:rPr>
                <w:rFonts w:ascii="Arial" w:eastAsia="宋体" w:hAnsi="Arial" w:cs="Arial"/>
                <w:color w:val="333333"/>
                <w:sz w:val="16"/>
                <w:szCs w:val="16"/>
              </w:rPr>
              <w:t>Year over Year Growth</w:t>
            </w:r>
          </w:p>
        </w:tc>
        <w:tc>
          <w:tcPr>
            <w:tcW w:w="0" w:type="auto"/>
            <w:shd w:val="clear" w:color="auto" w:fill="auto"/>
            <w:tcMar>
              <w:top w:w="40" w:type="dxa"/>
              <w:left w:w="40" w:type="dxa"/>
              <w:bottom w:w="40" w:type="dxa"/>
              <w:right w:w="40" w:type="dxa"/>
            </w:tcMar>
            <w:vAlign w:val="bottom"/>
          </w:tcPr>
          <w:p w14:paraId="4ACE277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77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780" w14:textId="77777777" w:rsidR="006F587A" w:rsidRDefault="007B2B61">
            <w:pPr>
              <w:jc w:val="center"/>
              <w:textAlignment w:val="bottom"/>
              <w:rPr>
                <w:rFonts w:ascii="Times New Roman" w:hAnsi="Times New Roman"/>
                <w:sz w:val="16"/>
                <w:szCs w:val="16"/>
              </w:rPr>
            </w:pPr>
            <w:r>
              <w:rPr>
                <w:rFonts w:ascii="Arial" w:eastAsia="宋体" w:hAnsi="Arial" w:cs="Arial"/>
                <w:color w:val="00AEEF"/>
                <w:sz w:val="16"/>
                <w:szCs w:val="16"/>
              </w:rPr>
              <w:t>■</w:t>
            </w:r>
            <w:r>
              <w:rPr>
                <w:rFonts w:ascii="Arial" w:eastAsia="宋体" w:hAnsi="Arial" w:cs="Arial"/>
                <w:color w:val="333333"/>
                <w:sz w:val="16"/>
                <w:szCs w:val="16"/>
              </w:rPr>
              <w:t> Op Income $B</w:t>
            </w:r>
          </w:p>
        </w:tc>
        <w:tc>
          <w:tcPr>
            <w:tcW w:w="0" w:type="auto"/>
            <w:shd w:val="clear" w:color="auto" w:fill="auto"/>
            <w:tcMar>
              <w:top w:w="40" w:type="dxa"/>
              <w:left w:w="40" w:type="dxa"/>
              <w:bottom w:w="40" w:type="dxa"/>
              <w:right w:w="40" w:type="dxa"/>
            </w:tcMar>
            <w:vAlign w:val="bottom"/>
          </w:tcPr>
          <w:p w14:paraId="4ACE2781" w14:textId="77777777" w:rsidR="006F587A" w:rsidRDefault="007B2B61">
            <w:pPr>
              <w:textAlignment w:val="bottom"/>
              <w:rPr>
                <w:rFonts w:ascii="Times New Roman" w:hAnsi="Times New Roman"/>
                <w:sz w:val="16"/>
                <w:szCs w:val="16"/>
              </w:rPr>
            </w:pPr>
            <w:r>
              <w:rPr>
                <w:rFonts w:ascii="Arial" w:eastAsia="宋体" w:hAnsi="Arial" w:cs="Arial"/>
                <w:b/>
                <w:bCs/>
                <w:color w:val="FAAC16"/>
                <w:sz w:val="16"/>
                <w:szCs w:val="16"/>
              </w:rPr>
              <w:t xml:space="preserve">— </w:t>
            </w:r>
            <w:r>
              <w:rPr>
                <w:rFonts w:ascii="Arial" w:eastAsia="宋体" w:hAnsi="Arial" w:cs="Arial"/>
                <w:color w:val="333333"/>
                <w:sz w:val="16"/>
                <w:szCs w:val="16"/>
              </w:rPr>
              <w:t>Year over Year Growth</w:t>
            </w:r>
          </w:p>
        </w:tc>
        <w:tc>
          <w:tcPr>
            <w:tcW w:w="0" w:type="auto"/>
            <w:shd w:val="clear" w:color="auto" w:fill="auto"/>
            <w:tcMar>
              <w:top w:w="40" w:type="dxa"/>
              <w:left w:w="40" w:type="dxa"/>
              <w:bottom w:w="40" w:type="dxa"/>
              <w:right w:w="40" w:type="dxa"/>
            </w:tcMar>
            <w:vAlign w:val="bottom"/>
          </w:tcPr>
          <w:p w14:paraId="4ACE278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78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bl>
    <w:p w14:paraId="4ACE2785" w14:textId="77777777" w:rsidR="006F587A" w:rsidRDefault="006F587A">
      <w:pPr>
        <w:spacing w:line="288" w:lineRule="auto"/>
        <w:rPr>
          <w:rFonts w:ascii="Times New Roman" w:hAnsi="Times New Roman"/>
          <w:sz w:val="18"/>
          <w:szCs w:val="18"/>
        </w:rPr>
      </w:pPr>
    </w:p>
    <w:p w14:paraId="4ACE2786" w14:textId="77777777" w:rsidR="006F587A" w:rsidRDefault="007B2B61">
      <w:pPr>
        <w:spacing w:line="288" w:lineRule="auto"/>
        <w:rPr>
          <w:rFonts w:ascii="Times New Roman" w:hAnsi="Times New Roman"/>
        </w:rPr>
      </w:pPr>
      <w:r>
        <w:rPr>
          <w:rFonts w:ascii="Arial" w:eastAsia="宋体" w:hAnsi="Arial" w:cs="Arial"/>
          <w:b/>
          <w:bCs/>
          <w:color w:val="0071C5"/>
        </w:rPr>
        <w:t>MARKET AND BUSINESS OVERVIEW</w:t>
      </w:r>
    </w:p>
    <w:p w14:paraId="4ACE2787" w14:textId="77777777" w:rsidR="006F587A" w:rsidRDefault="007B2B61">
      <w:pPr>
        <w:spacing w:line="288" w:lineRule="auto"/>
        <w:rPr>
          <w:rFonts w:ascii="Times New Roman" w:hAnsi="Times New Roman"/>
          <w:sz w:val="20"/>
          <w:szCs w:val="20"/>
        </w:rPr>
      </w:pPr>
      <w:r>
        <w:rPr>
          <w:rFonts w:ascii="Arial" w:eastAsia="宋体" w:hAnsi="Arial" w:cs="Arial"/>
          <w:b/>
          <w:bCs/>
          <w:color w:val="333333"/>
          <w:sz w:val="20"/>
          <w:szCs w:val="20"/>
        </w:rPr>
        <w:t>Market trends and strategy</w:t>
      </w:r>
    </w:p>
    <w:p w14:paraId="4ACE2788" w14:textId="77777777" w:rsidR="006F587A" w:rsidRDefault="007B2B61">
      <w:pPr>
        <w:spacing w:line="288" w:lineRule="auto"/>
        <w:rPr>
          <w:rFonts w:ascii="Times New Roman" w:hAnsi="Times New Roman"/>
          <w:sz w:val="20"/>
          <w:szCs w:val="20"/>
        </w:rPr>
      </w:pPr>
      <w:r>
        <w:rPr>
          <w:rFonts w:ascii="Arial" w:eastAsia="宋体" w:hAnsi="Arial" w:cs="Arial"/>
          <w:color w:val="333333"/>
          <w:sz w:val="18"/>
          <w:szCs w:val="18"/>
        </w:rPr>
        <w:t>The Internet of Things market sits at the center of a global digital transformation. Through a robust network of devices, software, and sensors, the Internet of Things is transforming the way businesses create products, deliver services, and conduct operat</w:t>
      </w:r>
      <w:r>
        <w:rPr>
          <w:rFonts w:ascii="Arial" w:eastAsia="宋体" w:hAnsi="Arial" w:cs="Arial"/>
          <w:color w:val="333333"/>
          <w:sz w:val="18"/>
          <w:szCs w:val="18"/>
        </w:rPr>
        <w:t>ions—from schools and hospitals, to retailers and smart factories. Internet of Things-based solutions represent one of the fastest growing segments within the semiconductor industry. However, the Internet of Things is a highly fragmented market with a dive</w:t>
      </w:r>
      <w:r>
        <w:rPr>
          <w:rFonts w:ascii="Arial" w:eastAsia="宋体" w:hAnsi="Arial" w:cs="Arial"/>
          <w:color w:val="333333"/>
          <w:sz w:val="18"/>
          <w:szCs w:val="18"/>
        </w:rPr>
        <w:t xml:space="preserve">rse collection of competitors, products, and vertical segments. </w:t>
      </w:r>
    </w:p>
    <w:tbl>
      <w:tblPr>
        <w:tblW w:w="4882" w:type="pct"/>
        <w:tblCellMar>
          <w:left w:w="0" w:type="dxa"/>
          <w:right w:w="0" w:type="dxa"/>
        </w:tblCellMar>
        <w:tblLook w:val="04A0" w:firstRow="1" w:lastRow="0" w:firstColumn="1" w:lastColumn="0" w:noHBand="0" w:noVBand="1"/>
      </w:tblPr>
      <w:tblGrid>
        <w:gridCol w:w="50"/>
        <w:gridCol w:w="2008"/>
        <w:gridCol w:w="130"/>
        <w:gridCol w:w="1034"/>
        <w:gridCol w:w="872"/>
        <w:gridCol w:w="61"/>
        <w:gridCol w:w="3955"/>
      </w:tblGrid>
      <w:tr w:rsidR="006F587A" w14:paraId="4ACE278A" w14:textId="77777777">
        <w:tc>
          <w:tcPr>
            <w:tcW w:w="0" w:type="auto"/>
            <w:gridSpan w:val="7"/>
            <w:shd w:val="clear" w:color="auto" w:fill="auto"/>
            <w:vAlign w:val="center"/>
          </w:tcPr>
          <w:p w14:paraId="4ACE2789" w14:textId="77777777" w:rsidR="006F587A" w:rsidRDefault="006F587A">
            <w:pPr>
              <w:rPr>
                <w:rFonts w:ascii="Times New Roman" w:hAnsi="Times New Roman"/>
                <w:sz w:val="20"/>
                <w:szCs w:val="20"/>
              </w:rPr>
            </w:pPr>
          </w:p>
        </w:tc>
      </w:tr>
      <w:tr w:rsidR="006F587A" w14:paraId="4ACE2792" w14:textId="77777777">
        <w:tc>
          <w:tcPr>
            <w:tcW w:w="0" w:type="pct"/>
            <w:shd w:val="clear" w:color="auto" w:fill="auto"/>
            <w:vAlign w:val="center"/>
          </w:tcPr>
          <w:p w14:paraId="4ACE278B" w14:textId="77777777" w:rsidR="006F587A" w:rsidRDefault="006F587A">
            <w:pPr>
              <w:rPr>
                <w:rFonts w:ascii="Times New Roman" w:hAnsi="Times New Roman"/>
                <w:sz w:val="20"/>
                <w:szCs w:val="20"/>
              </w:rPr>
            </w:pPr>
          </w:p>
        </w:tc>
        <w:tc>
          <w:tcPr>
            <w:tcW w:w="1250" w:type="pct"/>
            <w:shd w:val="clear" w:color="auto" w:fill="auto"/>
            <w:vAlign w:val="center"/>
          </w:tcPr>
          <w:p w14:paraId="4ACE278C" w14:textId="77777777" w:rsidR="006F587A" w:rsidRDefault="006F587A">
            <w:pPr>
              <w:rPr>
                <w:rFonts w:ascii="Times New Roman" w:hAnsi="Times New Roman"/>
                <w:sz w:val="20"/>
                <w:szCs w:val="20"/>
              </w:rPr>
            </w:pPr>
          </w:p>
        </w:tc>
        <w:tc>
          <w:tcPr>
            <w:tcW w:w="50" w:type="pct"/>
            <w:shd w:val="clear" w:color="auto" w:fill="auto"/>
            <w:vAlign w:val="center"/>
          </w:tcPr>
          <w:p w14:paraId="4ACE278D" w14:textId="77777777" w:rsidR="006F587A" w:rsidRDefault="006F587A">
            <w:pPr>
              <w:rPr>
                <w:rFonts w:ascii="Times New Roman" w:hAnsi="Times New Roman"/>
                <w:sz w:val="20"/>
                <w:szCs w:val="20"/>
              </w:rPr>
            </w:pPr>
          </w:p>
        </w:tc>
        <w:tc>
          <w:tcPr>
            <w:tcW w:w="650" w:type="pct"/>
            <w:shd w:val="clear" w:color="auto" w:fill="auto"/>
            <w:vAlign w:val="center"/>
          </w:tcPr>
          <w:p w14:paraId="4ACE278E" w14:textId="77777777" w:rsidR="006F587A" w:rsidRDefault="006F587A">
            <w:pPr>
              <w:rPr>
                <w:rFonts w:ascii="Times New Roman" w:hAnsi="Times New Roman"/>
                <w:sz w:val="20"/>
                <w:szCs w:val="20"/>
              </w:rPr>
            </w:pPr>
          </w:p>
        </w:tc>
        <w:tc>
          <w:tcPr>
            <w:tcW w:w="550" w:type="pct"/>
            <w:shd w:val="clear" w:color="auto" w:fill="auto"/>
            <w:vAlign w:val="center"/>
          </w:tcPr>
          <w:p w14:paraId="4ACE278F" w14:textId="77777777" w:rsidR="006F587A" w:rsidRDefault="006F587A">
            <w:pPr>
              <w:rPr>
                <w:rFonts w:ascii="Times New Roman" w:hAnsi="Times New Roman"/>
                <w:sz w:val="20"/>
                <w:szCs w:val="20"/>
              </w:rPr>
            </w:pPr>
          </w:p>
        </w:tc>
        <w:tc>
          <w:tcPr>
            <w:tcW w:w="50" w:type="pct"/>
            <w:shd w:val="clear" w:color="auto" w:fill="auto"/>
            <w:vAlign w:val="center"/>
          </w:tcPr>
          <w:p w14:paraId="4ACE2790" w14:textId="77777777" w:rsidR="006F587A" w:rsidRDefault="006F587A">
            <w:pPr>
              <w:rPr>
                <w:rFonts w:ascii="Times New Roman" w:hAnsi="Times New Roman"/>
                <w:sz w:val="20"/>
                <w:szCs w:val="20"/>
              </w:rPr>
            </w:pPr>
          </w:p>
        </w:tc>
        <w:tc>
          <w:tcPr>
            <w:tcW w:w="2450" w:type="pct"/>
            <w:shd w:val="clear" w:color="auto" w:fill="auto"/>
            <w:vAlign w:val="center"/>
          </w:tcPr>
          <w:p w14:paraId="4ACE2791" w14:textId="77777777" w:rsidR="006F587A" w:rsidRDefault="006F587A">
            <w:pPr>
              <w:rPr>
                <w:rFonts w:ascii="Times New Roman" w:hAnsi="Times New Roman"/>
                <w:sz w:val="20"/>
                <w:szCs w:val="20"/>
              </w:rPr>
            </w:pPr>
          </w:p>
        </w:tc>
      </w:tr>
      <w:tr w:rsidR="006F587A" w14:paraId="4ACE2797" w14:textId="77777777">
        <w:tc>
          <w:tcPr>
            <w:tcW w:w="0" w:type="auto"/>
            <w:shd w:val="clear" w:color="auto" w:fill="auto"/>
            <w:vAlign w:val="center"/>
          </w:tcPr>
          <w:p w14:paraId="4ACE2793" w14:textId="77777777" w:rsidR="006F587A" w:rsidRDefault="007B2B61">
            <w:pPr>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vAlign w:val="center"/>
          </w:tcPr>
          <w:p w14:paraId="4ACE2794" w14:textId="77777777" w:rsidR="006F587A" w:rsidRDefault="007B2B61">
            <w:pPr>
              <w:jc w:val="center"/>
              <w:textAlignment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Viewer12_files/a046iotgstackedgraphic.jpg"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DE" wp14:editId="4ACE6CDF">
                  <wp:extent cx="304800" cy="304800"/>
                  <wp:effectExtent l="0" t="0" r="0" b="0"/>
                  <wp:docPr id="250" name="图片 144" descr="IMG_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144" descr="IMG_34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c>
          <w:tcPr>
            <w:tcW w:w="0" w:type="auto"/>
            <w:vMerge w:val="restart"/>
            <w:shd w:val="clear" w:color="auto" w:fill="auto"/>
            <w:tcMar>
              <w:top w:w="40" w:type="dxa"/>
              <w:left w:w="40" w:type="dxa"/>
              <w:bottom w:w="40" w:type="dxa"/>
              <w:right w:w="40" w:type="dxa"/>
            </w:tcMar>
            <w:vAlign w:val="bottom"/>
          </w:tcPr>
          <w:p w14:paraId="4ACE279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4"/>
            <w:vMerge w:val="restart"/>
            <w:shd w:val="clear" w:color="auto" w:fill="auto"/>
            <w:tcMar>
              <w:top w:w="40" w:type="dxa"/>
              <w:left w:w="40" w:type="dxa"/>
              <w:bottom w:w="40" w:type="dxa"/>
              <w:right w:w="40" w:type="dxa"/>
            </w:tcMar>
            <w:vAlign w:val="center"/>
          </w:tcPr>
          <w:p w14:paraId="4ACE2796" w14:textId="77777777" w:rsidR="006F587A" w:rsidRDefault="007B2B61">
            <w:pPr>
              <w:textAlignment w:val="center"/>
              <w:rPr>
                <w:rFonts w:ascii="Times New Roman" w:hAnsi="Times New Roman"/>
                <w:sz w:val="18"/>
                <w:szCs w:val="18"/>
              </w:rPr>
            </w:pPr>
            <w:r>
              <w:rPr>
                <w:rFonts w:ascii="Arial" w:eastAsia="宋体" w:hAnsi="Arial" w:cs="Arial"/>
                <w:color w:val="333333"/>
                <w:sz w:val="18"/>
                <w:szCs w:val="18"/>
              </w:rPr>
              <w:t>Many retailers are sitting on mountains of data that can be used to proactively address evolving cust</w:t>
            </w:r>
            <w:r>
              <w:rPr>
                <w:rFonts w:ascii="Arial" w:eastAsia="宋体" w:hAnsi="Arial" w:cs="Arial"/>
                <w:color w:val="333333"/>
                <w:sz w:val="18"/>
                <w:szCs w:val="18"/>
              </w:rPr>
              <w:t>omer demands. IOTG provides solutions that enable retailers to extract the right insights from their data, in the right place, at the right time, allowing them to use intelligence to transform their businesses to achieve their full potential. The result is</w:t>
            </w:r>
            <w:r>
              <w:rPr>
                <w:rFonts w:ascii="Arial" w:eastAsia="宋体" w:hAnsi="Arial" w:cs="Arial"/>
                <w:color w:val="333333"/>
                <w:sz w:val="18"/>
                <w:szCs w:val="18"/>
              </w:rPr>
              <w:t xml:space="preserve"> greater efficiency, reduced complexity, increased sales, and a more personalized customer experience. </w:t>
            </w:r>
          </w:p>
        </w:tc>
      </w:tr>
      <w:tr w:rsidR="006F587A" w14:paraId="4ACE279C" w14:textId="77777777">
        <w:tc>
          <w:tcPr>
            <w:tcW w:w="0" w:type="auto"/>
            <w:shd w:val="clear" w:color="auto" w:fill="auto"/>
            <w:vAlign w:val="center"/>
          </w:tcPr>
          <w:p w14:paraId="4ACE2798" w14:textId="77777777" w:rsidR="006F587A" w:rsidRDefault="007B2B61">
            <w:pPr>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center"/>
          </w:tcPr>
          <w:p w14:paraId="4ACE2799" w14:textId="77777777" w:rsidR="006F587A" w:rsidRDefault="006F587A">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4ACE279A" w14:textId="77777777" w:rsidR="006F587A" w:rsidRDefault="006F587A">
            <w:pPr>
              <w:rPr>
                <w:rFonts w:ascii="Times New Roman" w:hAnsi="Times New Roman"/>
                <w:sz w:val="20"/>
                <w:szCs w:val="20"/>
              </w:rPr>
            </w:pPr>
          </w:p>
        </w:tc>
        <w:tc>
          <w:tcPr>
            <w:tcW w:w="0" w:type="auto"/>
            <w:gridSpan w:val="4"/>
            <w:vMerge/>
            <w:shd w:val="clear" w:color="auto" w:fill="auto"/>
            <w:tcMar>
              <w:top w:w="40" w:type="dxa"/>
              <w:left w:w="40" w:type="dxa"/>
              <w:bottom w:w="40" w:type="dxa"/>
              <w:right w:w="40" w:type="dxa"/>
            </w:tcMar>
            <w:vAlign w:val="center"/>
          </w:tcPr>
          <w:p w14:paraId="4ACE279B" w14:textId="77777777" w:rsidR="006F587A" w:rsidRDefault="006F587A">
            <w:pPr>
              <w:rPr>
                <w:rFonts w:ascii="Times New Roman" w:hAnsi="Times New Roman"/>
                <w:sz w:val="20"/>
                <w:szCs w:val="20"/>
              </w:rPr>
            </w:pPr>
          </w:p>
        </w:tc>
      </w:tr>
      <w:tr w:rsidR="006F587A" w14:paraId="4ACE27A1" w14:textId="77777777">
        <w:tc>
          <w:tcPr>
            <w:tcW w:w="0" w:type="auto"/>
            <w:shd w:val="clear" w:color="auto" w:fill="auto"/>
            <w:vAlign w:val="center"/>
          </w:tcPr>
          <w:p w14:paraId="4ACE279D" w14:textId="77777777" w:rsidR="006F587A" w:rsidRDefault="007B2B61">
            <w:pPr>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center"/>
          </w:tcPr>
          <w:p w14:paraId="4ACE279E" w14:textId="77777777" w:rsidR="006F587A" w:rsidRDefault="006F587A">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4ACE279F" w14:textId="77777777" w:rsidR="006F587A" w:rsidRDefault="006F587A">
            <w:pPr>
              <w:rPr>
                <w:rFonts w:ascii="Times New Roman" w:hAnsi="Times New Roman"/>
                <w:sz w:val="20"/>
                <w:szCs w:val="20"/>
              </w:rPr>
            </w:pPr>
          </w:p>
        </w:tc>
        <w:tc>
          <w:tcPr>
            <w:tcW w:w="0" w:type="auto"/>
            <w:gridSpan w:val="4"/>
            <w:vMerge/>
            <w:shd w:val="clear" w:color="auto" w:fill="auto"/>
            <w:tcMar>
              <w:top w:w="40" w:type="dxa"/>
              <w:left w:w="40" w:type="dxa"/>
              <w:bottom w:w="40" w:type="dxa"/>
              <w:right w:w="40" w:type="dxa"/>
            </w:tcMar>
            <w:vAlign w:val="center"/>
          </w:tcPr>
          <w:p w14:paraId="4ACE27A0" w14:textId="77777777" w:rsidR="006F587A" w:rsidRDefault="006F587A">
            <w:pPr>
              <w:rPr>
                <w:rFonts w:ascii="Times New Roman" w:hAnsi="Times New Roman"/>
                <w:sz w:val="20"/>
                <w:szCs w:val="20"/>
              </w:rPr>
            </w:pPr>
          </w:p>
        </w:tc>
      </w:tr>
      <w:tr w:rsidR="006F587A" w14:paraId="4ACE27A6" w14:textId="77777777">
        <w:tc>
          <w:tcPr>
            <w:tcW w:w="0" w:type="auto"/>
            <w:shd w:val="clear" w:color="auto" w:fill="auto"/>
            <w:vAlign w:val="center"/>
          </w:tcPr>
          <w:p w14:paraId="4ACE27A2" w14:textId="77777777" w:rsidR="006F587A" w:rsidRDefault="007B2B61">
            <w:pPr>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center"/>
          </w:tcPr>
          <w:p w14:paraId="4ACE27A3" w14:textId="77777777" w:rsidR="006F587A" w:rsidRDefault="006F587A">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4ACE27A4" w14:textId="77777777" w:rsidR="006F587A" w:rsidRDefault="006F587A">
            <w:pPr>
              <w:rPr>
                <w:rFonts w:ascii="Times New Roman" w:hAnsi="Times New Roman"/>
                <w:sz w:val="20"/>
                <w:szCs w:val="20"/>
              </w:rPr>
            </w:pPr>
          </w:p>
        </w:tc>
        <w:tc>
          <w:tcPr>
            <w:tcW w:w="0" w:type="auto"/>
            <w:gridSpan w:val="4"/>
            <w:vMerge/>
            <w:shd w:val="clear" w:color="auto" w:fill="auto"/>
            <w:tcMar>
              <w:top w:w="40" w:type="dxa"/>
              <w:left w:w="40" w:type="dxa"/>
              <w:bottom w:w="40" w:type="dxa"/>
              <w:right w:w="40" w:type="dxa"/>
            </w:tcMar>
            <w:vAlign w:val="center"/>
          </w:tcPr>
          <w:p w14:paraId="4ACE27A5" w14:textId="77777777" w:rsidR="006F587A" w:rsidRDefault="006F587A">
            <w:pPr>
              <w:rPr>
                <w:rFonts w:ascii="Times New Roman" w:hAnsi="Times New Roman"/>
                <w:sz w:val="20"/>
                <w:szCs w:val="20"/>
              </w:rPr>
            </w:pPr>
          </w:p>
        </w:tc>
      </w:tr>
      <w:tr w:rsidR="006F587A" w14:paraId="4ACE27AB" w14:textId="77777777">
        <w:tc>
          <w:tcPr>
            <w:tcW w:w="0" w:type="auto"/>
            <w:shd w:val="clear" w:color="auto" w:fill="auto"/>
            <w:vAlign w:val="center"/>
          </w:tcPr>
          <w:p w14:paraId="4ACE27A7" w14:textId="77777777" w:rsidR="006F587A" w:rsidRDefault="007B2B61">
            <w:pPr>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center"/>
          </w:tcPr>
          <w:p w14:paraId="4ACE27A8" w14:textId="77777777" w:rsidR="006F587A" w:rsidRDefault="006F587A">
            <w:pPr>
              <w:rPr>
                <w:rFonts w:ascii="Times New Roman" w:hAnsi="Times New Roman"/>
                <w:sz w:val="20"/>
                <w:szCs w:val="20"/>
              </w:rPr>
            </w:pPr>
          </w:p>
        </w:tc>
        <w:tc>
          <w:tcPr>
            <w:tcW w:w="0" w:type="auto"/>
            <w:vMerge w:val="restart"/>
            <w:shd w:val="clear" w:color="auto" w:fill="auto"/>
            <w:tcMar>
              <w:top w:w="40" w:type="dxa"/>
              <w:left w:w="40" w:type="dxa"/>
              <w:bottom w:w="40" w:type="dxa"/>
              <w:right w:w="40" w:type="dxa"/>
            </w:tcMar>
            <w:vAlign w:val="bottom"/>
          </w:tcPr>
          <w:p w14:paraId="4ACE27A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4"/>
            <w:vMerge w:val="restart"/>
            <w:shd w:val="clear" w:color="auto" w:fill="auto"/>
            <w:tcMar>
              <w:top w:w="40" w:type="dxa"/>
              <w:left w:w="40" w:type="dxa"/>
              <w:bottom w:w="40" w:type="dxa"/>
              <w:right w:w="40" w:type="dxa"/>
            </w:tcMar>
            <w:vAlign w:val="center"/>
          </w:tcPr>
          <w:p w14:paraId="4ACE27AA" w14:textId="77777777" w:rsidR="006F587A" w:rsidRDefault="007B2B61">
            <w:pPr>
              <w:textAlignment w:val="center"/>
              <w:rPr>
                <w:rFonts w:ascii="Times New Roman" w:hAnsi="Times New Roman"/>
                <w:sz w:val="18"/>
                <w:szCs w:val="18"/>
              </w:rPr>
            </w:pPr>
            <w:r>
              <w:rPr>
                <w:rFonts w:ascii="Arial" w:eastAsia="宋体" w:hAnsi="Arial" w:cs="Arial"/>
                <w:color w:val="333333"/>
                <w:sz w:val="18"/>
                <w:szCs w:val="18"/>
              </w:rPr>
              <w:t xml:space="preserve">As a result of consumer preference for more customization and higher-quality manufactured goods, a new kind of factory is </w:t>
            </w:r>
            <w:r>
              <w:rPr>
                <w:rFonts w:ascii="Arial" w:eastAsia="宋体" w:hAnsi="Arial" w:cs="Arial"/>
                <w:color w:val="333333"/>
                <w:sz w:val="18"/>
                <w:szCs w:val="18"/>
              </w:rPr>
              <w:t>emerging—one that is cloud connected and data driven. It is an “intelligent factory” marked by hyper-agility, autonomous production, and the use of data as a transformative force for the business.</w:t>
            </w:r>
          </w:p>
        </w:tc>
      </w:tr>
      <w:tr w:rsidR="006F587A" w14:paraId="4ACE27B0" w14:textId="77777777">
        <w:tc>
          <w:tcPr>
            <w:tcW w:w="0" w:type="auto"/>
            <w:shd w:val="clear" w:color="auto" w:fill="auto"/>
            <w:vAlign w:val="center"/>
          </w:tcPr>
          <w:p w14:paraId="4ACE27AC" w14:textId="77777777" w:rsidR="006F587A" w:rsidRDefault="007B2B61">
            <w:pPr>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center"/>
          </w:tcPr>
          <w:p w14:paraId="4ACE27AD" w14:textId="77777777" w:rsidR="006F587A" w:rsidRDefault="006F587A">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4ACE27AE" w14:textId="77777777" w:rsidR="006F587A" w:rsidRDefault="006F587A">
            <w:pPr>
              <w:rPr>
                <w:rFonts w:ascii="Times New Roman" w:hAnsi="Times New Roman"/>
                <w:sz w:val="20"/>
                <w:szCs w:val="20"/>
              </w:rPr>
            </w:pPr>
          </w:p>
        </w:tc>
        <w:tc>
          <w:tcPr>
            <w:tcW w:w="0" w:type="auto"/>
            <w:gridSpan w:val="4"/>
            <w:vMerge/>
            <w:shd w:val="clear" w:color="auto" w:fill="auto"/>
            <w:tcMar>
              <w:top w:w="40" w:type="dxa"/>
              <w:left w:w="40" w:type="dxa"/>
              <w:bottom w:w="40" w:type="dxa"/>
              <w:right w:w="40" w:type="dxa"/>
            </w:tcMar>
            <w:vAlign w:val="center"/>
          </w:tcPr>
          <w:p w14:paraId="4ACE27AF" w14:textId="77777777" w:rsidR="006F587A" w:rsidRDefault="006F587A">
            <w:pPr>
              <w:rPr>
                <w:rFonts w:ascii="Times New Roman" w:hAnsi="Times New Roman"/>
                <w:sz w:val="20"/>
                <w:szCs w:val="20"/>
              </w:rPr>
            </w:pPr>
          </w:p>
        </w:tc>
      </w:tr>
      <w:tr w:rsidR="006F587A" w14:paraId="4ACE27B5" w14:textId="77777777">
        <w:tc>
          <w:tcPr>
            <w:tcW w:w="0" w:type="auto"/>
            <w:shd w:val="clear" w:color="auto" w:fill="auto"/>
            <w:vAlign w:val="center"/>
          </w:tcPr>
          <w:p w14:paraId="4ACE27B1" w14:textId="77777777" w:rsidR="006F587A" w:rsidRDefault="007B2B61">
            <w:pPr>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center"/>
          </w:tcPr>
          <w:p w14:paraId="4ACE27B2" w14:textId="77777777" w:rsidR="006F587A" w:rsidRDefault="006F587A">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4ACE27B3" w14:textId="77777777" w:rsidR="006F587A" w:rsidRDefault="006F587A">
            <w:pPr>
              <w:rPr>
                <w:rFonts w:ascii="Times New Roman" w:hAnsi="Times New Roman"/>
                <w:sz w:val="20"/>
                <w:szCs w:val="20"/>
              </w:rPr>
            </w:pPr>
          </w:p>
        </w:tc>
        <w:tc>
          <w:tcPr>
            <w:tcW w:w="0" w:type="auto"/>
            <w:gridSpan w:val="4"/>
            <w:vMerge/>
            <w:shd w:val="clear" w:color="auto" w:fill="auto"/>
            <w:tcMar>
              <w:top w:w="40" w:type="dxa"/>
              <w:left w:w="40" w:type="dxa"/>
              <w:bottom w:w="40" w:type="dxa"/>
              <w:right w:w="40" w:type="dxa"/>
            </w:tcMar>
            <w:vAlign w:val="center"/>
          </w:tcPr>
          <w:p w14:paraId="4ACE27B4" w14:textId="77777777" w:rsidR="006F587A" w:rsidRDefault="006F587A">
            <w:pPr>
              <w:rPr>
                <w:rFonts w:ascii="Times New Roman" w:hAnsi="Times New Roman"/>
                <w:sz w:val="20"/>
                <w:szCs w:val="20"/>
              </w:rPr>
            </w:pPr>
          </w:p>
        </w:tc>
      </w:tr>
      <w:tr w:rsidR="006F587A" w14:paraId="4ACE27BA" w14:textId="77777777">
        <w:tc>
          <w:tcPr>
            <w:tcW w:w="0" w:type="auto"/>
            <w:shd w:val="clear" w:color="auto" w:fill="auto"/>
            <w:vAlign w:val="center"/>
          </w:tcPr>
          <w:p w14:paraId="4ACE27B6" w14:textId="77777777" w:rsidR="006F587A" w:rsidRDefault="007B2B61">
            <w:pPr>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center"/>
          </w:tcPr>
          <w:p w14:paraId="4ACE27B7" w14:textId="77777777" w:rsidR="006F587A" w:rsidRDefault="006F587A">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4ACE27B8" w14:textId="77777777" w:rsidR="006F587A" w:rsidRDefault="006F587A">
            <w:pPr>
              <w:rPr>
                <w:rFonts w:ascii="Times New Roman" w:hAnsi="Times New Roman"/>
                <w:sz w:val="20"/>
                <w:szCs w:val="20"/>
              </w:rPr>
            </w:pPr>
          </w:p>
        </w:tc>
        <w:tc>
          <w:tcPr>
            <w:tcW w:w="0" w:type="auto"/>
            <w:gridSpan w:val="4"/>
            <w:vMerge/>
            <w:shd w:val="clear" w:color="auto" w:fill="auto"/>
            <w:tcMar>
              <w:top w:w="40" w:type="dxa"/>
              <w:left w:w="40" w:type="dxa"/>
              <w:bottom w:w="40" w:type="dxa"/>
              <w:right w:w="40" w:type="dxa"/>
            </w:tcMar>
            <w:vAlign w:val="center"/>
          </w:tcPr>
          <w:p w14:paraId="4ACE27B9" w14:textId="77777777" w:rsidR="006F587A" w:rsidRDefault="006F587A">
            <w:pPr>
              <w:rPr>
                <w:rFonts w:ascii="Times New Roman" w:hAnsi="Times New Roman"/>
                <w:sz w:val="20"/>
                <w:szCs w:val="20"/>
              </w:rPr>
            </w:pPr>
          </w:p>
        </w:tc>
      </w:tr>
      <w:tr w:rsidR="006F587A" w14:paraId="4ACE27BF" w14:textId="77777777">
        <w:tc>
          <w:tcPr>
            <w:tcW w:w="0" w:type="auto"/>
            <w:shd w:val="clear" w:color="auto" w:fill="auto"/>
            <w:vAlign w:val="center"/>
          </w:tcPr>
          <w:p w14:paraId="4ACE27BB" w14:textId="77777777" w:rsidR="006F587A" w:rsidRDefault="007B2B61">
            <w:pPr>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center"/>
          </w:tcPr>
          <w:p w14:paraId="4ACE27BC" w14:textId="77777777" w:rsidR="006F587A" w:rsidRDefault="006F587A">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4ACE27BD" w14:textId="77777777" w:rsidR="006F587A" w:rsidRDefault="006F587A">
            <w:pPr>
              <w:rPr>
                <w:rFonts w:ascii="Times New Roman" w:hAnsi="Times New Roman"/>
                <w:sz w:val="20"/>
                <w:szCs w:val="20"/>
              </w:rPr>
            </w:pPr>
          </w:p>
        </w:tc>
        <w:tc>
          <w:tcPr>
            <w:tcW w:w="0" w:type="auto"/>
            <w:gridSpan w:val="4"/>
            <w:vMerge/>
            <w:shd w:val="clear" w:color="auto" w:fill="auto"/>
            <w:tcMar>
              <w:top w:w="40" w:type="dxa"/>
              <w:left w:w="40" w:type="dxa"/>
              <w:bottom w:w="40" w:type="dxa"/>
              <w:right w:w="40" w:type="dxa"/>
            </w:tcMar>
            <w:vAlign w:val="center"/>
          </w:tcPr>
          <w:p w14:paraId="4ACE27BE" w14:textId="77777777" w:rsidR="006F587A" w:rsidRDefault="006F587A">
            <w:pPr>
              <w:rPr>
                <w:rFonts w:ascii="Times New Roman" w:hAnsi="Times New Roman"/>
                <w:sz w:val="20"/>
                <w:szCs w:val="20"/>
              </w:rPr>
            </w:pPr>
          </w:p>
        </w:tc>
      </w:tr>
      <w:tr w:rsidR="006F587A" w14:paraId="4ACE27C6" w14:textId="77777777">
        <w:tc>
          <w:tcPr>
            <w:tcW w:w="0" w:type="auto"/>
            <w:shd w:val="clear" w:color="auto" w:fill="auto"/>
            <w:vAlign w:val="center"/>
          </w:tcPr>
          <w:p w14:paraId="4ACE27C0" w14:textId="77777777" w:rsidR="006F587A" w:rsidRDefault="007B2B61">
            <w:pPr>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center"/>
          </w:tcPr>
          <w:p w14:paraId="4ACE27C1" w14:textId="77777777" w:rsidR="006F587A" w:rsidRDefault="006F587A">
            <w:pPr>
              <w:rPr>
                <w:rFonts w:ascii="Times New Roman" w:hAnsi="Times New Roman"/>
                <w:sz w:val="20"/>
                <w:szCs w:val="20"/>
              </w:rPr>
            </w:pPr>
          </w:p>
        </w:tc>
        <w:tc>
          <w:tcPr>
            <w:tcW w:w="0" w:type="auto"/>
            <w:vMerge w:val="restart"/>
            <w:shd w:val="clear" w:color="auto" w:fill="auto"/>
            <w:tcMar>
              <w:top w:w="40" w:type="dxa"/>
              <w:left w:w="40" w:type="dxa"/>
              <w:bottom w:w="40" w:type="dxa"/>
              <w:right w:w="40" w:type="dxa"/>
            </w:tcMar>
            <w:vAlign w:val="bottom"/>
          </w:tcPr>
          <w:p w14:paraId="4ACE27C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4"/>
            <w:vMerge w:val="restart"/>
            <w:shd w:val="clear" w:color="auto" w:fill="auto"/>
            <w:tcMar>
              <w:top w:w="40" w:type="dxa"/>
              <w:left w:w="40" w:type="dxa"/>
              <w:bottom w:w="40" w:type="dxa"/>
              <w:right w:w="40" w:type="dxa"/>
            </w:tcMar>
            <w:vAlign w:val="center"/>
          </w:tcPr>
          <w:p w14:paraId="4ACE27C3" w14:textId="77777777" w:rsidR="006F587A" w:rsidRDefault="006F587A">
            <w:pPr>
              <w:textAlignment w:val="center"/>
              <w:rPr>
                <w:rFonts w:ascii="Times New Roman" w:hAnsi="Times New Roman"/>
                <w:sz w:val="18"/>
                <w:szCs w:val="18"/>
              </w:rPr>
            </w:pPr>
          </w:p>
          <w:p w14:paraId="4ACE27C4" w14:textId="77777777" w:rsidR="006F587A" w:rsidRDefault="007B2B61">
            <w:pPr>
              <w:textAlignment w:val="center"/>
              <w:rPr>
                <w:rFonts w:ascii="Times New Roman" w:hAnsi="Times New Roman"/>
                <w:sz w:val="18"/>
                <w:szCs w:val="18"/>
              </w:rPr>
            </w:pPr>
            <w:r>
              <w:rPr>
                <w:rFonts w:ascii="Arial" w:eastAsia="宋体" w:hAnsi="Arial" w:cs="Arial"/>
                <w:color w:val="333333"/>
                <w:sz w:val="18"/>
                <w:szCs w:val="18"/>
              </w:rPr>
              <w:t>We help cities and infrastructure providers turn data into actionable insights to enable smarter, safer, and more efficient solutions. Infrastructure providers and cities are seeking the best ways to use Internet of Things technology to enhance the quality</w:t>
            </w:r>
            <w:r>
              <w:rPr>
                <w:rFonts w:ascii="Arial" w:eastAsia="宋体" w:hAnsi="Arial" w:cs="Arial"/>
                <w:color w:val="333333"/>
                <w:sz w:val="18"/>
                <w:szCs w:val="18"/>
              </w:rPr>
              <w:t xml:space="preserve"> of services, improve public safety, reduce congestion, and achieve new levels of efficiency. </w:t>
            </w:r>
          </w:p>
          <w:p w14:paraId="4ACE27C5" w14:textId="77777777" w:rsidR="006F587A" w:rsidRDefault="006F587A">
            <w:pPr>
              <w:textAlignment w:val="center"/>
              <w:rPr>
                <w:rFonts w:ascii="Times New Roman" w:hAnsi="Times New Roman"/>
                <w:sz w:val="16"/>
                <w:szCs w:val="16"/>
              </w:rPr>
            </w:pPr>
          </w:p>
        </w:tc>
      </w:tr>
      <w:tr w:rsidR="006F587A" w14:paraId="4ACE27CB" w14:textId="77777777">
        <w:tc>
          <w:tcPr>
            <w:tcW w:w="0" w:type="auto"/>
            <w:shd w:val="clear" w:color="auto" w:fill="auto"/>
            <w:vAlign w:val="center"/>
          </w:tcPr>
          <w:p w14:paraId="4ACE27C7" w14:textId="77777777" w:rsidR="006F587A" w:rsidRDefault="007B2B61">
            <w:pPr>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center"/>
          </w:tcPr>
          <w:p w14:paraId="4ACE27C8" w14:textId="77777777" w:rsidR="006F587A" w:rsidRDefault="006F587A">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4ACE27C9" w14:textId="77777777" w:rsidR="006F587A" w:rsidRDefault="006F587A">
            <w:pPr>
              <w:rPr>
                <w:rFonts w:ascii="Times New Roman" w:hAnsi="Times New Roman"/>
                <w:sz w:val="20"/>
                <w:szCs w:val="20"/>
              </w:rPr>
            </w:pPr>
          </w:p>
        </w:tc>
        <w:tc>
          <w:tcPr>
            <w:tcW w:w="0" w:type="auto"/>
            <w:gridSpan w:val="4"/>
            <w:vMerge/>
            <w:shd w:val="clear" w:color="auto" w:fill="auto"/>
            <w:tcMar>
              <w:top w:w="40" w:type="dxa"/>
              <w:left w:w="40" w:type="dxa"/>
              <w:bottom w:w="40" w:type="dxa"/>
              <w:right w:w="40" w:type="dxa"/>
            </w:tcMar>
            <w:vAlign w:val="center"/>
          </w:tcPr>
          <w:p w14:paraId="4ACE27CA" w14:textId="77777777" w:rsidR="006F587A" w:rsidRDefault="006F587A">
            <w:pPr>
              <w:rPr>
                <w:rFonts w:ascii="Times New Roman" w:hAnsi="Times New Roman"/>
                <w:sz w:val="20"/>
                <w:szCs w:val="20"/>
              </w:rPr>
            </w:pPr>
          </w:p>
        </w:tc>
      </w:tr>
      <w:tr w:rsidR="006F587A" w14:paraId="4ACE27D0" w14:textId="77777777">
        <w:tc>
          <w:tcPr>
            <w:tcW w:w="0" w:type="auto"/>
            <w:shd w:val="clear" w:color="auto" w:fill="auto"/>
            <w:vAlign w:val="center"/>
          </w:tcPr>
          <w:p w14:paraId="4ACE27CC" w14:textId="77777777" w:rsidR="006F587A" w:rsidRDefault="007B2B61">
            <w:pPr>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center"/>
          </w:tcPr>
          <w:p w14:paraId="4ACE27CD" w14:textId="77777777" w:rsidR="006F587A" w:rsidRDefault="006F587A">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4ACE27CE" w14:textId="77777777" w:rsidR="006F587A" w:rsidRDefault="006F587A">
            <w:pPr>
              <w:rPr>
                <w:rFonts w:ascii="Times New Roman" w:hAnsi="Times New Roman"/>
                <w:sz w:val="20"/>
                <w:szCs w:val="20"/>
              </w:rPr>
            </w:pPr>
          </w:p>
        </w:tc>
        <w:tc>
          <w:tcPr>
            <w:tcW w:w="0" w:type="auto"/>
            <w:gridSpan w:val="4"/>
            <w:vMerge/>
            <w:shd w:val="clear" w:color="auto" w:fill="auto"/>
            <w:tcMar>
              <w:top w:w="40" w:type="dxa"/>
              <w:left w:w="40" w:type="dxa"/>
              <w:bottom w:w="40" w:type="dxa"/>
              <w:right w:w="40" w:type="dxa"/>
            </w:tcMar>
            <w:vAlign w:val="center"/>
          </w:tcPr>
          <w:p w14:paraId="4ACE27CF" w14:textId="77777777" w:rsidR="006F587A" w:rsidRDefault="006F587A">
            <w:pPr>
              <w:rPr>
                <w:rFonts w:ascii="Times New Roman" w:hAnsi="Times New Roman"/>
                <w:sz w:val="20"/>
                <w:szCs w:val="20"/>
              </w:rPr>
            </w:pPr>
          </w:p>
        </w:tc>
      </w:tr>
      <w:tr w:rsidR="006F587A" w14:paraId="4ACE27D5" w14:textId="77777777">
        <w:tc>
          <w:tcPr>
            <w:tcW w:w="0" w:type="auto"/>
            <w:shd w:val="clear" w:color="auto" w:fill="auto"/>
            <w:vAlign w:val="center"/>
          </w:tcPr>
          <w:p w14:paraId="4ACE27D1" w14:textId="77777777" w:rsidR="006F587A" w:rsidRDefault="007B2B61">
            <w:pPr>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center"/>
          </w:tcPr>
          <w:p w14:paraId="4ACE27D2" w14:textId="77777777" w:rsidR="006F587A" w:rsidRDefault="006F587A">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4ACE27D3" w14:textId="77777777" w:rsidR="006F587A" w:rsidRDefault="006F587A">
            <w:pPr>
              <w:rPr>
                <w:rFonts w:ascii="Times New Roman" w:hAnsi="Times New Roman"/>
                <w:sz w:val="20"/>
                <w:szCs w:val="20"/>
              </w:rPr>
            </w:pPr>
          </w:p>
        </w:tc>
        <w:tc>
          <w:tcPr>
            <w:tcW w:w="0" w:type="auto"/>
            <w:gridSpan w:val="4"/>
            <w:vMerge/>
            <w:shd w:val="clear" w:color="auto" w:fill="auto"/>
            <w:tcMar>
              <w:top w:w="40" w:type="dxa"/>
              <w:left w:w="40" w:type="dxa"/>
              <w:bottom w:w="40" w:type="dxa"/>
              <w:right w:w="40" w:type="dxa"/>
            </w:tcMar>
            <w:vAlign w:val="center"/>
          </w:tcPr>
          <w:p w14:paraId="4ACE27D4" w14:textId="77777777" w:rsidR="006F587A" w:rsidRDefault="006F587A">
            <w:pPr>
              <w:rPr>
                <w:rFonts w:ascii="Times New Roman" w:hAnsi="Times New Roman"/>
                <w:sz w:val="20"/>
                <w:szCs w:val="20"/>
              </w:rPr>
            </w:pPr>
          </w:p>
        </w:tc>
      </w:tr>
      <w:tr w:rsidR="006F587A" w14:paraId="4ACE27DA" w14:textId="77777777">
        <w:tc>
          <w:tcPr>
            <w:tcW w:w="0" w:type="auto"/>
            <w:shd w:val="clear" w:color="auto" w:fill="auto"/>
            <w:vAlign w:val="center"/>
          </w:tcPr>
          <w:p w14:paraId="4ACE27D6" w14:textId="77777777" w:rsidR="006F587A" w:rsidRDefault="007B2B61">
            <w:pPr>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center"/>
          </w:tcPr>
          <w:p w14:paraId="4ACE27D7" w14:textId="77777777" w:rsidR="006F587A" w:rsidRDefault="006F587A">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4ACE27D8" w14:textId="77777777" w:rsidR="006F587A" w:rsidRDefault="006F587A">
            <w:pPr>
              <w:rPr>
                <w:rFonts w:ascii="Times New Roman" w:hAnsi="Times New Roman"/>
                <w:sz w:val="20"/>
                <w:szCs w:val="20"/>
              </w:rPr>
            </w:pPr>
          </w:p>
        </w:tc>
        <w:tc>
          <w:tcPr>
            <w:tcW w:w="0" w:type="auto"/>
            <w:gridSpan w:val="4"/>
            <w:vMerge/>
            <w:shd w:val="clear" w:color="auto" w:fill="auto"/>
            <w:tcMar>
              <w:top w:w="40" w:type="dxa"/>
              <w:left w:w="40" w:type="dxa"/>
              <w:bottom w:w="40" w:type="dxa"/>
              <w:right w:w="40" w:type="dxa"/>
            </w:tcMar>
            <w:vAlign w:val="center"/>
          </w:tcPr>
          <w:p w14:paraId="4ACE27D9" w14:textId="77777777" w:rsidR="006F587A" w:rsidRDefault="006F587A">
            <w:pPr>
              <w:rPr>
                <w:rFonts w:ascii="Times New Roman" w:hAnsi="Times New Roman"/>
                <w:sz w:val="20"/>
                <w:szCs w:val="20"/>
              </w:rPr>
            </w:pPr>
          </w:p>
        </w:tc>
      </w:tr>
      <w:tr w:rsidR="006F587A" w14:paraId="4ACE27E1" w14:textId="77777777">
        <w:tc>
          <w:tcPr>
            <w:tcW w:w="0" w:type="auto"/>
            <w:shd w:val="clear" w:color="auto" w:fill="auto"/>
            <w:vAlign w:val="center"/>
          </w:tcPr>
          <w:p w14:paraId="4ACE27DB" w14:textId="77777777" w:rsidR="006F587A" w:rsidRDefault="007B2B61">
            <w:pPr>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center"/>
          </w:tcPr>
          <w:p w14:paraId="4ACE27DC" w14:textId="77777777" w:rsidR="006F587A" w:rsidRDefault="006F587A">
            <w:pPr>
              <w:rPr>
                <w:rFonts w:ascii="Times New Roman" w:hAnsi="Times New Roman"/>
                <w:sz w:val="20"/>
                <w:szCs w:val="20"/>
              </w:rPr>
            </w:pPr>
          </w:p>
        </w:tc>
        <w:tc>
          <w:tcPr>
            <w:tcW w:w="0" w:type="auto"/>
            <w:vMerge w:val="restart"/>
            <w:shd w:val="clear" w:color="auto" w:fill="auto"/>
            <w:tcMar>
              <w:top w:w="40" w:type="dxa"/>
              <w:left w:w="40" w:type="dxa"/>
              <w:bottom w:w="40" w:type="dxa"/>
              <w:right w:w="40" w:type="dxa"/>
            </w:tcMar>
            <w:vAlign w:val="bottom"/>
          </w:tcPr>
          <w:p w14:paraId="4ACE27D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4"/>
            <w:vMerge w:val="restart"/>
            <w:shd w:val="clear" w:color="auto" w:fill="auto"/>
            <w:tcMar>
              <w:top w:w="40" w:type="dxa"/>
              <w:left w:w="40" w:type="dxa"/>
              <w:bottom w:w="40" w:type="dxa"/>
              <w:right w:w="40" w:type="dxa"/>
            </w:tcMar>
            <w:vAlign w:val="center"/>
          </w:tcPr>
          <w:p w14:paraId="4ACE27DE" w14:textId="77777777" w:rsidR="006F587A" w:rsidRDefault="007B2B61">
            <w:pPr>
              <w:textAlignment w:val="center"/>
              <w:rPr>
                <w:rFonts w:ascii="Times New Roman" w:hAnsi="Times New Roman"/>
                <w:sz w:val="18"/>
                <w:szCs w:val="18"/>
              </w:rPr>
            </w:pPr>
            <w:r>
              <w:rPr>
                <w:rFonts w:ascii="Arial" w:eastAsia="宋体" w:hAnsi="Arial" w:cs="Arial"/>
                <w:color w:val="333333"/>
                <w:sz w:val="18"/>
                <w:szCs w:val="18"/>
              </w:rPr>
              <w:t>By 2022, we expect approximately 82% of data traffic will be video</w:t>
            </w:r>
            <w:r>
              <w:rPr>
                <w:rFonts w:ascii="Arial" w:eastAsia="宋体" w:hAnsi="Arial" w:cs="Arial"/>
                <w:color w:val="333333"/>
                <w:sz w:val="12"/>
                <w:szCs w:val="12"/>
              </w:rPr>
              <w:t>1</w:t>
            </w:r>
            <w:r>
              <w:rPr>
                <w:rFonts w:ascii="Arial" w:eastAsia="宋体" w:hAnsi="Arial" w:cs="Arial"/>
                <w:color w:val="333333"/>
                <w:sz w:val="18"/>
                <w:szCs w:val="18"/>
              </w:rPr>
              <w:t xml:space="preserve">. Processing high-quality video requires the ability to </w:t>
            </w:r>
            <w:r>
              <w:rPr>
                <w:rFonts w:ascii="Arial" w:eastAsia="宋体" w:hAnsi="Arial" w:cs="Arial"/>
                <w:color w:val="333333"/>
                <w:sz w:val="18"/>
                <w:szCs w:val="18"/>
              </w:rPr>
              <w:t>rapidly analyze vast streams of data near the source and to respond to that data in real time, moving only relevant insights to the cloud. Rather than a one-size-fits-all solution, Intel offers a powerful portfolio of scalable hardware and software solutio</w:t>
            </w:r>
            <w:r>
              <w:rPr>
                <w:rFonts w:ascii="Arial" w:eastAsia="宋体" w:hAnsi="Arial" w:cs="Arial"/>
                <w:color w:val="333333"/>
                <w:sz w:val="18"/>
                <w:szCs w:val="18"/>
              </w:rPr>
              <w:t>ns, including the OpenVINO™ toolkit and the new Intel</w:t>
            </w:r>
            <w:r>
              <w:rPr>
                <w:rFonts w:ascii="Arial" w:eastAsia="宋体" w:hAnsi="Arial" w:cs="Arial"/>
                <w:color w:val="333333"/>
                <w:sz w:val="12"/>
                <w:szCs w:val="12"/>
              </w:rPr>
              <w:t>®</w:t>
            </w:r>
            <w:r>
              <w:rPr>
                <w:rFonts w:ascii="Arial" w:eastAsia="宋体" w:hAnsi="Arial" w:cs="Arial"/>
                <w:color w:val="333333"/>
                <w:sz w:val="18"/>
                <w:szCs w:val="18"/>
              </w:rPr>
              <w:t xml:space="preserve"> Vision Accelerator Design products, to move into an intelligent, data-powered future and to meet the various performance, power, and price requirements of any business, in any industry. </w:t>
            </w:r>
          </w:p>
          <w:p w14:paraId="4ACE27DF" w14:textId="77777777" w:rsidR="006F587A" w:rsidRDefault="006F587A">
            <w:pPr>
              <w:textAlignment w:val="center"/>
              <w:rPr>
                <w:rFonts w:ascii="Times New Roman" w:hAnsi="Times New Roman"/>
                <w:sz w:val="18"/>
                <w:szCs w:val="18"/>
              </w:rPr>
            </w:pPr>
          </w:p>
          <w:p w14:paraId="4ACE27E0" w14:textId="77777777" w:rsidR="006F587A" w:rsidRDefault="006F587A">
            <w:pPr>
              <w:textAlignment w:val="center"/>
              <w:rPr>
                <w:rFonts w:ascii="Times New Roman" w:hAnsi="Times New Roman"/>
                <w:sz w:val="16"/>
                <w:szCs w:val="16"/>
              </w:rPr>
            </w:pPr>
          </w:p>
        </w:tc>
      </w:tr>
      <w:tr w:rsidR="006F587A" w14:paraId="4ACE27E6" w14:textId="77777777">
        <w:tc>
          <w:tcPr>
            <w:tcW w:w="0" w:type="auto"/>
            <w:shd w:val="clear" w:color="auto" w:fill="auto"/>
            <w:vAlign w:val="center"/>
          </w:tcPr>
          <w:p w14:paraId="4ACE27E2" w14:textId="77777777" w:rsidR="006F587A" w:rsidRDefault="007B2B61">
            <w:pPr>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center"/>
          </w:tcPr>
          <w:p w14:paraId="4ACE27E3" w14:textId="77777777" w:rsidR="006F587A" w:rsidRDefault="006F587A">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4ACE27E4" w14:textId="77777777" w:rsidR="006F587A" w:rsidRDefault="006F587A">
            <w:pPr>
              <w:rPr>
                <w:rFonts w:ascii="Times New Roman" w:hAnsi="Times New Roman"/>
                <w:sz w:val="20"/>
                <w:szCs w:val="20"/>
              </w:rPr>
            </w:pPr>
          </w:p>
        </w:tc>
        <w:tc>
          <w:tcPr>
            <w:tcW w:w="0" w:type="auto"/>
            <w:gridSpan w:val="4"/>
            <w:vMerge/>
            <w:shd w:val="clear" w:color="auto" w:fill="auto"/>
            <w:tcMar>
              <w:top w:w="40" w:type="dxa"/>
              <w:left w:w="40" w:type="dxa"/>
              <w:bottom w:w="40" w:type="dxa"/>
              <w:right w:w="40" w:type="dxa"/>
            </w:tcMar>
            <w:vAlign w:val="center"/>
          </w:tcPr>
          <w:p w14:paraId="4ACE27E5" w14:textId="77777777" w:rsidR="006F587A" w:rsidRDefault="006F587A">
            <w:pPr>
              <w:rPr>
                <w:rFonts w:ascii="Times New Roman" w:hAnsi="Times New Roman"/>
                <w:sz w:val="20"/>
                <w:szCs w:val="20"/>
              </w:rPr>
            </w:pPr>
          </w:p>
        </w:tc>
      </w:tr>
      <w:tr w:rsidR="006F587A" w14:paraId="4ACE27EB" w14:textId="77777777">
        <w:tc>
          <w:tcPr>
            <w:tcW w:w="0" w:type="auto"/>
            <w:shd w:val="clear" w:color="auto" w:fill="auto"/>
            <w:vAlign w:val="center"/>
          </w:tcPr>
          <w:p w14:paraId="4ACE27E7" w14:textId="77777777" w:rsidR="006F587A" w:rsidRDefault="007B2B61">
            <w:pPr>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center"/>
          </w:tcPr>
          <w:p w14:paraId="4ACE27E8" w14:textId="77777777" w:rsidR="006F587A" w:rsidRDefault="006F587A">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4ACE27E9" w14:textId="77777777" w:rsidR="006F587A" w:rsidRDefault="006F587A">
            <w:pPr>
              <w:rPr>
                <w:rFonts w:ascii="Times New Roman" w:hAnsi="Times New Roman"/>
                <w:sz w:val="20"/>
                <w:szCs w:val="20"/>
              </w:rPr>
            </w:pPr>
          </w:p>
        </w:tc>
        <w:tc>
          <w:tcPr>
            <w:tcW w:w="0" w:type="auto"/>
            <w:gridSpan w:val="4"/>
            <w:vMerge/>
            <w:shd w:val="clear" w:color="auto" w:fill="auto"/>
            <w:tcMar>
              <w:top w:w="40" w:type="dxa"/>
              <w:left w:w="40" w:type="dxa"/>
              <w:bottom w:w="40" w:type="dxa"/>
              <w:right w:w="40" w:type="dxa"/>
            </w:tcMar>
            <w:vAlign w:val="center"/>
          </w:tcPr>
          <w:p w14:paraId="4ACE27EA" w14:textId="77777777" w:rsidR="006F587A" w:rsidRDefault="006F587A">
            <w:pPr>
              <w:rPr>
                <w:rFonts w:ascii="Times New Roman" w:hAnsi="Times New Roman"/>
                <w:sz w:val="20"/>
                <w:szCs w:val="20"/>
              </w:rPr>
            </w:pPr>
          </w:p>
        </w:tc>
      </w:tr>
      <w:tr w:rsidR="006F587A" w14:paraId="4ACE27F0" w14:textId="77777777">
        <w:tc>
          <w:tcPr>
            <w:tcW w:w="0" w:type="auto"/>
            <w:shd w:val="clear" w:color="auto" w:fill="auto"/>
            <w:vAlign w:val="center"/>
          </w:tcPr>
          <w:p w14:paraId="4ACE27EC" w14:textId="77777777" w:rsidR="006F587A" w:rsidRDefault="007B2B61">
            <w:pPr>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center"/>
          </w:tcPr>
          <w:p w14:paraId="4ACE27ED" w14:textId="77777777" w:rsidR="006F587A" w:rsidRDefault="006F587A">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4ACE27EE" w14:textId="77777777" w:rsidR="006F587A" w:rsidRDefault="006F587A">
            <w:pPr>
              <w:rPr>
                <w:rFonts w:ascii="Times New Roman" w:hAnsi="Times New Roman"/>
                <w:sz w:val="20"/>
                <w:szCs w:val="20"/>
              </w:rPr>
            </w:pPr>
          </w:p>
        </w:tc>
        <w:tc>
          <w:tcPr>
            <w:tcW w:w="0" w:type="auto"/>
            <w:gridSpan w:val="4"/>
            <w:vMerge/>
            <w:shd w:val="clear" w:color="auto" w:fill="auto"/>
            <w:tcMar>
              <w:top w:w="40" w:type="dxa"/>
              <w:left w:w="40" w:type="dxa"/>
              <w:bottom w:w="40" w:type="dxa"/>
              <w:right w:w="40" w:type="dxa"/>
            </w:tcMar>
            <w:vAlign w:val="center"/>
          </w:tcPr>
          <w:p w14:paraId="4ACE27EF" w14:textId="77777777" w:rsidR="006F587A" w:rsidRDefault="006F587A">
            <w:pPr>
              <w:rPr>
                <w:rFonts w:ascii="Times New Roman" w:hAnsi="Times New Roman"/>
                <w:sz w:val="20"/>
                <w:szCs w:val="20"/>
              </w:rPr>
            </w:pPr>
          </w:p>
        </w:tc>
      </w:tr>
      <w:tr w:rsidR="006F587A" w14:paraId="4ACE27F5" w14:textId="77777777">
        <w:tc>
          <w:tcPr>
            <w:tcW w:w="0" w:type="auto"/>
            <w:shd w:val="clear" w:color="auto" w:fill="auto"/>
            <w:vAlign w:val="center"/>
          </w:tcPr>
          <w:p w14:paraId="4ACE27F1" w14:textId="77777777" w:rsidR="006F587A" w:rsidRDefault="007B2B61">
            <w:pPr>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center"/>
          </w:tcPr>
          <w:p w14:paraId="4ACE27F2" w14:textId="77777777" w:rsidR="006F587A" w:rsidRDefault="006F587A">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4ACE27F3" w14:textId="77777777" w:rsidR="006F587A" w:rsidRDefault="006F587A">
            <w:pPr>
              <w:rPr>
                <w:rFonts w:ascii="Times New Roman" w:hAnsi="Times New Roman"/>
                <w:sz w:val="20"/>
                <w:szCs w:val="20"/>
              </w:rPr>
            </w:pPr>
          </w:p>
        </w:tc>
        <w:tc>
          <w:tcPr>
            <w:tcW w:w="0" w:type="auto"/>
            <w:gridSpan w:val="4"/>
            <w:vMerge/>
            <w:shd w:val="clear" w:color="auto" w:fill="auto"/>
            <w:tcMar>
              <w:top w:w="40" w:type="dxa"/>
              <w:left w:w="40" w:type="dxa"/>
              <w:bottom w:w="40" w:type="dxa"/>
              <w:right w:w="40" w:type="dxa"/>
            </w:tcMar>
            <w:vAlign w:val="center"/>
          </w:tcPr>
          <w:p w14:paraId="4ACE27F4" w14:textId="77777777" w:rsidR="006F587A" w:rsidRDefault="006F587A">
            <w:pPr>
              <w:rPr>
                <w:rFonts w:ascii="Times New Roman" w:hAnsi="Times New Roman"/>
                <w:sz w:val="20"/>
                <w:szCs w:val="20"/>
              </w:rPr>
            </w:pPr>
          </w:p>
        </w:tc>
      </w:tr>
    </w:tbl>
    <w:p w14:paraId="4ACE27F6" w14:textId="77777777" w:rsidR="006F587A" w:rsidRDefault="007B2B61">
      <w:pPr>
        <w:spacing w:line="288" w:lineRule="auto"/>
        <w:rPr>
          <w:rFonts w:ascii="Times New Roman" w:hAnsi="Times New Roman"/>
          <w:sz w:val="20"/>
          <w:szCs w:val="20"/>
        </w:rPr>
      </w:pPr>
      <w:r>
        <w:rPr>
          <w:rFonts w:ascii="Arial" w:eastAsia="宋体" w:hAnsi="Arial" w:cs="Arial"/>
          <w:b/>
          <w:bCs/>
          <w:color w:val="333333"/>
          <w:sz w:val="20"/>
          <w:szCs w:val="20"/>
        </w:rPr>
        <w:t>Products and competitiveness</w:t>
      </w:r>
    </w:p>
    <w:p w14:paraId="4ACE27F7"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We have a long-standing position as a supplier of components and software for embedded products. This marketplace continues to expand significantly, with increasing types and numbers of smart and </w:t>
      </w:r>
      <w:r>
        <w:rPr>
          <w:rFonts w:ascii="Arial" w:eastAsia="宋体" w:hAnsi="Arial" w:cs="Arial"/>
          <w:color w:val="333333"/>
          <w:sz w:val="18"/>
          <w:szCs w:val="18"/>
        </w:rPr>
        <w:t xml:space="preserve">connected devices for retail, industrial, and consumer uses, including smart video. As this market segment evolves, we face numerous large and small incumbent processor competitors, as well as new </w:t>
      </w:r>
      <w:r>
        <w:rPr>
          <w:rFonts w:ascii="Arial" w:eastAsia="宋体" w:hAnsi="Arial" w:cs="Arial"/>
          <w:color w:val="333333"/>
          <w:sz w:val="18"/>
          <w:szCs w:val="18"/>
        </w:rPr>
        <w:lastRenderedPageBreak/>
        <w:t>entrants that use the ARM* architecture and other operating</w:t>
      </w:r>
      <w:r>
        <w:rPr>
          <w:rFonts w:ascii="Arial" w:eastAsia="宋体" w:hAnsi="Arial" w:cs="Arial"/>
          <w:color w:val="333333"/>
          <w:sz w:val="18"/>
          <w:szCs w:val="18"/>
        </w:rPr>
        <w:t xml:space="preserve"> systems and software. In addition, the Internet of Things requires a broad range of connectivity solutions and we face competition from semiconductor companies providing traditional wireless solutions such as cellular, Wi-Fi, and Bluetooth</w:t>
      </w:r>
      <w:r>
        <w:rPr>
          <w:rFonts w:ascii="Arial" w:eastAsia="宋体" w:hAnsi="Arial" w:cs="Arial"/>
          <w:color w:val="333333"/>
          <w:sz w:val="12"/>
          <w:szCs w:val="12"/>
        </w:rPr>
        <w:t>®</w:t>
      </w:r>
      <w:r>
        <w:rPr>
          <w:rFonts w:ascii="Arial" w:eastAsia="宋体" w:hAnsi="Arial" w:cs="Arial"/>
          <w:color w:val="333333"/>
          <w:sz w:val="18"/>
          <w:szCs w:val="18"/>
        </w:rPr>
        <w:t>, as well as se</w:t>
      </w:r>
      <w:r>
        <w:rPr>
          <w:rFonts w:ascii="Arial" w:eastAsia="宋体" w:hAnsi="Arial" w:cs="Arial"/>
          <w:color w:val="333333"/>
          <w:sz w:val="18"/>
          <w:szCs w:val="18"/>
        </w:rPr>
        <w:t>veral new entrants who are taking advantage of new focused communications protocols.</w:t>
      </w:r>
    </w:p>
    <w:p w14:paraId="4ACE27F8"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IOTG utilizes platform and adjacent products across Intel while making the investments needed to adapt products to the specific requirements for our vertical </w:t>
      </w:r>
      <w:r>
        <w:rPr>
          <w:rFonts w:ascii="Arial" w:eastAsia="宋体" w:hAnsi="Arial" w:cs="Arial"/>
          <w:color w:val="333333"/>
          <w:sz w:val="18"/>
          <w:szCs w:val="18"/>
        </w:rPr>
        <w:t>segments. We offer end-to-end solutions with our wide spectrum of products, including Intel</w:t>
      </w:r>
      <w:r>
        <w:rPr>
          <w:rFonts w:ascii="Arial" w:eastAsia="宋体" w:hAnsi="Arial" w:cs="Arial"/>
          <w:color w:val="333333"/>
          <w:sz w:val="12"/>
          <w:szCs w:val="12"/>
        </w:rPr>
        <w:t xml:space="preserve">® </w:t>
      </w:r>
      <w:r>
        <w:rPr>
          <w:rFonts w:ascii="Arial" w:eastAsia="宋体" w:hAnsi="Arial" w:cs="Arial"/>
          <w:color w:val="333333"/>
          <w:sz w:val="18"/>
          <w:szCs w:val="18"/>
        </w:rPr>
        <w:t>Atom</w:t>
      </w:r>
      <w:r>
        <w:rPr>
          <w:rFonts w:ascii="Arial" w:eastAsia="宋体" w:hAnsi="Arial" w:cs="Arial"/>
          <w:color w:val="333333"/>
          <w:sz w:val="12"/>
          <w:szCs w:val="12"/>
        </w:rPr>
        <w:t>®</w:t>
      </w:r>
      <w:r>
        <w:rPr>
          <w:rFonts w:ascii="Arial" w:eastAsia="宋体" w:hAnsi="Arial" w:cs="Arial"/>
          <w:color w:val="333333"/>
          <w:sz w:val="18"/>
          <w:szCs w:val="18"/>
        </w:rPr>
        <w:t>, Intel</w:t>
      </w:r>
      <w:r>
        <w:rPr>
          <w:rFonts w:ascii="Arial" w:eastAsia="宋体" w:hAnsi="Arial" w:cs="Arial"/>
          <w:color w:val="333333"/>
          <w:sz w:val="12"/>
          <w:szCs w:val="12"/>
        </w:rPr>
        <w:t>®</w:t>
      </w:r>
      <w:r>
        <w:rPr>
          <w:rFonts w:ascii="Arial" w:eastAsia="宋体" w:hAnsi="Arial" w:cs="Arial"/>
          <w:color w:val="333333"/>
          <w:sz w:val="18"/>
          <w:szCs w:val="18"/>
        </w:rPr>
        <w:t xml:space="preserve"> Core</w:t>
      </w:r>
      <w:r>
        <w:rPr>
          <w:rFonts w:ascii="Arial" w:eastAsia="宋体" w:hAnsi="Arial" w:cs="Arial"/>
          <w:color w:val="333333"/>
          <w:sz w:val="12"/>
          <w:szCs w:val="12"/>
        </w:rPr>
        <w:t>®</w:t>
      </w:r>
      <w:r>
        <w:rPr>
          <w:rFonts w:ascii="Arial" w:eastAsia="宋体" w:hAnsi="Arial" w:cs="Arial"/>
          <w:color w:val="333333"/>
          <w:sz w:val="18"/>
          <w:szCs w:val="18"/>
        </w:rPr>
        <w:t>, and Intel</w:t>
      </w:r>
      <w:r>
        <w:rPr>
          <w:rFonts w:ascii="Arial" w:eastAsia="宋体" w:hAnsi="Arial" w:cs="Arial"/>
          <w:color w:val="333333"/>
          <w:sz w:val="12"/>
          <w:szCs w:val="12"/>
        </w:rPr>
        <w:t>®</w:t>
      </w:r>
      <w:r>
        <w:rPr>
          <w:rFonts w:ascii="Arial" w:eastAsia="宋体" w:hAnsi="Arial" w:cs="Arial"/>
          <w:color w:val="333333"/>
          <w:sz w:val="18"/>
          <w:szCs w:val="18"/>
        </w:rPr>
        <w:t xml:space="preserve"> Xeon</w:t>
      </w:r>
      <w:r>
        <w:rPr>
          <w:rFonts w:ascii="Arial" w:eastAsia="宋体" w:hAnsi="Arial" w:cs="Arial"/>
          <w:color w:val="333333"/>
          <w:sz w:val="12"/>
          <w:szCs w:val="12"/>
        </w:rPr>
        <w:t>®</w:t>
      </w:r>
      <w:r>
        <w:rPr>
          <w:rFonts w:ascii="Arial" w:eastAsia="宋体" w:hAnsi="Arial" w:cs="Arial"/>
          <w:color w:val="333333"/>
          <w:sz w:val="18"/>
          <w:szCs w:val="18"/>
        </w:rPr>
        <w:t xml:space="preserve"> processor-based computing, wireless connectivity, FPGAs, Movidius VPUs, and developer tools such as the OpenVINO™ software to</w:t>
      </w:r>
      <w:r>
        <w:rPr>
          <w:rFonts w:ascii="Arial" w:eastAsia="宋体" w:hAnsi="Arial" w:cs="Arial"/>
          <w:color w:val="333333"/>
          <w:sz w:val="18"/>
          <w:szCs w:val="18"/>
        </w:rPr>
        <w:t xml:space="preserve">olkit. IOTG product development focuses on addressing the key challenges businesses face when implementing Internet of Things solutions, including interoperability, connectivity, safety, security, industrial use conditions, and long-life support. </w:t>
      </w:r>
    </w:p>
    <w:p w14:paraId="4ACE27F9" w14:textId="77777777" w:rsidR="006F587A" w:rsidRDefault="007B2B61">
      <w:pPr>
        <w:spacing w:line="288" w:lineRule="auto"/>
        <w:rPr>
          <w:rFonts w:ascii="Times New Roman" w:hAnsi="Times New Roman"/>
          <w:sz w:val="16"/>
          <w:szCs w:val="16"/>
        </w:rPr>
      </w:pPr>
      <w:r>
        <w:rPr>
          <w:rFonts w:ascii="Arial" w:eastAsia="宋体" w:hAnsi="Arial" w:cs="Arial"/>
          <w:i/>
          <w:iCs/>
          <w:color w:val="333333"/>
          <w:sz w:val="10"/>
          <w:szCs w:val="10"/>
        </w:rPr>
        <w:t xml:space="preserve">1 </w:t>
      </w:r>
      <w:r>
        <w:rPr>
          <w:rFonts w:ascii="Arial" w:eastAsia="宋体" w:hAnsi="Arial" w:cs="Arial"/>
          <w:i/>
          <w:iCs/>
          <w:color w:val="333333"/>
          <w:sz w:val="16"/>
          <w:szCs w:val="16"/>
        </w:rPr>
        <w:t>Source</w:t>
      </w:r>
      <w:r>
        <w:rPr>
          <w:rFonts w:ascii="Arial" w:eastAsia="宋体" w:hAnsi="Arial" w:cs="Arial"/>
          <w:i/>
          <w:iCs/>
          <w:color w:val="333333"/>
          <w:sz w:val="16"/>
          <w:szCs w:val="16"/>
        </w:rPr>
        <w:t>: Cisco Visual Networking Index: Forecast and Trends, 2017-2022, updated February 27, 2019.</w:t>
      </w:r>
    </w:p>
    <w:p w14:paraId="4ACE27FA"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408"/>
        <w:gridCol w:w="2409"/>
        <w:gridCol w:w="3489"/>
      </w:tblGrid>
      <w:tr w:rsidR="006F587A" w14:paraId="4ACE27FC" w14:textId="77777777">
        <w:tc>
          <w:tcPr>
            <w:tcW w:w="0" w:type="auto"/>
            <w:gridSpan w:val="3"/>
            <w:shd w:val="clear" w:color="auto" w:fill="auto"/>
            <w:vAlign w:val="center"/>
          </w:tcPr>
          <w:p w14:paraId="4ACE27FB" w14:textId="77777777" w:rsidR="006F587A" w:rsidRDefault="006F587A">
            <w:pPr>
              <w:rPr>
                <w:rFonts w:ascii="Times New Roman" w:hAnsi="Times New Roman"/>
                <w:sz w:val="20"/>
                <w:szCs w:val="20"/>
              </w:rPr>
            </w:pPr>
          </w:p>
        </w:tc>
      </w:tr>
      <w:tr w:rsidR="006F587A" w14:paraId="4ACE2800" w14:textId="77777777">
        <w:tc>
          <w:tcPr>
            <w:tcW w:w="1450" w:type="pct"/>
            <w:shd w:val="clear" w:color="auto" w:fill="auto"/>
            <w:vAlign w:val="center"/>
          </w:tcPr>
          <w:p w14:paraId="4ACE27FD" w14:textId="77777777" w:rsidR="006F587A" w:rsidRDefault="006F587A">
            <w:pPr>
              <w:rPr>
                <w:rFonts w:ascii="Times New Roman" w:hAnsi="Times New Roman"/>
                <w:sz w:val="20"/>
                <w:szCs w:val="20"/>
              </w:rPr>
            </w:pPr>
          </w:p>
        </w:tc>
        <w:tc>
          <w:tcPr>
            <w:tcW w:w="1450" w:type="pct"/>
            <w:shd w:val="clear" w:color="auto" w:fill="auto"/>
            <w:vAlign w:val="center"/>
          </w:tcPr>
          <w:p w14:paraId="4ACE27FE" w14:textId="77777777" w:rsidR="006F587A" w:rsidRDefault="006F587A">
            <w:pPr>
              <w:rPr>
                <w:rFonts w:ascii="Times New Roman" w:hAnsi="Times New Roman"/>
                <w:sz w:val="20"/>
                <w:szCs w:val="20"/>
              </w:rPr>
            </w:pPr>
          </w:p>
        </w:tc>
        <w:tc>
          <w:tcPr>
            <w:tcW w:w="2100" w:type="pct"/>
            <w:shd w:val="clear" w:color="auto" w:fill="auto"/>
            <w:vAlign w:val="center"/>
          </w:tcPr>
          <w:p w14:paraId="4ACE27FF" w14:textId="77777777" w:rsidR="006F587A" w:rsidRDefault="006F587A">
            <w:pPr>
              <w:rPr>
                <w:rFonts w:ascii="Times New Roman" w:hAnsi="Times New Roman"/>
                <w:sz w:val="20"/>
                <w:szCs w:val="20"/>
              </w:rPr>
            </w:pPr>
          </w:p>
        </w:tc>
      </w:tr>
      <w:tr w:rsidR="006F587A" w14:paraId="4ACE2804"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2801" w14:textId="77777777" w:rsidR="006F587A" w:rsidRDefault="007B2B61">
            <w:pPr>
              <w:textAlignment w:val="center"/>
              <w:rPr>
                <w:rFonts w:ascii="Times New Roman" w:hAnsi="Times New Roman"/>
                <w:sz w:val="18"/>
                <w:szCs w:val="18"/>
              </w:rPr>
            </w:pP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Viewer12_files/a001intellogo_coverfooter.jpg"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CE0" wp14:editId="4ACE6CE1">
                  <wp:extent cx="304800" cy="304800"/>
                  <wp:effectExtent l="0" t="0" r="0" b="0"/>
                  <wp:docPr id="261" name="图片 145"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145"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r>
              <w:rPr>
                <w:rFonts w:ascii="Arial" w:eastAsia="宋体" w:hAnsi="Arial" w:cs="Arial"/>
                <w:color w:val="333333"/>
                <w:sz w:val="18"/>
                <w:szCs w:val="18"/>
              </w:rPr>
              <w:t>  </w:t>
            </w:r>
            <w:r>
              <w:rPr>
                <w:rFonts w:ascii="Arial" w:eastAsia="宋体" w:hAnsi="Arial" w:cs="Arial"/>
                <w:color w:val="333333"/>
                <w:sz w:val="16"/>
                <w:szCs w:val="16"/>
              </w:rPr>
              <w:t>MD&amp;A</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80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803"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22</w:t>
            </w:r>
          </w:p>
        </w:tc>
      </w:tr>
    </w:tbl>
    <w:p w14:paraId="4ACE2805" w14:textId="77777777" w:rsidR="006F587A" w:rsidRDefault="007B2B61">
      <w:r>
        <w:pict w14:anchorId="4ACE6CE2">
          <v:rect id="_x0000_i1048" style="width:415.3pt;height:1.5pt" o:hralign="center" o:hrstd="t" o:hr="t" fillcolor="#a0a0a0" stroked="f"/>
        </w:pict>
      </w:r>
    </w:p>
    <w:p w14:paraId="4ACE2806" w14:textId="77777777" w:rsidR="006F587A" w:rsidRDefault="007B2B61">
      <w:pPr>
        <w:spacing w:line="288" w:lineRule="auto"/>
        <w:jc w:val="right"/>
        <w:rPr>
          <w:rFonts w:ascii="Times New Roman" w:hAnsi="Times New Roman"/>
          <w:sz w:val="16"/>
          <w:szCs w:val="16"/>
        </w:rPr>
      </w:pPr>
      <w:hyperlink r:id="rId57" w:anchor="s9DB683E2CF52561EB8A73BE37F5BF9BE" w:history="1">
        <w:r>
          <w:rPr>
            <w:rStyle w:val="a5"/>
            <w:rFonts w:ascii="Arial" w:eastAsia="宋体" w:hAnsi="Arial" w:cs="Arial"/>
            <w:b/>
            <w:bCs/>
            <w:sz w:val="16"/>
            <w:szCs w:val="16"/>
          </w:rPr>
          <w:t>Table of Contents</w:t>
        </w:r>
      </w:hyperlink>
    </w:p>
    <w:p w14:paraId="4ACE2807" w14:textId="77777777" w:rsidR="006F587A" w:rsidRDefault="006F587A">
      <w:pPr>
        <w:spacing w:line="288" w:lineRule="auto"/>
        <w:jc w:val="right"/>
        <w:rPr>
          <w:rFonts w:ascii="Times New Roman" w:hAnsi="Times New Roman"/>
          <w:sz w:val="16"/>
          <w:szCs w:val="16"/>
        </w:rPr>
      </w:pPr>
    </w:p>
    <w:p w14:paraId="4ACE2808"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6F587A" w14:paraId="4ACE280A" w14:textId="77777777">
        <w:tc>
          <w:tcPr>
            <w:tcW w:w="0" w:type="auto"/>
            <w:shd w:val="clear" w:color="auto" w:fill="auto"/>
            <w:vAlign w:val="center"/>
          </w:tcPr>
          <w:p w14:paraId="4ACE2809" w14:textId="77777777" w:rsidR="006F587A" w:rsidRDefault="006F587A">
            <w:pPr>
              <w:rPr>
                <w:rFonts w:ascii="Times New Roman" w:hAnsi="Times New Roman"/>
                <w:sz w:val="20"/>
                <w:szCs w:val="20"/>
              </w:rPr>
            </w:pPr>
          </w:p>
        </w:tc>
      </w:tr>
      <w:tr w:rsidR="006F587A" w14:paraId="4ACE280C" w14:textId="77777777">
        <w:tc>
          <w:tcPr>
            <w:tcW w:w="5000" w:type="pct"/>
            <w:shd w:val="clear" w:color="auto" w:fill="auto"/>
            <w:vAlign w:val="center"/>
          </w:tcPr>
          <w:p w14:paraId="4ACE280B" w14:textId="77777777" w:rsidR="006F587A" w:rsidRDefault="006F587A">
            <w:pPr>
              <w:rPr>
                <w:rFonts w:ascii="Times New Roman" w:hAnsi="Times New Roman"/>
                <w:sz w:val="20"/>
                <w:szCs w:val="20"/>
              </w:rPr>
            </w:pPr>
          </w:p>
        </w:tc>
      </w:tr>
      <w:tr w:rsidR="006F587A" w14:paraId="4ACE280E" w14:textId="77777777">
        <w:tc>
          <w:tcPr>
            <w:tcW w:w="0" w:type="auto"/>
            <w:shd w:val="clear" w:color="auto" w:fill="0071C5"/>
            <w:tcMar>
              <w:top w:w="40" w:type="dxa"/>
              <w:left w:w="880" w:type="dxa"/>
              <w:bottom w:w="40" w:type="dxa"/>
              <w:right w:w="40" w:type="dxa"/>
            </w:tcMar>
          </w:tcPr>
          <w:p w14:paraId="4ACE280D" w14:textId="77777777" w:rsidR="006F587A" w:rsidRDefault="007B2B61">
            <w:pPr>
              <w:textAlignment w:val="top"/>
              <w:rPr>
                <w:rFonts w:ascii="Times New Roman" w:hAnsi="Times New Roman"/>
                <w:sz w:val="44"/>
                <w:szCs w:val="44"/>
              </w:rPr>
            </w:pPr>
            <w:r>
              <w:rPr>
                <w:rFonts w:ascii="sans-serif" w:eastAsia="sans-serif" w:hAnsi="sans-serif" w:cs="sans-serif"/>
                <w:color w:val="FFFFFF"/>
                <w:sz w:val="44"/>
                <w:szCs w:val="44"/>
              </w:rPr>
              <w:t>MOBILEYE</w:t>
            </w:r>
          </w:p>
        </w:tc>
      </w:tr>
    </w:tbl>
    <w:p w14:paraId="4ACE280F" w14:textId="77777777" w:rsidR="006F587A" w:rsidRDefault="006F587A">
      <w:pPr>
        <w:rPr>
          <w:vanish/>
        </w:rPr>
      </w:pPr>
    </w:p>
    <w:tbl>
      <w:tblPr>
        <w:tblW w:w="14660" w:type="dxa"/>
        <w:tblCellMar>
          <w:left w:w="0" w:type="dxa"/>
          <w:right w:w="0" w:type="dxa"/>
        </w:tblCellMar>
        <w:tblLook w:val="04A0" w:firstRow="1" w:lastRow="0" w:firstColumn="1" w:lastColumn="0" w:noHBand="0" w:noVBand="1"/>
      </w:tblPr>
      <w:tblGrid>
        <w:gridCol w:w="317"/>
        <w:gridCol w:w="8334"/>
        <w:gridCol w:w="6009"/>
      </w:tblGrid>
      <w:tr w:rsidR="006F587A" w14:paraId="4ACE2811" w14:textId="77777777">
        <w:tc>
          <w:tcPr>
            <w:tcW w:w="0" w:type="auto"/>
            <w:gridSpan w:val="3"/>
            <w:shd w:val="clear" w:color="auto" w:fill="auto"/>
            <w:vAlign w:val="center"/>
          </w:tcPr>
          <w:p w14:paraId="4ACE2810" w14:textId="77777777" w:rsidR="006F587A" w:rsidRDefault="006F587A">
            <w:pPr>
              <w:rPr>
                <w:rFonts w:ascii="Times New Roman" w:hAnsi="Times New Roman"/>
                <w:sz w:val="20"/>
                <w:szCs w:val="20"/>
              </w:rPr>
            </w:pPr>
          </w:p>
        </w:tc>
      </w:tr>
      <w:tr w:rsidR="006F587A" w14:paraId="4ACE2815" w14:textId="77777777">
        <w:tc>
          <w:tcPr>
            <w:tcW w:w="760" w:type="dxa"/>
            <w:shd w:val="clear" w:color="auto" w:fill="auto"/>
            <w:vAlign w:val="center"/>
          </w:tcPr>
          <w:p w14:paraId="4ACE2812" w14:textId="77777777" w:rsidR="006F587A" w:rsidRDefault="006F587A">
            <w:pPr>
              <w:rPr>
                <w:rFonts w:ascii="Times New Roman" w:hAnsi="Times New Roman"/>
                <w:sz w:val="20"/>
                <w:szCs w:val="20"/>
              </w:rPr>
            </w:pPr>
          </w:p>
        </w:tc>
        <w:tc>
          <w:tcPr>
            <w:tcW w:w="10440" w:type="dxa"/>
            <w:shd w:val="clear" w:color="auto" w:fill="auto"/>
            <w:vAlign w:val="center"/>
          </w:tcPr>
          <w:p w14:paraId="4ACE2813" w14:textId="77777777" w:rsidR="006F587A" w:rsidRDefault="006F587A">
            <w:pPr>
              <w:rPr>
                <w:rFonts w:ascii="Times New Roman" w:hAnsi="Times New Roman"/>
                <w:sz w:val="20"/>
                <w:szCs w:val="20"/>
              </w:rPr>
            </w:pPr>
          </w:p>
        </w:tc>
        <w:tc>
          <w:tcPr>
            <w:tcW w:w="3400" w:type="dxa"/>
            <w:shd w:val="clear" w:color="auto" w:fill="auto"/>
            <w:vAlign w:val="center"/>
          </w:tcPr>
          <w:p w14:paraId="4ACE2814" w14:textId="77777777" w:rsidR="006F587A" w:rsidRDefault="006F587A">
            <w:pPr>
              <w:rPr>
                <w:rFonts w:ascii="Times New Roman" w:hAnsi="Times New Roman"/>
                <w:sz w:val="20"/>
                <w:szCs w:val="20"/>
              </w:rPr>
            </w:pPr>
          </w:p>
        </w:tc>
      </w:tr>
      <w:tr w:rsidR="006F587A" w14:paraId="4ACE2818" w14:textId="77777777">
        <w:tc>
          <w:tcPr>
            <w:tcW w:w="0" w:type="auto"/>
            <w:gridSpan w:val="2"/>
            <w:tcBorders>
              <w:bottom w:val="single" w:sz="8" w:space="0" w:color="333333"/>
            </w:tcBorders>
            <w:shd w:val="clear" w:color="auto" w:fill="auto"/>
            <w:tcMar>
              <w:top w:w="40" w:type="dxa"/>
              <w:left w:w="40" w:type="dxa"/>
              <w:bottom w:w="40" w:type="dxa"/>
              <w:right w:w="40" w:type="dxa"/>
            </w:tcMar>
            <w:vAlign w:val="bottom"/>
          </w:tcPr>
          <w:p w14:paraId="4ACE2816" w14:textId="77777777" w:rsidR="006F587A" w:rsidRDefault="007B2B61">
            <w:pPr>
              <w:textAlignment w:val="bottom"/>
              <w:rPr>
                <w:rFonts w:ascii="Times New Roman" w:hAnsi="Times New Roman"/>
                <w:sz w:val="20"/>
                <w:szCs w:val="20"/>
              </w:rPr>
            </w:pPr>
            <w:r>
              <w:rPr>
                <w:rFonts w:ascii="Arial" w:eastAsia="宋体" w:hAnsi="Arial" w:cs="Arial"/>
                <w:b/>
                <w:bCs/>
                <w:color w:val="0071C5"/>
                <w:sz w:val="20"/>
                <w:szCs w:val="20"/>
              </w:rPr>
              <w:t>OVERVIEW</w:t>
            </w:r>
          </w:p>
        </w:tc>
        <w:tc>
          <w:tcPr>
            <w:tcW w:w="0" w:type="auto"/>
            <w:vMerge w:val="restart"/>
            <w:shd w:val="clear" w:color="auto" w:fill="auto"/>
            <w:tcMar>
              <w:top w:w="40" w:type="dxa"/>
              <w:left w:w="40" w:type="dxa"/>
              <w:bottom w:w="40" w:type="dxa"/>
              <w:right w:w="40" w:type="dxa"/>
            </w:tcMar>
            <w:vAlign w:val="bottom"/>
          </w:tcPr>
          <w:p w14:paraId="4ACE2817" w14:textId="77777777" w:rsidR="006F587A" w:rsidRDefault="007B2B61">
            <w:pPr>
              <w:jc w:val="center"/>
              <w:textAlignment w:val="bottom"/>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Viewer12_files/a047updamnoncircle.jpg"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E3" wp14:editId="4ACE6CE4">
                  <wp:extent cx="304800" cy="304800"/>
                  <wp:effectExtent l="0" t="0" r="0" b="0"/>
                  <wp:docPr id="231" name="图片 147" descr="IMG_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147" descr="IMG_34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r>
      <w:tr w:rsidR="006F587A" w14:paraId="4ACE281C" w14:textId="77777777">
        <w:tc>
          <w:tcPr>
            <w:tcW w:w="0" w:type="auto"/>
            <w:gridSpan w:val="2"/>
            <w:tcBorders>
              <w:top w:val="single" w:sz="8" w:space="0" w:color="333333"/>
            </w:tcBorders>
            <w:shd w:val="clear" w:color="auto" w:fill="auto"/>
            <w:tcMar>
              <w:top w:w="40" w:type="dxa"/>
              <w:left w:w="40" w:type="dxa"/>
              <w:bottom w:w="40" w:type="dxa"/>
              <w:right w:w="40" w:type="dxa"/>
            </w:tcMar>
          </w:tcPr>
          <w:p w14:paraId="4ACE2819"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Mobileye is the global leader in driving assistance and automation solutions. Our product portfolio employ</w:t>
            </w:r>
            <w:r>
              <w:rPr>
                <w:rFonts w:ascii="Arial" w:eastAsia="宋体" w:hAnsi="Arial" w:cs="Arial"/>
                <w:color w:val="333333"/>
                <w:sz w:val="18"/>
                <w:szCs w:val="18"/>
              </w:rPr>
              <w:t>s a broad set of technologies, covering computer vision and machine learning-based sensing, data analysis, localization, mapping, and driving policy technology for ADAS and autonomous driving. Mobileye’s ADAS products form the building blocks for higher le</w:t>
            </w:r>
            <w:r>
              <w:rPr>
                <w:rFonts w:ascii="Arial" w:eastAsia="宋体" w:hAnsi="Arial" w:cs="Arial"/>
                <w:color w:val="333333"/>
                <w:sz w:val="18"/>
                <w:szCs w:val="18"/>
              </w:rPr>
              <w:t xml:space="preserve">vels of autonomy. Our customers and strategic partners include major global OEMs and Tier 1 automotive system integrators. </w:t>
            </w:r>
          </w:p>
          <w:p w14:paraId="4ACE281A" w14:textId="77777777" w:rsidR="006F587A" w:rsidRDefault="006F587A">
            <w:pPr>
              <w:textAlignment w:val="top"/>
              <w:rPr>
                <w:rFonts w:ascii="Times New Roman" w:hAnsi="Times New Roman"/>
                <w:sz w:val="18"/>
                <w:szCs w:val="18"/>
              </w:rPr>
            </w:pPr>
          </w:p>
        </w:tc>
        <w:tc>
          <w:tcPr>
            <w:tcW w:w="0" w:type="auto"/>
            <w:vMerge/>
            <w:shd w:val="clear" w:color="auto" w:fill="auto"/>
            <w:tcMar>
              <w:top w:w="40" w:type="dxa"/>
              <w:left w:w="40" w:type="dxa"/>
              <w:bottom w:w="40" w:type="dxa"/>
              <w:right w:w="40" w:type="dxa"/>
            </w:tcMar>
            <w:vAlign w:val="bottom"/>
          </w:tcPr>
          <w:p w14:paraId="4ACE281B" w14:textId="77777777" w:rsidR="006F587A" w:rsidRDefault="006F587A">
            <w:pPr>
              <w:rPr>
                <w:rFonts w:ascii="Times New Roman" w:hAnsi="Times New Roman"/>
                <w:sz w:val="20"/>
                <w:szCs w:val="20"/>
              </w:rPr>
            </w:pPr>
          </w:p>
        </w:tc>
      </w:tr>
      <w:tr w:rsidR="006F587A" w14:paraId="4ACE2820" w14:textId="77777777">
        <w:tc>
          <w:tcPr>
            <w:tcW w:w="0" w:type="auto"/>
            <w:shd w:val="clear" w:color="auto" w:fill="auto"/>
            <w:tcMar>
              <w:top w:w="40" w:type="dxa"/>
              <w:left w:w="40" w:type="dxa"/>
              <w:bottom w:w="40" w:type="dxa"/>
              <w:right w:w="40" w:type="dxa"/>
            </w:tcMar>
            <w:vAlign w:val="bottom"/>
          </w:tcPr>
          <w:p w14:paraId="4ACE281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81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bottom"/>
          </w:tcPr>
          <w:p w14:paraId="4ACE281F" w14:textId="77777777" w:rsidR="006F587A" w:rsidRDefault="006F587A">
            <w:pPr>
              <w:rPr>
                <w:rFonts w:ascii="Times New Roman" w:hAnsi="Times New Roman"/>
                <w:sz w:val="20"/>
                <w:szCs w:val="20"/>
              </w:rPr>
            </w:pPr>
          </w:p>
        </w:tc>
      </w:tr>
      <w:tr w:rsidR="006F587A" w14:paraId="4ACE2823" w14:textId="77777777">
        <w:tc>
          <w:tcPr>
            <w:tcW w:w="0" w:type="auto"/>
            <w:gridSpan w:val="2"/>
            <w:tcBorders>
              <w:bottom w:val="single" w:sz="8" w:space="0" w:color="333333"/>
            </w:tcBorders>
            <w:shd w:val="clear" w:color="auto" w:fill="auto"/>
            <w:tcMar>
              <w:top w:w="40" w:type="dxa"/>
              <w:left w:w="40" w:type="dxa"/>
              <w:bottom w:w="40" w:type="dxa"/>
              <w:right w:w="40" w:type="dxa"/>
            </w:tcMar>
            <w:vAlign w:val="bottom"/>
          </w:tcPr>
          <w:p w14:paraId="4ACE2821" w14:textId="77777777" w:rsidR="006F587A" w:rsidRDefault="007B2B61">
            <w:pPr>
              <w:textAlignment w:val="bottom"/>
              <w:rPr>
                <w:rFonts w:ascii="Times New Roman" w:hAnsi="Times New Roman"/>
                <w:sz w:val="20"/>
                <w:szCs w:val="20"/>
              </w:rPr>
            </w:pPr>
            <w:r>
              <w:rPr>
                <w:rFonts w:ascii="Arial" w:eastAsia="宋体" w:hAnsi="Arial" w:cs="Arial"/>
                <w:b/>
                <w:bCs/>
                <w:color w:val="0071C5"/>
                <w:sz w:val="20"/>
                <w:szCs w:val="20"/>
              </w:rPr>
              <w:t>HIGHLIGHTS AND SEGMENT IMPERATIVES</w:t>
            </w:r>
          </w:p>
        </w:tc>
        <w:tc>
          <w:tcPr>
            <w:tcW w:w="0" w:type="auto"/>
            <w:vMerge/>
            <w:shd w:val="clear" w:color="auto" w:fill="auto"/>
            <w:tcMar>
              <w:top w:w="40" w:type="dxa"/>
              <w:left w:w="40" w:type="dxa"/>
              <w:bottom w:w="40" w:type="dxa"/>
              <w:right w:w="40" w:type="dxa"/>
            </w:tcMar>
            <w:vAlign w:val="bottom"/>
          </w:tcPr>
          <w:p w14:paraId="4ACE2822" w14:textId="77777777" w:rsidR="006F587A" w:rsidRDefault="006F587A">
            <w:pPr>
              <w:rPr>
                <w:rFonts w:ascii="Times New Roman" w:hAnsi="Times New Roman"/>
                <w:sz w:val="20"/>
                <w:szCs w:val="20"/>
              </w:rPr>
            </w:pPr>
          </w:p>
        </w:tc>
      </w:tr>
      <w:tr w:rsidR="006F587A" w14:paraId="4ACE2827" w14:textId="77777777">
        <w:tc>
          <w:tcPr>
            <w:tcW w:w="0" w:type="auto"/>
            <w:shd w:val="clear" w:color="auto" w:fill="auto"/>
            <w:tcMar>
              <w:top w:w="40" w:type="dxa"/>
              <w:left w:w="40" w:type="dxa"/>
              <w:bottom w:w="40" w:type="dxa"/>
              <w:right w:w="40" w:type="dxa"/>
            </w:tcMar>
            <w:vAlign w:val="bottom"/>
          </w:tcPr>
          <w:p w14:paraId="4ACE282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82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bottom"/>
          </w:tcPr>
          <w:p w14:paraId="4ACE2826" w14:textId="77777777" w:rsidR="006F587A" w:rsidRDefault="006F587A">
            <w:pPr>
              <w:rPr>
                <w:rFonts w:ascii="Times New Roman" w:hAnsi="Times New Roman"/>
                <w:sz w:val="20"/>
                <w:szCs w:val="20"/>
              </w:rPr>
            </w:pPr>
          </w:p>
        </w:tc>
      </w:tr>
      <w:tr w:rsidR="006F587A" w14:paraId="4ACE282D" w14:textId="77777777">
        <w:tc>
          <w:tcPr>
            <w:tcW w:w="0" w:type="auto"/>
            <w:shd w:val="clear" w:color="auto" w:fill="auto"/>
            <w:tcMar>
              <w:top w:w="40" w:type="dxa"/>
              <w:left w:w="40" w:type="dxa"/>
              <w:bottom w:w="40" w:type="dxa"/>
              <w:right w:w="40" w:type="dxa"/>
            </w:tcMar>
          </w:tcPr>
          <w:p w14:paraId="4ACE2828" w14:textId="77777777" w:rsidR="006F587A" w:rsidRDefault="007B2B61">
            <w:pPr>
              <w:jc w:val="center"/>
              <w:textAlignment w:val="top"/>
              <w:rPr>
                <w:rFonts w:ascii="Times New Roman" w:hAnsi="Times New Roman"/>
                <w:sz w:val="18"/>
                <w:szCs w:val="18"/>
              </w:rPr>
            </w:pPr>
            <w:r>
              <w:rPr>
                <w:rFonts w:ascii="Arial" w:eastAsia="宋体" w:hAnsi="Arial" w:cs="Arial"/>
                <w:color w:val="003C71"/>
                <w:sz w:val="18"/>
                <w:szCs w:val="18"/>
              </w:rPr>
              <w:t>●</w:t>
            </w:r>
          </w:p>
        </w:tc>
        <w:tc>
          <w:tcPr>
            <w:tcW w:w="0" w:type="auto"/>
            <w:shd w:val="clear" w:color="auto" w:fill="auto"/>
            <w:tcMar>
              <w:top w:w="40" w:type="dxa"/>
              <w:left w:w="40" w:type="dxa"/>
              <w:bottom w:w="40" w:type="dxa"/>
              <w:right w:w="40" w:type="dxa"/>
            </w:tcMar>
          </w:tcPr>
          <w:p w14:paraId="4ACE2829"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 xml:space="preserve">We achieved record revenue and operating income in 2019 primarily due to </w:t>
            </w:r>
            <w:r>
              <w:rPr>
                <w:rFonts w:ascii="Arial" w:eastAsia="宋体" w:hAnsi="Arial" w:cs="Arial"/>
                <w:color w:val="333333"/>
                <w:sz w:val="18"/>
                <w:szCs w:val="18"/>
              </w:rPr>
              <w:t>the increased adoption of ADAS. Our EyeQ* SoC volume grew approximately 43% and we expect to see additional growth in the adoption of enhanced ADAS technologies.</w:t>
            </w:r>
          </w:p>
        </w:tc>
        <w:tc>
          <w:tcPr>
            <w:tcW w:w="0" w:type="auto"/>
            <w:vMerge w:val="restart"/>
            <w:shd w:val="clear" w:color="auto" w:fill="auto"/>
            <w:tcMar>
              <w:top w:w="40" w:type="dxa"/>
              <w:left w:w="40" w:type="dxa"/>
              <w:bottom w:w="40" w:type="dxa"/>
              <w:right w:w="40" w:type="dxa"/>
            </w:tcMar>
            <w:vAlign w:val="center"/>
          </w:tcPr>
          <w:p w14:paraId="4ACE282A" w14:textId="77777777" w:rsidR="006F587A" w:rsidRDefault="007B2B61">
            <w:pPr>
              <w:textAlignment w:val="center"/>
              <w:rPr>
                <w:rFonts w:ascii="Times New Roman" w:hAnsi="Times New Roman"/>
                <w:sz w:val="18"/>
                <w:szCs w:val="18"/>
              </w:rPr>
            </w:pPr>
            <w:r>
              <w:rPr>
                <w:rFonts w:ascii="Arial" w:eastAsia="宋体" w:hAnsi="Arial" w:cs="Arial"/>
                <w:b/>
                <w:bCs/>
                <w:i/>
                <w:iCs/>
                <w:color w:val="333333"/>
                <w:sz w:val="18"/>
                <w:szCs w:val="18"/>
              </w:rPr>
              <w:t xml:space="preserve">“Mobileye is fueling Intel’s entry into the Mobility-as-a-Service business and is fully </w:t>
            </w:r>
            <w:r>
              <w:rPr>
                <w:rFonts w:ascii="Arial" w:eastAsia="宋体" w:hAnsi="Arial" w:cs="Arial"/>
                <w:b/>
                <w:bCs/>
                <w:i/>
                <w:iCs/>
                <w:color w:val="333333"/>
                <w:sz w:val="18"/>
                <w:szCs w:val="18"/>
              </w:rPr>
              <w:t>committed to building on its leadership and know-how in the ADAS market in order to bring truly safe and scalable autonomous mobility to the market.”</w:t>
            </w:r>
          </w:p>
          <w:p w14:paraId="4ACE282B" w14:textId="77777777" w:rsidR="006F587A" w:rsidRDefault="006F587A">
            <w:pPr>
              <w:textAlignment w:val="center"/>
              <w:rPr>
                <w:rFonts w:ascii="Times New Roman" w:hAnsi="Times New Roman"/>
                <w:sz w:val="18"/>
                <w:szCs w:val="18"/>
              </w:rPr>
            </w:pPr>
          </w:p>
          <w:p w14:paraId="4ACE282C" w14:textId="77777777" w:rsidR="006F587A" w:rsidRDefault="007B2B61">
            <w:pPr>
              <w:textAlignment w:val="center"/>
              <w:rPr>
                <w:rFonts w:ascii="Times New Roman" w:hAnsi="Times New Roman"/>
                <w:sz w:val="18"/>
                <w:szCs w:val="18"/>
              </w:rPr>
            </w:pPr>
            <w:r>
              <w:rPr>
                <w:rFonts w:ascii="Arial" w:eastAsia="宋体" w:hAnsi="Arial" w:cs="Arial"/>
                <w:b/>
                <w:bCs/>
                <w:i/>
                <w:iCs/>
                <w:color w:val="333333"/>
                <w:sz w:val="18"/>
                <w:szCs w:val="18"/>
              </w:rPr>
              <w:t xml:space="preserve">—Prof. Amnon Shashua, </w:t>
            </w:r>
            <w:r>
              <w:rPr>
                <w:rFonts w:ascii="Arial" w:eastAsia="宋体" w:hAnsi="Arial" w:cs="Arial"/>
                <w:i/>
                <w:iCs/>
                <w:color w:val="333333"/>
                <w:sz w:val="18"/>
                <w:szCs w:val="18"/>
              </w:rPr>
              <w:t>President and Chief Executive Officer, Mobileye</w:t>
            </w:r>
          </w:p>
        </w:tc>
      </w:tr>
      <w:tr w:rsidR="006F587A" w14:paraId="4ACE2831" w14:textId="77777777">
        <w:tc>
          <w:tcPr>
            <w:tcW w:w="0" w:type="auto"/>
            <w:shd w:val="clear" w:color="auto" w:fill="auto"/>
            <w:tcMar>
              <w:top w:w="40" w:type="dxa"/>
              <w:left w:w="40" w:type="dxa"/>
              <w:bottom w:w="40" w:type="dxa"/>
              <w:right w:w="40" w:type="dxa"/>
            </w:tcMar>
          </w:tcPr>
          <w:p w14:paraId="4ACE282E" w14:textId="77777777" w:rsidR="006F587A" w:rsidRDefault="007B2B61">
            <w:pPr>
              <w:jc w:val="center"/>
              <w:textAlignment w:val="top"/>
              <w:rPr>
                <w:rFonts w:ascii="Times New Roman" w:hAnsi="Times New Roman"/>
                <w:sz w:val="18"/>
                <w:szCs w:val="18"/>
              </w:rPr>
            </w:pPr>
            <w:r>
              <w:rPr>
                <w:rFonts w:ascii="Arial" w:eastAsia="宋体" w:hAnsi="Arial" w:cs="Arial"/>
                <w:color w:val="003C71"/>
                <w:sz w:val="18"/>
                <w:szCs w:val="18"/>
              </w:rPr>
              <w:t>●</w:t>
            </w:r>
          </w:p>
        </w:tc>
        <w:tc>
          <w:tcPr>
            <w:tcW w:w="0" w:type="auto"/>
            <w:shd w:val="clear" w:color="auto" w:fill="auto"/>
            <w:tcMar>
              <w:top w:w="40" w:type="dxa"/>
              <w:left w:w="40" w:type="dxa"/>
              <w:bottom w:w="40" w:type="dxa"/>
              <w:right w:w="40" w:type="dxa"/>
            </w:tcMar>
          </w:tcPr>
          <w:p w14:paraId="4ACE282F"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We had more than 30 new design w</w:t>
            </w:r>
            <w:r>
              <w:rPr>
                <w:rFonts w:ascii="Arial" w:eastAsia="宋体" w:hAnsi="Arial" w:cs="Arial"/>
                <w:color w:val="333333"/>
                <w:sz w:val="18"/>
                <w:szCs w:val="18"/>
              </w:rPr>
              <w:t>ins, 47 active production programs</w:t>
            </w:r>
            <w:r>
              <w:rPr>
                <w:rFonts w:ascii="Arial" w:eastAsia="宋体" w:hAnsi="Arial" w:cs="Arial"/>
                <w:color w:val="333333"/>
                <w:sz w:val="12"/>
                <w:szCs w:val="12"/>
              </w:rPr>
              <w:t>1</w:t>
            </w:r>
            <w:r>
              <w:rPr>
                <w:rFonts w:ascii="Arial" w:eastAsia="宋体" w:hAnsi="Arial" w:cs="Arial"/>
                <w:color w:val="333333"/>
                <w:sz w:val="18"/>
                <w:szCs w:val="18"/>
              </w:rPr>
              <w:t> across 25 OEMs, and 16 program launches, including an industry-first 100-degree front-facing camera.</w:t>
            </w:r>
          </w:p>
        </w:tc>
        <w:tc>
          <w:tcPr>
            <w:tcW w:w="0" w:type="auto"/>
            <w:vMerge/>
            <w:shd w:val="clear" w:color="auto" w:fill="auto"/>
            <w:tcMar>
              <w:top w:w="40" w:type="dxa"/>
              <w:left w:w="40" w:type="dxa"/>
              <w:bottom w:w="40" w:type="dxa"/>
              <w:right w:w="40" w:type="dxa"/>
            </w:tcMar>
            <w:vAlign w:val="center"/>
          </w:tcPr>
          <w:p w14:paraId="4ACE2830" w14:textId="77777777" w:rsidR="006F587A" w:rsidRDefault="006F587A">
            <w:pPr>
              <w:rPr>
                <w:rFonts w:ascii="Times New Roman" w:hAnsi="Times New Roman"/>
                <w:sz w:val="20"/>
                <w:szCs w:val="20"/>
              </w:rPr>
            </w:pPr>
          </w:p>
        </w:tc>
      </w:tr>
      <w:tr w:rsidR="006F587A" w14:paraId="4ACE2835" w14:textId="77777777">
        <w:tc>
          <w:tcPr>
            <w:tcW w:w="0" w:type="auto"/>
            <w:shd w:val="clear" w:color="auto" w:fill="auto"/>
            <w:tcMar>
              <w:top w:w="40" w:type="dxa"/>
              <w:left w:w="40" w:type="dxa"/>
              <w:bottom w:w="40" w:type="dxa"/>
              <w:right w:w="40" w:type="dxa"/>
            </w:tcMar>
          </w:tcPr>
          <w:p w14:paraId="4ACE2832" w14:textId="77777777" w:rsidR="006F587A" w:rsidRDefault="007B2B61">
            <w:pPr>
              <w:jc w:val="center"/>
              <w:textAlignment w:val="top"/>
              <w:rPr>
                <w:rFonts w:ascii="Times New Roman" w:hAnsi="Times New Roman"/>
                <w:sz w:val="18"/>
                <w:szCs w:val="18"/>
              </w:rPr>
            </w:pPr>
            <w:r>
              <w:rPr>
                <w:rFonts w:ascii="Arial" w:eastAsia="宋体" w:hAnsi="Arial" w:cs="Arial"/>
                <w:color w:val="003C71"/>
                <w:sz w:val="18"/>
                <w:szCs w:val="18"/>
              </w:rPr>
              <w:t>●</w:t>
            </w:r>
          </w:p>
        </w:tc>
        <w:tc>
          <w:tcPr>
            <w:tcW w:w="0" w:type="auto"/>
            <w:shd w:val="clear" w:color="auto" w:fill="auto"/>
            <w:tcMar>
              <w:top w:w="40" w:type="dxa"/>
              <w:left w:w="40" w:type="dxa"/>
              <w:bottom w:w="40" w:type="dxa"/>
              <w:right w:w="40" w:type="dxa"/>
            </w:tcMar>
          </w:tcPr>
          <w:p w14:paraId="4ACE2833"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Production vehicles equipped with our EyeQ*4 SoC and REM</w:t>
            </w:r>
            <w:r>
              <w:rPr>
                <w:rFonts w:ascii="Arial" w:eastAsia="宋体" w:hAnsi="Arial" w:cs="Arial"/>
                <w:color w:val="333333"/>
                <w:sz w:val="12"/>
                <w:szCs w:val="12"/>
              </w:rPr>
              <w:t>TM</w:t>
            </w:r>
            <w:r>
              <w:rPr>
                <w:rFonts w:ascii="Arial" w:eastAsia="宋体" w:hAnsi="Arial" w:cs="Arial"/>
                <w:color w:val="333333"/>
                <w:sz w:val="18"/>
                <w:szCs w:val="18"/>
              </w:rPr>
              <w:t xml:space="preserve"> technology are deployed across the globe and by the </w:t>
            </w:r>
            <w:r>
              <w:rPr>
                <w:rFonts w:ascii="Arial" w:eastAsia="宋体" w:hAnsi="Arial" w:cs="Arial"/>
                <w:color w:val="333333"/>
                <w:sz w:val="18"/>
                <w:szCs w:val="18"/>
              </w:rPr>
              <w:t>end of 2019 were collecting up to approximately 6 million kilometers of data each day. This data is automatically aggregated with high update frequency into "Roadbook™, a high-definition map, which is an essential component for Robotaxi (autonomous taxis),</w:t>
            </w:r>
            <w:r>
              <w:rPr>
                <w:rFonts w:ascii="Arial" w:eastAsia="宋体" w:hAnsi="Arial" w:cs="Arial"/>
                <w:color w:val="333333"/>
                <w:sz w:val="18"/>
                <w:szCs w:val="18"/>
              </w:rPr>
              <w:t xml:space="preserve"> consumer AV, and the fast-growing L2+ segment. The insights gained from this data enhance existing driver-assistance propositions and provide customers with superior driving experiences, performance, and additional safety.</w:t>
            </w:r>
          </w:p>
        </w:tc>
        <w:tc>
          <w:tcPr>
            <w:tcW w:w="0" w:type="auto"/>
            <w:vMerge/>
            <w:shd w:val="clear" w:color="auto" w:fill="auto"/>
            <w:tcMar>
              <w:top w:w="40" w:type="dxa"/>
              <w:left w:w="40" w:type="dxa"/>
              <w:bottom w:w="40" w:type="dxa"/>
              <w:right w:w="40" w:type="dxa"/>
            </w:tcMar>
            <w:vAlign w:val="center"/>
          </w:tcPr>
          <w:p w14:paraId="4ACE2834" w14:textId="77777777" w:rsidR="006F587A" w:rsidRDefault="006F587A">
            <w:pPr>
              <w:rPr>
                <w:rFonts w:ascii="Times New Roman" w:hAnsi="Times New Roman"/>
                <w:sz w:val="20"/>
                <w:szCs w:val="20"/>
              </w:rPr>
            </w:pPr>
          </w:p>
        </w:tc>
      </w:tr>
    </w:tbl>
    <w:p w14:paraId="4ACE2836" w14:textId="77777777" w:rsidR="006F587A" w:rsidRDefault="006F587A">
      <w:pPr>
        <w:spacing w:line="288" w:lineRule="auto"/>
        <w:rPr>
          <w:rFonts w:ascii="Times New Roman" w:hAnsi="Times New Roman"/>
          <w:sz w:val="16"/>
          <w:szCs w:val="16"/>
        </w:rPr>
      </w:pPr>
    </w:p>
    <w:p w14:paraId="4ACE2837" w14:textId="77777777" w:rsidR="006F587A" w:rsidRDefault="007B2B61">
      <w:pPr>
        <w:spacing w:line="288" w:lineRule="auto"/>
        <w:rPr>
          <w:rFonts w:ascii="Times New Roman" w:hAnsi="Times New Roman"/>
        </w:rPr>
      </w:pPr>
      <w:r>
        <w:rPr>
          <w:rFonts w:ascii="Arial" w:eastAsia="宋体" w:hAnsi="Arial" w:cs="Arial"/>
          <w:b/>
          <w:bCs/>
          <w:color w:val="0071C5"/>
        </w:rPr>
        <w:t>MARKET AND BUSINESS OVERVIEW</w:t>
      </w:r>
    </w:p>
    <w:p w14:paraId="4ACE2838" w14:textId="77777777" w:rsidR="006F587A" w:rsidRDefault="007B2B61">
      <w:pPr>
        <w:spacing w:line="288" w:lineRule="auto"/>
        <w:rPr>
          <w:rFonts w:ascii="Times New Roman" w:hAnsi="Times New Roman"/>
          <w:sz w:val="20"/>
          <w:szCs w:val="20"/>
        </w:rPr>
      </w:pPr>
      <w:r>
        <w:rPr>
          <w:rFonts w:ascii="Arial" w:eastAsia="宋体" w:hAnsi="Arial" w:cs="Arial"/>
          <w:b/>
          <w:bCs/>
          <w:color w:val="333333"/>
          <w:sz w:val="20"/>
          <w:szCs w:val="20"/>
        </w:rPr>
        <w:t>Market trends and strategy</w:t>
      </w:r>
    </w:p>
    <w:p w14:paraId="4ACE2839"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The adoption of ADAS is expanding as consumers increasingly consider ADAS a differentiating factor in their automotive purchasing decisions. The continued growth of ADAS is dependent on various factors, including regulation, mark</w:t>
      </w:r>
      <w:r>
        <w:rPr>
          <w:rFonts w:ascii="Arial" w:eastAsia="宋体" w:hAnsi="Arial" w:cs="Arial"/>
          <w:color w:val="333333"/>
          <w:sz w:val="18"/>
          <w:szCs w:val="18"/>
        </w:rPr>
        <w:t xml:space="preserve">et demand, and consumers' recognition of its value. Mobileye's ADAS solutions also serve as a qualification space for our autonomous technology, using vast experience and </w:t>
      </w:r>
      <w:r>
        <w:rPr>
          <w:rFonts w:ascii="Arial" w:eastAsia="宋体" w:hAnsi="Arial" w:cs="Arial"/>
          <w:color w:val="333333"/>
          <w:sz w:val="18"/>
          <w:szCs w:val="18"/>
        </w:rPr>
        <w:lastRenderedPageBreak/>
        <w:t>proliferation to validate and constantly improve AV technology. AV technologies, in t</w:t>
      </w:r>
      <w:r>
        <w:rPr>
          <w:rFonts w:ascii="Arial" w:eastAsia="宋体" w:hAnsi="Arial" w:cs="Arial"/>
          <w:color w:val="333333"/>
          <w:sz w:val="18"/>
          <w:szCs w:val="18"/>
        </w:rPr>
        <w:t>urn, make their way into premium ADAS solutions, broadening monetization opportunities and value proposition. The AV-ADAS interplay allows Mobileye to sustain its technology leadership.</w:t>
      </w:r>
    </w:p>
    <w:p w14:paraId="4ACE283A"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Car manufacturers are looking to enhance current L2+ solutions by impr</w:t>
      </w:r>
      <w:r>
        <w:rPr>
          <w:rFonts w:ascii="Arial" w:eastAsia="宋体" w:hAnsi="Arial" w:cs="Arial"/>
          <w:color w:val="333333"/>
          <w:sz w:val="18"/>
          <w:szCs w:val="18"/>
        </w:rPr>
        <w:t>oving system fidelity, availability, and performance. High-definition maps with constant updates, global coverage, and various semantic features are a prerequisite for L2+ applications and the future deployment of Robotaxi and passenger car autonomy (Consu</w:t>
      </w:r>
      <w:r>
        <w:rPr>
          <w:rFonts w:ascii="Arial" w:eastAsia="宋体" w:hAnsi="Arial" w:cs="Arial"/>
          <w:color w:val="333333"/>
          <w:sz w:val="18"/>
          <w:szCs w:val="18"/>
        </w:rPr>
        <w:t>mer AV). Canonical mapping methods rely on extensive manual labor and dedicated mapping vehicles. Mobileye's disruptive REM crowdsource mapping technology provides automatic map creation and updates. REM mapping capabilities are also being leveraged to ext</w:t>
      </w:r>
      <w:r>
        <w:rPr>
          <w:rFonts w:ascii="Arial" w:eastAsia="宋体" w:hAnsi="Arial" w:cs="Arial"/>
          <w:color w:val="333333"/>
          <w:sz w:val="18"/>
          <w:szCs w:val="18"/>
        </w:rPr>
        <w:t>end the value of static and dynamic data to businesses in new market segments such as smart cities and infrastructure surveys.</w:t>
      </w:r>
    </w:p>
    <w:tbl>
      <w:tblPr>
        <w:tblW w:w="5000" w:type="pct"/>
        <w:tblCellMar>
          <w:left w:w="0" w:type="dxa"/>
          <w:right w:w="0" w:type="dxa"/>
        </w:tblCellMar>
        <w:tblLook w:val="04A0" w:firstRow="1" w:lastRow="0" w:firstColumn="1" w:lastColumn="0" w:noHBand="0" w:noVBand="1"/>
      </w:tblPr>
      <w:tblGrid>
        <w:gridCol w:w="4568"/>
        <w:gridCol w:w="3738"/>
      </w:tblGrid>
      <w:tr w:rsidR="006F587A" w14:paraId="4ACE283C" w14:textId="77777777">
        <w:tc>
          <w:tcPr>
            <w:tcW w:w="0" w:type="auto"/>
            <w:gridSpan w:val="2"/>
            <w:shd w:val="clear" w:color="auto" w:fill="auto"/>
            <w:vAlign w:val="center"/>
          </w:tcPr>
          <w:p w14:paraId="4ACE283B" w14:textId="77777777" w:rsidR="006F587A" w:rsidRDefault="006F587A">
            <w:pPr>
              <w:rPr>
                <w:rFonts w:ascii="Times New Roman" w:hAnsi="Times New Roman"/>
                <w:sz w:val="20"/>
                <w:szCs w:val="20"/>
              </w:rPr>
            </w:pPr>
          </w:p>
        </w:tc>
      </w:tr>
      <w:tr w:rsidR="006F587A" w14:paraId="4ACE283F" w14:textId="77777777">
        <w:tc>
          <w:tcPr>
            <w:tcW w:w="2750" w:type="pct"/>
            <w:shd w:val="clear" w:color="auto" w:fill="auto"/>
            <w:vAlign w:val="center"/>
          </w:tcPr>
          <w:p w14:paraId="4ACE283D" w14:textId="77777777" w:rsidR="006F587A" w:rsidRDefault="006F587A">
            <w:pPr>
              <w:rPr>
                <w:rFonts w:ascii="Times New Roman" w:hAnsi="Times New Roman"/>
                <w:sz w:val="20"/>
                <w:szCs w:val="20"/>
              </w:rPr>
            </w:pPr>
          </w:p>
        </w:tc>
        <w:tc>
          <w:tcPr>
            <w:tcW w:w="2250" w:type="pct"/>
            <w:shd w:val="clear" w:color="auto" w:fill="auto"/>
            <w:vAlign w:val="center"/>
          </w:tcPr>
          <w:p w14:paraId="4ACE283E" w14:textId="77777777" w:rsidR="006F587A" w:rsidRDefault="006F587A">
            <w:pPr>
              <w:rPr>
                <w:rFonts w:ascii="Times New Roman" w:hAnsi="Times New Roman"/>
                <w:sz w:val="20"/>
                <w:szCs w:val="20"/>
              </w:rPr>
            </w:pPr>
          </w:p>
        </w:tc>
      </w:tr>
      <w:tr w:rsidR="006F587A" w14:paraId="4ACE2844" w14:textId="77777777">
        <w:tc>
          <w:tcPr>
            <w:tcW w:w="0" w:type="auto"/>
            <w:shd w:val="clear" w:color="auto" w:fill="auto"/>
            <w:tcMar>
              <w:top w:w="40" w:type="dxa"/>
              <w:left w:w="40" w:type="dxa"/>
              <w:bottom w:w="40" w:type="dxa"/>
              <w:right w:w="40" w:type="dxa"/>
            </w:tcMar>
          </w:tcPr>
          <w:p w14:paraId="4ACE2840"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 xml:space="preserve">We believe the future of autonomous driving will unfold in two phases: commercial Robotaxi and </w:t>
            </w:r>
            <w:r>
              <w:rPr>
                <w:rFonts w:ascii="Arial" w:eastAsia="宋体" w:hAnsi="Arial" w:cs="Arial"/>
                <w:color w:val="333333"/>
                <w:sz w:val="18"/>
                <w:szCs w:val="18"/>
              </w:rPr>
              <w:t xml:space="preserve">series-production passenger car Consumer AV. We expect Consumer AV to materialize only after the Robotaxi industry deploys and matures. The main inhibitors of a mass market product offering of Consumer AV are the cost of AV technology, ability to scale at </w:t>
            </w:r>
            <w:r>
              <w:rPr>
                <w:rFonts w:ascii="Arial" w:eastAsia="宋体" w:hAnsi="Arial" w:cs="Arial"/>
                <w:color w:val="333333"/>
                <w:sz w:val="18"/>
                <w:szCs w:val="18"/>
              </w:rPr>
              <w:t>a low cost, regulation structure, and public acceptance. Thus, we see the Robotaxi phase as a necessary corridor to Consumer AV. Mobileye is well positioned to play a significant role in the broader MaaS market with the commercialization of Robotaxi and th</w:t>
            </w:r>
            <w:r>
              <w:rPr>
                <w:rFonts w:ascii="Arial" w:eastAsia="宋体" w:hAnsi="Arial" w:cs="Arial"/>
                <w:color w:val="333333"/>
                <w:sz w:val="18"/>
                <w:szCs w:val="18"/>
              </w:rPr>
              <w:t>e future Consumer AV market. Our full-stack self-driving system—geared with our camera-centric backbone and vast experience in productizing cutting-edge technology in the automotive industry—is the foundation for developing an economically competitive AV s</w:t>
            </w:r>
            <w:r>
              <w:rPr>
                <w:rFonts w:ascii="Arial" w:eastAsia="宋体" w:hAnsi="Arial" w:cs="Arial"/>
                <w:color w:val="333333"/>
                <w:sz w:val="18"/>
                <w:szCs w:val="18"/>
              </w:rPr>
              <w:t>olution. Proliferation of data-collection vehicles alongside REM technology will allow for low-cost geographic expansion and coverage. Thus, Mobileye is entering the MaaS market segment as an end-to-end service provider at scale.</w:t>
            </w:r>
          </w:p>
          <w:p w14:paraId="4ACE2841" w14:textId="77777777" w:rsidR="006F587A" w:rsidRDefault="006F587A">
            <w:pPr>
              <w:textAlignment w:val="top"/>
              <w:rPr>
                <w:rFonts w:ascii="Times New Roman" w:hAnsi="Times New Roman"/>
                <w:sz w:val="18"/>
                <w:szCs w:val="18"/>
              </w:rPr>
            </w:pPr>
          </w:p>
          <w:p w14:paraId="4ACE2842" w14:textId="77777777" w:rsidR="006F587A" w:rsidRDefault="006F587A">
            <w:pPr>
              <w:textAlignment w:val="top"/>
              <w:rPr>
                <w:rFonts w:ascii="Times New Roman" w:hAnsi="Times New Roman"/>
                <w:sz w:val="18"/>
                <w:szCs w:val="18"/>
              </w:rPr>
            </w:pPr>
          </w:p>
        </w:tc>
        <w:tc>
          <w:tcPr>
            <w:tcW w:w="0" w:type="auto"/>
            <w:shd w:val="clear" w:color="auto" w:fill="auto"/>
            <w:tcMar>
              <w:top w:w="40" w:type="dxa"/>
              <w:left w:w="40" w:type="dxa"/>
              <w:bottom w:w="40" w:type="dxa"/>
              <w:right w:w="40" w:type="dxa"/>
            </w:tcMar>
            <w:vAlign w:val="center"/>
          </w:tcPr>
          <w:p w14:paraId="4ACE2843" w14:textId="77777777" w:rsidR="006F587A" w:rsidRDefault="007B2B61">
            <w:pPr>
              <w:jc w:val="center"/>
              <w:textAlignment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INCLUDEPICTURE \d "/User</w:instrText>
            </w:r>
            <w:r>
              <w:rPr>
                <w:rFonts w:ascii="Times New Roman" w:eastAsia="宋体" w:hAnsi="Times New Roman"/>
                <w:sz w:val="20"/>
                <w:szCs w:val="20"/>
              </w:rPr>
              <w:instrText xml:space="preserve">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Viewer12_files/a048mblypage2.jpg"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E5" wp14:editId="4ACE6CE6">
                  <wp:extent cx="304800" cy="304800"/>
                  <wp:effectExtent l="0" t="0" r="0" b="0"/>
                  <wp:docPr id="229" name="图片 148" descr="IMG_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148" descr="IMG_34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r>
    </w:tbl>
    <w:p w14:paraId="4ACE2845" w14:textId="77777777" w:rsidR="006F587A" w:rsidRDefault="006F587A">
      <w:pPr>
        <w:spacing w:line="288" w:lineRule="auto"/>
        <w:rPr>
          <w:rFonts w:ascii="Times New Roman" w:hAnsi="Times New Roman"/>
          <w:sz w:val="20"/>
          <w:szCs w:val="20"/>
        </w:rPr>
      </w:pPr>
    </w:p>
    <w:p w14:paraId="4ACE2846" w14:textId="77777777" w:rsidR="006F587A" w:rsidRDefault="006F587A">
      <w:pPr>
        <w:spacing w:line="288" w:lineRule="auto"/>
        <w:rPr>
          <w:rFonts w:ascii="Times New Roman" w:hAnsi="Times New Roman"/>
          <w:sz w:val="20"/>
          <w:szCs w:val="20"/>
        </w:rPr>
      </w:pPr>
    </w:p>
    <w:p w14:paraId="4ACE2847" w14:textId="77777777" w:rsidR="006F587A" w:rsidRDefault="007B2B61">
      <w:pPr>
        <w:spacing w:line="288" w:lineRule="auto"/>
        <w:rPr>
          <w:rFonts w:ascii="Times New Roman" w:hAnsi="Times New Roman"/>
          <w:sz w:val="16"/>
          <w:szCs w:val="16"/>
        </w:rPr>
      </w:pPr>
      <w:r>
        <w:rPr>
          <w:rFonts w:ascii="Arial" w:eastAsia="宋体" w:hAnsi="Arial" w:cs="Arial"/>
          <w:i/>
          <w:iCs/>
          <w:color w:val="333333"/>
          <w:sz w:val="10"/>
          <w:szCs w:val="10"/>
        </w:rPr>
        <w:t xml:space="preserve">1 </w:t>
      </w:r>
      <w:r>
        <w:rPr>
          <w:rFonts w:ascii="Arial" w:eastAsia="宋体" w:hAnsi="Arial" w:cs="Arial"/>
          <w:i/>
          <w:iCs/>
          <w:color w:val="333333"/>
          <w:sz w:val="16"/>
          <w:szCs w:val="16"/>
        </w:rPr>
        <w:t>Intel's definition is included in "Key Terms" within the Financial Statements and Supplemental Details.</w:t>
      </w:r>
    </w:p>
    <w:p w14:paraId="4ACE2848"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408"/>
        <w:gridCol w:w="2409"/>
        <w:gridCol w:w="3489"/>
      </w:tblGrid>
      <w:tr w:rsidR="006F587A" w14:paraId="4ACE284A" w14:textId="77777777">
        <w:tc>
          <w:tcPr>
            <w:tcW w:w="0" w:type="auto"/>
            <w:gridSpan w:val="3"/>
            <w:shd w:val="clear" w:color="auto" w:fill="auto"/>
            <w:vAlign w:val="center"/>
          </w:tcPr>
          <w:p w14:paraId="4ACE2849" w14:textId="77777777" w:rsidR="006F587A" w:rsidRDefault="006F587A">
            <w:pPr>
              <w:rPr>
                <w:rFonts w:ascii="Times New Roman" w:hAnsi="Times New Roman"/>
                <w:sz w:val="20"/>
                <w:szCs w:val="20"/>
              </w:rPr>
            </w:pPr>
          </w:p>
        </w:tc>
      </w:tr>
      <w:tr w:rsidR="006F587A" w14:paraId="4ACE284E" w14:textId="77777777">
        <w:tc>
          <w:tcPr>
            <w:tcW w:w="1450" w:type="pct"/>
            <w:shd w:val="clear" w:color="auto" w:fill="auto"/>
            <w:vAlign w:val="center"/>
          </w:tcPr>
          <w:p w14:paraId="4ACE284B" w14:textId="77777777" w:rsidR="006F587A" w:rsidRDefault="006F587A">
            <w:pPr>
              <w:rPr>
                <w:rFonts w:ascii="Times New Roman" w:hAnsi="Times New Roman"/>
                <w:sz w:val="20"/>
                <w:szCs w:val="20"/>
              </w:rPr>
            </w:pPr>
          </w:p>
        </w:tc>
        <w:tc>
          <w:tcPr>
            <w:tcW w:w="1450" w:type="pct"/>
            <w:shd w:val="clear" w:color="auto" w:fill="auto"/>
            <w:vAlign w:val="center"/>
          </w:tcPr>
          <w:p w14:paraId="4ACE284C" w14:textId="77777777" w:rsidR="006F587A" w:rsidRDefault="006F587A">
            <w:pPr>
              <w:rPr>
                <w:rFonts w:ascii="Times New Roman" w:hAnsi="Times New Roman"/>
                <w:sz w:val="20"/>
                <w:szCs w:val="20"/>
              </w:rPr>
            </w:pPr>
          </w:p>
        </w:tc>
        <w:tc>
          <w:tcPr>
            <w:tcW w:w="2100" w:type="pct"/>
            <w:shd w:val="clear" w:color="auto" w:fill="auto"/>
            <w:vAlign w:val="center"/>
          </w:tcPr>
          <w:p w14:paraId="4ACE284D" w14:textId="77777777" w:rsidR="006F587A" w:rsidRDefault="006F587A">
            <w:pPr>
              <w:rPr>
                <w:rFonts w:ascii="Times New Roman" w:hAnsi="Times New Roman"/>
                <w:sz w:val="20"/>
                <w:szCs w:val="20"/>
              </w:rPr>
            </w:pPr>
          </w:p>
        </w:tc>
      </w:tr>
      <w:tr w:rsidR="006F587A" w14:paraId="4ACE2852"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284F" w14:textId="77777777" w:rsidR="006F587A" w:rsidRDefault="007B2B61">
            <w:pPr>
              <w:textAlignment w:val="center"/>
              <w:rPr>
                <w:rFonts w:ascii="Times New Roman" w:hAnsi="Times New Roman"/>
                <w:sz w:val="18"/>
                <w:szCs w:val="18"/>
              </w:rPr>
            </w:pP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Viewer12_files/a001intellogo_coverfooter.jpg"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CE7" wp14:editId="4ACE6CE8">
                  <wp:extent cx="304800" cy="304800"/>
                  <wp:effectExtent l="0" t="0" r="0" b="0"/>
                  <wp:docPr id="232" name="图片 149"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149"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r>
              <w:rPr>
                <w:rFonts w:ascii="Arial" w:eastAsia="宋体" w:hAnsi="Arial" w:cs="Arial"/>
                <w:color w:val="333333"/>
                <w:sz w:val="18"/>
                <w:szCs w:val="18"/>
              </w:rPr>
              <w:t>  </w:t>
            </w:r>
            <w:r>
              <w:rPr>
                <w:rFonts w:ascii="Arial" w:eastAsia="宋体" w:hAnsi="Arial" w:cs="Arial"/>
                <w:color w:val="333333"/>
                <w:sz w:val="16"/>
                <w:szCs w:val="16"/>
              </w:rPr>
              <w:t>MD&amp;A</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85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851"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23</w:t>
            </w:r>
          </w:p>
        </w:tc>
      </w:tr>
    </w:tbl>
    <w:p w14:paraId="4ACE2853" w14:textId="77777777" w:rsidR="006F587A" w:rsidRDefault="007B2B61">
      <w:r>
        <w:pict w14:anchorId="4ACE6CE9">
          <v:rect id="_x0000_i1049" style="width:415.3pt;height:1.5pt" o:hralign="center" o:hrstd="t" o:hr="t" fillcolor="#a0a0a0" stroked="f"/>
        </w:pict>
      </w:r>
    </w:p>
    <w:p w14:paraId="4ACE2854" w14:textId="77777777" w:rsidR="006F587A" w:rsidRDefault="007B2B61">
      <w:pPr>
        <w:spacing w:line="288" w:lineRule="auto"/>
        <w:jc w:val="right"/>
        <w:rPr>
          <w:rFonts w:ascii="Times New Roman" w:hAnsi="Times New Roman"/>
          <w:sz w:val="16"/>
          <w:szCs w:val="16"/>
        </w:rPr>
      </w:pPr>
      <w:hyperlink r:id="rId58" w:anchor="s9DB683E2CF52561EB8A73BE37F5BF9BE" w:history="1">
        <w:r>
          <w:rPr>
            <w:rStyle w:val="a5"/>
            <w:rFonts w:ascii="Arial" w:eastAsia="宋体" w:hAnsi="Arial" w:cs="Arial"/>
            <w:b/>
            <w:bCs/>
            <w:sz w:val="16"/>
            <w:szCs w:val="16"/>
          </w:rPr>
          <w:t>Table of Contents</w:t>
        </w:r>
      </w:hyperlink>
    </w:p>
    <w:p w14:paraId="4ACE2855" w14:textId="77777777" w:rsidR="006F587A" w:rsidRDefault="006F587A">
      <w:pPr>
        <w:spacing w:line="288" w:lineRule="auto"/>
        <w:jc w:val="right"/>
        <w:rPr>
          <w:rFonts w:ascii="Times New Roman" w:hAnsi="Times New Roman"/>
          <w:sz w:val="16"/>
          <w:szCs w:val="16"/>
        </w:rPr>
      </w:pPr>
    </w:p>
    <w:p w14:paraId="4ACE2856" w14:textId="77777777" w:rsidR="006F587A" w:rsidRDefault="006F587A">
      <w:pPr>
        <w:rPr>
          <w:rFonts w:ascii="Times New Roman" w:hAnsi="Times New Roman"/>
          <w:sz w:val="20"/>
          <w:szCs w:val="20"/>
        </w:rPr>
      </w:pPr>
    </w:p>
    <w:p w14:paraId="4ACE2857" w14:textId="77777777" w:rsidR="006F587A" w:rsidRDefault="007B2B61">
      <w:pPr>
        <w:spacing w:line="288" w:lineRule="auto"/>
        <w:rPr>
          <w:rFonts w:ascii="Times New Roman" w:hAnsi="Times New Roman"/>
          <w:sz w:val="20"/>
          <w:szCs w:val="20"/>
        </w:rPr>
      </w:pPr>
      <w:r>
        <w:rPr>
          <w:rFonts w:ascii="Arial" w:eastAsia="宋体" w:hAnsi="Arial" w:cs="Arial"/>
          <w:b/>
          <w:bCs/>
          <w:color w:val="333333"/>
          <w:sz w:val="20"/>
          <w:szCs w:val="20"/>
        </w:rPr>
        <w:t>Products and competitiveness</w:t>
      </w:r>
    </w:p>
    <w:p w14:paraId="4ACE2858"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At its core, Mobileye's offering for ADAS </w:t>
      </w:r>
      <w:r>
        <w:rPr>
          <w:rFonts w:ascii="Arial" w:eastAsia="宋体" w:hAnsi="Arial" w:cs="Arial"/>
          <w:color w:val="333333"/>
          <w:sz w:val="18"/>
          <w:szCs w:val="18"/>
        </w:rPr>
        <w:t>and AV is propelled by our computer vision and AI expertise and software assets, deployed on our EyeQ* SoC family. The tight co-design of hardware and software gives the EyeQ* SoC the ability to support complex and computationally intense tasks and sets it</w:t>
      </w:r>
      <w:r>
        <w:rPr>
          <w:rFonts w:ascii="Arial" w:eastAsia="宋体" w:hAnsi="Arial" w:cs="Arial"/>
          <w:color w:val="333333"/>
          <w:sz w:val="18"/>
          <w:szCs w:val="18"/>
        </w:rPr>
        <w:t xml:space="preserve"> apart from competition because it is purpose-fit for high-compute, low-power, automotive-compliant mission profiles. Mobileye’s 5th generation EyeQ*5 SoC is designed to act as the central computer for fully autonomous driving vehicles. Mobileye has been a</w:t>
      </w:r>
      <w:r>
        <w:rPr>
          <w:rFonts w:ascii="Arial" w:eastAsia="宋体" w:hAnsi="Arial" w:cs="Arial"/>
          <w:color w:val="333333"/>
          <w:sz w:val="18"/>
          <w:szCs w:val="18"/>
        </w:rPr>
        <w:t xml:space="preserve">ble to achieve power, performance, and cost targets by employing proprietary computational cores that are optimized for a wide variety of computer vision, signal processing, and machine learning tasks, including deep neural networks. Starting with EyeQ*5, </w:t>
      </w:r>
      <w:r>
        <w:rPr>
          <w:rFonts w:ascii="Arial" w:eastAsia="宋体" w:hAnsi="Arial" w:cs="Arial"/>
          <w:color w:val="333333"/>
          <w:sz w:val="18"/>
          <w:szCs w:val="18"/>
        </w:rPr>
        <w:t xml:space="preserve">Mobileye is supporting an automotive-grade standard operating system and providing a complete software development kit to allow customers to differentiate their solutions by deploying their algorithms on </w:t>
      </w:r>
      <w:r>
        <w:rPr>
          <w:rFonts w:ascii="Arial" w:eastAsia="宋体" w:hAnsi="Arial" w:cs="Arial"/>
          <w:color w:val="333333"/>
          <w:sz w:val="18"/>
          <w:szCs w:val="18"/>
        </w:rPr>
        <w:lastRenderedPageBreak/>
        <w:t>EyeQ*5. The EyeQ*5 SoC will be in final sampling sta</w:t>
      </w:r>
      <w:r>
        <w:rPr>
          <w:rFonts w:ascii="Arial" w:eastAsia="宋体" w:hAnsi="Arial" w:cs="Arial"/>
          <w:color w:val="333333"/>
          <w:sz w:val="18"/>
          <w:szCs w:val="18"/>
        </w:rPr>
        <w:t>ges in 2020 and is expected to be in commercial vehicles starting in 2021. The EyeQ*5 SoC is already operational in Mobileye’s autonomous test vehicles.</w:t>
      </w:r>
    </w:p>
    <w:p w14:paraId="4ACE2859"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EyeQ*5 serves as the computational foundation for Mobileye’s scalable camera-only surround sensing syst</w:t>
      </w:r>
      <w:r>
        <w:rPr>
          <w:rFonts w:ascii="Arial" w:eastAsia="宋体" w:hAnsi="Arial" w:cs="Arial"/>
          <w:color w:val="333333"/>
          <w:sz w:val="18"/>
          <w:szCs w:val="18"/>
        </w:rPr>
        <w:t xml:space="preserve">em. The system consists of multiple independent computer vision engines and deep networks for algorithmic redundancy. The result is a robust and comprehensive model of the environment that allows end-to-end autonomous driving. The surround computer vision </w:t>
      </w:r>
      <w:r>
        <w:rPr>
          <w:rFonts w:ascii="Arial" w:eastAsia="宋体" w:hAnsi="Arial" w:cs="Arial"/>
          <w:color w:val="333333"/>
          <w:sz w:val="18"/>
          <w:szCs w:val="18"/>
        </w:rPr>
        <w:t>system is the backbone of Mobileye’s autonomous vehicle architecture and the flagship offering for next-generation ADAS.</w:t>
      </w:r>
    </w:p>
    <w:p w14:paraId="4ACE285A"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The next significant building block in Mobileye’s complete offering is REM mapping technology, which compiles crowdsourced mapping data</w:t>
      </w:r>
      <w:r>
        <w:rPr>
          <w:rFonts w:ascii="Arial" w:eastAsia="宋体" w:hAnsi="Arial" w:cs="Arial"/>
          <w:color w:val="333333"/>
          <w:sz w:val="18"/>
          <w:szCs w:val="18"/>
        </w:rPr>
        <w:t xml:space="preserve"> from EyeQ*</w:t>
      </w:r>
      <w:r>
        <w:rPr>
          <w:rFonts w:ascii="Arial" w:eastAsia="宋体" w:hAnsi="Arial" w:cs="Arial"/>
          <w:color w:val="333333"/>
          <w:sz w:val="12"/>
          <w:szCs w:val="12"/>
        </w:rPr>
        <w:t xml:space="preserve"> </w:t>
      </w:r>
      <w:r>
        <w:rPr>
          <w:rFonts w:ascii="Arial" w:eastAsia="宋体" w:hAnsi="Arial" w:cs="Arial"/>
          <w:color w:val="333333"/>
          <w:sz w:val="18"/>
          <w:szCs w:val="18"/>
        </w:rPr>
        <w:t>SoC-equipped vehicles. Our REM Roadbook™ offering can enhance current ADAS applications through a variety of advanced features, including predictive adaptive cruise control, lane-level localization in all weather and road conditions, hands-free</w:t>
      </w:r>
      <w:r>
        <w:rPr>
          <w:rFonts w:ascii="Arial" w:eastAsia="宋体" w:hAnsi="Arial" w:cs="Arial"/>
          <w:color w:val="333333"/>
          <w:sz w:val="18"/>
          <w:szCs w:val="18"/>
        </w:rPr>
        <w:t xml:space="preserve"> driving application, and real-time alerts, such as for construction activity and road hazards. </w:t>
      </w:r>
    </w:p>
    <w:p w14:paraId="4ACE285B"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The third building block in Mobileye’s full stack offering is our unique formal model for AV safety (RSS). At its core, RSS is a pragmatic method to design and</w:t>
      </w:r>
      <w:r>
        <w:rPr>
          <w:rFonts w:ascii="Arial" w:eastAsia="宋体" w:hAnsi="Arial" w:cs="Arial"/>
          <w:color w:val="333333"/>
          <w:sz w:val="18"/>
          <w:szCs w:val="18"/>
        </w:rPr>
        <w:t xml:space="preserve"> then to efficiently validate the safety of an AV, serving as the governing safety layer for the decision-making system. RSS formalizes human decision making for safe driving under two main principles: First, it acknowledges the need to balance safety with</w:t>
      </w:r>
      <w:r>
        <w:rPr>
          <w:rFonts w:ascii="Arial" w:eastAsia="宋体" w:hAnsi="Arial" w:cs="Arial"/>
          <w:color w:val="333333"/>
          <w:sz w:val="18"/>
          <w:szCs w:val="18"/>
        </w:rPr>
        <w:t xml:space="preserve"> useful driving by making plausible worst-case scenario assumptions for other road users; and second, it provides a technology-neutral model and a transparent framework for the regulatory endeavor of building an industry standard for safety. </w:t>
      </w:r>
    </w:p>
    <w:p w14:paraId="4ACE285C"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408"/>
        <w:gridCol w:w="2409"/>
        <w:gridCol w:w="3489"/>
      </w:tblGrid>
      <w:tr w:rsidR="006F587A" w14:paraId="4ACE285E" w14:textId="77777777">
        <w:tc>
          <w:tcPr>
            <w:tcW w:w="0" w:type="auto"/>
            <w:gridSpan w:val="3"/>
            <w:shd w:val="clear" w:color="auto" w:fill="auto"/>
            <w:vAlign w:val="center"/>
          </w:tcPr>
          <w:p w14:paraId="4ACE285D" w14:textId="77777777" w:rsidR="006F587A" w:rsidRDefault="006F587A">
            <w:pPr>
              <w:rPr>
                <w:rFonts w:ascii="Times New Roman" w:hAnsi="Times New Roman"/>
                <w:sz w:val="20"/>
                <w:szCs w:val="20"/>
              </w:rPr>
            </w:pPr>
          </w:p>
        </w:tc>
      </w:tr>
      <w:tr w:rsidR="006F587A" w14:paraId="4ACE2862" w14:textId="77777777">
        <w:tc>
          <w:tcPr>
            <w:tcW w:w="1450" w:type="pct"/>
            <w:shd w:val="clear" w:color="auto" w:fill="auto"/>
            <w:vAlign w:val="center"/>
          </w:tcPr>
          <w:p w14:paraId="4ACE285F" w14:textId="77777777" w:rsidR="006F587A" w:rsidRDefault="006F587A">
            <w:pPr>
              <w:rPr>
                <w:rFonts w:ascii="Times New Roman" w:hAnsi="Times New Roman"/>
                <w:sz w:val="20"/>
                <w:szCs w:val="20"/>
              </w:rPr>
            </w:pPr>
          </w:p>
        </w:tc>
        <w:tc>
          <w:tcPr>
            <w:tcW w:w="1450" w:type="pct"/>
            <w:shd w:val="clear" w:color="auto" w:fill="auto"/>
            <w:vAlign w:val="center"/>
          </w:tcPr>
          <w:p w14:paraId="4ACE2860" w14:textId="77777777" w:rsidR="006F587A" w:rsidRDefault="006F587A">
            <w:pPr>
              <w:rPr>
                <w:rFonts w:ascii="Times New Roman" w:hAnsi="Times New Roman"/>
                <w:sz w:val="20"/>
                <w:szCs w:val="20"/>
              </w:rPr>
            </w:pPr>
          </w:p>
        </w:tc>
        <w:tc>
          <w:tcPr>
            <w:tcW w:w="2100" w:type="pct"/>
            <w:shd w:val="clear" w:color="auto" w:fill="auto"/>
            <w:vAlign w:val="center"/>
          </w:tcPr>
          <w:p w14:paraId="4ACE2861" w14:textId="77777777" w:rsidR="006F587A" w:rsidRDefault="006F587A">
            <w:pPr>
              <w:rPr>
                <w:rFonts w:ascii="Times New Roman" w:hAnsi="Times New Roman"/>
                <w:sz w:val="20"/>
                <w:szCs w:val="20"/>
              </w:rPr>
            </w:pPr>
          </w:p>
        </w:tc>
      </w:tr>
      <w:tr w:rsidR="006F587A" w14:paraId="4ACE2866"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2863" w14:textId="77777777" w:rsidR="006F587A" w:rsidRDefault="007B2B61">
            <w:pPr>
              <w:textAlignment w:val="center"/>
              <w:rPr>
                <w:rFonts w:ascii="Times New Roman" w:hAnsi="Times New Roman"/>
                <w:sz w:val="18"/>
                <w:szCs w:val="18"/>
              </w:rPr>
            </w:pP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Viewer12_files/a001intellogo_coverfooter.jpg"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CEA" wp14:editId="4ACE6CEB">
                  <wp:extent cx="304800" cy="304800"/>
                  <wp:effectExtent l="0" t="0" r="0" b="0"/>
                  <wp:docPr id="255" name="图片 151"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151"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r>
              <w:rPr>
                <w:rFonts w:ascii="Arial" w:eastAsia="宋体" w:hAnsi="Arial" w:cs="Arial"/>
                <w:color w:val="333333"/>
                <w:sz w:val="18"/>
                <w:szCs w:val="18"/>
              </w:rPr>
              <w:t>  </w:t>
            </w:r>
            <w:r>
              <w:rPr>
                <w:rFonts w:ascii="Arial" w:eastAsia="宋体" w:hAnsi="Arial" w:cs="Arial"/>
                <w:color w:val="333333"/>
                <w:sz w:val="16"/>
                <w:szCs w:val="16"/>
              </w:rPr>
              <w:t>MD&amp;A</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86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865"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24</w:t>
            </w:r>
          </w:p>
        </w:tc>
      </w:tr>
    </w:tbl>
    <w:p w14:paraId="4ACE2867" w14:textId="77777777" w:rsidR="006F587A" w:rsidRDefault="007B2B61">
      <w:r>
        <w:pict w14:anchorId="4ACE6CEC">
          <v:rect id="_x0000_i1050" style="width:415.3pt;height:1.5pt" o:hralign="center" o:hrstd="t" o:hr="t" fillcolor="#a0a0a0" stroked="f"/>
        </w:pict>
      </w:r>
    </w:p>
    <w:p w14:paraId="4ACE2868" w14:textId="77777777" w:rsidR="006F587A" w:rsidRDefault="007B2B61">
      <w:pPr>
        <w:spacing w:line="288" w:lineRule="auto"/>
        <w:jc w:val="right"/>
        <w:rPr>
          <w:rFonts w:ascii="Times New Roman" w:hAnsi="Times New Roman"/>
          <w:sz w:val="16"/>
          <w:szCs w:val="16"/>
        </w:rPr>
      </w:pPr>
      <w:hyperlink r:id="rId59" w:anchor="s9DB683E2CF52561EB8A73BE37F5BF9BE" w:history="1">
        <w:r>
          <w:rPr>
            <w:rStyle w:val="a5"/>
            <w:rFonts w:ascii="Arial" w:eastAsia="宋体" w:hAnsi="Arial" w:cs="Arial"/>
            <w:b/>
            <w:bCs/>
            <w:sz w:val="16"/>
            <w:szCs w:val="16"/>
          </w:rPr>
          <w:t>Table of Contents</w:t>
        </w:r>
      </w:hyperlink>
    </w:p>
    <w:p w14:paraId="4ACE2869" w14:textId="77777777" w:rsidR="006F587A" w:rsidRDefault="006F587A">
      <w:pPr>
        <w:spacing w:line="288" w:lineRule="auto"/>
        <w:jc w:val="right"/>
        <w:rPr>
          <w:rFonts w:ascii="Times New Roman" w:hAnsi="Times New Roman"/>
          <w:sz w:val="16"/>
          <w:szCs w:val="16"/>
        </w:rPr>
      </w:pPr>
    </w:p>
    <w:p w14:paraId="4ACE286A" w14:textId="77777777" w:rsidR="006F587A" w:rsidRDefault="006F587A">
      <w:pPr>
        <w:rPr>
          <w:rFonts w:ascii="Times New Roman" w:hAnsi="Times New Roman"/>
          <w:sz w:val="20"/>
          <w:szCs w:val="20"/>
        </w:rPr>
      </w:pPr>
    </w:p>
    <w:p w14:paraId="4ACE286B" w14:textId="77777777" w:rsidR="006F587A" w:rsidRDefault="007B2B61">
      <w:pPr>
        <w:spacing w:line="288" w:lineRule="auto"/>
        <w:rPr>
          <w:rFonts w:ascii="Times New Roman" w:hAnsi="Times New Roman"/>
        </w:rPr>
      </w:pPr>
      <w:r>
        <w:rPr>
          <w:rFonts w:ascii="Arial" w:eastAsia="宋体" w:hAnsi="Arial" w:cs="Arial"/>
          <w:b/>
          <w:bCs/>
          <w:color w:val="0071C5"/>
        </w:rPr>
        <w:t>FINANCIAL PERFORMANCE</w:t>
      </w:r>
    </w:p>
    <w:tbl>
      <w:tblPr>
        <w:tblW w:w="14640" w:type="dxa"/>
        <w:tblCellMar>
          <w:left w:w="0" w:type="dxa"/>
          <w:right w:w="0" w:type="dxa"/>
        </w:tblCellMar>
        <w:tblLook w:val="04A0" w:firstRow="1" w:lastRow="0" w:firstColumn="1" w:lastColumn="0" w:noHBand="0" w:noVBand="1"/>
      </w:tblPr>
      <w:tblGrid>
        <w:gridCol w:w="200"/>
        <w:gridCol w:w="6498"/>
        <w:gridCol w:w="1223"/>
        <w:gridCol w:w="6137"/>
        <w:gridCol w:w="582"/>
      </w:tblGrid>
      <w:tr w:rsidR="006F587A" w14:paraId="4ACE286D" w14:textId="77777777">
        <w:tc>
          <w:tcPr>
            <w:tcW w:w="0" w:type="auto"/>
            <w:gridSpan w:val="5"/>
            <w:shd w:val="clear" w:color="auto" w:fill="auto"/>
            <w:vAlign w:val="center"/>
          </w:tcPr>
          <w:p w14:paraId="4ACE286C" w14:textId="77777777" w:rsidR="006F587A" w:rsidRDefault="006F587A">
            <w:pPr>
              <w:rPr>
                <w:rFonts w:ascii="Times New Roman" w:hAnsi="Times New Roman"/>
                <w:sz w:val="20"/>
                <w:szCs w:val="20"/>
              </w:rPr>
            </w:pPr>
          </w:p>
        </w:tc>
      </w:tr>
      <w:tr w:rsidR="006F587A" w14:paraId="4ACE2873" w14:textId="77777777">
        <w:tc>
          <w:tcPr>
            <w:tcW w:w="200" w:type="dxa"/>
            <w:shd w:val="clear" w:color="auto" w:fill="auto"/>
            <w:vAlign w:val="center"/>
          </w:tcPr>
          <w:p w14:paraId="4ACE286E" w14:textId="77777777" w:rsidR="006F587A" w:rsidRDefault="006F587A">
            <w:pPr>
              <w:rPr>
                <w:rFonts w:ascii="Times New Roman" w:hAnsi="Times New Roman"/>
                <w:sz w:val="20"/>
                <w:szCs w:val="20"/>
              </w:rPr>
            </w:pPr>
          </w:p>
        </w:tc>
        <w:tc>
          <w:tcPr>
            <w:tcW w:w="6480" w:type="dxa"/>
            <w:shd w:val="clear" w:color="auto" w:fill="auto"/>
            <w:vAlign w:val="center"/>
          </w:tcPr>
          <w:p w14:paraId="4ACE286F" w14:textId="77777777" w:rsidR="006F587A" w:rsidRDefault="006F587A">
            <w:pPr>
              <w:rPr>
                <w:rFonts w:ascii="Times New Roman" w:hAnsi="Times New Roman"/>
                <w:sz w:val="20"/>
                <w:szCs w:val="20"/>
              </w:rPr>
            </w:pPr>
          </w:p>
        </w:tc>
        <w:tc>
          <w:tcPr>
            <w:tcW w:w="1220" w:type="dxa"/>
            <w:shd w:val="clear" w:color="auto" w:fill="auto"/>
            <w:vAlign w:val="center"/>
          </w:tcPr>
          <w:p w14:paraId="4ACE2870" w14:textId="77777777" w:rsidR="006F587A" w:rsidRDefault="006F587A">
            <w:pPr>
              <w:rPr>
                <w:rFonts w:ascii="Times New Roman" w:hAnsi="Times New Roman"/>
                <w:sz w:val="20"/>
                <w:szCs w:val="20"/>
              </w:rPr>
            </w:pPr>
          </w:p>
        </w:tc>
        <w:tc>
          <w:tcPr>
            <w:tcW w:w="6120" w:type="dxa"/>
            <w:shd w:val="clear" w:color="auto" w:fill="auto"/>
            <w:vAlign w:val="center"/>
          </w:tcPr>
          <w:p w14:paraId="4ACE2871" w14:textId="77777777" w:rsidR="006F587A" w:rsidRDefault="006F587A">
            <w:pPr>
              <w:rPr>
                <w:rFonts w:ascii="Times New Roman" w:hAnsi="Times New Roman"/>
                <w:sz w:val="20"/>
                <w:szCs w:val="20"/>
              </w:rPr>
            </w:pPr>
          </w:p>
        </w:tc>
        <w:tc>
          <w:tcPr>
            <w:tcW w:w="580" w:type="dxa"/>
            <w:shd w:val="clear" w:color="auto" w:fill="auto"/>
            <w:vAlign w:val="center"/>
          </w:tcPr>
          <w:p w14:paraId="4ACE2872" w14:textId="77777777" w:rsidR="006F587A" w:rsidRDefault="006F587A">
            <w:pPr>
              <w:rPr>
                <w:rFonts w:ascii="Times New Roman" w:hAnsi="Times New Roman"/>
                <w:sz w:val="20"/>
                <w:szCs w:val="20"/>
              </w:rPr>
            </w:pPr>
          </w:p>
        </w:tc>
      </w:tr>
      <w:tr w:rsidR="006F587A" w14:paraId="4ACE2879" w14:textId="77777777">
        <w:tc>
          <w:tcPr>
            <w:tcW w:w="0" w:type="auto"/>
            <w:shd w:val="clear" w:color="auto" w:fill="auto"/>
            <w:tcMar>
              <w:top w:w="40" w:type="dxa"/>
              <w:left w:w="40" w:type="dxa"/>
              <w:bottom w:w="40" w:type="dxa"/>
              <w:right w:w="40" w:type="dxa"/>
            </w:tcMar>
            <w:vAlign w:val="bottom"/>
          </w:tcPr>
          <w:p w14:paraId="4ACE287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2875" w14:textId="77777777" w:rsidR="006F587A" w:rsidRDefault="007B2B61">
            <w:pPr>
              <w:jc w:val="center"/>
              <w:textAlignment w:val="bottom"/>
              <w:rPr>
                <w:rFonts w:ascii="Times New Roman" w:hAnsi="Times New Roman"/>
                <w:sz w:val="20"/>
                <w:szCs w:val="20"/>
              </w:rPr>
            </w:pPr>
            <w:r>
              <w:rPr>
                <w:rFonts w:ascii="Arial" w:eastAsia="宋体" w:hAnsi="Arial" w:cs="Arial"/>
                <w:b/>
                <w:bCs/>
                <w:color w:val="0071C5"/>
                <w:sz w:val="20"/>
                <w:szCs w:val="20"/>
              </w:rPr>
              <w:t>INTERNET OF THINGS REVENUE $B</w:t>
            </w:r>
          </w:p>
        </w:tc>
        <w:tc>
          <w:tcPr>
            <w:tcW w:w="0" w:type="auto"/>
            <w:shd w:val="clear" w:color="auto" w:fill="auto"/>
            <w:tcMar>
              <w:top w:w="40" w:type="dxa"/>
              <w:left w:w="40" w:type="dxa"/>
              <w:bottom w:w="40" w:type="dxa"/>
              <w:right w:w="40" w:type="dxa"/>
            </w:tcMar>
            <w:vAlign w:val="bottom"/>
          </w:tcPr>
          <w:p w14:paraId="4ACE287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2877" w14:textId="77777777" w:rsidR="006F587A" w:rsidRDefault="007B2B61">
            <w:pPr>
              <w:jc w:val="center"/>
              <w:textAlignment w:val="bottom"/>
              <w:rPr>
                <w:rFonts w:ascii="Times New Roman" w:hAnsi="Times New Roman"/>
                <w:sz w:val="20"/>
                <w:szCs w:val="20"/>
              </w:rPr>
            </w:pPr>
            <w:r>
              <w:rPr>
                <w:rFonts w:ascii="Arial" w:eastAsia="宋体" w:hAnsi="Arial" w:cs="Arial"/>
                <w:b/>
                <w:bCs/>
                <w:color w:val="0071C5"/>
                <w:sz w:val="20"/>
                <w:szCs w:val="20"/>
              </w:rPr>
              <w:t>INTERNET OF THINGS OP INCOME $B</w:t>
            </w:r>
          </w:p>
        </w:tc>
        <w:tc>
          <w:tcPr>
            <w:tcW w:w="0" w:type="auto"/>
            <w:shd w:val="clear" w:color="auto" w:fill="auto"/>
            <w:tcMar>
              <w:top w:w="40" w:type="dxa"/>
              <w:left w:w="40" w:type="dxa"/>
              <w:bottom w:w="40" w:type="dxa"/>
              <w:right w:w="40" w:type="dxa"/>
            </w:tcMar>
            <w:vAlign w:val="bottom"/>
          </w:tcPr>
          <w:p w14:paraId="4ACE287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bl>
    <w:p w14:paraId="4ACE287A" w14:textId="77777777" w:rsidR="006F587A" w:rsidRDefault="006F587A">
      <w:pPr>
        <w:spacing w:line="288" w:lineRule="auto"/>
        <w:rPr>
          <w:rFonts w:ascii="Times New Roman" w:hAnsi="Times New Roman"/>
          <w:sz w:val="18"/>
          <w:szCs w:val="18"/>
        </w:rPr>
      </w:pPr>
    </w:p>
    <w:p w14:paraId="4ACE287B" w14:textId="77777777" w:rsidR="006F587A" w:rsidRDefault="007B2B61">
      <w:pPr>
        <w:spacing w:line="288" w:lineRule="auto"/>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Viewer12_files/chart15_iot3yrrevenue.jpg"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ED" wp14:editId="4ACE6CEE">
            <wp:extent cx="304800" cy="304800"/>
            <wp:effectExtent l="0" t="0" r="0" b="0"/>
            <wp:docPr id="239" name="图片 153" descr="IMG_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153" descr="IMG_34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/INTEL/./Inline XBRL Viewer12_files/char</w:instrText>
      </w:r>
      <w:r>
        <w:rPr>
          <w:rFonts w:ascii="Times New Roman" w:eastAsia="宋体" w:hAnsi="Times New Roman"/>
          <w:sz w:val="20"/>
          <w:szCs w:val="20"/>
        </w:rPr>
        <w:instrText xml:space="preserve">t16_iot3yropincome.jpg"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EF" wp14:editId="4ACE6CF0">
            <wp:extent cx="304800" cy="304800"/>
            <wp:effectExtent l="0" t="0" r="0" b="0"/>
            <wp:docPr id="240" name="图片 154" descr="IMG_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154" descr="IMG_35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bl>
      <w:tblPr>
        <w:tblW w:w="14640" w:type="dxa"/>
        <w:tblCellMar>
          <w:left w:w="0" w:type="dxa"/>
          <w:right w:w="0" w:type="dxa"/>
        </w:tblCellMar>
        <w:tblLook w:val="04A0" w:firstRow="1" w:lastRow="0" w:firstColumn="1" w:lastColumn="0" w:noHBand="0" w:noVBand="1"/>
      </w:tblPr>
      <w:tblGrid>
        <w:gridCol w:w="2183"/>
        <w:gridCol w:w="1442"/>
        <w:gridCol w:w="11015"/>
      </w:tblGrid>
      <w:tr w:rsidR="006F587A" w14:paraId="4ACE287D" w14:textId="77777777">
        <w:tc>
          <w:tcPr>
            <w:tcW w:w="0" w:type="auto"/>
            <w:gridSpan w:val="3"/>
            <w:shd w:val="clear" w:color="auto" w:fill="auto"/>
            <w:vAlign w:val="center"/>
          </w:tcPr>
          <w:p w14:paraId="4ACE287C" w14:textId="77777777" w:rsidR="006F587A" w:rsidRDefault="006F587A">
            <w:pPr>
              <w:rPr>
                <w:rFonts w:ascii="Times New Roman" w:hAnsi="Times New Roman"/>
                <w:sz w:val="20"/>
                <w:szCs w:val="20"/>
              </w:rPr>
            </w:pPr>
          </w:p>
        </w:tc>
      </w:tr>
      <w:tr w:rsidR="006F587A" w14:paraId="4ACE2881" w14:textId="77777777">
        <w:tc>
          <w:tcPr>
            <w:tcW w:w="2180" w:type="dxa"/>
            <w:shd w:val="clear" w:color="auto" w:fill="auto"/>
            <w:vAlign w:val="center"/>
          </w:tcPr>
          <w:p w14:paraId="4ACE287E" w14:textId="77777777" w:rsidR="006F587A" w:rsidRDefault="006F587A">
            <w:pPr>
              <w:rPr>
                <w:rFonts w:ascii="Times New Roman" w:hAnsi="Times New Roman"/>
                <w:sz w:val="20"/>
                <w:szCs w:val="20"/>
              </w:rPr>
            </w:pPr>
          </w:p>
        </w:tc>
        <w:tc>
          <w:tcPr>
            <w:tcW w:w="1440" w:type="dxa"/>
            <w:shd w:val="clear" w:color="auto" w:fill="auto"/>
            <w:vAlign w:val="center"/>
          </w:tcPr>
          <w:p w14:paraId="4ACE287F" w14:textId="77777777" w:rsidR="006F587A" w:rsidRDefault="006F587A">
            <w:pPr>
              <w:rPr>
                <w:rFonts w:ascii="Times New Roman" w:hAnsi="Times New Roman"/>
                <w:sz w:val="20"/>
                <w:szCs w:val="20"/>
              </w:rPr>
            </w:pPr>
          </w:p>
        </w:tc>
        <w:tc>
          <w:tcPr>
            <w:tcW w:w="11000" w:type="dxa"/>
            <w:shd w:val="clear" w:color="auto" w:fill="auto"/>
            <w:vAlign w:val="center"/>
          </w:tcPr>
          <w:p w14:paraId="4ACE2880" w14:textId="77777777" w:rsidR="006F587A" w:rsidRDefault="006F587A">
            <w:pPr>
              <w:rPr>
                <w:rFonts w:ascii="Times New Roman" w:hAnsi="Times New Roman"/>
                <w:sz w:val="20"/>
                <w:szCs w:val="20"/>
              </w:rPr>
            </w:pPr>
          </w:p>
        </w:tc>
      </w:tr>
      <w:tr w:rsidR="006F587A" w14:paraId="4ACE2885" w14:textId="77777777">
        <w:tc>
          <w:tcPr>
            <w:tcW w:w="0" w:type="auto"/>
            <w:shd w:val="clear" w:color="auto" w:fill="auto"/>
            <w:tcMar>
              <w:top w:w="40" w:type="dxa"/>
              <w:left w:w="40" w:type="dxa"/>
              <w:bottom w:w="40" w:type="dxa"/>
              <w:right w:w="40" w:type="dxa"/>
            </w:tcMar>
            <w:vAlign w:val="bottom"/>
          </w:tcPr>
          <w:p w14:paraId="4ACE288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4ACE2883" w14:textId="77777777" w:rsidR="006F587A" w:rsidRDefault="007B2B61">
            <w:pPr>
              <w:jc w:val="center"/>
              <w:textAlignment w:val="center"/>
              <w:rPr>
                <w:rFonts w:ascii="Times New Roman" w:hAnsi="Times New Roman"/>
                <w:sz w:val="16"/>
                <w:szCs w:val="16"/>
              </w:rPr>
            </w:pPr>
            <w:r>
              <w:rPr>
                <w:rFonts w:ascii="Arial" w:eastAsia="宋体" w:hAnsi="Arial" w:cs="Arial"/>
                <w:color w:val="003C71"/>
                <w:sz w:val="16"/>
                <w:szCs w:val="16"/>
              </w:rPr>
              <w:t>■</w:t>
            </w:r>
            <w:r>
              <w:rPr>
                <w:rFonts w:ascii="Arial" w:eastAsia="宋体" w:hAnsi="Arial" w:cs="Arial"/>
                <w:color w:val="333333"/>
                <w:sz w:val="16"/>
                <w:szCs w:val="16"/>
              </w:rPr>
              <w:t xml:space="preserve"> IOTG </w:t>
            </w:r>
          </w:p>
        </w:tc>
        <w:tc>
          <w:tcPr>
            <w:tcW w:w="0" w:type="auto"/>
            <w:shd w:val="clear" w:color="auto" w:fill="auto"/>
            <w:tcMar>
              <w:top w:w="40" w:type="dxa"/>
              <w:left w:w="40" w:type="dxa"/>
              <w:bottom w:w="40" w:type="dxa"/>
              <w:right w:w="40" w:type="dxa"/>
            </w:tcMar>
            <w:vAlign w:val="center"/>
          </w:tcPr>
          <w:p w14:paraId="4ACE2884" w14:textId="77777777" w:rsidR="006F587A" w:rsidRDefault="007B2B61">
            <w:pPr>
              <w:textAlignment w:val="center"/>
              <w:rPr>
                <w:rFonts w:ascii="Times New Roman" w:hAnsi="Times New Roman"/>
                <w:sz w:val="16"/>
                <w:szCs w:val="16"/>
              </w:rPr>
            </w:pPr>
            <w:r>
              <w:rPr>
                <w:rFonts w:ascii="Arial" w:eastAsia="宋体" w:hAnsi="Arial" w:cs="Arial"/>
                <w:color w:val="0094FF"/>
                <w:sz w:val="16"/>
                <w:szCs w:val="16"/>
              </w:rPr>
              <w:t xml:space="preserve">■ </w:t>
            </w:r>
            <w:r>
              <w:rPr>
                <w:rFonts w:ascii="Arial" w:eastAsia="宋体" w:hAnsi="Arial" w:cs="Arial"/>
                <w:color w:val="333333"/>
                <w:sz w:val="16"/>
                <w:szCs w:val="16"/>
              </w:rPr>
              <w:t>Mobileye</w:t>
            </w:r>
            <w:r>
              <w:rPr>
                <w:rFonts w:ascii="Arial" w:eastAsia="宋体" w:hAnsi="Arial" w:cs="Arial"/>
                <w:color w:val="333333"/>
                <w:sz w:val="10"/>
                <w:szCs w:val="10"/>
              </w:rPr>
              <w:t>1</w:t>
            </w:r>
          </w:p>
        </w:tc>
      </w:tr>
    </w:tbl>
    <w:p w14:paraId="4ACE2886" w14:textId="77777777" w:rsidR="006F587A" w:rsidRDefault="006F587A">
      <w:pPr>
        <w:rPr>
          <w:vanish/>
        </w:rPr>
      </w:pPr>
    </w:p>
    <w:tbl>
      <w:tblPr>
        <w:tblW w:w="5000" w:type="pct"/>
        <w:tblCellMar>
          <w:left w:w="0" w:type="dxa"/>
          <w:right w:w="0" w:type="dxa"/>
        </w:tblCellMar>
        <w:tblLook w:val="04A0" w:firstRow="1" w:lastRow="0" w:firstColumn="1" w:lastColumn="0" w:noHBand="0" w:noVBand="1"/>
      </w:tblPr>
      <w:tblGrid>
        <w:gridCol w:w="8306"/>
      </w:tblGrid>
      <w:tr w:rsidR="006F587A" w14:paraId="4ACE2888" w14:textId="77777777">
        <w:tc>
          <w:tcPr>
            <w:tcW w:w="0" w:type="auto"/>
            <w:shd w:val="clear" w:color="auto" w:fill="auto"/>
            <w:vAlign w:val="center"/>
          </w:tcPr>
          <w:p w14:paraId="4ACE2887" w14:textId="77777777" w:rsidR="006F587A" w:rsidRDefault="006F587A">
            <w:pPr>
              <w:rPr>
                <w:rFonts w:ascii="Times New Roman" w:hAnsi="Times New Roman"/>
                <w:sz w:val="20"/>
                <w:szCs w:val="20"/>
              </w:rPr>
            </w:pPr>
          </w:p>
        </w:tc>
      </w:tr>
      <w:tr w:rsidR="006F587A" w14:paraId="4ACE288A" w14:textId="77777777">
        <w:tc>
          <w:tcPr>
            <w:tcW w:w="5000" w:type="pct"/>
            <w:shd w:val="clear" w:color="auto" w:fill="auto"/>
            <w:vAlign w:val="center"/>
          </w:tcPr>
          <w:p w14:paraId="4ACE2889" w14:textId="77777777" w:rsidR="006F587A" w:rsidRDefault="006F587A">
            <w:pPr>
              <w:rPr>
                <w:rFonts w:ascii="Times New Roman" w:hAnsi="Times New Roman"/>
                <w:sz w:val="20"/>
                <w:szCs w:val="20"/>
              </w:rPr>
            </w:pPr>
          </w:p>
        </w:tc>
      </w:tr>
      <w:tr w:rsidR="006F587A" w14:paraId="4ACE288C" w14:textId="77777777">
        <w:tc>
          <w:tcPr>
            <w:tcW w:w="0" w:type="auto"/>
            <w:tcBorders>
              <w:bottom w:val="single" w:sz="8" w:space="0" w:color="333333"/>
            </w:tcBorders>
            <w:shd w:val="clear" w:color="auto" w:fill="auto"/>
            <w:tcMar>
              <w:top w:w="40" w:type="dxa"/>
              <w:left w:w="40" w:type="dxa"/>
              <w:bottom w:w="40" w:type="dxa"/>
              <w:right w:w="40" w:type="dxa"/>
            </w:tcMar>
            <w:vAlign w:val="bottom"/>
          </w:tcPr>
          <w:p w14:paraId="4ACE288B" w14:textId="77777777" w:rsidR="006F587A" w:rsidRDefault="007B2B61">
            <w:pPr>
              <w:textAlignment w:val="bottom"/>
              <w:rPr>
                <w:rFonts w:ascii="Times New Roman" w:hAnsi="Times New Roman"/>
                <w:sz w:val="20"/>
                <w:szCs w:val="20"/>
              </w:rPr>
            </w:pPr>
            <w:r>
              <w:rPr>
                <w:rFonts w:ascii="Arial" w:eastAsia="宋体" w:hAnsi="Arial" w:cs="Arial"/>
                <w:b/>
                <w:bCs/>
                <w:color w:val="0071C5"/>
                <w:sz w:val="20"/>
                <w:szCs w:val="20"/>
              </w:rPr>
              <w:t>REVENUE SUMMARY</w:t>
            </w:r>
          </w:p>
        </w:tc>
      </w:tr>
    </w:tbl>
    <w:p w14:paraId="4ACE288D" w14:textId="77777777" w:rsidR="006F587A" w:rsidRDefault="007B2B61">
      <w:pPr>
        <w:spacing w:line="288" w:lineRule="auto"/>
        <w:rPr>
          <w:rFonts w:ascii="Times New Roman" w:hAnsi="Times New Roman"/>
          <w:sz w:val="20"/>
          <w:szCs w:val="20"/>
        </w:rPr>
      </w:pPr>
      <w:r>
        <w:rPr>
          <w:rFonts w:ascii="Arial" w:eastAsia="宋体" w:hAnsi="Arial" w:cs="Arial"/>
          <w:b/>
          <w:bCs/>
          <w:color w:val="333333"/>
          <w:sz w:val="20"/>
          <w:szCs w:val="20"/>
        </w:rPr>
        <w:t>2019 – 2018</w:t>
      </w:r>
    </w:p>
    <w:p w14:paraId="4ACE288E"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IOTG net revenue increased $366 million, or 11%, driven by $283 million higher ASPs from stronger core mix and $92 million higher IOTG platform unit sales, partially offset by lower revenue from our divestiture of Wind River in Q2 2018, which negatively im</w:t>
      </w:r>
      <w:r>
        <w:rPr>
          <w:rFonts w:ascii="Arial" w:eastAsia="宋体" w:hAnsi="Arial" w:cs="Arial"/>
          <w:color w:val="333333"/>
          <w:sz w:val="18"/>
          <w:szCs w:val="18"/>
        </w:rPr>
        <w:t xml:space="preserve">pacted the revenue comparison by approximately $153 million in the first half of 2019. After adjusting for Wind River, IOTG revenue grew $519 million, or 16%, year over year. </w:t>
      </w:r>
    </w:p>
    <w:p w14:paraId="4ACE288F"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Mobileye net revenue was $879 million, up $181 million due to increasing adoptio</w:t>
      </w:r>
      <w:r>
        <w:rPr>
          <w:rFonts w:ascii="Arial" w:eastAsia="宋体" w:hAnsi="Arial" w:cs="Arial"/>
          <w:color w:val="333333"/>
          <w:sz w:val="18"/>
          <w:szCs w:val="18"/>
        </w:rPr>
        <w:t xml:space="preserve">n of ADAS. </w:t>
      </w:r>
    </w:p>
    <w:p w14:paraId="4ACE2890" w14:textId="77777777" w:rsidR="006F587A" w:rsidRDefault="007B2B61">
      <w:pPr>
        <w:spacing w:line="288" w:lineRule="auto"/>
        <w:rPr>
          <w:rFonts w:ascii="Times New Roman" w:hAnsi="Times New Roman"/>
          <w:sz w:val="20"/>
          <w:szCs w:val="20"/>
        </w:rPr>
      </w:pPr>
      <w:r>
        <w:rPr>
          <w:rFonts w:ascii="Arial" w:eastAsia="宋体" w:hAnsi="Arial" w:cs="Arial"/>
          <w:b/>
          <w:bCs/>
          <w:color w:val="333333"/>
          <w:sz w:val="20"/>
          <w:szCs w:val="20"/>
        </w:rPr>
        <w:t>2018 – 2017</w:t>
      </w:r>
    </w:p>
    <w:p w14:paraId="4ACE2891"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IOTG net revenue increased $286 million, or 9%, driven by $632 million higher IOTG platform unit sales, offset by $212 million mix of platform products sold and $134 million lower adjacent revenue due to the divestiture of Wind Rive</w:t>
      </w:r>
      <w:r>
        <w:rPr>
          <w:rFonts w:ascii="Arial" w:eastAsia="宋体" w:hAnsi="Arial" w:cs="Arial"/>
          <w:color w:val="333333"/>
          <w:sz w:val="18"/>
          <w:szCs w:val="18"/>
        </w:rPr>
        <w:t>r in Q2 2018. After adjusting for Wind River, IOTG revenue grew $447 million, or 16%, year over year. Revenue grew due to strength across the retail, industrial, video, and other market segments.</w:t>
      </w:r>
    </w:p>
    <w:tbl>
      <w:tblPr>
        <w:tblW w:w="5000" w:type="pct"/>
        <w:tblCellMar>
          <w:left w:w="0" w:type="dxa"/>
          <w:right w:w="0" w:type="dxa"/>
        </w:tblCellMar>
        <w:tblLook w:val="04A0" w:firstRow="1" w:lastRow="0" w:firstColumn="1" w:lastColumn="0" w:noHBand="0" w:noVBand="1"/>
      </w:tblPr>
      <w:tblGrid>
        <w:gridCol w:w="8306"/>
      </w:tblGrid>
      <w:tr w:rsidR="006F587A" w14:paraId="4ACE2893" w14:textId="77777777">
        <w:tc>
          <w:tcPr>
            <w:tcW w:w="0" w:type="auto"/>
            <w:shd w:val="clear" w:color="auto" w:fill="auto"/>
            <w:vAlign w:val="center"/>
          </w:tcPr>
          <w:p w14:paraId="4ACE2892" w14:textId="77777777" w:rsidR="006F587A" w:rsidRDefault="006F587A">
            <w:pPr>
              <w:rPr>
                <w:rFonts w:ascii="Times New Roman" w:hAnsi="Times New Roman"/>
                <w:sz w:val="20"/>
                <w:szCs w:val="20"/>
              </w:rPr>
            </w:pPr>
          </w:p>
        </w:tc>
      </w:tr>
      <w:tr w:rsidR="006F587A" w14:paraId="4ACE2895" w14:textId="77777777">
        <w:tc>
          <w:tcPr>
            <w:tcW w:w="5000" w:type="pct"/>
            <w:shd w:val="clear" w:color="auto" w:fill="auto"/>
            <w:vAlign w:val="center"/>
          </w:tcPr>
          <w:p w14:paraId="4ACE2894" w14:textId="77777777" w:rsidR="006F587A" w:rsidRDefault="006F587A">
            <w:pPr>
              <w:rPr>
                <w:rFonts w:ascii="Times New Roman" w:hAnsi="Times New Roman"/>
                <w:sz w:val="20"/>
                <w:szCs w:val="20"/>
              </w:rPr>
            </w:pPr>
          </w:p>
        </w:tc>
      </w:tr>
      <w:tr w:rsidR="006F587A" w14:paraId="4ACE2897" w14:textId="77777777">
        <w:tc>
          <w:tcPr>
            <w:tcW w:w="0" w:type="auto"/>
            <w:tcBorders>
              <w:bottom w:val="single" w:sz="8" w:space="0" w:color="333333"/>
            </w:tcBorders>
            <w:shd w:val="clear" w:color="auto" w:fill="auto"/>
            <w:tcMar>
              <w:top w:w="40" w:type="dxa"/>
              <w:left w:w="40" w:type="dxa"/>
              <w:bottom w:w="40" w:type="dxa"/>
              <w:right w:w="40" w:type="dxa"/>
            </w:tcMar>
            <w:vAlign w:val="bottom"/>
          </w:tcPr>
          <w:p w14:paraId="4ACE2896" w14:textId="77777777" w:rsidR="006F587A" w:rsidRDefault="007B2B61">
            <w:pPr>
              <w:textAlignment w:val="bottom"/>
              <w:rPr>
                <w:rFonts w:ascii="Times New Roman" w:hAnsi="Times New Roman"/>
                <w:sz w:val="20"/>
                <w:szCs w:val="20"/>
              </w:rPr>
            </w:pPr>
            <w:r>
              <w:rPr>
                <w:rFonts w:ascii="Arial" w:eastAsia="宋体" w:hAnsi="Arial" w:cs="Arial"/>
                <w:b/>
                <w:bCs/>
                <w:color w:val="0071C5"/>
                <w:sz w:val="20"/>
                <w:szCs w:val="20"/>
              </w:rPr>
              <w:t>OPERATING INCOME SUMMARY</w:t>
            </w:r>
          </w:p>
        </w:tc>
      </w:tr>
    </w:tbl>
    <w:p w14:paraId="4ACE2898" w14:textId="77777777" w:rsidR="006F587A" w:rsidRDefault="007B2B61">
      <w:pPr>
        <w:spacing w:line="288" w:lineRule="auto"/>
        <w:rPr>
          <w:rFonts w:ascii="Times New Roman" w:hAnsi="Times New Roman"/>
          <w:sz w:val="20"/>
          <w:szCs w:val="20"/>
        </w:rPr>
      </w:pPr>
      <w:r>
        <w:rPr>
          <w:rFonts w:ascii="Arial" w:eastAsia="宋体" w:hAnsi="Arial" w:cs="Arial"/>
          <w:b/>
          <w:bCs/>
          <w:color w:val="333333"/>
          <w:sz w:val="20"/>
          <w:szCs w:val="20"/>
        </w:rPr>
        <w:t>2019 – 2018</w:t>
      </w:r>
    </w:p>
    <w:p w14:paraId="4ACE2899"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IOTG operating income increased $117 million primarily due to higher platform revenue from stronger core mix offset by higher period charges related to reserves taken on legacy products. </w:t>
      </w:r>
    </w:p>
    <w:p w14:paraId="4ACE289A"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Mobileye operating income was $245 million, up $102 million driven b</w:t>
      </w:r>
      <w:r>
        <w:rPr>
          <w:rFonts w:ascii="Arial" w:eastAsia="宋体" w:hAnsi="Arial" w:cs="Arial"/>
          <w:color w:val="333333"/>
          <w:sz w:val="18"/>
          <w:szCs w:val="18"/>
        </w:rPr>
        <w:t>y growth in revenue partially offset by higher spending.</w:t>
      </w:r>
    </w:p>
    <w:p w14:paraId="4ACE289B" w14:textId="77777777" w:rsidR="006F587A" w:rsidRDefault="007B2B61">
      <w:pPr>
        <w:spacing w:line="288" w:lineRule="auto"/>
        <w:rPr>
          <w:rFonts w:ascii="Times New Roman" w:hAnsi="Times New Roman"/>
          <w:sz w:val="20"/>
          <w:szCs w:val="20"/>
        </w:rPr>
      </w:pPr>
      <w:r>
        <w:rPr>
          <w:rFonts w:ascii="Arial" w:eastAsia="宋体" w:hAnsi="Arial" w:cs="Arial"/>
          <w:b/>
          <w:bCs/>
          <w:color w:val="333333"/>
          <w:sz w:val="20"/>
          <w:szCs w:val="20"/>
        </w:rPr>
        <w:t>2018 – 2017</w:t>
      </w:r>
    </w:p>
    <w:p w14:paraId="4ACE289C"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IOTG operating income increased $330 million due to higher revenue and lower spending as we reprioritized investments within the automotive business and Wind River.</w:t>
      </w:r>
    </w:p>
    <w:p w14:paraId="4ACE289D" w14:textId="77777777" w:rsidR="006F587A" w:rsidRDefault="006F587A">
      <w:pPr>
        <w:spacing w:line="288" w:lineRule="auto"/>
        <w:rPr>
          <w:rFonts w:ascii="Times New Roman" w:hAnsi="Times New Roman"/>
          <w:sz w:val="18"/>
          <w:szCs w:val="18"/>
        </w:rPr>
      </w:pPr>
    </w:p>
    <w:p w14:paraId="4ACE289E" w14:textId="77777777" w:rsidR="006F587A" w:rsidRDefault="006F587A">
      <w:pPr>
        <w:spacing w:line="288" w:lineRule="auto"/>
        <w:rPr>
          <w:rFonts w:ascii="Times New Roman" w:hAnsi="Times New Roman"/>
          <w:sz w:val="18"/>
          <w:szCs w:val="18"/>
        </w:rPr>
      </w:pPr>
    </w:p>
    <w:p w14:paraId="4ACE289F" w14:textId="77777777" w:rsidR="006F587A" w:rsidRDefault="006F587A">
      <w:pPr>
        <w:spacing w:line="288" w:lineRule="auto"/>
        <w:rPr>
          <w:rFonts w:ascii="Times New Roman" w:hAnsi="Times New Roman"/>
          <w:sz w:val="18"/>
          <w:szCs w:val="18"/>
        </w:rPr>
      </w:pPr>
    </w:p>
    <w:p w14:paraId="4ACE28A0" w14:textId="77777777" w:rsidR="006F587A" w:rsidRDefault="006F587A">
      <w:pPr>
        <w:spacing w:line="288" w:lineRule="auto"/>
        <w:rPr>
          <w:rFonts w:ascii="Times New Roman" w:hAnsi="Times New Roman"/>
          <w:sz w:val="18"/>
          <w:szCs w:val="18"/>
        </w:rPr>
      </w:pPr>
    </w:p>
    <w:p w14:paraId="4ACE28A1" w14:textId="77777777" w:rsidR="006F587A" w:rsidRDefault="006F587A">
      <w:pPr>
        <w:spacing w:line="288" w:lineRule="auto"/>
        <w:rPr>
          <w:rFonts w:ascii="Times New Roman" w:hAnsi="Times New Roman"/>
          <w:sz w:val="18"/>
          <w:szCs w:val="18"/>
        </w:rPr>
      </w:pPr>
    </w:p>
    <w:p w14:paraId="4ACE28A2" w14:textId="77777777" w:rsidR="006F587A" w:rsidRDefault="006F587A">
      <w:pPr>
        <w:spacing w:line="288" w:lineRule="auto"/>
        <w:rPr>
          <w:rFonts w:ascii="Times New Roman" w:hAnsi="Times New Roman"/>
          <w:sz w:val="18"/>
          <w:szCs w:val="18"/>
        </w:rPr>
      </w:pPr>
    </w:p>
    <w:p w14:paraId="4ACE28A3" w14:textId="77777777" w:rsidR="006F587A" w:rsidRDefault="006F587A">
      <w:pPr>
        <w:spacing w:line="288" w:lineRule="auto"/>
        <w:rPr>
          <w:rFonts w:ascii="Times New Roman" w:hAnsi="Times New Roman"/>
          <w:sz w:val="18"/>
          <w:szCs w:val="18"/>
        </w:rPr>
      </w:pPr>
    </w:p>
    <w:p w14:paraId="4ACE28A4" w14:textId="77777777" w:rsidR="006F587A" w:rsidRDefault="006F587A">
      <w:pPr>
        <w:spacing w:line="288" w:lineRule="auto"/>
        <w:rPr>
          <w:rFonts w:ascii="Times New Roman" w:hAnsi="Times New Roman"/>
          <w:sz w:val="18"/>
          <w:szCs w:val="18"/>
        </w:rPr>
      </w:pPr>
    </w:p>
    <w:p w14:paraId="4ACE28A5" w14:textId="77777777" w:rsidR="006F587A" w:rsidRDefault="006F587A">
      <w:pPr>
        <w:spacing w:line="288" w:lineRule="auto"/>
        <w:rPr>
          <w:rFonts w:ascii="Times New Roman" w:hAnsi="Times New Roman"/>
          <w:sz w:val="18"/>
          <w:szCs w:val="18"/>
        </w:rPr>
      </w:pPr>
    </w:p>
    <w:p w14:paraId="4ACE28A6" w14:textId="77777777" w:rsidR="006F587A" w:rsidRDefault="006F587A">
      <w:pPr>
        <w:spacing w:line="288" w:lineRule="auto"/>
        <w:rPr>
          <w:rFonts w:ascii="Times New Roman" w:hAnsi="Times New Roman"/>
          <w:sz w:val="18"/>
          <w:szCs w:val="18"/>
        </w:rPr>
      </w:pPr>
    </w:p>
    <w:p w14:paraId="4ACE28A7" w14:textId="77777777" w:rsidR="006F587A" w:rsidRDefault="006F587A">
      <w:pPr>
        <w:spacing w:line="288" w:lineRule="auto"/>
        <w:rPr>
          <w:rFonts w:ascii="Times New Roman" w:hAnsi="Times New Roman"/>
          <w:sz w:val="18"/>
          <w:szCs w:val="18"/>
        </w:rPr>
      </w:pPr>
    </w:p>
    <w:p w14:paraId="4ACE28A8" w14:textId="77777777" w:rsidR="006F587A" w:rsidRDefault="006F587A">
      <w:pPr>
        <w:spacing w:line="288" w:lineRule="auto"/>
        <w:rPr>
          <w:rFonts w:ascii="Times New Roman" w:hAnsi="Times New Roman"/>
          <w:sz w:val="18"/>
          <w:szCs w:val="18"/>
        </w:rPr>
      </w:pPr>
    </w:p>
    <w:p w14:paraId="4ACE28A9" w14:textId="77777777" w:rsidR="006F587A" w:rsidRDefault="007B2B61">
      <w:pPr>
        <w:spacing w:line="288" w:lineRule="auto"/>
        <w:rPr>
          <w:rFonts w:ascii="Times New Roman" w:hAnsi="Times New Roman"/>
          <w:sz w:val="16"/>
          <w:szCs w:val="16"/>
        </w:rPr>
      </w:pPr>
      <w:r>
        <w:rPr>
          <w:rFonts w:ascii="Arial" w:eastAsia="宋体" w:hAnsi="Arial" w:cs="Arial"/>
          <w:i/>
          <w:iCs/>
          <w:color w:val="333333"/>
          <w:sz w:val="10"/>
          <w:szCs w:val="10"/>
        </w:rPr>
        <w:t xml:space="preserve">1 </w:t>
      </w:r>
      <w:r>
        <w:rPr>
          <w:rFonts w:ascii="Arial" w:eastAsia="宋体" w:hAnsi="Arial" w:cs="Arial"/>
          <w:i/>
          <w:iCs/>
          <w:color w:val="333333"/>
          <w:sz w:val="16"/>
          <w:szCs w:val="16"/>
        </w:rPr>
        <w:t>Mobileye was acquired in Q3 2017; 2017 figures do not represent full-year results.</w:t>
      </w:r>
    </w:p>
    <w:p w14:paraId="4ACE28AA"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408"/>
        <w:gridCol w:w="2409"/>
        <w:gridCol w:w="3489"/>
      </w:tblGrid>
      <w:tr w:rsidR="006F587A" w14:paraId="4ACE28AC" w14:textId="77777777">
        <w:tc>
          <w:tcPr>
            <w:tcW w:w="0" w:type="auto"/>
            <w:gridSpan w:val="3"/>
            <w:shd w:val="clear" w:color="auto" w:fill="auto"/>
            <w:vAlign w:val="center"/>
          </w:tcPr>
          <w:p w14:paraId="4ACE28AB" w14:textId="77777777" w:rsidR="006F587A" w:rsidRDefault="006F587A">
            <w:pPr>
              <w:rPr>
                <w:rFonts w:ascii="Times New Roman" w:hAnsi="Times New Roman"/>
                <w:sz w:val="20"/>
                <w:szCs w:val="20"/>
              </w:rPr>
            </w:pPr>
          </w:p>
        </w:tc>
      </w:tr>
      <w:tr w:rsidR="006F587A" w14:paraId="4ACE28B0" w14:textId="77777777">
        <w:tc>
          <w:tcPr>
            <w:tcW w:w="1450" w:type="pct"/>
            <w:shd w:val="clear" w:color="auto" w:fill="auto"/>
            <w:vAlign w:val="center"/>
          </w:tcPr>
          <w:p w14:paraId="4ACE28AD" w14:textId="77777777" w:rsidR="006F587A" w:rsidRDefault="006F587A">
            <w:pPr>
              <w:rPr>
                <w:rFonts w:ascii="Times New Roman" w:hAnsi="Times New Roman"/>
                <w:sz w:val="20"/>
                <w:szCs w:val="20"/>
              </w:rPr>
            </w:pPr>
          </w:p>
        </w:tc>
        <w:tc>
          <w:tcPr>
            <w:tcW w:w="1450" w:type="pct"/>
            <w:shd w:val="clear" w:color="auto" w:fill="auto"/>
            <w:vAlign w:val="center"/>
          </w:tcPr>
          <w:p w14:paraId="4ACE28AE" w14:textId="77777777" w:rsidR="006F587A" w:rsidRDefault="006F587A">
            <w:pPr>
              <w:rPr>
                <w:rFonts w:ascii="Times New Roman" w:hAnsi="Times New Roman"/>
                <w:sz w:val="20"/>
                <w:szCs w:val="20"/>
              </w:rPr>
            </w:pPr>
          </w:p>
        </w:tc>
        <w:tc>
          <w:tcPr>
            <w:tcW w:w="2100" w:type="pct"/>
            <w:shd w:val="clear" w:color="auto" w:fill="auto"/>
            <w:vAlign w:val="center"/>
          </w:tcPr>
          <w:p w14:paraId="4ACE28AF" w14:textId="77777777" w:rsidR="006F587A" w:rsidRDefault="006F587A">
            <w:pPr>
              <w:rPr>
                <w:rFonts w:ascii="Times New Roman" w:hAnsi="Times New Roman"/>
                <w:sz w:val="20"/>
                <w:szCs w:val="20"/>
              </w:rPr>
            </w:pPr>
          </w:p>
        </w:tc>
      </w:tr>
      <w:tr w:rsidR="006F587A" w14:paraId="4ACE28B4"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28B1" w14:textId="77777777" w:rsidR="006F587A" w:rsidRDefault="007B2B61">
            <w:pPr>
              <w:textAlignment w:val="center"/>
              <w:rPr>
                <w:rFonts w:ascii="Times New Roman" w:hAnsi="Times New Roman"/>
                <w:sz w:val="18"/>
                <w:szCs w:val="18"/>
              </w:rPr>
            </w:pP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Viewer12_files/a001intellogo_coverfooter.jpg"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CF1" wp14:editId="4ACE6CF2">
                  <wp:extent cx="304800" cy="304800"/>
                  <wp:effectExtent l="0" t="0" r="0" b="0"/>
                  <wp:docPr id="219" name="图片 155"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155"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r>
              <w:rPr>
                <w:rFonts w:ascii="Arial" w:eastAsia="宋体" w:hAnsi="Arial" w:cs="Arial"/>
                <w:color w:val="333333"/>
                <w:sz w:val="18"/>
                <w:szCs w:val="18"/>
              </w:rPr>
              <w:t>  </w:t>
            </w:r>
            <w:r>
              <w:rPr>
                <w:rFonts w:ascii="Arial" w:eastAsia="宋体" w:hAnsi="Arial" w:cs="Arial"/>
                <w:color w:val="333333"/>
                <w:sz w:val="16"/>
                <w:szCs w:val="16"/>
              </w:rPr>
              <w:t>MD&amp;A</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8B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8B3"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25</w:t>
            </w:r>
          </w:p>
        </w:tc>
      </w:tr>
    </w:tbl>
    <w:p w14:paraId="4ACE28B5" w14:textId="77777777" w:rsidR="006F587A" w:rsidRDefault="007B2B61">
      <w:r>
        <w:pict w14:anchorId="4ACE6CF3">
          <v:rect id="_x0000_i1051" style="width:415.3pt;height:1.5pt" o:hralign="center" o:hrstd="t" o:hr="t" fillcolor="#a0a0a0" stroked="f"/>
        </w:pict>
      </w:r>
    </w:p>
    <w:p w14:paraId="4ACE28B6" w14:textId="77777777" w:rsidR="006F587A" w:rsidRDefault="006F587A">
      <w:pPr>
        <w:rPr>
          <w:rFonts w:ascii="Times New Roman" w:hAnsi="Times New Roman"/>
          <w:sz w:val="20"/>
          <w:szCs w:val="20"/>
        </w:rPr>
      </w:pPr>
    </w:p>
    <w:p w14:paraId="4ACE28B7" w14:textId="77777777" w:rsidR="006F587A" w:rsidRDefault="007B2B61">
      <w:pPr>
        <w:spacing w:line="288" w:lineRule="auto"/>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/INTEL/./Inline XBRL</w:instrText>
      </w:r>
      <w:r>
        <w:rPr>
          <w:rFonts w:ascii="Times New Roman" w:eastAsia="宋体" w:hAnsi="Times New Roman"/>
          <w:sz w:val="20"/>
          <w:szCs w:val="20"/>
        </w:rPr>
        <w:instrText xml:space="preserve"> Viewer12_files/a049nsgbanner11.jpg"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F4" wp14:editId="4ACE6CF5">
            <wp:extent cx="304800" cy="304800"/>
            <wp:effectExtent l="0" t="0" r="0" b="0"/>
            <wp:docPr id="199" name="图片 157" descr="IMG_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57" descr="IMG_35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bl>
      <w:tblPr>
        <w:tblW w:w="15160" w:type="dxa"/>
        <w:tblCellMar>
          <w:left w:w="0" w:type="dxa"/>
          <w:right w:w="0" w:type="dxa"/>
        </w:tblCellMar>
        <w:tblLook w:val="04A0" w:firstRow="1" w:lastRow="0" w:firstColumn="1" w:lastColumn="0" w:noHBand="0" w:noVBand="1"/>
      </w:tblPr>
      <w:tblGrid>
        <w:gridCol w:w="363"/>
        <w:gridCol w:w="7362"/>
        <w:gridCol w:w="7435"/>
      </w:tblGrid>
      <w:tr w:rsidR="006F587A" w14:paraId="4ACE28B9" w14:textId="77777777">
        <w:tc>
          <w:tcPr>
            <w:tcW w:w="0" w:type="auto"/>
            <w:gridSpan w:val="3"/>
            <w:shd w:val="clear" w:color="auto" w:fill="auto"/>
            <w:vAlign w:val="center"/>
          </w:tcPr>
          <w:p w14:paraId="4ACE28B8" w14:textId="77777777" w:rsidR="006F587A" w:rsidRDefault="006F587A">
            <w:pPr>
              <w:rPr>
                <w:rFonts w:ascii="Times New Roman" w:hAnsi="Times New Roman"/>
                <w:sz w:val="20"/>
                <w:szCs w:val="20"/>
              </w:rPr>
            </w:pPr>
          </w:p>
        </w:tc>
      </w:tr>
      <w:tr w:rsidR="006F587A" w14:paraId="4ACE28BD" w14:textId="77777777">
        <w:tc>
          <w:tcPr>
            <w:tcW w:w="760" w:type="dxa"/>
            <w:shd w:val="clear" w:color="auto" w:fill="auto"/>
            <w:vAlign w:val="center"/>
          </w:tcPr>
          <w:p w14:paraId="4ACE28BA" w14:textId="77777777" w:rsidR="006F587A" w:rsidRDefault="006F587A">
            <w:pPr>
              <w:rPr>
                <w:rFonts w:ascii="Times New Roman" w:hAnsi="Times New Roman"/>
                <w:sz w:val="20"/>
                <w:szCs w:val="20"/>
              </w:rPr>
            </w:pPr>
          </w:p>
        </w:tc>
        <w:tc>
          <w:tcPr>
            <w:tcW w:w="10440" w:type="dxa"/>
            <w:shd w:val="clear" w:color="auto" w:fill="auto"/>
            <w:vAlign w:val="center"/>
          </w:tcPr>
          <w:p w14:paraId="4ACE28BB" w14:textId="77777777" w:rsidR="006F587A" w:rsidRDefault="006F587A">
            <w:pPr>
              <w:rPr>
                <w:rFonts w:ascii="Times New Roman" w:hAnsi="Times New Roman"/>
                <w:sz w:val="20"/>
                <w:szCs w:val="20"/>
              </w:rPr>
            </w:pPr>
          </w:p>
        </w:tc>
        <w:tc>
          <w:tcPr>
            <w:tcW w:w="3920" w:type="dxa"/>
            <w:shd w:val="clear" w:color="auto" w:fill="auto"/>
            <w:vAlign w:val="center"/>
          </w:tcPr>
          <w:p w14:paraId="4ACE28BC" w14:textId="77777777" w:rsidR="006F587A" w:rsidRDefault="006F587A">
            <w:pPr>
              <w:rPr>
                <w:rFonts w:ascii="Times New Roman" w:hAnsi="Times New Roman"/>
                <w:sz w:val="20"/>
                <w:szCs w:val="20"/>
              </w:rPr>
            </w:pPr>
          </w:p>
        </w:tc>
      </w:tr>
      <w:tr w:rsidR="006F587A" w14:paraId="4ACE28C0" w14:textId="77777777">
        <w:tc>
          <w:tcPr>
            <w:tcW w:w="0" w:type="auto"/>
            <w:gridSpan w:val="2"/>
            <w:tcBorders>
              <w:bottom w:val="single" w:sz="8" w:space="0" w:color="333333"/>
            </w:tcBorders>
            <w:shd w:val="clear" w:color="auto" w:fill="auto"/>
            <w:tcMar>
              <w:top w:w="40" w:type="dxa"/>
              <w:left w:w="40" w:type="dxa"/>
              <w:bottom w:w="40" w:type="dxa"/>
              <w:right w:w="40" w:type="dxa"/>
            </w:tcMar>
            <w:vAlign w:val="bottom"/>
          </w:tcPr>
          <w:p w14:paraId="4ACE28BE" w14:textId="77777777" w:rsidR="006F587A" w:rsidRDefault="007B2B61">
            <w:pPr>
              <w:textAlignment w:val="bottom"/>
              <w:rPr>
                <w:rFonts w:ascii="Times New Roman" w:hAnsi="Times New Roman"/>
                <w:sz w:val="20"/>
                <w:szCs w:val="20"/>
              </w:rPr>
            </w:pPr>
            <w:r>
              <w:rPr>
                <w:rFonts w:ascii="Arial" w:eastAsia="宋体" w:hAnsi="Arial" w:cs="Arial"/>
                <w:b/>
                <w:bCs/>
                <w:color w:val="0071C5"/>
                <w:sz w:val="20"/>
                <w:szCs w:val="20"/>
              </w:rPr>
              <w:t>OVERVIEW</w:t>
            </w:r>
          </w:p>
        </w:tc>
        <w:tc>
          <w:tcPr>
            <w:tcW w:w="0" w:type="auto"/>
            <w:vMerge w:val="restart"/>
            <w:shd w:val="clear" w:color="auto" w:fill="auto"/>
            <w:tcMar>
              <w:top w:w="40" w:type="dxa"/>
              <w:left w:w="40" w:type="dxa"/>
              <w:bottom w:w="40" w:type="dxa"/>
              <w:right w:w="40" w:type="dxa"/>
            </w:tcMar>
            <w:vAlign w:val="bottom"/>
          </w:tcPr>
          <w:p w14:paraId="4ACE28BF" w14:textId="77777777" w:rsidR="006F587A" w:rsidRDefault="007B2B61">
            <w:pPr>
              <w:jc w:val="center"/>
              <w:textAlignment w:val="bottom"/>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Viewer12_files/a050rob_circle.jpg"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F6" wp14:editId="4ACE6CF7">
                  <wp:extent cx="304800" cy="304800"/>
                  <wp:effectExtent l="0" t="0" r="0" b="0"/>
                  <wp:docPr id="223" name="图片 158" descr="IMG_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158" descr="IMG_35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r>
      <w:tr w:rsidR="006F587A" w14:paraId="4ACE28C3" w14:textId="77777777">
        <w:tc>
          <w:tcPr>
            <w:tcW w:w="0" w:type="auto"/>
            <w:gridSpan w:val="2"/>
            <w:shd w:val="clear" w:color="auto" w:fill="auto"/>
            <w:tcMar>
              <w:top w:w="40" w:type="dxa"/>
              <w:left w:w="40" w:type="dxa"/>
              <w:bottom w:w="40" w:type="dxa"/>
              <w:right w:w="40" w:type="dxa"/>
            </w:tcMar>
          </w:tcPr>
          <w:p w14:paraId="4ACE28C1"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NSG is a technology leader in next-generation memory and storage products based on breakthrough Intel</w:t>
            </w:r>
            <w:r>
              <w:rPr>
                <w:rFonts w:ascii="Arial" w:eastAsia="宋体" w:hAnsi="Arial" w:cs="Arial"/>
                <w:color w:val="333333"/>
                <w:sz w:val="12"/>
                <w:szCs w:val="12"/>
              </w:rPr>
              <w:t>®</w:t>
            </w:r>
            <w:r>
              <w:rPr>
                <w:rFonts w:ascii="Arial" w:eastAsia="宋体" w:hAnsi="Arial" w:cs="Arial"/>
                <w:color w:val="333333"/>
                <w:sz w:val="18"/>
                <w:szCs w:val="18"/>
              </w:rPr>
              <w:t> Optane™ technology and Intel</w:t>
            </w:r>
            <w:r>
              <w:rPr>
                <w:rFonts w:ascii="Arial" w:eastAsia="宋体" w:hAnsi="Arial" w:cs="Arial"/>
                <w:color w:val="333333"/>
                <w:sz w:val="12"/>
                <w:szCs w:val="12"/>
              </w:rPr>
              <w:t>®</w:t>
            </w:r>
            <w:r>
              <w:rPr>
                <w:rFonts w:ascii="Arial" w:eastAsia="宋体" w:hAnsi="Arial" w:cs="Arial"/>
                <w:color w:val="333333"/>
                <w:sz w:val="18"/>
                <w:szCs w:val="18"/>
              </w:rPr>
              <w:t xml:space="preserve"> 3D NAND technology. NSG is disrupting the memory and storage hierarchy with new tiers that balance capacity, performance, and cost. We offer 64-layer TLC and QLC NAND high-capacity SSDs, and unparalleled low latency and high </w:t>
            </w:r>
            <w:r>
              <w:rPr>
                <w:rFonts w:ascii="Arial" w:eastAsia="宋体" w:hAnsi="Arial" w:cs="Arial"/>
                <w:color w:val="333333"/>
                <w:sz w:val="18"/>
                <w:szCs w:val="18"/>
              </w:rPr>
              <w:t>performance with Intel</w:t>
            </w:r>
            <w:r>
              <w:rPr>
                <w:rFonts w:ascii="Arial" w:eastAsia="宋体" w:hAnsi="Arial" w:cs="Arial"/>
                <w:color w:val="333333"/>
                <w:sz w:val="12"/>
                <w:szCs w:val="12"/>
              </w:rPr>
              <w:t>®</w:t>
            </w:r>
            <w:r>
              <w:rPr>
                <w:rFonts w:ascii="Arial" w:eastAsia="宋体" w:hAnsi="Arial" w:cs="Arial"/>
                <w:color w:val="333333"/>
                <w:sz w:val="18"/>
                <w:szCs w:val="18"/>
              </w:rPr>
              <w:t> Optane™ technology—both available in innovative new form factors and densities to address the memory and storage challenges our customers face in a rapidly evolving technological landscape. Our customers include enterprise and cloud</w:t>
            </w:r>
            <w:r>
              <w:rPr>
                <w:rFonts w:ascii="Arial" w:eastAsia="宋体" w:hAnsi="Arial" w:cs="Arial"/>
                <w:color w:val="333333"/>
                <w:sz w:val="18"/>
                <w:szCs w:val="18"/>
              </w:rPr>
              <w:t xml:space="preserve">-based data centers, and users of business and consumer desktops and laptops. </w:t>
            </w:r>
          </w:p>
        </w:tc>
        <w:tc>
          <w:tcPr>
            <w:tcW w:w="0" w:type="auto"/>
            <w:vMerge/>
            <w:shd w:val="clear" w:color="auto" w:fill="auto"/>
            <w:tcMar>
              <w:top w:w="40" w:type="dxa"/>
              <w:left w:w="40" w:type="dxa"/>
              <w:bottom w:w="40" w:type="dxa"/>
              <w:right w:w="40" w:type="dxa"/>
            </w:tcMar>
            <w:vAlign w:val="bottom"/>
          </w:tcPr>
          <w:p w14:paraId="4ACE28C2" w14:textId="77777777" w:rsidR="006F587A" w:rsidRDefault="006F587A">
            <w:pPr>
              <w:rPr>
                <w:rFonts w:ascii="Times New Roman" w:hAnsi="Times New Roman"/>
                <w:sz w:val="20"/>
                <w:szCs w:val="20"/>
              </w:rPr>
            </w:pPr>
          </w:p>
        </w:tc>
      </w:tr>
      <w:tr w:rsidR="006F587A" w14:paraId="4ACE28C7" w14:textId="77777777">
        <w:tc>
          <w:tcPr>
            <w:tcW w:w="0" w:type="auto"/>
            <w:gridSpan w:val="2"/>
            <w:tcBorders>
              <w:bottom w:val="single" w:sz="8" w:space="0" w:color="333333"/>
            </w:tcBorders>
            <w:shd w:val="clear" w:color="auto" w:fill="auto"/>
            <w:tcMar>
              <w:top w:w="40" w:type="dxa"/>
              <w:left w:w="40" w:type="dxa"/>
              <w:bottom w:w="40" w:type="dxa"/>
              <w:right w:w="40" w:type="dxa"/>
            </w:tcMar>
            <w:vAlign w:val="bottom"/>
          </w:tcPr>
          <w:p w14:paraId="4ACE28C4" w14:textId="77777777" w:rsidR="006F587A" w:rsidRDefault="007B2B61">
            <w:pPr>
              <w:textAlignment w:val="bottom"/>
              <w:rPr>
                <w:rFonts w:ascii="Times New Roman" w:hAnsi="Times New Roman"/>
                <w:sz w:val="20"/>
                <w:szCs w:val="20"/>
              </w:rPr>
            </w:pPr>
            <w:r>
              <w:rPr>
                <w:rFonts w:ascii="Arial" w:eastAsia="宋体" w:hAnsi="Arial" w:cs="Arial"/>
                <w:b/>
                <w:bCs/>
                <w:color w:val="0071C5"/>
                <w:sz w:val="20"/>
                <w:szCs w:val="20"/>
              </w:rPr>
              <w:t>HIGHLIGHTS AND SEGMENT IMPERATIVES</w:t>
            </w:r>
          </w:p>
        </w:tc>
        <w:tc>
          <w:tcPr>
            <w:tcW w:w="0" w:type="auto"/>
            <w:vMerge w:val="restart"/>
            <w:shd w:val="clear" w:color="auto" w:fill="auto"/>
            <w:tcMar>
              <w:top w:w="40" w:type="dxa"/>
              <w:left w:w="40" w:type="dxa"/>
              <w:bottom w:w="40" w:type="dxa"/>
              <w:right w:w="40" w:type="dxa"/>
            </w:tcMar>
          </w:tcPr>
          <w:p w14:paraId="4ACE28C5" w14:textId="77777777" w:rsidR="006F587A" w:rsidRDefault="007B2B61">
            <w:pPr>
              <w:textAlignment w:val="top"/>
              <w:rPr>
                <w:rFonts w:ascii="Times New Roman" w:hAnsi="Times New Roman"/>
                <w:sz w:val="18"/>
                <w:szCs w:val="18"/>
              </w:rPr>
            </w:pPr>
            <w:r>
              <w:rPr>
                <w:rFonts w:ascii="Arial" w:eastAsia="宋体" w:hAnsi="Arial" w:cs="Arial"/>
                <w:b/>
                <w:bCs/>
                <w:i/>
                <w:iCs/>
                <w:color w:val="333333"/>
                <w:sz w:val="18"/>
                <w:szCs w:val="18"/>
              </w:rPr>
              <w:t xml:space="preserve">“The world is generating data at an accelerating rate, and businesses are increasingly becoming overwhelmed with how to efficiently process </w:t>
            </w:r>
            <w:r>
              <w:rPr>
                <w:rFonts w:ascii="Arial" w:eastAsia="宋体" w:hAnsi="Arial" w:cs="Arial"/>
                <w:b/>
                <w:bCs/>
                <w:i/>
                <w:iCs/>
                <w:color w:val="333333"/>
                <w:sz w:val="18"/>
                <w:szCs w:val="18"/>
              </w:rPr>
              <w:t>it. Harvesting value from all this data will be critical in separating the winners from losers. It will require cutting-edge innovation in the memory-and-storage hierarchy, which is what we are driving at Intel.”</w:t>
            </w:r>
          </w:p>
          <w:p w14:paraId="4ACE28C6" w14:textId="77777777" w:rsidR="006F587A" w:rsidRDefault="007B2B61">
            <w:pPr>
              <w:textAlignment w:val="top"/>
              <w:rPr>
                <w:rFonts w:ascii="Times New Roman" w:hAnsi="Times New Roman"/>
                <w:sz w:val="18"/>
                <w:szCs w:val="18"/>
              </w:rPr>
            </w:pPr>
            <w:r>
              <w:rPr>
                <w:rFonts w:ascii="Arial" w:eastAsia="宋体" w:hAnsi="Arial" w:cs="Arial"/>
                <w:b/>
                <w:bCs/>
                <w:i/>
                <w:iCs/>
                <w:color w:val="333333"/>
                <w:sz w:val="18"/>
                <w:szCs w:val="18"/>
              </w:rPr>
              <w:t>—Rob Crooke,</w:t>
            </w:r>
            <w:r>
              <w:rPr>
                <w:rFonts w:ascii="Arial" w:eastAsia="宋体" w:hAnsi="Arial" w:cs="Arial"/>
                <w:color w:val="333333"/>
                <w:sz w:val="18"/>
                <w:szCs w:val="18"/>
              </w:rPr>
              <w:t xml:space="preserve"> NSG General Manager </w:t>
            </w:r>
          </w:p>
        </w:tc>
      </w:tr>
      <w:tr w:rsidR="006F587A" w14:paraId="4ACE28CB" w14:textId="77777777">
        <w:tc>
          <w:tcPr>
            <w:tcW w:w="0" w:type="auto"/>
            <w:shd w:val="clear" w:color="auto" w:fill="auto"/>
            <w:tcMar>
              <w:top w:w="40" w:type="dxa"/>
              <w:left w:w="40" w:type="dxa"/>
              <w:bottom w:w="40" w:type="dxa"/>
              <w:right w:w="40" w:type="dxa"/>
            </w:tcMar>
            <w:vAlign w:val="bottom"/>
          </w:tcPr>
          <w:p w14:paraId="4ACE28C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8C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tcPr>
          <w:p w14:paraId="4ACE28CA" w14:textId="77777777" w:rsidR="006F587A" w:rsidRDefault="006F587A">
            <w:pPr>
              <w:rPr>
                <w:rFonts w:ascii="Times New Roman" w:hAnsi="Times New Roman"/>
                <w:sz w:val="20"/>
                <w:szCs w:val="20"/>
              </w:rPr>
            </w:pPr>
          </w:p>
        </w:tc>
      </w:tr>
      <w:tr w:rsidR="006F587A" w14:paraId="4ACE28CF" w14:textId="77777777">
        <w:tc>
          <w:tcPr>
            <w:tcW w:w="0" w:type="auto"/>
            <w:shd w:val="clear" w:color="auto" w:fill="auto"/>
            <w:tcMar>
              <w:top w:w="40" w:type="dxa"/>
              <w:left w:w="40" w:type="dxa"/>
              <w:bottom w:w="40" w:type="dxa"/>
              <w:right w:w="40" w:type="dxa"/>
            </w:tcMar>
          </w:tcPr>
          <w:p w14:paraId="4ACE28CC" w14:textId="77777777" w:rsidR="006F587A" w:rsidRDefault="007B2B61">
            <w:pPr>
              <w:jc w:val="center"/>
              <w:textAlignment w:val="top"/>
              <w:rPr>
                <w:rFonts w:ascii="Times New Roman" w:hAnsi="Times New Roman"/>
                <w:sz w:val="18"/>
                <w:szCs w:val="18"/>
              </w:rPr>
            </w:pPr>
            <w:r>
              <w:rPr>
                <w:rFonts w:ascii="Arial" w:eastAsia="宋体" w:hAnsi="Arial" w:cs="Arial"/>
                <w:color w:val="003C71"/>
                <w:sz w:val="18"/>
                <w:szCs w:val="18"/>
              </w:rPr>
              <w:t>●</w:t>
            </w:r>
          </w:p>
        </w:tc>
        <w:tc>
          <w:tcPr>
            <w:tcW w:w="0" w:type="auto"/>
            <w:shd w:val="clear" w:color="auto" w:fill="auto"/>
            <w:tcMar>
              <w:top w:w="40" w:type="dxa"/>
              <w:left w:w="40" w:type="dxa"/>
              <w:bottom w:w="40" w:type="dxa"/>
              <w:right w:w="40" w:type="dxa"/>
            </w:tcMar>
          </w:tcPr>
          <w:p w14:paraId="4ACE28CD"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We achieved record revenue in 2019 driven by storage and memory bit TAM</w:t>
            </w:r>
            <w:r>
              <w:rPr>
                <w:rFonts w:ascii="Arial" w:eastAsia="宋体" w:hAnsi="Arial" w:cs="Arial"/>
                <w:color w:val="333333"/>
                <w:sz w:val="12"/>
                <w:szCs w:val="12"/>
              </w:rPr>
              <w:t>1</w:t>
            </w:r>
            <w:r>
              <w:rPr>
                <w:rFonts w:ascii="Arial" w:eastAsia="宋体" w:hAnsi="Arial" w:cs="Arial"/>
                <w:color w:val="333333"/>
                <w:sz w:val="18"/>
                <w:szCs w:val="18"/>
              </w:rPr>
              <w:t> growth, despite significant NAND market pricing pressure. We are taking steps to improve NAND profitability.</w:t>
            </w:r>
          </w:p>
        </w:tc>
        <w:tc>
          <w:tcPr>
            <w:tcW w:w="0" w:type="auto"/>
            <w:vMerge/>
            <w:shd w:val="clear" w:color="auto" w:fill="auto"/>
            <w:tcMar>
              <w:top w:w="40" w:type="dxa"/>
              <w:left w:w="40" w:type="dxa"/>
              <w:bottom w:w="40" w:type="dxa"/>
              <w:right w:w="40" w:type="dxa"/>
            </w:tcMar>
          </w:tcPr>
          <w:p w14:paraId="4ACE28CE" w14:textId="77777777" w:rsidR="006F587A" w:rsidRDefault="006F587A">
            <w:pPr>
              <w:rPr>
                <w:rFonts w:ascii="Times New Roman" w:hAnsi="Times New Roman"/>
                <w:sz w:val="20"/>
                <w:szCs w:val="20"/>
              </w:rPr>
            </w:pPr>
          </w:p>
        </w:tc>
      </w:tr>
      <w:tr w:rsidR="006F587A" w14:paraId="4ACE28D3" w14:textId="77777777">
        <w:tc>
          <w:tcPr>
            <w:tcW w:w="0" w:type="auto"/>
            <w:shd w:val="clear" w:color="auto" w:fill="auto"/>
            <w:tcMar>
              <w:top w:w="40" w:type="dxa"/>
              <w:left w:w="40" w:type="dxa"/>
              <w:bottom w:w="40" w:type="dxa"/>
              <w:right w:w="40" w:type="dxa"/>
            </w:tcMar>
          </w:tcPr>
          <w:p w14:paraId="4ACE28D0" w14:textId="77777777" w:rsidR="006F587A" w:rsidRDefault="007B2B61">
            <w:pPr>
              <w:jc w:val="center"/>
              <w:textAlignment w:val="top"/>
              <w:rPr>
                <w:rFonts w:ascii="Times New Roman" w:hAnsi="Times New Roman"/>
                <w:sz w:val="18"/>
                <w:szCs w:val="18"/>
              </w:rPr>
            </w:pPr>
            <w:r>
              <w:rPr>
                <w:rFonts w:ascii="Arial" w:eastAsia="宋体" w:hAnsi="Arial" w:cs="Arial"/>
                <w:color w:val="003C71"/>
                <w:sz w:val="18"/>
                <w:szCs w:val="18"/>
              </w:rPr>
              <w:t>●</w:t>
            </w:r>
          </w:p>
        </w:tc>
        <w:tc>
          <w:tcPr>
            <w:tcW w:w="0" w:type="auto"/>
            <w:shd w:val="clear" w:color="auto" w:fill="auto"/>
            <w:tcMar>
              <w:top w:w="40" w:type="dxa"/>
              <w:left w:w="40" w:type="dxa"/>
              <w:bottom w:w="40" w:type="dxa"/>
              <w:right w:w="40" w:type="dxa"/>
            </w:tcMar>
          </w:tcPr>
          <w:p w14:paraId="4ACE28D1"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We launched Intel</w:t>
            </w:r>
            <w:r>
              <w:rPr>
                <w:rFonts w:ascii="Arial" w:eastAsia="宋体" w:hAnsi="Arial" w:cs="Arial"/>
                <w:color w:val="333333"/>
                <w:sz w:val="12"/>
                <w:szCs w:val="12"/>
              </w:rPr>
              <w:t>®</w:t>
            </w:r>
            <w:r>
              <w:rPr>
                <w:rFonts w:ascii="Arial" w:eastAsia="宋体" w:hAnsi="Arial" w:cs="Arial"/>
                <w:color w:val="333333"/>
                <w:sz w:val="18"/>
                <w:szCs w:val="18"/>
              </w:rPr>
              <w:t xml:space="preserve"> Optane™ memory H10 with Solid State </w:t>
            </w:r>
            <w:r>
              <w:rPr>
                <w:rFonts w:ascii="Arial" w:eastAsia="宋体" w:hAnsi="Arial" w:cs="Arial"/>
                <w:color w:val="333333"/>
                <w:sz w:val="18"/>
                <w:szCs w:val="18"/>
              </w:rPr>
              <w:t>Storage, the first to deliver responsiveness and capacity for the PC with the combination of Intel</w:t>
            </w:r>
            <w:r>
              <w:rPr>
                <w:rFonts w:ascii="Arial" w:eastAsia="宋体" w:hAnsi="Arial" w:cs="Arial"/>
                <w:color w:val="333333"/>
                <w:sz w:val="12"/>
                <w:szCs w:val="12"/>
              </w:rPr>
              <w:t>®</w:t>
            </w:r>
            <w:r>
              <w:rPr>
                <w:rFonts w:ascii="Arial" w:eastAsia="宋体" w:hAnsi="Arial" w:cs="Arial"/>
                <w:color w:val="333333"/>
                <w:sz w:val="18"/>
                <w:szCs w:val="18"/>
              </w:rPr>
              <w:t> Optane™ memory and Intel</w:t>
            </w:r>
            <w:r>
              <w:rPr>
                <w:rFonts w:ascii="Arial" w:eastAsia="宋体" w:hAnsi="Arial" w:cs="Arial"/>
                <w:color w:val="333333"/>
                <w:sz w:val="12"/>
                <w:szCs w:val="12"/>
              </w:rPr>
              <w:t>®</w:t>
            </w:r>
            <w:r>
              <w:rPr>
                <w:rFonts w:ascii="Arial" w:eastAsia="宋体" w:hAnsi="Arial" w:cs="Arial"/>
                <w:color w:val="333333"/>
                <w:sz w:val="18"/>
                <w:szCs w:val="18"/>
              </w:rPr>
              <w:t xml:space="preserve"> QLC 3D NAND technology for thin-and-light notebooks and space-constrained platforms. </w:t>
            </w:r>
          </w:p>
        </w:tc>
        <w:tc>
          <w:tcPr>
            <w:tcW w:w="0" w:type="auto"/>
            <w:vMerge/>
            <w:shd w:val="clear" w:color="auto" w:fill="auto"/>
            <w:tcMar>
              <w:top w:w="40" w:type="dxa"/>
              <w:left w:w="40" w:type="dxa"/>
              <w:bottom w:w="40" w:type="dxa"/>
              <w:right w:w="40" w:type="dxa"/>
            </w:tcMar>
          </w:tcPr>
          <w:p w14:paraId="4ACE28D2" w14:textId="77777777" w:rsidR="006F587A" w:rsidRDefault="006F587A">
            <w:pPr>
              <w:rPr>
                <w:rFonts w:ascii="Times New Roman" w:hAnsi="Times New Roman"/>
                <w:sz w:val="20"/>
                <w:szCs w:val="20"/>
              </w:rPr>
            </w:pPr>
          </w:p>
        </w:tc>
      </w:tr>
      <w:tr w:rsidR="006F587A" w14:paraId="4ACE28D7" w14:textId="77777777">
        <w:tc>
          <w:tcPr>
            <w:tcW w:w="0" w:type="auto"/>
            <w:shd w:val="clear" w:color="auto" w:fill="auto"/>
            <w:tcMar>
              <w:top w:w="40" w:type="dxa"/>
              <w:left w:w="40" w:type="dxa"/>
              <w:bottom w:w="40" w:type="dxa"/>
              <w:right w:w="40" w:type="dxa"/>
            </w:tcMar>
          </w:tcPr>
          <w:p w14:paraId="4ACE28D4" w14:textId="77777777" w:rsidR="006F587A" w:rsidRDefault="007B2B61">
            <w:pPr>
              <w:jc w:val="center"/>
              <w:textAlignment w:val="top"/>
              <w:rPr>
                <w:rFonts w:ascii="Times New Roman" w:hAnsi="Times New Roman"/>
                <w:sz w:val="18"/>
                <w:szCs w:val="18"/>
              </w:rPr>
            </w:pPr>
            <w:r>
              <w:rPr>
                <w:rFonts w:ascii="Arial" w:eastAsia="宋体" w:hAnsi="Arial" w:cs="Arial"/>
                <w:color w:val="003C71"/>
                <w:sz w:val="18"/>
                <w:szCs w:val="18"/>
              </w:rPr>
              <w:t>●</w:t>
            </w:r>
          </w:p>
        </w:tc>
        <w:tc>
          <w:tcPr>
            <w:tcW w:w="0" w:type="auto"/>
            <w:shd w:val="clear" w:color="auto" w:fill="auto"/>
            <w:tcMar>
              <w:top w:w="40" w:type="dxa"/>
              <w:left w:w="40" w:type="dxa"/>
              <w:bottom w:w="40" w:type="dxa"/>
              <w:right w:w="40" w:type="dxa"/>
            </w:tcMar>
          </w:tcPr>
          <w:p w14:paraId="4ACE28D5"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We launched the Intel</w:t>
            </w:r>
            <w:r>
              <w:rPr>
                <w:rFonts w:ascii="Arial" w:eastAsia="宋体" w:hAnsi="Arial" w:cs="Arial"/>
                <w:color w:val="333333"/>
                <w:sz w:val="12"/>
                <w:szCs w:val="12"/>
              </w:rPr>
              <w:t>®</w:t>
            </w:r>
            <w:r>
              <w:rPr>
                <w:rFonts w:ascii="Arial" w:eastAsia="宋体" w:hAnsi="Arial" w:cs="Arial"/>
                <w:color w:val="333333"/>
                <w:sz w:val="18"/>
                <w:szCs w:val="18"/>
              </w:rPr>
              <w:t> Optane™ SSD DC D4</w:t>
            </w:r>
            <w:r>
              <w:rPr>
                <w:rFonts w:ascii="Arial" w:eastAsia="宋体" w:hAnsi="Arial" w:cs="Arial"/>
                <w:color w:val="333333"/>
                <w:sz w:val="18"/>
                <w:szCs w:val="18"/>
              </w:rPr>
              <w:t>800X, the first dual-port SSD with Intel</w:t>
            </w:r>
            <w:r>
              <w:rPr>
                <w:rFonts w:ascii="Arial" w:eastAsia="宋体" w:hAnsi="Arial" w:cs="Arial"/>
                <w:color w:val="333333"/>
                <w:sz w:val="12"/>
                <w:szCs w:val="12"/>
              </w:rPr>
              <w:t>®</w:t>
            </w:r>
            <w:r>
              <w:rPr>
                <w:rFonts w:ascii="Arial" w:eastAsia="宋体" w:hAnsi="Arial" w:cs="Arial"/>
                <w:color w:val="333333"/>
                <w:sz w:val="18"/>
                <w:szCs w:val="18"/>
              </w:rPr>
              <w:t xml:space="preserve"> Optane technology with redundant data paths for data availability, and industry-leading combination of high throughput and low latency for mission-critical </w:t>
            </w:r>
            <w:r>
              <w:rPr>
                <w:rFonts w:ascii="Arial" w:eastAsia="宋体" w:hAnsi="Arial" w:cs="Arial"/>
                <w:color w:val="333333"/>
                <w:sz w:val="18"/>
                <w:szCs w:val="18"/>
              </w:rPr>
              <w:lastRenderedPageBreak/>
              <w:t xml:space="preserve">enterprise storage solutions. </w:t>
            </w:r>
          </w:p>
        </w:tc>
        <w:tc>
          <w:tcPr>
            <w:tcW w:w="0" w:type="auto"/>
            <w:vMerge/>
            <w:shd w:val="clear" w:color="auto" w:fill="auto"/>
            <w:tcMar>
              <w:top w:w="40" w:type="dxa"/>
              <w:left w:w="40" w:type="dxa"/>
              <w:bottom w:w="40" w:type="dxa"/>
              <w:right w:w="40" w:type="dxa"/>
            </w:tcMar>
          </w:tcPr>
          <w:p w14:paraId="4ACE28D6" w14:textId="77777777" w:rsidR="006F587A" w:rsidRDefault="006F587A">
            <w:pPr>
              <w:rPr>
                <w:rFonts w:ascii="Times New Roman" w:hAnsi="Times New Roman"/>
                <w:sz w:val="20"/>
                <w:szCs w:val="20"/>
              </w:rPr>
            </w:pPr>
          </w:p>
        </w:tc>
      </w:tr>
      <w:tr w:rsidR="006F587A" w14:paraId="4ACE28DC" w14:textId="77777777">
        <w:tc>
          <w:tcPr>
            <w:tcW w:w="0" w:type="auto"/>
            <w:shd w:val="clear" w:color="auto" w:fill="auto"/>
            <w:tcMar>
              <w:top w:w="40" w:type="dxa"/>
              <w:left w:w="40" w:type="dxa"/>
              <w:bottom w:w="40" w:type="dxa"/>
              <w:right w:w="40" w:type="dxa"/>
            </w:tcMar>
          </w:tcPr>
          <w:p w14:paraId="4ACE28D8" w14:textId="77777777" w:rsidR="006F587A" w:rsidRDefault="007B2B61">
            <w:pPr>
              <w:jc w:val="center"/>
              <w:textAlignment w:val="top"/>
              <w:rPr>
                <w:rFonts w:ascii="Times New Roman" w:hAnsi="Times New Roman"/>
                <w:sz w:val="18"/>
                <w:szCs w:val="18"/>
              </w:rPr>
            </w:pPr>
            <w:r>
              <w:rPr>
                <w:rFonts w:ascii="Arial" w:eastAsia="宋体" w:hAnsi="Arial" w:cs="Arial"/>
                <w:color w:val="003C71"/>
                <w:sz w:val="18"/>
                <w:szCs w:val="18"/>
              </w:rPr>
              <w:t>●</w:t>
            </w:r>
          </w:p>
        </w:tc>
        <w:tc>
          <w:tcPr>
            <w:tcW w:w="0" w:type="auto"/>
            <w:shd w:val="clear" w:color="auto" w:fill="auto"/>
            <w:tcMar>
              <w:top w:w="40" w:type="dxa"/>
              <w:left w:w="40" w:type="dxa"/>
              <w:bottom w:w="40" w:type="dxa"/>
              <w:right w:w="40" w:type="dxa"/>
            </w:tcMar>
          </w:tcPr>
          <w:p w14:paraId="4ACE28D9"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Our product roadmap inc</w:t>
            </w:r>
            <w:r>
              <w:rPr>
                <w:rFonts w:ascii="Arial" w:eastAsia="宋体" w:hAnsi="Arial" w:cs="Arial"/>
                <w:color w:val="333333"/>
                <w:sz w:val="18"/>
                <w:szCs w:val="18"/>
              </w:rPr>
              <w:t>ludes our next generation of Intel</w:t>
            </w:r>
            <w:r>
              <w:rPr>
                <w:rFonts w:ascii="Arial" w:eastAsia="宋体" w:hAnsi="Arial" w:cs="Arial"/>
                <w:color w:val="333333"/>
                <w:sz w:val="12"/>
                <w:szCs w:val="12"/>
              </w:rPr>
              <w:t>®</w:t>
            </w:r>
            <w:r>
              <w:rPr>
                <w:rFonts w:ascii="Arial" w:eastAsia="宋体" w:hAnsi="Arial" w:cs="Arial"/>
                <w:color w:val="333333"/>
                <w:sz w:val="18"/>
                <w:szCs w:val="18"/>
              </w:rPr>
              <w:t> Optane™ DC persistent memory and our 2nd generation Intel</w:t>
            </w:r>
            <w:r>
              <w:rPr>
                <w:rFonts w:ascii="Arial" w:eastAsia="宋体" w:hAnsi="Arial" w:cs="Arial"/>
                <w:color w:val="333333"/>
                <w:sz w:val="12"/>
                <w:szCs w:val="12"/>
              </w:rPr>
              <w:t>®</w:t>
            </w:r>
            <w:r>
              <w:rPr>
                <w:rFonts w:ascii="Arial" w:eastAsia="宋体" w:hAnsi="Arial" w:cs="Arial"/>
                <w:color w:val="333333"/>
                <w:sz w:val="18"/>
                <w:szCs w:val="18"/>
              </w:rPr>
              <w:t> Optane™ SSD, which are being developed in the new center of Intel</w:t>
            </w:r>
            <w:r>
              <w:rPr>
                <w:rFonts w:ascii="Arial" w:eastAsia="宋体" w:hAnsi="Arial" w:cs="Arial"/>
                <w:color w:val="333333"/>
                <w:sz w:val="12"/>
                <w:szCs w:val="12"/>
              </w:rPr>
              <w:t>®</w:t>
            </w:r>
            <w:r>
              <w:rPr>
                <w:rFonts w:ascii="Arial" w:eastAsia="宋体" w:hAnsi="Arial" w:cs="Arial"/>
                <w:color w:val="333333"/>
                <w:sz w:val="18"/>
                <w:szCs w:val="18"/>
              </w:rPr>
              <w:t xml:space="preserve"> Optane technology advancement at Intel’s Fab 11x in New Mexico. </w:t>
            </w:r>
          </w:p>
          <w:p w14:paraId="4ACE28DA" w14:textId="77777777" w:rsidR="006F587A" w:rsidRDefault="006F587A">
            <w:pPr>
              <w:textAlignment w:val="top"/>
              <w:rPr>
                <w:rFonts w:ascii="Times New Roman" w:hAnsi="Times New Roman"/>
                <w:sz w:val="18"/>
                <w:szCs w:val="18"/>
              </w:rPr>
            </w:pPr>
          </w:p>
        </w:tc>
        <w:tc>
          <w:tcPr>
            <w:tcW w:w="0" w:type="auto"/>
            <w:vMerge/>
            <w:shd w:val="clear" w:color="auto" w:fill="auto"/>
            <w:tcMar>
              <w:top w:w="40" w:type="dxa"/>
              <w:left w:w="40" w:type="dxa"/>
              <w:bottom w:w="40" w:type="dxa"/>
              <w:right w:w="40" w:type="dxa"/>
            </w:tcMar>
          </w:tcPr>
          <w:p w14:paraId="4ACE28DB" w14:textId="77777777" w:rsidR="006F587A" w:rsidRDefault="006F587A">
            <w:pPr>
              <w:rPr>
                <w:rFonts w:ascii="Times New Roman" w:hAnsi="Times New Roman"/>
                <w:sz w:val="20"/>
                <w:szCs w:val="20"/>
              </w:rPr>
            </w:pPr>
          </w:p>
        </w:tc>
      </w:tr>
    </w:tbl>
    <w:p w14:paraId="4ACE28DD" w14:textId="77777777" w:rsidR="006F587A" w:rsidRDefault="006F587A">
      <w:pPr>
        <w:rPr>
          <w:vanish/>
        </w:rPr>
      </w:pPr>
    </w:p>
    <w:tbl>
      <w:tblPr>
        <w:tblW w:w="14640" w:type="dxa"/>
        <w:tblCellMar>
          <w:left w:w="0" w:type="dxa"/>
          <w:right w:w="0" w:type="dxa"/>
        </w:tblCellMar>
        <w:tblLook w:val="04A0" w:firstRow="1" w:lastRow="0" w:firstColumn="1" w:lastColumn="0" w:noHBand="0" w:noVBand="1"/>
      </w:tblPr>
      <w:tblGrid>
        <w:gridCol w:w="14640"/>
      </w:tblGrid>
      <w:tr w:rsidR="006F587A" w14:paraId="4ACE28DF" w14:textId="77777777">
        <w:tc>
          <w:tcPr>
            <w:tcW w:w="0" w:type="auto"/>
            <w:shd w:val="clear" w:color="auto" w:fill="auto"/>
            <w:vAlign w:val="center"/>
          </w:tcPr>
          <w:p w14:paraId="4ACE28DE" w14:textId="77777777" w:rsidR="006F587A" w:rsidRDefault="006F587A">
            <w:pPr>
              <w:rPr>
                <w:rFonts w:ascii="Times New Roman" w:hAnsi="Times New Roman"/>
                <w:sz w:val="20"/>
                <w:szCs w:val="20"/>
              </w:rPr>
            </w:pPr>
          </w:p>
        </w:tc>
      </w:tr>
      <w:tr w:rsidR="006F587A" w14:paraId="4ACE28E1" w14:textId="77777777">
        <w:tc>
          <w:tcPr>
            <w:tcW w:w="14640" w:type="dxa"/>
            <w:shd w:val="clear" w:color="auto" w:fill="auto"/>
            <w:vAlign w:val="center"/>
          </w:tcPr>
          <w:p w14:paraId="4ACE28E0" w14:textId="77777777" w:rsidR="006F587A" w:rsidRDefault="006F587A">
            <w:pPr>
              <w:rPr>
                <w:rFonts w:ascii="Times New Roman" w:hAnsi="Times New Roman"/>
                <w:sz w:val="20"/>
                <w:szCs w:val="20"/>
              </w:rPr>
            </w:pPr>
          </w:p>
        </w:tc>
      </w:tr>
      <w:tr w:rsidR="006F587A" w14:paraId="4ACE28E3" w14:textId="77777777">
        <w:tc>
          <w:tcPr>
            <w:tcW w:w="0" w:type="auto"/>
            <w:tcBorders>
              <w:bottom w:val="single" w:sz="8" w:space="0" w:color="333333"/>
            </w:tcBorders>
            <w:shd w:val="clear" w:color="auto" w:fill="auto"/>
            <w:tcMar>
              <w:top w:w="40" w:type="dxa"/>
              <w:left w:w="40" w:type="dxa"/>
              <w:bottom w:w="40" w:type="dxa"/>
              <w:right w:w="40" w:type="dxa"/>
            </w:tcMar>
            <w:vAlign w:val="bottom"/>
          </w:tcPr>
          <w:p w14:paraId="4ACE28E2" w14:textId="77777777" w:rsidR="006F587A" w:rsidRDefault="007B2B61">
            <w:pPr>
              <w:textAlignment w:val="bottom"/>
              <w:rPr>
                <w:rFonts w:ascii="Times New Roman" w:hAnsi="Times New Roman"/>
                <w:sz w:val="20"/>
                <w:szCs w:val="20"/>
              </w:rPr>
            </w:pPr>
            <w:r>
              <w:rPr>
                <w:rFonts w:ascii="Arial" w:eastAsia="宋体" w:hAnsi="Arial" w:cs="Arial"/>
                <w:b/>
                <w:bCs/>
                <w:color w:val="0071C5"/>
                <w:sz w:val="20"/>
                <w:szCs w:val="20"/>
              </w:rPr>
              <w:t>5-YEAR TRENDS</w:t>
            </w:r>
          </w:p>
        </w:tc>
      </w:tr>
    </w:tbl>
    <w:p w14:paraId="4ACE28E4" w14:textId="77777777" w:rsidR="006F587A" w:rsidRDefault="007B2B61">
      <w:pPr>
        <w:spacing w:line="288" w:lineRule="auto"/>
        <w:rPr>
          <w:rFonts w:ascii="Times New Roman" w:hAnsi="Times New Roman"/>
          <w:sz w:val="20"/>
          <w:szCs w:val="20"/>
        </w:rPr>
      </w:pPr>
      <w:r>
        <w:rPr>
          <w:rFonts w:ascii="Arial" w:eastAsia="宋体" w:hAnsi="Arial" w:cs="Arial"/>
          <w:color w:val="333333"/>
          <w:sz w:val="18"/>
          <w:szCs w:val="18"/>
        </w:rPr>
        <w:t>    </w:t>
      </w: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Viewer12_files/chart17_nsg5yrrev.jpg"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F8" wp14:editId="4ACE6CF9">
            <wp:extent cx="304800" cy="304800"/>
            <wp:effectExtent l="0" t="0" r="0" b="0"/>
            <wp:docPr id="251" name="图片 159" descr="IMG_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159" descr="IMG_35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r>
        <w:rPr>
          <w:rFonts w:ascii="Arial" w:eastAsia="宋体" w:hAnsi="Arial" w:cs="Arial"/>
          <w:color w:val="333333"/>
          <w:sz w:val="18"/>
          <w:szCs w:val="18"/>
        </w:rPr>
        <w:t xml:space="preserve"> </w:t>
      </w: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/INTEL/./Inline XBRL Viewer12_files/cha</w:instrText>
      </w:r>
      <w:r>
        <w:rPr>
          <w:rFonts w:ascii="Times New Roman" w:eastAsia="宋体" w:hAnsi="Times New Roman"/>
          <w:sz w:val="20"/>
          <w:szCs w:val="20"/>
        </w:rPr>
        <w:instrText xml:space="preserve">rt18_nsg5yropincome.jpg"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CFA" wp14:editId="4ACE6CFB">
            <wp:extent cx="304800" cy="304800"/>
            <wp:effectExtent l="0" t="0" r="0" b="0"/>
            <wp:docPr id="252" name="图片 160" descr="IMG_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160" descr="IMG_35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bl>
      <w:tblPr>
        <w:tblW w:w="14640" w:type="dxa"/>
        <w:tblCellMar>
          <w:left w:w="0" w:type="dxa"/>
          <w:right w:w="0" w:type="dxa"/>
        </w:tblCellMar>
        <w:tblLook w:val="04A0" w:firstRow="1" w:lastRow="0" w:firstColumn="1" w:lastColumn="0" w:noHBand="0" w:noVBand="1"/>
      </w:tblPr>
      <w:tblGrid>
        <w:gridCol w:w="1564"/>
        <w:gridCol w:w="1805"/>
        <w:gridCol w:w="2667"/>
        <w:gridCol w:w="2888"/>
        <w:gridCol w:w="2086"/>
        <w:gridCol w:w="3229"/>
        <w:gridCol w:w="401"/>
      </w:tblGrid>
      <w:tr w:rsidR="006F587A" w14:paraId="4ACE28E6" w14:textId="77777777">
        <w:tc>
          <w:tcPr>
            <w:tcW w:w="0" w:type="auto"/>
            <w:gridSpan w:val="7"/>
            <w:shd w:val="clear" w:color="auto" w:fill="auto"/>
            <w:vAlign w:val="center"/>
          </w:tcPr>
          <w:p w14:paraId="4ACE28E5" w14:textId="77777777" w:rsidR="006F587A" w:rsidRDefault="006F587A">
            <w:pPr>
              <w:rPr>
                <w:rFonts w:ascii="Times New Roman" w:hAnsi="Times New Roman"/>
                <w:sz w:val="20"/>
                <w:szCs w:val="20"/>
              </w:rPr>
            </w:pPr>
          </w:p>
        </w:tc>
      </w:tr>
      <w:tr w:rsidR="006F587A" w14:paraId="4ACE28EE" w14:textId="77777777">
        <w:tc>
          <w:tcPr>
            <w:tcW w:w="1560" w:type="dxa"/>
            <w:shd w:val="clear" w:color="auto" w:fill="auto"/>
            <w:vAlign w:val="center"/>
          </w:tcPr>
          <w:p w14:paraId="4ACE28E7" w14:textId="77777777" w:rsidR="006F587A" w:rsidRDefault="006F587A">
            <w:pPr>
              <w:rPr>
                <w:rFonts w:ascii="Times New Roman" w:hAnsi="Times New Roman"/>
                <w:sz w:val="20"/>
                <w:szCs w:val="20"/>
              </w:rPr>
            </w:pPr>
          </w:p>
        </w:tc>
        <w:tc>
          <w:tcPr>
            <w:tcW w:w="1800" w:type="dxa"/>
            <w:shd w:val="clear" w:color="auto" w:fill="auto"/>
            <w:vAlign w:val="center"/>
          </w:tcPr>
          <w:p w14:paraId="4ACE28E8" w14:textId="77777777" w:rsidR="006F587A" w:rsidRDefault="006F587A">
            <w:pPr>
              <w:rPr>
                <w:rFonts w:ascii="Times New Roman" w:hAnsi="Times New Roman"/>
                <w:sz w:val="20"/>
                <w:szCs w:val="20"/>
              </w:rPr>
            </w:pPr>
          </w:p>
        </w:tc>
        <w:tc>
          <w:tcPr>
            <w:tcW w:w="2660" w:type="dxa"/>
            <w:shd w:val="clear" w:color="auto" w:fill="auto"/>
            <w:vAlign w:val="center"/>
          </w:tcPr>
          <w:p w14:paraId="4ACE28E9" w14:textId="77777777" w:rsidR="006F587A" w:rsidRDefault="006F587A">
            <w:pPr>
              <w:rPr>
                <w:rFonts w:ascii="Times New Roman" w:hAnsi="Times New Roman"/>
                <w:sz w:val="20"/>
                <w:szCs w:val="20"/>
              </w:rPr>
            </w:pPr>
          </w:p>
        </w:tc>
        <w:tc>
          <w:tcPr>
            <w:tcW w:w="2880" w:type="dxa"/>
            <w:shd w:val="clear" w:color="auto" w:fill="auto"/>
            <w:vAlign w:val="center"/>
          </w:tcPr>
          <w:p w14:paraId="4ACE28EA" w14:textId="77777777" w:rsidR="006F587A" w:rsidRDefault="006F587A">
            <w:pPr>
              <w:rPr>
                <w:rFonts w:ascii="Times New Roman" w:hAnsi="Times New Roman"/>
                <w:sz w:val="20"/>
                <w:szCs w:val="20"/>
              </w:rPr>
            </w:pPr>
          </w:p>
        </w:tc>
        <w:tc>
          <w:tcPr>
            <w:tcW w:w="2080" w:type="dxa"/>
            <w:shd w:val="clear" w:color="auto" w:fill="auto"/>
            <w:vAlign w:val="center"/>
          </w:tcPr>
          <w:p w14:paraId="4ACE28EB" w14:textId="77777777" w:rsidR="006F587A" w:rsidRDefault="006F587A">
            <w:pPr>
              <w:rPr>
                <w:rFonts w:ascii="Times New Roman" w:hAnsi="Times New Roman"/>
                <w:sz w:val="20"/>
                <w:szCs w:val="20"/>
              </w:rPr>
            </w:pPr>
          </w:p>
        </w:tc>
        <w:tc>
          <w:tcPr>
            <w:tcW w:w="3220" w:type="dxa"/>
            <w:shd w:val="clear" w:color="auto" w:fill="auto"/>
            <w:vAlign w:val="center"/>
          </w:tcPr>
          <w:p w14:paraId="4ACE28EC" w14:textId="77777777" w:rsidR="006F587A" w:rsidRDefault="006F587A">
            <w:pPr>
              <w:rPr>
                <w:rFonts w:ascii="Times New Roman" w:hAnsi="Times New Roman"/>
                <w:sz w:val="20"/>
                <w:szCs w:val="20"/>
              </w:rPr>
            </w:pPr>
          </w:p>
        </w:tc>
        <w:tc>
          <w:tcPr>
            <w:tcW w:w="400" w:type="dxa"/>
            <w:shd w:val="clear" w:color="auto" w:fill="auto"/>
            <w:vAlign w:val="center"/>
          </w:tcPr>
          <w:p w14:paraId="4ACE28ED" w14:textId="77777777" w:rsidR="006F587A" w:rsidRDefault="006F587A">
            <w:pPr>
              <w:rPr>
                <w:rFonts w:ascii="Times New Roman" w:hAnsi="Times New Roman"/>
                <w:sz w:val="20"/>
                <w:szCs w:val="20"/>
              </w:rPr>
            </w:pPr>
          </w:p>
        </w:tc>
      </w:tr>
      <w:tr w:rsidR="006F587A" w14:paraId="4ACE28F6" w14:textId="77777777">
        <w:tc>
          <w:tcPr>
            <w:tcW w:w="0" w:type="auto"/>
            <w:shd w:val="clear" w:color="auto" w:fill="auto"/>
            <w:tcMar>
              <w:top w:w="40" w:type="dxa"/>
              <w:left w:w="40" w:type="dxa"/>
              <w:bottom w:w="40" w:type="dxa"/>
              <w:right w:w="40" w:type="dxa"/>
            </w:tcMar>
            <w:vAlign w:val="bottom"/>
          </w:tcPr>
          <w:p w14:paraId="4ACE28E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28F0" w14:textId="77777777" w:rsidR="006F587A" w:rsidRDefault="007B2B61">
            <w:pPr>
              <w:textAlignment w:val="top"/>
              <w:rPr>
                <w:rFonts w:ascii="Times New Roman" w:hAnsi="Times New Roman"/>
                <w:sz w:val="16"/>
                <w:szCs w:val="16"/>
              </w:rPr>
            </w:pPr>
            <w:r>
              <w:rPr>
                <w:rFonts w:ascii="Arial" w:eastAsia="宋体" w:hAnsi="Arial" w:cs="Arial"/>
                <w:color w:val="003C71"/>
                <w:sz w:val="16"/>
                <w:szCs w:val="16"/>
              </w:rPr>
              <w:t xml:space="preserve">■ </w:t>
            </w:r>
            <w:r>
              <w:rPr>
                <w:rFonts w:ascii="Arial" w:eastAsia="宋体" w:hAnsi="Arial" w:cs="Arial"/>
                <w:color w:val="333333"/>
                <w:sz w:val="16"/>
                <w:szCs w:val="16"/>
              </w:rPr>
              <w:t>Revenue $B</w:t>
            </w:r>
          </w:p>
        </w:tc>
        <w:tc>
          <w:tcPr>
            <w:tcW w:w="0" w:type="auto"/>
            <w:shd w:val="clear" w:color="auto" w:fill="auto"/>
            <w:tcMar>
              <w:top w:w="40" w:type="dxa"/>
              <w:left w:w="40" w:type="dxa"/>
              <w:bottom w:w="40" w:type="dxa"/>
              <w:right w:w="40" w:type="dxa"/>
            </w:tcMar>
          </w:tcPr>
          <w:p w14:paraId="4ACE28F1" w14:textId="77777777" w:rsidR="006F587A" w:rsidRDefault="007B2B61">
            <w:pPr>
              <w:textAlignment w:val="top"/>
              <w:rPr>
                <w:rFonts w:ascii="Times New Roman" w:hAnsi="Times New Roman"/>
                <w:sz w:val="16"/>
                <w:szCs w:val="16"/>
              </w:rPr>
            </w:pPr>
            <w:r>
              <w:rPr>
                <w:rFonts w:ascii="Arial" w:eastAsia="宋体" w:hAnsi="Arial" w:cs="Arial"/>
                <w:b/>
                <w:bCs/>
                <w:color w:val="FAAC16"/>
                <w:sz w:val="16"/>
                <w:szCs w:val="16"/>
              </w:rPr>
              <w:t xml:space="preserve">— </w:t>
            </w:r>
            <w:r>
              <w:rPr>
                <w:rFonts w:ascii="Arial" w:eastAsia="宋体" w:hAnsi="Arial" w:cs="Arial"/>
                <w:color w:val="333333"/>
                <w:sz w:val="16"/>
                <w:szCs w:val="16"/>
              </w:rPr>
              <w:t>Year over Year Growth</w:t>
            </w:r>
          </w:p>
        </w:tc>
        <w:tc>
          <w:tcPr>
            <w:tcW w:w="0" w:type="auto"/>
            <w:shd w:val="clear" w:color="auto" w:fill="auto"/>
            <w:tcMar>
              <w:top w:w="40" w:type="dxa"/>
              <w:left w:w="40" w:type="dxa"/>
              <w:bottom w:w="40" w:type="dxa"/>
              <w:right w:w="40" w:type="dxa"/>
            </w:tcMar>
            <w:vAlign w:val="bottom"/>
          </w:tcPr>
          <w:p w14:paraId="4ACE28F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28F3" w14:textId="77777777" w:rsidR="006F587A" w:rsidRDefault="007B2B61">
            <w:pPr>
              <w:textAlignment w:val="top"/>
              <w:rPr>
                <w:rFonts w:ascii="Times New Roman" w:hAnsi="Times New Roman"/>
                <w:sz w:val="16"/>
                <w:szCs w:val="16"/>
              </w:rPr>
            </w:pPr>
            <w:r>
              <w:rPr>
                <w:rFonts w:ascii="Arial" w:eastAsia="宋体" w:hAnsi="Arial" w:cs="Arial"/>
                <w:color w:val="00AEEF"/>
                <w:sz w:val="16"/>
                <w:szCs w:val="16"/>
              </w:rPr>
              <w:t>■</w:t>
            </w:r>
            <w:r>
              <w:rPr>
                <w:rFonts w:ascii="Arial" w:eastAsia="宋体" w:hAnsi="Arial" w:cs="Arial"/>
                <w:color w:val="333333"/>
                <w:sz w:val="16"/>
                <w:szCs w:val="16"/>
              </w:rPr>
              <w:t> Op Income $B</w:t>
            </w:r>
          </w:p>
        </w:tc>
        <w:tc>
          <w:tcPr>
            <w:tcW w:w="0" w:type="auto"/>
            <w:shd w:val="clear" w:color="auto" w:fill="auto"/>
            <w:tcMar>
              <w:top w:w="40" w:type="dxa"/>
              <w:left w:w="40" w:type="dxa"/>
              <w:bottom w:w="40" w:type="dxa"/>
              <w:right w:w="40" w:type="dxa"/>
            </w:tcMar>
            <w:vAlign w:val="bottom"/>
          </w:tcPr>
          <w:p w14:paraId="4ACE28F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8F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bl>
    <w:p w14:paraId="4ACE28F7" w14:textId="77777777" w:rsidR="006F587A" w:rsidRDefault="007B2B61">
      <w:pPr>
        <w:spacing w:line="288" w:lineRule="auto"/>
        <w:rPr>
          <w:rFonts w:ascii="Times New Roman" w:hAnsi="Times New Roman"/>
          <w:sz w:val="16"/>
          <w:szCs w:val="16"/>
        </w:rPr>
      </w:pPr>
      <w:r>
        <w:rPr>
          <w:rFonts w:ascii="Arial" w:eastAsia="宋体" w:hAnsi="Arial" w:cs="Arial"/>
          <w:i/>
          <w:iCs/>
          <w:color w:val="333333"/>
          <w:sz w:val="10"/>
          <w:szCs w:val="10"/>
        </w:rPr>
        <w:t xml:space="preserve">1 </w:t>
      </w:r>
      <w:r>
        <w:rPr>
          <w:rFonts w:ascii="Arial" w:eastAsia="宋体" w:hAnsi="Arial" w:cs="Arial"/>
          <w:i/>
          <w:iCs/>
          <w:color w:val="333333"/>
          <w:sz w:val="16"/>
          <w:szCs w:val="16"/>
        </w:rPr>
        <w:t>Source: Intel calculated TAM growth derived from industry analyst reports.</w:t>
      </w:r>
    </w:p>
    <w:p w14:paraId="4ACE28F8"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408"/>
        <w:gridCol w:w="2409"/>
        <w:gridCol w:w="3489"/>
      </w:tblGrid>
      <w:tr w:rsidR="006F587A" w14:paraId="4ACE28FA" w14:textId="77777777">
        <w:tc>
          <w:tcPr>
            <w:tcW w:w="0" w:type="auto"/>
            <w:gridSpan w:val="3"/>
            <w:shd w:val="clear" w:color="auto" w:fill="auto"/>
            <w:vAlign w:val="center"/>
          </w:tcPr>
          <w:p w14:paraId="4ACE28F9" w14:textId="77777777" w:rsidR="006F587A" w:rsidRDefault="006F587A">
            <w:pPr>
              <w:rPr>
                <w:rFonts w:ascii="Times New Roman" w:hAnsi="Times New Roman"/>
                <w:sz w:val="20"/>
                <w:szCs w:val="20"/>
              </w:rPr>
            </w:pPr>
          </w:p>
        </w:tc>
      </w:tr>
      <w:tr w:rsidR="006F587A" w14:paraId="4ACE28FE" w14:textId="77777777">
        <w:tc>
          <w:tcPr>
            <w:tcW w:w="1450" w:type="pct"/>
            <w:shd w:val="clear" w:color="auto" w:fill="auto"/>
            <w:vAlign w:val="center"/>
          </w:tcPr>
          <w:p w14:paraId="4ACE28FB" w14:textId="77777777" w:rsidR="006F587A" w:rsidRDefault="006F587A">
            <w:pPr>
              <w:rPr>
                <w:rFonts w:ascii="Times New Roman" w:hAnsi="Times New Roman"/>
                <w:sz w:val="20"/>
                <w:szCs w:val="20"/>
              </w:rPr>
            </w:pPr>
          </w:p>
        </w:tc>
        <w:tc>
          <w:tcPr>
            <w:tcW w:w="1450" w:type="pct"/>
            <w:shd w:val="clear" w:color="auto" w:fill="auto"/>
            <w:vAlign w:val="center"/>
          </w:tcPr>
          <w:p w14:paraId="4ACE28FC" w14:textId="77777777" w:rsidR="006F587A" w:rsidRDefault="006F587A">
            <w:pPr>
              <w:rPr>
                <w:rFonts w:ascii="Times New Roman" w:hAnsi="Times New Roman"/>
                <w:sz w:val="20"/>
                <w:szCs w:val="20"/>
              </w:rPr>
            </w:pPr>
          </w:p>
        </w:tc>
        <w:tc>
          <w:tcPr>
            <w:tcW w:w="2100" w:type="pct"/>
            <w:shd w:val="clear" w:color="auto" w:fill="auto"/>
            <w:vAlign w:val="center"/>
          </w:tcPr>
          <w:p w14:paraId="4ACE28FD" w14:textId="77777777" w:rsidR="006F587A" w:rsidRDefault="006F587A">
            <w:pPr>
              <w:rPr>
                <w:rFonts w:ascii="Times New Roman" w:hAnsi="Times New Roman"/>
                <w:sz w:val="20"/>
                <w:szCs w:val="20"/>
              </w:rPr>
            </w:pPr>
          </w:p>
        </w:tc>
      </w:tr>
      <w:tr w:rsidR="006F587A" w14:paraId="4ACE2902"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28FF" w14:textId="77777777" w:rsidR="006F587A" w:rsidRDefault="007B2B61">
            <w:pPr>
              <w:textAlignment w:val="center"/>
              <w:rPr>
                <w:rFonts w:ascii="Times New Roman" w:hAnsi="Times New Roman"/>
                <w:sz w:val="18"/>
                <w:szCs w:val="18"/>
              </w:rPr>
            </w:pP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Viewer12_files/a001intellogo_coverfooter.jpg"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CFC" wp14:editId="4ACE6CFD">
                  <wp:extent cx="304800" cy="304800"/>
                  <wp:effectExtent l="0" t="0" r="0" b="0"/>
                  <wp:docPr id="218" name="图片 161"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161"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r>
              <w:rPr>
                <w:rFonts w:ascii="Arial" w:eastAsia="宋体" w:hAnsi="Arial" w:cs="Arial"/>
                <w:color w:val="333333"/>
                <w:sz w:val="18"/>
                <w:szCs w:val="18"/>
              </w:rPr>
              <w:t>  </w:t>
            </w:r>
            <w:r>
              <w:rPr>
                <w:rFonts w:ascii="Arial" w:eastAsia="宋体" w:hAnsi="Arial" w:cs="Arial"/>
                <w:color w:val="333333"/>
                <w:sz w:val="16"/>
                <w:szCs w:val="16"/>
              </w:rPr>
              <w:t>MD&amp;A</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90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901"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26</w:t>
            </w:r>
          </w:p>
        </w:tc>
      </w:tr>
    </w:tbl>
    <w:p w14:paraId="4ACE2903" w14:textId="77777777" w:rsidR="006F587A" w:rsidRDefault="007B2B61">
      <w:r>
        <w:pict w14:anchorId="4ACE6CFE">
          <v:rect id="_x0000_i1052" style="width:415.3pt;height:1.5pt" o:hralign="center" o:hrstd="t" o:hr="t" fillcolor="#a0a0a0" stroked="f"/>
        </w:pict>
      </w:r>
    </w:p>
    <w:p w14:paraId="4ACE2904" w14:textId="77777777" w:rsidR="006F587A" w:rsidRDefault="007B2B61">
      <w:pPr>
        <w:spacing w:line="288" w:lineRule="auto"/>
        <w:jc w:val="right"/>
        <w:rPr>
          <w:rFonts w:ascii="Times New Roman" w:hAnsi="Times New Roman"/>
          <w:sz w:val="16"/>
          <w:szCs w:val="16"/>
        </w:rPr>
      </w:pPr>
      <w:hyperlink r:id="rId60" w:anchor="s9DB683E2CF52561EB8A73BE37F5BF9BE" w:history="1">
        <w:r>
          <w:rPr>
            <w:rStyle w:val="a5"/>
            <w:rFonts w:ascii="Arial" w:eastAsia="宋体" w:hAnsi="Arial" w:cs="Arial"/>
            <w:b/>
            <w:bCs/>
            <w:sz w:val="16"/>
            <w:szCs w:val="16"/>
          </w:rPr>
          <w:t>Table of Contents</w:t>
        </w:r>
      </w:hyperlink>
    </w:p>
    <w:p w14:paraId="4ACE2905" w14:textId="77777777" w:rsidR="006F587A" w:rsidRDefault="006F587A">
      <w:pPr>
        <w:spacing w:line="288" w:lineRule="auto"/>
        <w:jc w:val="right"/>
        <w:rPr>
          <w:rFonts w:ascii="Times New Roman" w:hAnsi="Times New Roman"/>
          <w:sz w:val="16"/>
          <w:szCs w:val="16"/>
        </w:rPr>
      </w:pPr>
    </w:p>
    <w:p w14:paraId="4ACE2906" w14:textId="77777777" w:rsidR="006F587A" w:rsidRDefault="006F587A">
      <w:pPr>
        <w:rPr>
          <w:rFonts w:ascii="Times New Roman" w:hAnsi="Times New Roman"/>
          <w:sz w:val="20"/>
          <w:szCs w:val="20"/>
        </w:rPr>
      </w:pPr>
    </w:p>
    <w:p w14:paraId="4ACE2907" w14:textId="77777777" w:rsidR="006F587A" w:rsidRDefault="007B2B61">
      <w:pPr>
        <w:spacing w:line="288" w:lineRule="auto"/>
        <w:rPr>
          <w:rFonts w:ascii="Times New Roman" w:hAnsi="Times New Roman"/>
        </w:rPr>
      </w:pPr>
      <w:r>
        <w:rPr>
          <w:rFonts w:ascii="Arial" w:eastAsia="宋体" w:hAnsi="Arial" w:cs="Arial"/>
          <w:b/>
          <w:bCs/>
          <w:color w:val="0071C5"/>
        </w:rPr>
        <w:t>MARKET AND BUSINESS OVERVIEW</w:t>
      </w:r>
    </w:p>
    <w:p w14:paraId="4ACE2908" w14:textId="77777777" w:rsidR="006F587A" w:rsidRDefault="007B2B61">
      <w:pPr>
        <w:spacing w:line="288" w:lineRule="auto"/>
        <w:rPr>
          <w:rFonts w:ascii="Times New Roman" w:hAnsi="Times New Roman"/>
          <w:sz w:val="20"/>
          <w:szCs w:val="20"/>
        </w:rPr>
      </w:pPr>
      <w:r>
        <w:rPr>
          <w:rFonts w:ascii="Arial" w:eastAsia="宋体" w:hAnsi="Arial" w:cs="Arial"/>
          <w:b/>
          <w:bCs/>
          <w:color w:val="333333"/>
          <w:sz w:val="20"/>
          <w:szCs w:val="20"/>
        </w:rPr>
        <w:t>Market trends and strategy</w:t>
      </w:r>
    </w:p>
    <w:p w14:paraId="4ACE2909"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As a result of </w:t>
      </w:r>
      <w:r>
        <w:rPr>
          <w:rFonts w:ascii="Arial" w:eastAsia="宋体" w:hAnsi="Arial" w:cs="Arial"/>
          <w:color w:val="333333"/>
          <w:sz w:val="18"/>
          <w:szCs w:val="18"/>
        </w:rPr>
        <w:t>the combination of ever-exploding growth in data and the desire to analyze data for actionable insights, our customers are faced with balancing performance and real-time access and cost. Our technology innovations enable various tiers of memory and storage</w:t>
      </w:r>
      <w:r>
        <w:rPr>
          <w:rFonts w:ascii="Arial" w:eastAsia="宋体" w:hAnsi="Arial" w:cs="Arial"/>
          <w:color w:val="333333"/>
          <w:sz w:val="18"/>
          <w:szCs w:val="18"/>
        </w:rPr>
        <w:t xml:space="preserve"> to ensure that critical, or "hot," data is close to the CPU for rapid access to larger data sets with Intel</w:t>
      </w:r>
      <w:r>
        <w:rPr>
          <w:rFonts w:ascii="Arial" w:eastAsia="宋体" w:hAnsi="Arial" w:cs="Arial"/>
          <w:color w:val="333333"/>
          <w:sz w:val="12"/>
          <w:szCs w:val="12"/>
        </w:rPr>
        <w:t xml:space="preserve">® </w:t>
      </w:r>
      <w:r>
        <w:rPr>
          <w:rFonts w:ascii="Arial" w:eastAsia="宋体" w:hAnsi="Arial" w:cs="Arial"/>
          <w:color w:val="333333"/>
          <w:sz w:val="18"/>
          <w:szCs w:val="18"/>
        </w:rPr>
        <w:t>Optane™-based products and efficient cost-effective capacity storage with Intel</w:t>
      </w:r>
      <w:r>
        <w:rPr>
          <w:rFonts w:ascii="Arial" w:eastAsia="宋体" w:hAnsi="Arial" w:cs="Arial"/>
          <w:color w:val="333333"/>
          <w:sz w:val="12"/>
          <w:szCs w:val="12"/>
        </w:rPr>
        <w:t xml:space="preserve">® </w:t>
      </w:r>
      <w:r>
        <w:rPr>
          <w:rFonts w:ascii="Arial" w:eastAsia="宋体" w:hAnsi="Arial" w:cs="Arial"/>
          <w:color w:val="333333"/>
          <w:sz w:val="18"/>
          <w:szCs w:val="18"/>
        </w:rPr>
        <w:t>3D NAND TLC and QLC technology.</w:t>
      </w:r>
    </w:p>
    <w:p w14:paraId="4ACE290A" w14:textId="77777777" w:rsidR="006F587A" w:rsidRDefault="007B2B61">
      <w:pPr>
        <w:spacing w:line="288" w:lineRule="auto"/>
        <w:ind w:firstLine="3120"/>
        <w:rPr>
          <w:rFonts w:ascii="Times New Roman" w:hAnsi="Times New Roman"/>
          <w:sz w:val="18"/>
          <w:szCs w:val="18"/>
        </w:rPr>
      </w:pPr>
      <w:r>
        <w:rPr>
          <w:rFonts w:ascii="Arial" w:eastAsia="宋体" w:hAnsi="Arial" w:cs="Arial"/>
          <w:color w:val="333333"/>
          <w:sz w:val="18"/>
          <w:szCs w:val="18"/>
        </w:rPr>
        <w:t>    </w:t>
      </w:r>
      <w:r>
        <w:rPr>
          <w:rFonts w:ascii="Times New Roman" w:eastAsia="宋体" w:hAnsi="Times New Roman"/>
          <w:sz w:val="18"/>
          <w:szCs w:val="18"/>
        </w:rPr>
        <w:fldChar w:fldCharType="begin"/>
      </w:r>
      <w:r>
        <w:rPr>
          <w:rFonts w:ascii="Times New Roman" w:eastAsia="宋体" w:hAnsi="Times New Roman"/>
          <w:sz w:val="18"/>
          <w:szCs w:val="18"/>
        </w:rPr>
        <w:instrText>INCLUDEPICTURE \d "/Users/xux</w:instrText>
      </w:r>
      <w:r>
        <w:rPr>
          <w:rFonts w:ascii="Times New Roman" w:eastAsia="宋体" w:hAnsi="Times New Roman"/>
          <w:sz w:val="18"/>
          <w:szCs w:val="18"/>
        </w:rPr>
        <w:instrText xml:space="preserve">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Viewer12_files/a051memorystoragea06.jpg"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CFF" wp14:editId="4ACE6D00">
            <wp:extent cx="304800" cy="304800"/>
            <wp:effectExtent l="0" t="0" r="0" b="0"/>
            <wp:docPr id="233" name="图片 163" descr="IMG_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163" descr="IMG_3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p>
    <w:p w14:paraId="4ACE290B"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Non-volatile memory bit TAM</w:t>
      </w:r>
      <w:r>
        <w:rPr>
          <w:rFonts w:ascii="Arial" w:eastAsia="宋体" w:hAnsi="Arial" w:cs="Arial"/>
          <w:color w:val="333333"/>
          <w:sz w:val="12"/>
          <w:szCs w:val="12"/>
        </w:rPr>
        <w:t>1</w:t>
      </w:r>
      <w:r>
        <w:rPr>
          <w:rFonts w:ascii="Arial" w:eastAsia="宋体" w:hAnsi="Arial" w:cs="Arial"/>
          <w:color w:val="333333"/>
          <w:sz w:val="18"/>
          <w:szCs w:val="18"/>
        </w:rPr>
        <w:t xml:space="preserve"> grew 40% in 2019 as significant increases in storage and memory technologies were required to meet custom</w:t>
      </w:r>
      <w:r>
        <w:rPr>
          <w:rFonts w:ascii="Arial" w:eastAsia="宋体" w:hAnsi="Arial" w:cs="Arial"/>
          <w:color w:val="333333"/>
          <w:sz w:val="18"/>
          <w:szCs w:val="18"/>
        </w:rPr>
        <w:t xml:space="preserve">er needs. Conversely, revenue TAM contracted 23% year over year due to an over-inventoried market through the first half of 2019. Our focus continues to be within the high-performance compute, financial services, cloud service provider, and Internet usage </w:t>
      </w:r>
      <w:r>
        <w:rPr>
          <w:rFonts w:ascii="Arial" w:eastAsia="宋体" w:hAnsi="Arial" w:cs="Arial"/>
          <w:color w:val="333333"/>
          <w:sz w:val="18"/>
          <w:szCs w:val="18"/>
        </w:rPr>
        <w:t>market segments.</w:t>
      </w:r>
    </w:p>
    <w:p w14:paraId="4ACE290C" w14:textId="77777777" w:rsidR="006F587A" w:rsidRDefault="007B2B61">
      <w:pPr>
        <w:spacing w:line="288" w:lineRule="auto"/>
        <w:rPr>
          <w:rFonts w:ascii="Times New Roman" w:hAnsi="Times New Roman"/>
          <w:sz w:val="20"/>
          <w:szCs w:val="20"/>
        </w:rPr>
      </w:pPr>
      <w:r>
        <w:rPr>
          <w:rFonts w:ascii="Arial" w:eastAsia="宋体" w:hAnsi="Arial" w:cs="Arial"/>
          <w:b/>
          <w:bCs/>
          <w:color w:val="333333"/>
          <w:sz w:val="20"/>
          <w:szCs w:val="20"/>
        </w:rPr>
        <w:t>Products and competitiveness</w:t>
      </w:r>
    </w:p>
    <w:p w14:paraId="4ACE290D"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compete against other providers of NAND flash memory products. We focus our efforts primarily on incorporating NAND flash memory into solution products and on our innovative Intel</w:t>
      </w:r>
      <w:r>
        <w:rPr>
          <w:rFonts w:ascii="Arial" w:eastAsia="宋体" w:hAnsi="Arial" w:cs="Arial"/>
          <w:color w:val="333333"/>
          <w:sz w:val="12"/>
          <w:szCs w:val="12"/>
        </w:rPr>
        <w:t>®</w:t>
      </w:r>
      <w:r>
        <w:rPr>
          <w:rFonts w:ascii="Arial" w:eastAsia="宋体" w:hAnsi="Arial" w:cs="Arial"/>
          <w:color w:val="333333"/>
          <w:sz w:val="18"/>
          <w:szCs w:val="18"/>
        </w:rPr>
        <w:t xml:space="preserve"> Optane™ technology, which </w:t>
      </w:r>
      <w:r>
        <w:rPr>
          <w:rFonts w:ascii="Arial" w:eastAsia="宋体" w:hAnsi="Arial" w:cs="Arial"/>
          <w:color w:val="333333"/>
          <w:sz w:val="18"/>
          <w:szCs w:val="18"/>
        </w:rPr>
        <w:t>offers a unique combination of performance, density, power, non-volatility, and cost advantages that redefines the memory storage hierarchy between conventional DRAM memory and NAND. We believe that our memory offerings, including our Intel</w:t>
      </w:r>
      <w:r>
        <w:rPr>
          <w:rFonts w:ascii="Arial" w:eastAsia="宋体" w:hAnsi="Arial" w:cs="Arial"/>
          <w:color w:val="333333"/>
          <w:sz w:val="12"/>
          <w:szCs w:val="12"/>
        </w:rPr>
        <w:t xml:space="preserve">® </w:t>
      </w:r>
      <w:r>
        <w:rPr>
          <w:rFonts w:ascii="Arial" w:eastAsia="宋体" w:hAnsi="Arial" w:cs="Arial"/>
          <w:color w:val="333333"/>
          <w:sz w:val="18"/>
          <w:szCs w:val="18"/>
        </w:rPr>
        <w:t>Optane™ techno</w:t>
      </w:r>
      <w:r>
        <w:rPr>
          <w:rFonts w:ascii="Arial" w:eastAsia="宋体" w:hAnsi="Arial" w:cs="Arial"/>
          <w:color w:val="333333"/>
          <w:sz w:val="18"/>
          <w:szCs w:val="18"/>
        </w:rPr>
        <w:t>logy, complement our product offerings in our other segments.</w:t>
      </w:r>
    </w:p>
    <w:p w14:paraId="4ACE290E"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The acceleration in data growth across our customer base requires significant innovation in storage and memory technology. Our storage and memory roadmap led the way in re-imagining usages and a</w:t>
      </w:r>
      <w:r>
        <w:rPr>
          <w:rFonts w:ascii="Arial" w:eastAsia="宋体" w:hAnsi="Arial" w:cs="Arial"/>
          <w:color w:val="333333"/>
          <w:sz w:val="18"/>
          <w:szCs w:val="18"/>
        </w:rPr>
        <w:t xml:space="preserve">rchitecting innovative solutions that have disrupted the industry with 64-layer 3D NAND TLC and QLC solutions. We launched five new products to keep up with the evolving business needs of our customers. These new products have driven our 64-layer products </w:t>
      </w:r>
      <w:r>
        <w:rPr>
          <w:rFonts w:ascii="Arial" w:eastAsia="宋体" w:hAnsi="Arial" w:cs="Arial"/>
          <w:color w:val="333333"/>
          <w:sz w:val="18"/>
          <w:szCs w:val="18"/>
        </w:rPr>
        <w:t>to be more than 90% of 2019 NSG volume and we have seen a meaningful ramp in the Intel</w:t>
      </w:r>
      <w:r>
        <w:rPr>
          <w:rFonts w:ascii="Arial" w:eastAsia="宋体" w:hAnsi="Arial" w:cs="Arial"/>
          <w:color w:val="333333"/>
          <w:sz w:val="12"/>
          <w:szCs w:val="12"/>
        </w:rPr>
        <w:t>®</w:t>
      </w:r>
      <w:r>
        <w:rPr>
          <w:rFonts w:ascii="Arial" w:eastAsia="宋体" w:hAnsi="Arial" w:cs="Arial"/>
          <w:color w:val="333333"/>
          <w:sz w:val="18"/>
          <w:szCs w:val="18"/>
        </w:rPr>
        <w:t xml:space="preserve"> Optane™ technology business.</w:t>
      </w:r>
    </w:p>
    <w:p w14:paraId="4ACE290F"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In 2019 we launched our line of Intel</w:t>
      </w:r>
      <w:r>
        <w:rPr>
          <w:rFonts w:ascii="Arial" w:eastAsia="宋体" w:hAnsi="Arial" w:cs="Arial"/>
          <w:color w:val="333333"/>
          <w:sz w:val="12"/>
          <w:szCs w:val="12"/>
        </w:rPr>
        <w:t>®</w:t>
      </w:r>
      <w:r>
        <w:rPr>
          <w:rFonts w:ascii="Arial" w:eastAsia="宋体" w:hAnsi="Arial" w:cs="Arial"/>
          <w:color w:val="333333"/>
          <w:sz w:val="18"/>
          <w:szCs w:val="18"/>
        </w:rPr>
        <w:t xml:space="preserve"> Optane™ DC persistent memory products, available for 2nd generation Intel</w:t>
      </w:r>
      <w:r>
        <w:rPr>
          <w:rFonts w:ascii="Arial" w:eastAsia="宋体" w:hAnsi="Arial" w:cs="Arial"/>
          <w:color w:val="333333"/>
          <w:sz w:val="12"/>
          <w:szCs w:val="12"/>
        </w:rPr>
        <w:t>®</w:t>
      </w:r>
      <w:r>
        <w:rPr>
          <w:rFonts w:ascii="Arial" w:eastAsia="宋体" w:hAnsi="Arial" w:cs="Arial"/>
          <w:color w:val="333333"/>
          <w:sz w:val="18"/>
          <w:szCs w:val="18"/>
        </w:rPr>
        <w:t xml:space="preserve"> Xeon</w:t>
      </w:r>
      <w:r>
        <w:rPr>
          <w:rFonts w:ascii="Arial" w:eastAsia="宋体" w:hAnsi="Arial" w:cs="Arial"/>
          <w:color w:val="333333"/>
          <w:sz w:val="12"/>
          <w:szCs w:val="12"/>
        </w:rPr>
        <w:t>®</w:t>
      </w:r>
      <w:r>
        <w:rPr>
          <w:rFonts w:ascii="Arial" w:eastAsia="宋体" w:hAnsi="Arial" w:cs="Arial"/>
          <w:color w:val="333333"/>
          <w:sz w:val="18"/>
          <w:szCs w:val="18"/>
        </w:rPr>
        <w:t xml:space="preserve"> processor platforms</w:t>
      </w:r>
      <w:r>
        <w:rPr>
          <w:rFonts w:ascii="Arial" w:eastAsia="宋体" w:hAnsi="Arial" w:cs="Arial"/>
          <w:color w:val="333333"/>
          <w:sz w:val="18"/>
          <w:szCs w:val="18"/>
        </w:rPr>
        <w:t xml:space="preserve"> for data center usages. This technology redefines the memory storage hierarchy and offers the performance of memory with the large capacities and persistence characteristics of storage. We are also leading the way in delivering responsiveness and capacity</w:t>
      </w:r>
      <w:r>
        <w:rPr>
          <w:rFonts w:ascii="Arial" w:eastAsia="宋体" w:hAnsi="Arial" w:cs="Arial"/>
          <w:color w:val="333333"/>
          <w:sz w:val="18"/>
          <w:szCs w:val="18"/>
        </w:rPr>
        <w:t xml:space="preserve"> to the latest generation PCs with the industry’s first drive to combine Intel</w:t>
      </w:r>
      <w:r>
        <w:rPr>
          <w:rFonts w:ascii="Arial" w:eastAsia="宋体" w:hAnsi="Arial" w:cs="Arial"/>
          <w:color w:val="333333"/>
          <w:sz w:val="12"/>
          <w:szCs w:val="12"/>
        </w:rPr>
        <w:t>®</w:t>
      </w:r>
      <w:r>
        <w:rPr>
          <w:rFonts w:ascii="Arial" w:eastAsia="宋体" w:hAnsi="Arial" w:cs="Arial"/>
          <w:color w:val="333333"/>
          <w:sz w:val="18"/>
          <w:szCs w:val="18"/>
        </w:rPr>
        <w:t xml:space="preserve"> Optane™ memory </w:t>
      </w:r>
      <w:r>
        <w:rPr>
          <w:rFonts w:ascii="Arial" w:eastAsia="宋体" w:hAnsi="Arial" w:cs="Arial"/>
          <w:color w:val="333333"/>
          <w:sz w:val="18"/>
          <w:szCs w:val="18"/>
        </w:rPr>
        <w:lastRenderedPageBreak/>
        <w:t>and Intel</w:t>
      </w:r>
      <w:r>
        <w:rPr>
          <w:rFonts w:ascii="Arial" w:eastAsia="宋体" w:hAnsi="Arial" w:cs="Arial"/>
          <w:color w:val="333333"/>
          <w:sz w:val="12"/>
          <w:szCs w:val="12"/>
        </w:rPr>
        <w:t xml:space="preserve">® </w:t>
      </w:r>
      <w:r>
        <w:rPr>
          <w:rFonts w:ascii="Arial" w:eastAsia="宋体" w:hAnsi="Arial" w:cs="Arial"/>
          <w:color w:val="333333"/>
          <w:sz w:val="18"/>
          <w:szCs w:val="18"/>
        </w:rPr>
        <w:t xml:space="preserve">QLC 3D NAND technology. This new technology will enable innovative new form factors and higher capacity drives. </w:t>
      </w:r>
    </w:p>
    <w:p w14:paraId="4ACE2910" w14:textId="77777777" w:rsidR="006F587A" w:rsidRDefault="007B2B61">
      <w:pPr>
        <w:spacing w:line="288" w:lineRule="auto"/>
        <w:ind w:firstLine="1680"/>
        <w:rPr>
          <w:rFonts w:ascii="Times New Roman" w:hAnsi="Times New Roman"/>
          <w:sz w:val="16"/>
          <w:szCs w:val="16"/>
        </w:rPr>
      </w:pPr>
      <w:r>
        <w:rPr>
          <w:rFonts w:ascii="Arial" w:eastAsia="宋体" w:hAnsi="Arial" w:cs="Arial"/>
          <w:i/>
          <w:iCs/>
          <w:color w:val="333333"/>
          <w:sz w:val="16"/>
          <w:szCs w:val="16"/>
        </w:rPr>
        <w:t>    </w:t>
      </w: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/INTEL/./Inline XBRL Viewer12_files/a052nsgtechnologies.jpg" \* MERGEFORMA</w:instrText>
      </w:r>
      <w:r>
        <w:rPr>
          <w:rFonts w:ascii="Times New Roman" w:eastAsia="宋体" w:hAnsi="Times New Roman"/>
          <w:sz w:val="16"/>
          <w:szCs w:val="16"/>
        </w:rPr>
        <w:instrText xml:space="preserve">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01" wp14:editId="4ACE6D02">
            <wp:extent cx="304800" cy="304800"/>
            <wp:effectExtent l="0" t="0" r="0" b="0"/>
            <wp:docPr id="244" name="图片 164" descr="IMG_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164" descr="IMG_3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p>
    <w:p w14:paraId="4ACE2911" w14:textId="77777777" w:rsidR="006F587A" w:rsidRDefault="007B2B61">
      <w:pPr>
        <w:spacing w:line="288" w:lineRule="auto"/>
        <w:rPr>
          <w:rFonts w:ascii="Times New Roman" w:hAnsi="Times New Roman"/>
          <w:sz w:val="16"/>
          <w:szCs w:val="16"/>
        </w:rPr>
      </w:pPr>
      <w:r>
        <w:rPr>
          <w:rFonts w:ascii="Arial" w:eastAsia="宋体" w:hAnsi="Arial" w:cs="Arial"/>
          <w:i/>
          <w:iCs/>
          <w:color w:val="333333"/>
          <w:sz w:val="10"/>
          <w:szCs w:val="10"/>
        </w:rPr>
        <w:t xml:space="preserve">1 </w:t>
      </w:r>
      <w:r>
        <w:rPr>
          <w:rFonts w:ascii="Arial" w:eastAsia="宋体" w:hAnsi="Arial" w:cs="Arial"/>
          <w:i/>
          <w:iCs/>
          <w:color w:val="333333"/>
          <w:sz w:val="16"/>
          <w:szCs w:val="16"/>
        </w:rPr>
        <w:t>Source: Intel calculated TAM growth derived from industry analyst reports.</w:t>
      </w:r>
    </w:p>
    <w:p w14:paraId="4ACE2912"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408"/>
        <w:gridCol w:w="2409"/>
        <w:gridCol w:w="3489"/>
      </w:tblGrid>
      <w:tr w:rsidR="006F587A" w14:paraId="4ACE2914" w14:textId="77777777">
        <w:tc>
          <w:tcPr>
            <w:tcW w:w="0" w:type="auto"/>
            <w:gridSpan w:val="3"/>
            <w:shd w:val="clear" w:color="auto" w:fill="auto"/>
            <w:vAlign w:val="center"/>
          </w:tcPr>
          <w:p w14:paraId="4ACE2913" w14:textId="77777777" w:rsidR="006F587A" w:rsidRDefault="006F587A">
            <w:pPr>
              <w:rPr>
                <w:rFonts w:ascii="Times New Roman" w:hAnsi="Times New Roman"/>
                <w:sz w:val="20"/>
                <w:szCs w:val="20"/>
              </w:rPr>
            </w:pPr>
          </w:p>
        </w:tc>
      </w:tr>
      <w:tr w:rsidR="006F587A" w14:paraId="4ACE2918" w14:textId="77777777">
        <w:tc>
          <w:tcPr>
            <w:tcW w:w="1450" w:type="pct"/>
            <w:shd w:val="clear" w:color="auto" w:fill="auto"/>
            <w:vAlign w:val="center"/>
          </w:tcPr>
          <w:p w14:paraId="4ACE2915" w14:textId="77777777" w:rsidR="006F587A" w:rsidRDefault="006F587A">
            <w:pPr>
              <w:rPr>
                <w:rFonts w:ascii="Times New Roman" w:hAnsi="Times New Roman"/>
                <w:sz w:val="20"/>
                <w:szCs w:val="20"/>
              </w:rPr>
            </w:pPr>
          </w:p>
        </w:tc>
        <w:tc>
          <w:tcPr>
            <w:tcW w:w="1450" w:type="pct"/>
            <w:shd w:val="clear" w:color="auto" w:fill="auto"/>
            <w:vAlign w:val="center"/>
          </w:tcPr>
          <w:p w14:paraId="4ACE2916" w14:textId="77777777" w:rsidR="006F587A" w:rsidRDefault="006F587A">
            <w:pPr>
              <w:rPr>
                <w:rFonts w:ascii="Times New Roman" w:hAnsi="Times New Roman"/>
                <w:sz w:val="20"/>
                <w:szCs w:val="20"/>
              </w:rPr>
            </w:pPr>
          </w:p>
        </w:tc>
        <w:tc>
          <w:tcPr>
            <w:tcW w:w="2100" w:type="pct"/>
            <w:shd w:val="clear" w:color="auto" w:fill="auto"/>
            <w:vAlign w:val="center"/>
          </w:tcPr>
          <w:p w14:paraId="4ACE2917" w14:textId="77777777" w:rsidR="006F587A" w:rsidRDefault="006F587A">
            <w:pPr>
              <w:rPr>
                <w:rFonts w:ascii="Times New Roman" w:hAnsi="Times New Roman"/>
                <w:sz w:val="20"/>
                <w:szCs w:val="20"/>
              </w:rPr>
            </w:pPr>
          </w:p>
        </w:tc>
      </w:tr>
      <w:tr w:rsidR="006F587A" w14:paraId="4ACE291C"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2919" w14:textId="77777777" w:rsidR="006F587A" w:rsidRDefault="007B2B61">
            <w:pPr>
              <w:textAlignment w:val="center"/>
              <w:rPr>
                <w:rFonts w:ascii="Times New Roman" w:hAnsi="Times New Roman"/>
                <w:sz w:val="18"/>
                <w:szCs w:val="18"/>
              </w:rPr>
            </w:pP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Viewer12_files/a001intellogo_coverfooter.jpg"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D03" wp14:editId="4ACE6D04">
                  <wp:extent cx="304800" cy="304800"/>
                  <wp:effectExtent l="0" t="0" r="0" b="0"/>
                  <wp:docPr id="258" name="图片 165"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165"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r>
              <w:rPr>
                <w:rFonts w:ascii="Arial" w:eastAsia="宋体" w:hAnsi="Arial" w:cs="Arial"/>
                <w:color w:val="333333"/>
                <w:sz w:val="18"/>
                <w:szCs w:val="18"/>
              </w:rPr>
              <w:t>  </w:t>
            </w:r>
            <w:r>
              <w:rPr>
                <w:rFonts w:ascii="Arial" w:eastAsia="宋体" w:hAnsi="Arial" w:cs="Arial"/>
                <w:color w:val="333333"/>
                <w:sz w:val="16"/>
                <w:szCs w:val="16"/>
              </w:rPr>
              <w:t>MD&amp;A</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91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91B"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27</w:t>
            </w:r>
          </w:p>
        </w:tc>
      </w:tr>
    </w:tbl>
    <w:p w14:paraId="4ACE291D" w14:textId="77777777" w:rsidR="006F587A" w:rsidRDefault="007B2B61">
      <w:r>
        <w:pict w14:anchorId="4ACE6D05">
          <v:rect id="_x0000_i1053" style="width:415.3pt;height:1.5pt" o:hralign="center" o:hrstd="t" o:hr="t" fillcolor="#a0a0a0" stroked="f"/>
        </w:pict>
      </w:r>
    </w:p>
    <w:p w14:paraId="4ACE291E" w14:textId="77777777" w:rsidR="006F587A" w:rsidRDefault="007B2B61">
      <w:pPr>
        <w:spacing w:line="288" w:lineRule="auto"/>
        <w:jc w:val="right"/>
        <w:rPr>
          <w:rFonts w:ascii="Times New Roman" w:hAnsi="Times New Roman"/>
          <w:sz w:val="16"/>
          <w:szCs w:val="16"/>
        </w:rPr>
      </w:pPr>
      <w:hyperlink r:id="rId61" w:anchor="s9DB683E2CF52561EB8A73BE37F5BF9BE" w:history="1">
        <w:r>
          <w:rPr>
            <w:rStyle w:val="a5"/>
            <w:rFonts w:ascii="Arial" w:eastAsia="宋体" w:hAnsi="Arial" w:cs="Arial"/>
            <w:b/>
            <w:bCs/>
            <w:sz w:val="16"/>
            <w:szCs w:val="16"/>
          </w:rPr>
          <w:t>Table of Contents</w:t>
        </w:r>
      </w:hyperlink>
    </w:p>
    <w:p w14:paraId="4ACE291F" w14:textId="77777777" w:rsidR="006F587A" w:rsidRDefault="006F587A">
      <w:pPr>
        <w:spacing w:line="288" w:lineRule="auto"/>
        <w:jc w:val="right"/>
        <w:rPr>
          <w:rFonts w:ascii="Times New Roman" w:hAnsi="Times New Roman"/>
          <w:sz w:val="16"/>
          <w:szCs w:val="16"/>
        </w:rPr>
      </w:pPr>
    </w:p>
    <w:p w14:paraId="4ACE2920" w14:textId="77777777" w:rsidR="006F587A" w:rsidRDefault="006F587A">
      <w:pPr>
        <w:rPr>
          <w:rFonts w:ascii="Times New Roman" w:hAnsi="Times New Roman"/>
          <w:sz w:val="20"/>
          <w:szCs w:val="20"/>
        </w:rPr>
      </w:pPr>
    </w:p>
    <w:p w14:paraId="4ACE2921" w14:textId="77777777" w:rsidR="006F587A" w:rsidRDefault="006F587A">
      <w:pPr>
        <w:spacing w:line="288" w:lineRule="auto"/>
        <w:rPr>
          <w:rFonts w:ascii="Times New Roman" w:hAnsi="Times New Roman"/>
        </w:rPr>
      </w:pPr>
    </w:p>
    <w:p w14:paraId="4ACE2922" w14:textId="77777777" w:rsidR="006F587A" w:rsidRDefault="007B2B61">
      <w:pPr>
        <w:spacing w:line="288" w:lineRule="auto"/>
        <w:rPr>
          <w:rFonts w:ascii="Times New Roman" w:hAnsi="Times New Roman"/>
        </w:rPr>
      </w:pPr>
      <w:r>
        <w:rPr>
          <w:rFonts w:ascii="Arial" w:eastAsia="宋体" w:hAnsi="Arial" w:cs="Arial"/>
          <w:b/>
          <w:bCs/>
          <w:color w:val="0071C5"/>
        </w:rPr>
        <w:t>FINANCIAL PERFORMANCE</w:t>
      </w:r>
    </w:p>
    <w:tbl>
      <w:tblPr>
        <w:tblW w:w="14640" w:type="dxa"/>
        <w:tblCellMar>
          <w:left w:w="0" w:type="dxa"/>
          <w:right w:w="0" w:type="dxa"/>
        </w:tblCellMar>
        <w:tblLook w:val="04A0" w:firstRow="1" w:lastRow="0" w:firstColumn="1" w:lastColumn="0" w:noHBand="0" w:noVBand="1"/>
      </w:tblPr>
      <w:tblGrid>
        <w:gridCol w:w="200"/>
        <w:gridCol w:w="6498"/>
        <w:gridCol w:w="1223"/>
        <w:gridCol w:w="6137"/>
        <w:gridCol w:w="582"/>
      </w:tblGrid>
      <w:tr w:rsidR="006F587A" w14:paraId="4ACE2924" w14:textId="77777777">
        <w:tc>
          <w:tcPr>
            <w:tcW w:w="0" w:type="auto"/>
            <w:gridSpan w:val="5"/>
            <w:shd w:val="clear" w:color="auto" w:fill="auto"/>
            <w:vAlign w:val="center"/>
          </w:tcPr>
          <w:p w14:paraId="4ACE2923" w14:textId="77777777" w:rsidR="006F587A" w:rsidRDefault="006F587A">
            <w:pPr>
              <w:rPr>
                <w:rFonts w:ascii="Times New Roman" w:hAnsi="Times New Roman"/>
                <w:sz w:val="20"/>
                <w:szCs w:val="20"/>
              </w:rPr>
            </w:pPr>
          </w:p>
        </w:tc>
      </w:tr>
      <w:tr w:rsidR="006F587A" w14:paraId="4ACE292A" w14:textId="77777777">
        <w:tc>
          <w:tcPr>
            <w:tcW w:w="200" w:type="dxa"/>
            <w:shd w:val="clear" w:color="auto" w:fill="auto"/>
            <w:vAlign w:val="center"/>
          </w:tcPr>
          <w:p w14:paraId="4ACE2925" w14:textId="77777777" w:rsidR="006F587A" w:rsidRDefault="006F587A">
            <w:pPr>
              <w:rPr>
                <w:rFonts w:ascii="Times New Roman" w:hAnsi="Times New Roman"/>
                <w:sz w:val="20"/>
                <w:szCs w:val="20"/>
              </w:rPr>
            </w:pPr>
          </w:p>
        </w:tc>
        <w:tc>
          <w:tcPr>
            <w:tcW w:w="6480" w:type="dxa"/>
            <w:shd w:val="clear" w:color="auto" w:fill="auto"/>
            <w:vAlign w:val="center"/>
          </w:tcPr>
          <w:p w14:paraId="4ACE2926" w14:textId="77777777" w:rsidR="006F587A" w:rsidRDefault="006F587A">
            <w:pPr>
              <w:rPr>
                <w:rFonts w:ascii="Times New Roman" w:hAnsi="Times New Roman"/>
                <w:sz w:val="20"/>
                <w:szCs w:val="20"/>
              </w:rPr>
            </w:pPr>
          </w:p>
        </w:tc>
        <w:tc>
          <w:tcPr>
            <w:tcW w:w="1220" w:type="dxa"/>
            <w:shd w:val="clear" w:color="auto" w:fill="auto"/>
            <w:vAlign w:val="center"/>
          </w:tcPr>
          <w:p w14:paraId="4ACE2927" w14:textId="77777777" w:rsidR="006F587A" w:rsidRDefault="006F587A">
            <w:pPr>
              <w:rPr>
                <w:rFonts w:ascii="Times New Roman" w:hAnsi="Times New Roman"/>
                <w:sz w:val="20"/>
                <w:szCs w:val="20"/>
              </w:rPr>
            </w:pPr>
          </w:p>
        </w:tc>
        <w:tc>
          <w:tcPr>
            <w:tcW w:w="6120" w:type="dxa"/>
            <w:shd w:val="clear" w:color="auto" w:fill="auto"/>
            <w:vAlign w:val="center"/>
          </w:tcPr>
          <w:p w14:paraId="4ACE2928" w14:textId="77777777" w:rsidR="006F587A" w:rsidRDefault="006F587A">
            <w:pPr>
              <w:rPr>
                <w:rFonts w:ascii="Times New Roman" w:hAnsi="Times New Roman"/>
                <w:sz w:val="20"/>
                <w:szCs w:val="20"/>
              </w:rPr>
            </w:pPr>
          </w:p>
        </w:tc>
        <w:tc>
          <w:tcPr>
            <w:tcW w:w="580" w:type="dxa"/>
            <w:shd w:val="clear" w:color="auto" w:fill="auto"/>
            <w:vAlign w:val="center"/>
          </w:tcPr>
          <w:p w14:paraId="4ACE2929" w14:textId="77777777" w:rsidR="006F587A" w:rsidRDefault="006F587A">
            <w:pPr>
              <w:rPr>
                <w:rFonts w:ascii="Times New Roman" w:hAnsi="Times New Roman"/>
                <w:sz w:val="20"/>
                <w:szCs w:val="20"/>
              </w:rPr>
            </w:pPr>
          </w:p>
        </w:tc>
      </w:tr>
      <w:tr w:rsidR="006F587A" w14:paraId="4ACE2930" w14:textId="77777777">
        <w:tc>
          <w:tcPr>
            <w:tcW w:w="0" w:type="auto"/>
            <w:shd w:val="clear" w:color="auto" w:fill="auto"/>
            <w:tcMar>
              <w:top w:w="40" w:type="dxa"/>
              <w:left w:w="40" w:type="dxa"/>
              <w:bottom w:w="40" w:type="dxa"/>
              <w:right w:w="40" w:type="dxa"/>
            </w:tcMar>
            <w:vAlign w:val="bottom"/>
          </w:tcPr>
          <w:p w14:paraId="4ACE292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292C" w14:textId="77777777" w:rsidR="006F587A" w:rsidRDefault="007B2B61">
            <w:pPr>
              <w:jc w:val="center"/>
              <w:textAlignment w:val="bottom"/>
              <w:rPr>
                <w:rFonts w:ascii="Times New Roman" w:hAnsi="Times New Roman"/>
                <w:sz w:val="20"/>
                <w:szCs w:val="20"/>
              </w:rPr>
            </w:pPr>
            <w:r>
              <w:rPr>
                <w:rFonts w:ascii="Arial" w:eastAsia="宋体" w:hAnsi="Arial" w:cs="Arial"/>
                <w:b/>
                <w:bCs/>
                <w:color w:val="0071C5"/>
                <w:sz w:val="20"/>
                <w:szCs w:val="20"/>
              </w:rPr>
              <w:t>NSG REVENUE $B</w:t>
            </w:r>
          </w:p>
        </w:tc>
        <w:tc>
          <w:tcPr>
            <w:tcW w:w="0" w:type="auto"/>
            <w:shd w:val="clear" w:color="auto" w:fill="auto"/>
            <w:tcMar>
              <w:top w:w="40" w:type="dxa"/>
              <w:left w:w="40" w:type="dxa"/>
              <w:bottom w:w="40" w:type="dxa"/>
              <w:right w:w="40" w:type="dxa"/>
            </w:tcMar>
            <w:vAlign w:val="bottom"/>
          </w:tcPr>
          <w:p w14:paraId="4ACE292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292E" w14:textId="77777777" w:rsidR="006F587A" w:rsidRDefault="007B2B61">
            <w:pPr>
              <w:jc w:val="center"/>
              <w:textAlignment w:val="bottom"/>
              <w:rPr>
                <w:rFonts w:ascii="Times New Roman" w:hAnsi="Times New Roman"/>
                <w:sz w:val="20"/>
                <w:szCs w:val="20"/>
              </w:rPr>
            </w:pPr>
            <w:r>
              <w:rPr>
                <w:rFonts w:ascii="Arial" w:eastAsia="宋体" w:hAnsi="Arial" w:cs="Arial"/>
                <w:b/>
                <w:bCs/>
                <w:color w:val="0071C5"/>
                <w:sz w:val="20"/>
                <w:szCs w:val="20"/>
              </w:rPr>
              <w:t xml:space="preserve">NSG OPERATING </w:t>
            </w:r>
            <w:r>
              <w:rPr>
                <w:rFonts w:ascii="Arial" w:eastAsia="宋体" w:hAnsi="Arial" w:cs="Arial"/>
                <w:b/>
                <w:bCs/>
                <w:color w:val="0071C5"/>
                <w:sz w:val="20"/>
                <w:szCs w:val="20"/>
              </w:rPr>
              <w:t>INCOME $B</w:t>
            </w:r>
          </w:p>
        </w:tc>
        <w:tc>
          <w:tcPr>
            <w:tcW w:w="0" w:type="auto"/>
            <w:shd w:val="clear" w:color="auto" w:fill="auto"/>
            <w:tcMar>
              <w:top w:w="40" w:type="dxa"/>
              <w:left w:w="40" w:type="dxa"/>
              <w:bottom w:w="40" w:type="dxa"/>
              <w:right w:w="40" w:type="dxa"/>
            </w:tcMar>
            <w:vAlign w:val="bottom"/>
          </w:tcPr>
          <w:p w14:paraId="4ACE292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bl>
    <w:p w14:paraId="4ACE2931" w14:textId="77777777" w:rsidR="006F587A" w:rsidRDefault="006F587A">
      <w:pPr>
        <w:spacing w:line="288" w:lineRule="auto"/>
        <w:rPr>
          <w:rFonts w:ascii="Times New Roman" w:hAnsi="Times New Roman"/>
          <w:sz w:val="16"/>
          <w:szCs w:val="16"/>
        </w:rPr>
      </w:pPr>
    </w:p>
    <w:p w14:paraId="4ACE2932" w14:textId="77777777" w:rsidR="006F587A" w:rsidRDefault="007B2B61">
      <w:pPr>
        <w:spacing w:line="288" w:lineRule="auto"/>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Viewer12_files/chart19_nsg3yrrevenue.jpg"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D06" wp14:editId="4ACE6D07">
            <wp:extent cx="304800" cy="304800"/>
            <wp:effectExtent l="0" t="0" r="0" b="0"/>
            <wp:docPr id="259" name="图片 167" descr="IMG_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167" descr="IMG_3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/INTEL/./Inline XBRL Viewe</w:instrText>
      </w:r>
      <w:r>
        <w:rPr>
          <w:rFonts w:ascii="Times New Roman" w:eastAsia="宋体" w:hAnsi="Times New Roman"/>
          <w:sz w:val="20"/>
          <w:szCs w:val="20"/>
        </w:rPr>
        <w:instrText xml:space="preserve">r12_files/chart20_nsg3yropincome.jpg"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D08" wp14:editId="4ACE6D09">
            <wp:extent cx="304800" cy="304800"/>
            <wp:effectExtent l="0" t="0" r="0" b="0"/>
            <wp:docPr id="256" name="图片 168" descr="IMG_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168" descr="IMG_3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bl>
      <w:tblPr>
        <w:tblW w:w="5000" w:type="pct"/>
        <w:tblCellMar>
          <w:left w:w="0" w:type="dxa"/>
          <w:right w:w="0" w:type="dxa"/>
        </w:tblCellMar>
        <w:tblLook w:val="04A0" w:firstRow="1" w:lastRow="0" w:firstColumn="1" w:lastColumn="0" w:noHBand="0" w:noVBand="1"/>
      </w:tblPr>
      <w:tblGrid>
        <w:gridCol w:w="8306"/>
      </w:tblGrid>
      <w:tr w:rsidR="006F587A" w14:paraId="4ACE2934" w14:textId="77777777">
        <w:tc>
          <w:tcPr>
            <w:tcW w:w="0" w:type="auto"/>
            <w:shd w:val="clear" w:color="auto" w:fill="auto"/>
            <w:vAlign w:val="center"/>
          </w:tcPr>
          <w:p w14:paraId="4ACE2933" w14:textId="77777777" w:rsidR="006F587A" w:rsidRDefault="006F587A">
            <w:pPr>
              <w:rPr>
                <w:rFonts w:ascii="Times New Roman" w:hAnsi="Times New Roman"/>
                <w:sz w:val="20"/>
                <w:szCs w:val="20"/>
              </w:rPr>
            </w:pPr>
          </w:p>
        </w:tc>
      </w:tr>
      <w:tr w:rsidR="006F587A" w14:paraId="4ACE2936" w14:textId="77777777">
        <w:tc>
          <w:tcPr>
            <w:tcW w:w="5000" w:type="pct"/>
            <w:shd w:val="clear" w:color="auto" w:fill="auto"/>
            <w:vAlign w:val="center"/>
          </w:tcPr>
          <w:p w14:paraId="4ACE2935" w14:textId="77777777" w:rsidR="006F587A" w:rsidRDefault="006F587A">
            <w:pPr>
              <w:rPr>
                <w:rFonts w:ascii="Times New Roman" w:hAnsi="Times New Roman"/>
                <w:sz w:val="20"/>
                <w:szCs w:val="20"/>
              </w:rPr>
            </w:pPr>
          </w:p>
        </w:tc>
      </w:tr>
      <w:tr w:rsidR="006F587A" w14:paraId="4ACE2938" w14:textId="77777777">
        <w:tc>
          <w:tcPr>
            <w:tcW w:w="0" w:type="auto"/>
            <w:tcBorders>
              <w:bottom w:val="single" w:sz="8" w:space="0" w:color="333333"/>
            </w:tcBorders>
            <w:shd w:val="clear" w:color="auto" w:fill="auto"/>
            <w:tcMar>
              <w:top w:w="40" w:type="dxa"/>
              <w:left w:w="40" w:type="dxa"/>
              <w:bottom w:w="40" w:type="dxa"/>
              <w:right w:w="40" w:type="dxa"/>
            </w:tcMar>
            <w:vAlign w:val="bottom"/>
          </w:tcPr>
          <w:p w14:paraId="4ACE2937" w14:textId="77777777" w:rsidR="006F587A" w:rsidRDefault="007B2B61">
            <w:pPr>
              <w:textAlignment w:val="bottom"/>
              <w:rPr>
                <w:rFonts w:ascii="Times New Roman" w:hAnsi="Times New Roman"/>
                <w:sz w:val="20"/>
                <w:szCs w:val="20"/>
              </w:rPr>
            </w:pPr>
            <w:r>
              <w:rPr>
                <w:rFonts w:ascii="Arial" w:eastAsia="宋体" w:hAnsi="Arial" w:cs="Arial"/>
                <w:b/>
                <w:bCs/>
                <w:color w:val="0071C5"/>
                <w:sz w:val="20"/>
                <w:szCs w:val="20"/>
              </w:rPr>
              <w:t>REVENUE SUMMARY</w:t>
            </w:r>
          </w:p>
        </w:tc>
      </w:tr>
    </w:tbl>
    <w:p w14:paraId="4ACE2939" w14:textId="77777777" w:rsidR="006F587A" w:rsidRDefault="007B2B61">
      <w:pPr>
        <w:spacing w:line="288" w:lineRule="auto"/>
        <w:rPr>
          <w:rFonts w:ascii="Times New Roman" w:hAnsi="Times New Roman"/>
          <w:sz w:val="20"/>
          <w:szCs w:val="20"/>
        </w:rPr>
      </w:pPr>
      <w:r>
        <w:rPr>
          <w:rFonts w:ascii="Arial" w:eastAsia="宋体" w:hAnsi="Arial" w:cs="Arial"/>
          <w:b/>
          <w:bCs/>
          <w:color w:val="333333"/>
          <w:sz w:val="20"/>
          <w:szCs w:val="20"/>
        </w:rPr>
        <w:t>2019 – 2018</w:t>
      </w:r>
    </w:p>
    <w:p w14:paraId="4ACE293A"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Net revenue increased $55 million, driven by a $3.9 billion increase in unit sales due to an increase in demand for NAND products, offset by a $3.8 </w:t>
      </w:r>
      <w:r>
        <w:rPr>
          <w:rFonts w:ascii="Arial" w:eastAsia="宋体" w:hAnsi="Arial" w:cs="Arial"/>
          <w:color w:val="333333"/>
          <w:sz w:val="18"/>
          <w:szCs w:val="18"/>
        </w:rPr>
        <w:t>billion impact from lower ASP due to lower NAND market pricing.</w:t>
      </w:r>
    </w:p>
    <w:p w14:paraId="4ACE293B" w14:textId="77777777" w:rsidR="006F587A" w:rsidRDefault="007B2B61">
      <w:pPr>
        <w:spacing w:line="288" w:lineRule="auto"/>
        <w:rPr>
          <w:rFonts w:ascii="Times New Roman" w:hAnsi="Times New Roman"/>
          <w:sz w:val="20"/>
          <w:szCs w:val="20"/>
        </w:rPr>
      </w:pPr>
      <w:r>
        <w:rPr>
          <w:rFonts w:ascii="Arial" w:eastAsia="宋体" w:hAnsi="Arial" w:cs="Arial"/>
          <w:b/>
          <w:bCs/>
          <w:color w:val="333333"/>
          <w:sz w:val="20"/>
          <w:szCs w:val="20"/>
        </w:rPr>
        <w:t>2018 – 2017</w:t>
      </w:r>
    </w:p>
    <w:p w14:paraId="4ACE293C"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Net revenue increased $787 million, driven by a $2.6 billion increase in unit sales due to strong demand in data center and client SSD and the ramp of Intel</w:t>
      </w:r>
      <w:r>
        <w:rPr>
          <w:rFonts w:ascii="Arial" w:eastAsia="宋体" w:hAnsi="Arial" w:cs="Arial"/>
          <w:color w:val="333333"/>
          <w:sz w:val="12"/>
          <w:szCs w:val="12"/>
        </w:rPr>
        <w:t xml:space="preserve">® </w:t>
      </w:r>
      <w:r>
        <w:rPr>
          <w:rFonts w:ascii="Arial" w:eastAsia="宋体" w:hAnsi="Arial" w:cs="Arial"/>
          <w:color w:val="333333"/>
          <w:sz w:val="18"/>
          <w:szCs w:val="18"/>
        </w:rPr>
        <w:t>Optane™ technology pro</w:t>
      </w:r>
      <w:r>
        <w:rPr>
          <w:rFonts w:ascii="Arial" w:eastAsia="宋体" w:hAnsi="Arial" w:cs="Arial"/>
          <w:color w:val="333333"/>
          <w:sz w:val="18"/>
          <w:szCs w:val="18"/>
        </w:rPr>
        <w:t>ducts, partially offset by $1.8 billion lower ASP due to NAND market pricing weakness and mix of products sold.</w:t>
      </w:r>
    </w:p>
    <w:tbl>
      <w:tblPr>
        <w:tblW w:w="5000" w:type="pct"/>
        <w:tblCellMar>
          <w:left w:w="0" w:type="dxa"/>
          <w:right w:w="0" w:type="dxa"/>
        </w:tblCellMar>
        <w:tblLook w:val="04A0" w:firstRow="1" w:lastRow="0" w:firstColumn="1" w:lastColumn="0" w:noHBand="0" w:noVBand="1"/>
      </w:tblPr>
      <w:tblGrid>
        <w:gridCol w:w="8306"/>
      </w:tblGrid>
      <w:tr w:rsidR="006F587A" w14:paraId="4ACE293E" w14:textId="77777777">
        <w:tc>
          <w:tcPr>
            <w:tcW w:w="0" w:type="auto"/>
            <w:shd w:val="clear" w:color="auto" w:fill="auto"/>
            <w:vAlign w:val="center"/>
          </w:tcPr>
          <w:p w14:paraId="4ACE293D" w14:textId="77777777" w:rsidR="006F587A" w:rsidRDefault="006F587A">
            <w:pPr>
              <w:rPr>
                <w:rFonts w:ascii="Times New Roman" w:hAnsi="Times New Roman"/>
                <w:sz w:val="20"/>
                <w:szCs w:val="20"/>
              </w:rPr>
            </w:pPr>
          </w:p>
        </w:tc>
      </w:tr>
      <w:tr w:rsidR="006F587A" w14:paraId="4ACE2940" w14:textId="77777777">
        <w:tc>
          <w:tcPr>
            <w:tcW w:w="5000" w:type="pct"/>
            <w:shd w:val="clear" w:color="auto" w:fill="auto"/>
            <w:vAlign w:val="center"/>
          </w:tcPr>
          <w:p w14:paraId="4ACE293F" w14:textId="77777777" w:rsidR="006F587A" w:rsidRDefault="006F587A">
            <w:pPr>
              <w:rPr>
                <w:rFonts w:ascii="Times New Roman" w:hAnsi="Times New Roman"/>
                <w:sz w:val="20"/>
                <w:szCs w:val="20"/>
              </w:rPr>
            </w:pPr>
          </w:p>
        </w:tc>
      </w:tr>
      <w:tr w:rsidR="006F587A" w14:paraId="4ACE2942" w14:textId="77777777">
        <w:tc>
          <w:tcPr>
            <w:tcW w:w="0" w:type="auto"/>
            <w:tcBorders>
              <w:bottom w:val="single" w:sz="8" w:space="0" w:color="333333"/>
            </w:tcBorders>
            <w:shd w:val="clear" w:color="auto" w:fill="auto"/>
            <w:tcMar>
              <w:top w:w="40" w:type="dxa"/>
              <w:left w:w="40" w:type="dxa"/>
              <w:bottom w:w="40" w:type="dxa"/>
              <w:right w:w="40" w:type="dxa"/>
            </w:tcMar>
            <w:vAlign w:val="bottom"/>
          </w:tcPr>
          <w:p w14:paraId="4ACE2941" w14:textId="77777777" w:rsidR="006F587A" w:rsidRDefault="007B2B61">
            <w:pPr>
              <w:textAlignment w:val="bottom"/>
              <w:rPr>
                <w:rFonts w:ascii="Times New Roman" w:hAnsi="Times New Roman"/>
                <w:sz w:val="20"/>
                <w:szCs w:val="20"/>
              </w:rPr>
            </w:pPr>
            <w:r>
              <w:rPr>
                <w:rFonts w:ascii="Arial" w:eastAsia="宋体" w:hAnsi="Arial" w:cs="Arial"/>
                <w:b/>
                <w:bCs/>
                <w:color w:val="0071C5"/>
                <w:sz w:val="20"/>
                <w:szCs w:val="20"/>
              </w:rPr>
              <w:t>OPERATING INCOME SUMMARY</w:t>
            </w:r>
          </w:p>
        </w:tc>
      </w:tr>
    </w:tbl>
    <w:p w14:paraId="4ACE2943" w14:textId="77777777" w:rsidR="006F587A" w:rsidRDefault="007B2B61">
      <w:pPr>
        <w:spacing w:line="288" w:lineRule="auto"/>
        <w:rPr>
          <w:rFonts w:ascii="Times New Roman" w:hAnsi="Times New Roman"/>
          <w:sz w:val="20"/>
          <w:szCs w:val="20"/>
        </w:rPr>
      </w:pPr>
      <w:r>
        <w:rPr>
          <w:rFonts w:ascii="Arial" w:eastAsia="宋体" w:hAnsi="Arial" w:cs="Arial"/>
          <w:b/>
          <w:bCs/>
          <w:color w:val="333333"/>
          <w:sz w:val="20"/>
          <w:szCs w:val="20"/>
        </w:rPr>
        <w:t>2019 – 2018</w:t>
      </w:r>
    </w:p>
    <w:p w14:paraId="4ACE2944"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NSG had an operating loss of $1.2 billion, down from an operating loss of $5 million in 2018. The </w:t>
      </w:r>
      <w:r>
        <w:rPr>
          <w:rFonts w:ascii="Arial" w:eastAsia="宋体" w:hAnsi="Arial" w:cs="Arial"/>
          <w:color w:val="333333"/>
          <w:sz w:val="18"/>
          <w:szCs w:val="18"/>
        </w:rPr>
        <w:t>operating loss was driven by $3.8 billion lower ASPs, partially offset by $1.6 billion of improved unit cost and $1.1 billion higher unit sales. While we continued to see the ramp at Fab 68 drive cost improvements, the decline in ASP and the absence of $16</w:t>
      </w:r>
      <w:r>
        <w:rPr>
          <w:rFonts w:ascii="Arial" w:eastAsia="宋体" w:hAnsi="Arial" w:cs="Arial"/>
          <w:color w:val="333333"/>
          <w:sz w:val="18"/>
          <w:szCs w:val="18"/>
        </w:rPr>
        <w:t>0 million in government grants recognized in Q3 2018 more than offset improved unit cost, resulting in lower gross margin.</w:t>
      </w:r>
    </w:p>
    <w:p w14:paraId="4ACE2945" w14:textId="77777777" w:rsidR="006F587A" w:rsidRDefault="007B2B61">
      <w:pPr>
        <w:spacing w:line="288" w:lineRule="auto"/>
        <w:rPr>
          <w:rFonts w:ascii="Times New Roman" w:hAnsi="Times New Roman"/>
          <w:sz w:val="20"/>
          <w:szCs w:val="20"/>
        </w:rPr>
      </w:pPr>
      <w:r>
        <w:rPr>
          <w:rFonts w:ascii="Arial" w:eastAsia="宋体" w:hAnsi="Arial" w:cs="Arial"/>
          <w:b/>
          <w:bCs/>
          <w:color w:val="333333"/>
          <w:sz w:val="20"/>
          <w:szCs w:val="20"/>
        </w:rPr>
        <w:t>2018 – 2017</w:t>
      </w:r>
    </w:p>
    <w:p w14:paraId="4ACE2946"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Operating income improved $255 million as our sales mix shifted to our latest 64-layer NAND and we continued to see the c</w:t>
      </w:r>
      <w:r>
        <w:rPr>
          <w:rFonts w:ascii="Arial" w:eastAsia="宋体" w:hAnsi="Arial" w:cs="Arial"/>
          <w:color w:val="333333"/>
          <w:sz w:val="18"/>
          <w:szCs w:val="18"/>
        </w:rPr>
        <w:t>ost ramp at Fab 68. The improved unit costs and higher unit sales more than offset the decline in ASP. In addition, we had a total of $160 million earned government grants benefiting 2018.</w:t>
      </w:r>
    </w:p>
    <w:p w14:paraId="4ACE2947" w14:textId="77777777" w:rsidR="006F587A" w:rsidRDefault="006F587A">
      <w:pPr>
        <w:spacing w:line="288" w:lineRule="auto"/>
        <w:rPr>
          <w:rFonts w:ascii="Times New Roman" w:hAnsi="Times New Roman"/>
          <w:sz w:val="18"/>
          <w:szCs w:val="18"/>
        </w:rPr>
      </w:pPr>
    </w:p>
    <w:p w14:paraId="4ACE2948"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408"/>
        <w:gridCol w:w="2409"/>
        <w:gridCol w:w="3489"/>
      </w:tblGrid>
      <w:tr w:rsidR="006F587A" w14:paraId="4ACE294A" w14:textId="77777777">
        <w:tc>
          <w:tcPr>
            <w:tcW w:w="0" w:type="auto"/>
            <w:gridSpan w:val="3"/>
            <w:shd w:val="clear" w:color="auto" w:fill="auto"/>
            <w:vAlign w:val="center"/>
          </w:tcPr>
          <w:p w14:paraId="4ACE2949" w14:textId="77777777" w:rsidR="006F587A" w:rsidRDefault="006F587A">
            <w:pPr>
              <w:rPr>
                <w:rFonts w:ascii="Times New Roman" w:hAnsi="Times New Roman"/>
                <w:sz w:val="20"/>
                <w:szCs w:val="20"/>
              </w:rPr>
            </w:pPr>
          </w:p>
        </w:tc>
      </w:tr>
      <w:tr w:rsidR="006F587A" w14:paraId="4ACE294E" w14:textId="77777777">
        <w:tc>
          <w:tcPr>
            <w:tcW w:w="1450" w:type="pct"/>
            <w:shd w:val="clear" w:color="auto" w:fill="auto"/>
            <w:vAlign w:val="center"/>
          </w:tcPr>
          <w:p w14:paraId="4ACE294B" w14:textId="77777777" w:rsidR="006F587A" w:rsidRDefault="006F587A">
            <w:pPr>
              <w:rPr>
                <w:rFonts w:ascii="Times New Roman" w:hAnsi="Times New Roman"/>
                <w:sz w:val="20"/>
                <w:szCs w:val="20"/>
              </w:rPr>
            </w:pPr>
          </w:p>
        </w:tc>
        <w:tc>
          <w:tcPr>
            <w:tcW w:w="1450" w:type="pct"/>
            <w:shd w:val="clear" w:color="auto" w:fill="auto"/>
            <w:vAlign w:val="center"/>
          </w:tcPr>
          <w:p w14:paraId="4ACE294C" w14:textId="77777777" w:rsidR="006F587A" w:rsidRDefault="006F587A">
            <w:pPr>
              <w:rPr>
                <w:rFonts w:ascii="Times New Roman" w:hAnsi="Times New Roman"/>
                <w:sz w:val="20"/>
                <w:szCs w:val="20"/>
              </w:rPr>
            </w:pPr>
          </w:p>
        </w:tc>
        <w:tc>
          <w:tcPr>
            <w:tcW w:w="2100" w:type="pct"/>
            <w:shd w:val="clear" w:color="auto" w:fill="auto"/>
            <w:vAlign w:val="center"/>
          </w:tcPr>
          <w:p w14:paraId="4ACE294D" w14:textId="77777777" w:rsidR="006F587A" w:rsidRDefault="006F587A">
            <w:pPr>
              <w:rPr>
                <w:rFonts w:ascii="Times New Roman" w:hAnsi="Times New Roman"/>
                <w:sz w:val="20"/>
                <w:szCs w:val="20"/>
              </w:rPr>
            </w:pPr>
          </w:p>
        </w:tc>
      </w:tr>
      <w:tr w:rsidR="006F587A" w14:paraId="4ACE2952"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294F" w14:textId="77777777" w:rsidR="006F587A" w:rsidRDefault="007B2B61">
            <w:pPr>
              <w:textAlignment w:val="center"/>
              <w:rPr>
                <w:rFonts w:ascii="Times New Roman" w:hAnsi="Times New Roman"/>
                <w:sz w:val="18"/>
                <w:szCs w:val="18"/>
              </w:rPr>
            </w:pP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Viewer12_files/a001intellogo_coverfooter.jpg"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D0A" wp14:editId="4ACE6D0B">
                  <wp:extent cx="304800" cy="304800"/>
                  <wp:effectExtent l="0" t="0" r="0" b="0"/>
                  <wp:docPr id="220" name="图片 169"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169"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r>
              <w:rPr>
                <w:rFonts w:ascii="Arial" w:eastAsia="宋体" w:hAnsi="Arial" w:cs="Arial"/>
                <w:color w:val="333333"/>
                <w:sz w:val="18"/>
                <w:szCs w:val="18"/>
              </w:rPr>
              <w:t>  </w:t>
            </w:r>
            <w:r>
              <w:rPr>
                <w:rFonts w:ascii="Arial" w:eastAsia="宋体" w:hAnsi="Arial" w:cs="Arial"/>
                <w:color w:val="333333"/>
                <w:sz w:val="16"/>
                <w:szCs w:val="16"/>
              </w:rPr>
              <w:t>MD&amp;A</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95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951"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28</w:t>
            </w:r>
          </w:p>
        </w:tc>
      </w:tr>
    </w:tbl>
    <w:p w14:paraId="4ACE2953" w14:textId="77777777" w:rsidR="006F587A" w:rsidRDefault="007B2B61">
      <w:r>
        <w:pict w14:anchorId="4ACE6D0C">
          <v:rect id="_x0000_i1054" style="width:415.3pt;height:1.5pt" o:hralign="center" o:hrstd="t" o:hr="t" fillcolor="#a0a0a0" stroked="f"/>
        </w:pict>
      </w:r>
    </w:p>
    <w:p w14:paraId="4ACE2954" w14:textId="77777777" w:rsidR="006F587A" w:rsidRDefault="007B2B61">
      <w:pPr>
        <w:spacing w:line="288" w:lineRule="auto"/>
        <w:jc w:val="right"/>
        <w:rPr>
          <w:rFonts w:ascii="Times New Roman" w:hAnsi="Times New Roman"/>
          <w:sz w:val="16"/>
          <w:szCs w:val="16"/>
        </w:rPr>
      </w:pPr>
      <w:hyperlink r:id="rId62" w:anchor="s9DB683E2CF52561EB8A73BE37F5BF9BE" w:history="1">
        <w:r>
          <w:rPr>
            <w:rStyle w:val="a5"/>
            <w:rFonts w:ascii="Arial" w:eastAsia="宋体" w:hAnsi="Arial" w:cs="Arial"/>
            <w:b/>
            <w:bCs/>
            <w:sz w:val="16"/>
            <w:szCs w:val="16"/>
          </w:rPr>
          <w:t>Table of Contents</w:t>
        </w:r>
      </w:hyperlink>
    </w:p>
    <w:p w14:paraId="4ACE2955" w14:textId="77777777" w:rsidR="006F587A" w:rsidRDefault="006F587A">
      <w:pPr>
        <w:spacing w:line="288" w:lineRule="auto"/>
        <w:jc w:val="right"/>
        <w:rPr>
          <w:rFonts w:ascii="Times New Roman" w:hAnsi="Times New Roman"/>
          <w:sz w:val="16"/>
          <w:szCs w:val="16"/>
        </w:rPr>
      </w:pPr>
    </w:p>
    <w:p w14:paraId="4ACE2956" w14:textId="77777777" w:rsidR="006F587A" w:rsidRDefault="006F587A">
      <w:pPr>
        <w:rPr>
          <w:rFonts w:ascii="Times New Roman" w:hAnsi="Times New Roman"/>
          <w:sz w:val="20"/>
          <w:szCs w:val="20"/>
        </w:rPr>
      </w:pPr>
    </w:p>
    <w:p w14:paraId="4ACE2957" w14:textId="77777777" w:rsidR="006F587A" w:rsidRDefault="007B2B61">
      <w:pPr>
        <w:spacing w:line="288" w:lineRule="auto"/>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Viewer12_files/a053psgbanner2.jpg"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D0D" wp14:editId="4ACE6D0E">
            <wp:extent cx="304800" cy="304800"/>
            <wp:effectExtent l="0" t="0" r="0" b="0"/>
            <wp:docPr id="257" name="图片 171" descr="IMG_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171" descr="IMG_3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bl>
      <w:tblPr>
        <w:tblW w:w="14660" w:type="dxa"/>
        <w:tblCellMar>
          <w:left w:w="0" w:type="dxa"/>
          <w:right w:w="0" w:type="dxa"/>
        </w:tblCellMar>
        <w:tblLook w:val="04A0" w:firstRow="1" w:lastRow="0" w:firstColumn="1" w:lastColumn="0" w:noHBand="0" w:noVBand="1"/>
      </w:tblPr>
      <w:tblGrid>
        <w:gridCol w:w="316"/>
        <w:gridCol w:w="8468"/>
        <w:gridCol w:w="5876"/>
      </w:tblGrid>
      <w:tr w:rsidR="006F587A" w14:paraId="4ACE2959" w14:textId="77777777">
        <w:tc>
          <w:tcPr>
            <w:tcW w:w="0" w:type="auto"/>
            <w:gridSpan w:val="3"/>
            <w:shd w:val="clear" w:color="auto" w:fill="auto"/>
            <w:vAlign w:val="center"/>
          </w:tcPr>
          <w:p w14:paraId="4ACE2958" w14:textId="77777777" w:rsidR="006F587A" w:rsidRDefault="006F587A">
            <w:pPr>
              <w:rPr>
                <w:rFonts w:ascii="Times New Roman" w:hAnsi="Times New Roman"/>
                <w:sz w:val="20"/>
                <w:szCs w:val="20"/>
              </w:rPr>
            </w:pPr>
          </w:p>
        </w:tc>
      </w:tr>
      <w:tr w:rsidR="006F587A" w14:paraId="4ACE295D" w14:textId="77777777">
        <w:tc>
          <w:tcPr>
            <w:tcW w:w="760" w:type="dxa"/>
            <w:shd w:val="clear" w:color="auto" w:fill="auto"/>
            <w:vAlign w:val="center"/>
          </w:tcPr>
          <w:p w14:paraId="4ACE295A" w14:textId="77777777" w:rsidR="006F587A" w:rsidRDefault="006F587A">
            <w:pPr>
              <w:rPr>
                <w:rFonts w:ascii="Times New Roman" w:hAnsi="Times New Roman"/>
                <w:sz w:val="20"/>
                <w:szCs w:val="20"/>
              </w:rPr>
            </w:pPr>
          </w:p>
        </w:tc>
        <w:tc>
          <w:tcPr>
            <w:tcW w:w="10440" w:type="dxa"/>
            <w:shd w:val="clear" w:color="auto" w:fill="auto"/>
            <w:vAlign w:val="center"/>
          </w:tcPr>
          <w:p w14:paraId="4ACE295B" w14:textId="77777777" w:rsidR="006F587A" w:rsidRDefault="006F587A">
            <w:pPr>
              <w:rPr>
                <w:rFonts w:ascii="Times New Roman" w:hAnsi="Times New Roman"/>
                <w:sz w:val="20"/>
                <w:szCs w:val="20"/>
              </w:rPr>
            </w:pPr>
          </w:p>
        </w:tc>
        <w:tc>
          <w:tcPr>
            <w:tcW w:w="3400" w:type="dxa"/>
            <w:shd w:val="clear" w:color="auto" w:fill="auto"/>
            <w:vAlign w:val="center"/>
          </w:tcPr>
          <w:p w14:paraId="4ACE295C" w14:textId="77777777" w:rsidR="006F587A" w:rsidRDefault="006F587A">
            <w:pPr>
              <w:rPr>
                <w:rFonts w:ascii="Times New Roman" w:hAnsi="Times New Roman"/>
                <w:sz w:val="20"/>
                <w:szCs w:val="20"/>
              </w:rPr>
            </w:pPr>
          </w:p>
        </w:tc>
      </w:tr>
      <w:tr w:rsidR="006F587A" w14:paraId="4ACE2960" w14:textId="77777777">
        <w:tc>
          <w:tcPr>
            <w:tcW w:w="0" w:type="auto"/>
            <w:gridSpan w:val="2"/>
            <w:tcBorders>
              <w:bottom w:val="single" w:sz="8" w:space="0" w:color="333333"/>
            </w:tcBorders>
            <w:shd w:val="clear" w:color="auto" w:fill="auto"/>
            <w:tcMar>
              <w:top w:w="40" w:type="dxa"/>
              <w:left w:w="40" w:type="dxa"/>
              <w:bottom w:w="40" w:type="dxa"/>
              <w:right w:w="40" w:type="dxa"/>
            </w:tcMar>
            <w:vAlign w:val="bottom"/>
          </w:tcPr>
          <w:p w14:paraId="4ACE295E" w14:textId="77777777" w:rsidR="006F587A" w:rsidRDefault="007B2B61">
            <w:pPr>
              <w:textAlignment w:val="bottom"/>
              <w:rPr>
                <w:rFonts w:ascii="Times New Roman" w:hAnsi="Times New Roman"/>
                <w:sz w:val="20"/>
                <w:szCs w:val="20"/>
              </w:rPr>
            </w:pPr>
            <w:r>
              <w:rPr>
                <w:rFonts w:ascii="Arial" w:eastAsia="宋体" w:hAnsi="Arial" w:cs="Arial"/>
                <w:b/>
                <w:bCs/>
                <w:color w:val="0071C5"/>
                <w:sz w:val="20"/>
                <w:szCs w:val="20"/>
              </w:rPr>
              <w:t>OVERVIEW</w:t>
            </w:r>
          </w:p>
        </w:tc>
        <w:tc>
          <w:tcPr>
            <w:tcW w:w="0" w:type="auto"/>
            <w:vMerge w:val="restart"/>
            <w:shd w:val="clear" w:color="auto" w:fill="auto"/>
            <w:tcMar>
              <w:top w:w="40" w:type="dxa"/>
              <w:left w:w="40" w:type="dxa"/>
              <w:bottom w:w="40" w:type="dxa"/>
              <w:right w:w="40" w:type="dxa"/>
            </w:tcMar>
            <w:vAlign w:val="center"/>
          </w:tcPr>
          <w:p w14:paraId="4ACE295F" w14:textId="77777777" w:rsidR="006F587A" w:rsidRDefault="007B2B61">
            <w:pPr>
              <w:jc w:val="center"/>
              <w:textAlignment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Viewer12_files/a054davemoorecirclea01.jpg"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D0F" wp14:editId="4ACE6D10">
                  <wp:extent cx="304800" cy="304800"/>
                  <wp:effectExtent l="0" t="0" r="0" b="0"/>
                  <wp:docPr id="254" name="图片 172" descr="IMG_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172" descr="IMG_3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r>
      <w:tr w:rsidR="006F587A" w14:paraId="4ACE2963" w14:textId="77777777">
        <w:tc>
          <w:tcPr>
            <w:tcW w:w="0" w:type="auto"/>
            <w:gridSpan w:val="2"/>
            <w:tcBorders>
              <w:top w:val="single" w:sz="8" w:space="0" w:color="333333"/>
            </w:tcBorders>
            <w:shd w:val="clear" w:color="auto" w:fill="auto"/>
            <w:tcMar>
              <w:top w:w="40" w:type="dxa"/>
              <w:left w:w="40" w:type="dxa"/>
              <w:bottom w:w="40" w:type="dxa"/>
              <w:right w:w="40" w:type="dxa"/>
            </w:tcMar>
          </w:tcPr>
          <w:p w14:paraId="4ACE2961"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PSG offers programmable semiconductors, primarily FPGAs, structured ASICs, and related products, for a</w:t>
            </w:r>
            <w:r>
              <w:rPr>
                <w:rFonts w:ascii="Arial" w:eastAsia="宋体" w:hAnsi="Arial" w:cs="Arial"/>
                <w:color w:val="333333"/>
                <w:sz w:val="18"/>
                <w:szCs w:val="18"/>
              </w:rPr>
              <w:t xml:space="preserve"> broad range of market segments, including communications, data center, industrial, and military. The PSG product portfolio delivers FPGA acceleration in tandem with Intel microprocessors and enables Intel to combine the benefits of its broad portfolio of </w:t>
            </w:r>
            <w:r>
              <w:rPr>
                <w:rFonts w:ascii="Arial" w:eastAsia="宋体" w:hAnsi="Arial" w:cs="Arial"/>
                <w:color w:val="333333"/>
                <w:sz w:val="18"/>
                <w:szCs w:val="18"/>
              </w:rPr>
              <w:t>technologies to allow more flexibility for systems to operate with increased efficiency and higher performance.</w:t>
            </w:r>
          </w:p>
        </w:tc>
        <w:tc>
          <w:tcPr>
            <w:tcW w:w="0" w:type="auto"/>
            <w:vMerge/>
            <w:shd w:val="clear" w:color="auto" w:fill="auto"/>
            <w:tcMar>
              <w:top w:w="40" w:type="dxa"/>
              <w:left w:w="40" w:type="dxa"/>
              <w:bottom w:w="40" w:type="dxa"/>
              <w:right w:w="40" w:type="dxa"/>
            </w:tcMar>
            <w:vAlign w:val="center"/>
          </w:tcPr>
          <w:p w14:paraId="4ACE2962" w14:textId="77777777" w:rsidR="006F587A" w:rsidRDefault="006F587A">
            <w:pPr>
              <w:rPr>
                <w:rFonts w:ascii="Times New Roman" w:hAnsi="Times New Roman"/>
                <w:sz w:val="20"/>
                <w:szCs w:val="20"/>
              </w:rPr>
            </w:pPr>
          </w:p>
        </w:tc>
      </w:tr>
      <w:tr w:rsidR="006F587A" w14:paraId="4ACE2967" w14:textId="77777777">
        <w:tc>
          <w:tcPr>
            <w:tcW w:w="0" w:type="auto"/>
            <w:shd w:val="clear" w:color="auto" w:fill="auto"/>
            <w:tcMar>
              <w:top w:w="40" w:type="dxa"/>
              <w:left w:w="40" w:type="dxa"/>
              <w:bottom w:w="40" w:type="dxa"/>
              <w:right w:w="40" w:type="dxa"/>
            </w:tcMar>
            <w:vAlign w:val="bottom"/>
          </w:tcPr>
          <w:p w14:paraId="4ACE296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96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center"/>
          </w:tcPr>
          <w:p w14:paraId="4ACE2966" w14:textId="77777777" w:rsidR="006F587A" w:rsidRDefault="006F587A">
            <w:pPr>
              <w:rPr>
                <w:rFonts w:ascii="Times New Roman" w:hAnsi="Times New Roman"/>
                <w:sz w:val="20"/>
                <w:szCs w:val="20"/>
              </w:rPr>
            </w:pPr>
          </w:p>
        </w:tc>
      </w:tr>
      <w:tr w:rsidR="006F587A" w14:paraId="4ACE296A" w14:textId="77777777">
        <w:tc>
          <w:tcPr>
            <w:tcW w:w="0" w:type="auto"/>
            <w:gridSpan w:val="2"/>
            <w:tcBorders>
              <w:bottom w:val="single" w:sz="8" w:space="0" w:color="333333"/>
            </w:tcBorders>
            <w:shd w:val="clear" w:color="auto" w:fill="auto"/>
            <w:tcMar>
              <w:top w:w="40" w:type="dxa"/>
              <w:left w:w="40" w:type="dxa"/>
              <w:bottom w:w="40" w:type="dxa"/>
              <w:right w:w="40" w:type="dxa"/>
            </w:tcMar>
            <w:vAlign w:val="bottom"/>
          </w:tcPr>
          <w:p w14:paraId="4ACE2968" w14:textId="77777777" w:rsidR="006F587A" w:rsidRDefault="007B2B61">
            <w:pPr>
              <w:textAlignment w:val="bottom"/>
              <w:rPr>
                <w:rFonts w:ascii="Times New Roman" w:hAnsi="Times New Roman"/>
                <w:sz w:val="20"/>
                <w:szCs w:val="20"/>
              </w:rPr>
            </w:pPr>
            <w:r>
              <w:rPr>
                <w:rFonts w:ascii="Arial" w:eastAsia="宋体" w:hAnsi="Arial" w:cs="Arial"/>
                <w:b/>
                <w:bCs/>
                <w:color w:val="0071C5"/>
                <w:sz w:val="20"/>
                <w:szCs w:val="20"/>
              </w:rPr>
              <w:t>HIGHLIGHTS AND SEGMENT IMPERATIVES</w:t>
            </w:r>
          </w:p>
        </w:tc>
        <w:tc>
          <w:tcPr>
            <w:tcW w:w="0" w:type="auto"/>
            <w:vMerge/>
            <w:shd w:val="clear" w:color="auto" w:fill="auto"/>
            <w:tcMar>
              <w:top w:w="40" w:type="dxa"/>
              <w:left w:w="40" w:type="dxa"/>
              <w:bottom w:w="40" w:type="dxa"/>
              <w:right w:w="40" w:type="dxa"/>
            </w:tcMar>
            <w:vAlign w:val="center"/>
          </w:tcPr>
          <w:p w14:paraId="4ACE2969" w14:textId="77777777" w:rsidR="006F587A" w:rsidRDefault="006F587A">
            <w:pPr>
              <w:rPr>
                <w:rFonts w:ascii="Times New Roman" w:hAnsi="Times New Roman"/>
                <w:sz w:val="20"/>
                <w:szCs w:val="20"/>
              </w:rPr>
            </w:pPr>
          </w:p>
        </w:tc>
      </w:tr>
      <w:tr w:rsidR="006F587A" w14:paraId="4ACE296E" w14:textId="77777777">
        <w:tc>
          <w:tcPr>
            <w:tcW w:w="0" w:type="auto"/>
            <w:shd w:val="clear" w:color="auto" w:fill="auto"/>
            <w:tcMar>
              <w:top w:w="40" w:type="dxa"/>
              <w:left w:w="40" w:type="dxa"/>
              <w:bottom w:w="40" w:type="dxa"/>
              <w:right w:w="40" w:type="dxa"/>
            </w:tcMar>
            <w:vAlign w:val="bottom"/>
          </w:tcPr>
          <w:p w14:paraId="4ACE296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96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center"/>
          </w:tcPr>
          <w:p w14:paraId="4ACE296D" w14:textId="77777777" w:rsidR="006F587A" w:rsidRDefault="006F587A">
            <w:pPr>
              <w:rPr>
                <w:rFonts w:ascii="Times New Roman" w:hAnsi="Times New Roman"/>
                <w:sz w:val="20"/>
                <w:szCs w:val="20"/>
              </w:rPr>
            </w:pPr>
          </w:p>
        </w:tc>
      </w:tr>
      <w:tr w:rsidR="006F587A" w14:paraId="4ACE2974" w14:textId="77777777">
        <w:tc>
          <w:tcPr>
            <w:tcW w:w="0" w:type="auto"/>
            <w:shd w:val="clear" w:color="auto" w:fill="auto"/>
            <w:tcMar>
              <w:top w:w="40" w:type="dxa"/>
              <w:left w:w="40" w:type="dxa"/>
              <w:bottom w:w="40" w:type="dxa"/>
              <w:right w:w="40" w:type="dxa"/>
            </w:tcMar>
          </w:tcPr>
          <w:p w14:paraId="4ACE296F" w14:textId="77777777" w:rsidR="006F587A" w:rsidRDefault="007B2B61">
            <w:pPr>
              <w:jc w:val="center"/>
              <w:textAlignment w:val="top"/>
              <w:rPr>
                <w:rFonts w:ascii="Times New Roman" w:hAnsi="Times New Roman"/>
                <w:sz w:val="18"/>
                <w:szCs w:val="18"/>
              </w:rPr>
            </w:pPr>
            <w:r>
              <w:rPr>
                <w:rFonts w:ascii="Arial" w:eastAsia="宋体" w:hAnsi="Arial" w:cs="Arial"/>
                <w:color w:val="003C71"/>
                <w:sz w:val="18"/>
                <w:szCs w:val="18"/>
              </w:rPr>
              <w:t>●</w:t>
            </w:r>
          </w:p>
        </w:tc>
        <w:tc>
          <w:tcPr>
            <w:tcW w:w="0" w:type="auto"/>
            <w:shd w:val="clear" w:color="auto" w:fill="auto"/>
            <w:tcMar>
              <w:top w:w="40" w:type="dxa"/>
              <w:left w:w="40" w:type="dxa"/>
              <w:bottom w:w="40" w:type="dxa"/>
              <w:right w:w="40" w:type="dxa"/>
            </w:tcMar>
          </w:tcPr>
          <w:p w14:paraId="4ACE2970"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 xml:space="preserve">PSG revenue was down 6% year over year driven by a </w:t>
            </w:r>
            <w:r>
              <w:rPr>
                <w:rFonts w:ascii="Arial" w:eastAsia="宋体" w:hAnsi="Arial" w:cs="Arial"/>
                <w:color w:val="333333"/>
                <w:sz w:val="18"/>
                <w:szCs w:val="18"/>
              </w:rPr>
              <w:t>decline in our cloud and enterprise market segment, partially offset by strength in wireless and advanced products.</w:t>
            </w:r>
          </w:p>
        </w:tc>
        <w:tc>
          <w:tcPr>
            <w:tcW w:w="0" w:type="auto"/>
            <w:vMerge w:val="restart"/>
            <w:shd w:val="clear" w:color="auto" w:fill="auto"/>
            <w:tcMar>
              <w:top w:w="40" w:type="dxa"/>
              <w:left w:w="40" w:type="dxa"/>
              <w:bottom w:w="40" w:type="dxa"/>
              <w:right w:w="40" w:type="dxa"/>
            </w:tcMar>
          </w:tcPr>
          <w:p w14:paraId="4ACE2971" w14:textId="77777777" w:rsidR="006F587A" w:rsidRDefault="007B2B61">
            <w:pPr>
              <w:textAlignment w:val="top"/>
              <w:rPr>
                <w:rFonts w:ascii="Times New Roman" w:hAnsi="Times New Roman"/>
                <w:sz w:val="18"/>
                <w:szCs w:val="18"/>
              </w:rPr>
            </w:pPr>
            <w:r>
              <w:rPr>
                <w:rFonts w:ascii="Arial" w:eastAsia="宋体" w:hAnsi="Arial" w:cs="Arial"/>
                <w:b/>
                <w:bCs/>
                <w:i/>
                <w:iCs/>
                <w:color w:val="000000"/>
                <w:sz w:val="18"/>
                <w:szCs w:val="18"/>
              </w:rPr>
              <w:t xml:space="preserve">"Intel FPGAs and structured ASICs accelerate key workloads on Intel-based </w:t>
            </w:r>
            <w:r>
              <w:rPr>
                <w:rFonts w:ascii="Arial" w:eastAsia="宋体" w:hAnsi="Arial" w:cs="Arial"/>
                <w:b/>
                <w:bCs/>
                <w:i/>
                <w:iCs/>
                <w:color w:val="000000"/>
                <w:sz w:val="18"/>
                <w:szCs w:val="18"/>
              </w:rPr>
              <w:t>platforms and provide the flexibility and agility that enable our customers to innovate and adapt to changing requirements with highly customized hardware and software solutions.”</w:t>
            </w:r>
          </w:p>
          <w:p w14:paraId="4ACE2972" w14:textId="77777777" w:rsidR="006F587A" w:rsidRDefault="006F587A">
            <w:pPr>
              <w:textAlignment w:val="top"/>
              <w:rPr>
                <w:rFonts w:ascii="Times New Roman" w:hAnsi="Times New Roman"/>
                <w:sz w:val="18"/>
                <w:szCs w:val="18"/>
              </w:rPr>
            </w:pPr>
          </w:p>
          <w:p w14:paraId="4ACE2973" w14:textId="77777777" w:rsidR="006F587A" w:rsidRDefault="007B2B61">
            <w:pPr>
              <w:textAlignment w:val="top"/>
              <w:rPr>
                <w:rFonts w:ascii="Times New Roman" w:hAnsi="Times New Roman"/>
                <w:sz w:val="18"/>
                <w:szCs w:val="18"/>
              </w:rPr>
            </w:pPr>
            <w:r>
              <w:rPr>
                <w:rFonts w:ascii="Arial" w:eastAsia="宋体" w:hAnsi="Arial" w:cs="Arial"/>
                <w:b/>
                <w:bCs/>
                <w:i/>
                <w:iCs/>
                <w:color w:val="333333"/>
                <w:sz w:val="18"/>
                <w:szCs w:val="18"/>
              </w:rPr>
              <w:t>—David Moore,</w:t>
            </w:r>
            <w:r>
              <w:rPr>
                <w:rFonts w:ascii="Arial" w:eastAsia="宋体" w:hAnsi="Arial" w:cs="Arial"/>
                <w:i/>
                <w:iCs/>
                <w:color w:val="333333"/>
                <w:sz w:val="18"/>
                <w:szCs w:val="18"/>
              </w:rPr>
              <w:t> PSG General Manager</w:t>
            </w:r>
          </w:p>
        </w:tc>
      </w:tr>
      <w:tr w:rsidR="006F587A" w14:paraId="4ACE2978" w14:textId="77777777">
        <w:tc>
          <w:tcPr>
            <w:tcW w:w="0" w:type="auto"/>
            <w:shd w:val="clear" w:color="auto" w:fill="auto"/>
            <w:tcMar>
              <w:top w:w="40" w:type="dxa"/>
              <w:left w:w="40" w:type="dxa"/>
              <w:bottom w:w="40" w:type="dxa"/>
              <w:right w:w="40" w:type="dxa"/>
            </w:tcMar>
          </w:tcPr>
          <w:p w14:paraId="4ACE2975" w14:textId="77777777" w:rsidR="006F587A" w:rsidRDefault="007B2B61">
            <w:pPr>
              <w:jc w:val="center"/>
              <w:textAlignment w:val="top"/>
              <w:rPr>
                <w:rFonts w:ascii="Times New Roman" w:hAnsi="Times New Roman"/>
                <w:sz w:val="18"/>
                <w:szCs w:val="18"/>
              </w:rPr>
            </w:pPr>
            <w:r>
              <w:rPr>
                <w:rFonts w:ascii="Arial" w:eastAsia="宋体" w:hAnsi="Arial" w:cs="Arial"/>
                <w:color w:val="003C71"/>
                <w:sz w:val="18"/>
                <w:szCs w:val="18"/>
              </w:rPr>
              <w:t>●</w:t>
            </w:r>
          </w:p>
        </w:tc>
        <w:tc>
          <w:tcPr>
            <w:tcW w:w="0" w:type="auto"/>
            <w:shd w:val="clear" w:color="auto" w:fill="auto"/>
            <w:tcMar>
              <w:top w:w="40" w:type="dxa"/>
              <w:left w:w="40" w:type="dxa"/>
              <w:bottom w:w="40" w:type="dxa"/>
              <w:right w:w="40" w:type="dxa"/>
            </w:tcMar>
          </w:tcPr>
          <w:p w14:paraId="4ACE2976"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We announced the new 10nm Intel</w:t>
            </w:r>
            <w:r>
              <w:rPr>
                <w:rFonts w:ascii="Arial" w:eastAsia="宋体" w:hAnsi="Arial" w:cs="Arial"/>
                <w:color w:val="333333"/>
                <w:sz w:val="12"/>
                <w:szCs w:val="12"/>
              </w:rPr>
              <w:t>®</w:t>
            </w:r>
            <w:r>
              <w:rPr>
                <w:rFonts w:ascii="Arial" w:eastAsia="宋体" w:hAnsi="Arial" w:cs="Arial"/>
                <w:color w:val="333333"/>
                <w:sz w:val="18"/>
                <w:szCs w:val="18"/>
              </w:rPr>
              <w:t> Agile</w:t>
            </w:r>
            <w:r>
              <w:rPr>
                <w:rFonts w:ascii="Arial" w:eastAsia="宋体" w:hAnsi="Arial" w:cs="Arial"/>
                <w:color w:val="333333"/>
                <w:sz w:val="18"/>
                <w:szCs w:val="18"/>
              </w:rPr>
              <w:t>x</w:t>
            </w:r>
            <w:r>
              <w:rPr>
                <w:rFonts w:ascii="Arial" w:eastAsia="宋体" w:hAnsi="Arial" w:cs="Arial"/>
                <w:color w:val="333333"/>
                <w:sz w:val="12"/>
                <w:szCs w:val="12"/>
              </w:rPr>
              <w:t>TM</w:t>
            </w:r>
            <w:r>
              <w:rPr>
                <w:rFonts w:ascii="Arial" w:eastAsia="宋体" w:hAnsi="Arial" w:cs="Arial"/>
                <w:color w:val="333333"/>
                <w:sz w:val="18"/>
                <w:szCs w:val="18"/>
              </w:rPr>
              <w:t> FPGA family that will offer customers application-specific optimization and customization to bring new levels of flexibility and agility to data-intensive infrastructure. We began shipping engineering samples to customers.</w:t>
            </w:r>
          </w:p>
        </w:tc>
        <w:tc>
          <w:tcPr>
            <w:tcW w:w="0" w:type="auto"/>
            <w:vMerge/>
            <w:shd w:val="clear" w:color="auto" w:fill="auto"/>
            <w:tcMar>
              <w:top w:w="40" w:type="dxa"/>
              <w:left w:w="40" w:type="dxa"/>
              <w:bottom w:w="40" w:type="dxa"/>
              <w:right w:w="40" w:type="dxa"/>
            </w:tcMar>
          </w:tcPr>
          <w:p w14:paraId="4ACE2977" w14:textId="77777777" w:rsidR="006F587A" w:rsidRDefault="006F587A">
            <w:pPr>
              <w:rPr>
                <w:rFonts w:ascii="Times New Roman" w:hAnsi="Times New Roman"/>
                <w:sz w:val="20"/>
                <w:szCs w:val="20"/>
              </w:rPr>
            </w:pPr>
          </w:p>
        </w:tc>
      </w:tr>
      <w:tr w:rsidR="006F587A" w14:paraId="4ACE297C" w14:textId="77777777">
        <w:tc>
          <w:tcPr>
            <w:tcW w:w="0" w:type="auto"/>
            <w:shd w:val="clear" w:color="auto" w:fill="auto"/>
            <w:tcMar>
              <w:top w:w="40" w:type="dxa"/>
              <w:left w:w="40" w:type="dxa"/>
              <w:bottom w:w="40" w:type="dxa"/>
              <w:right w:w="40" w:type="dxa"/>
            </w:tcMar>
          </w:tcPr>
          <w:p w14:paraId="4ACE2979" w14:textId="77777777" w:rsidR="006F587A" w:rsidRDefault="007B2B61">
            <w:pPr>
              <w:jc w:val="center"/>
              <w:textAlignment w:val="top"/>
              <w:rPr>
                <w:rFonts w:ascii="Times New Roman" w:hAnsi="Times New Roman"/>
                <w:sz w:val="18"/>
                <w:szCs w:val="18"/>
              </w:rPr>
            </w:pPr>
            <w:r>
              <w:rPr>
                <w:rFonts w:ascii="Arial" w:eastAsia="宋体" w:hAnsi="Arial" w:cs="Arial"/>
                <w:color w:val="003C71"/>
                <w:sz w:val="18"/>
                <w:szCs w:val="18"/>
              </w:rPr>
              <w:t>●</w:t>
            </w:r>
          </w:p>
        </w:tc>
        <w:tc>
          <w:tcPr>
            <w:tcW w:w="0" w:type="auto"/>
            <w:shd w:val="clear" w:color="auto" w:fill="auto"/>
            <w:tcMar>
              <w:top w:w="40" w:type="dxa"/>
              <w:left w:w="40" w:type="dxa"/>
              <w:bottom w:w="40" w:type="dxa"/>
              <w:right w:w="40" w:type="dxa"/>
            </w:tcMar>
          </w:tcPr>
          <w:p w14:paraId="4ACE297A"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We extended our Intel</w:t>
            </w:r>
            <w:r>
              <w:rPr>
                <w:rFonts w:ascii="Arial" w:eastAsia="宋体" w:hAnsi="Arial" w:cs="Arial"/>
                <w:color w:val="333333"/>
                <w:sz w:val="12"/>
                <w:szCs w:val="12"/>
              </w:rPr>
              <w:t>®</w:t>
            </w:r>
            <w:r>
              <w:rPr>
                <w:rFonts w:ascii="Arial" w:eastAsia="宋体" w:hAnsi="Arial" w:cs="Arial"/>
                <w:color w:val="333333"/>
                <w:sz w:val="18"/>
                <w:szCs w:val="18"/>
              </w:rPr>
              <w:t> St</w:t>
            </w:r>
            <w:r>
              <w:rPr>
                <w:rFonts w:ascii="Arial" w:eastAsia="宋体" w:hAnsi="Arial" w:cs="Arial"/>
                <w:color w:val="333333"/>
                <w:sz w:val="18"/>
                <w:szCs w:val="18"/>
              </w:rPr>
              <w:t>ratix</w:t>
            </w:r>
            <w:r>
              <w:rPr>
                <w:rFonts w:ascii="Arial" w:eastAsia="宋体" w:hAnsi="Arial" w:cs="Arial"/>
                <w:color w:val="333333"/>
                <w:sz w:val="12"/>
                <w:szCs w:val="12"/>
              </w:rPr>
              <w:t>®</w:t>
            </w:r>
            <w:r>
              <w:rPr>
                <w:rFonts w:ascii="Arial" w:eastAsia="宋体" w:hAnsi="Arial" w:cs="Arial"/>
                <w:color w:val="333333"/>
                <w:sz w:val="18"/>
                <w:szCs w:val="18"/>
              </w:rPr>
              <w:t> 10 FPGA and Intel</w:t>
            </w:r>
            <w:r>
              <w:rPr>
                <w:rFonts w:ascii="Arial" w:eastAsia="宋体" w:hAnsi="Arial" w:cs="Arial"/>
                <w:color w:val="333333"/>
                <w:sz w:val="12"/>
                <w:szCs w:val="12"/>
              </w:rPr>
              <w:t>®</w:t>
            </w:r>
            <w:r>
              <w:rPr>
                <w:rFonts w:ascii="Arial" w:eastAsia="宋体" w:hAnsi="Arial" w:cs="Arial"/>
                <w:color w:val="333333"/>
                <w:sz w:val="18"/>
                <w:szCs w:val="18"/>
              </w:rPr>
              <w:t> Programmable Acceleration Card (Intel</w:t>
            </w:r>
            <w:r>
              <w:rPr>
                <w:rFonts w:ascii="Arial" w:eastAsia="宋体" w:hAnsi="Arial" w:cs="Arial"/>
                <w:color w:val="333333"/>
                <w:sz w:val="12"/>
                <w:szCs w:val="12"/>
              </w:rPr>
              <w:t xml:space="preserve">® </w:t>
            </w:r>
            <w:r>
              <w:rPr>
                <w:rFonts w:ascii="Arial" w:eastAsia="宋体" w:hAnsi="Arial" w:cs="Arial"/>
                <w:color w:val="333333"/>
                <w:sz w:val="18"/>
                <w:szCs w:val="18"/>
              </w:rPr>
              <w:t>PAC) families, which deliver new technology innovations and enable further synergy with Intel’s complete portfolio, including support for Intel</w:t>
            </w:r>
            <w:r>
              <w:rPr>
                <w:rFonts w:ascii="Arial" w:eastAsia="宋体" w:hAnsi="Arial" w:cs="Arial"/>
                <w:color w:val="333333"/>
                <w:sz w:val="12"/>
                <w:szCs w:val="12"/>
              </w:rPr>
              <w:t>®</w:t>
            </w:r>
            <w:r>
              <w:rPr>
                <w:rFonts w:ascii="Arial" w:eastAsia="宋体" w:hAnsi="Arial" w:cs="Arial"/>
                <w:color w:val="333333"/>
                <w:sz w:val="18"/>
                <w:szCs w:val="18"/>
              </w:rPr>
              <w:t> Ultra Path Interconnect (Intel</w:t>
            </w:r>
            <w:r>
              <w:rPr>
                <w:rFonts w:ascii="Arial" w:eastAsia="宋体" w:hAnsi="Arial" w:cs="Arial"/>
                <w:color w:val="333333"/>
                <w:sz w:val="12"/>
                <w:szCs w:val="12"/>
              </w:rPr>
              <w:t>®</w:t>
            </w:r>
            <w:r>
              <w:rPr>
                <w:rFonts w:ascii="Arial" w:eastAsia="宋体" w:hAnsi="Arial" w:cs="Arial"/>
                <w:color w:val="333333"/>
                <w:sz w:val="18"/>
                <w:szCs w:val="18"/>
              </w:rPr>
              <w:t xml:space="preserve"> UPI) and a </w:t>
            </w:r>
            <w:r>
              <w:rPr>
                <w:rFonts w:ascii="Arial" w:eastAsia="宋体" w:hAnsi="Arial" w:cs="Arial"/>
                <w:color w:val="333333"/>
                <w:sz w:val="18"/>
                <w:szCs w:val="18"/>
              </w:rPr>
              <w:t>controller for Intel</w:t>
            </w:r>
            <w:r>
              <w:rPr>
                <w:rFonts w:ascii="Arial" w:eastAsia="宋体" w:hAnsi="Arial" w:cs="Arial"/>
                <w:color w:val="333333"/>
                <w:sz w:val="12"/>
                <w:szCs w:val="12"/>
              </w:rPr>
              <w:t>®</w:t>
            </w:r>
            <w:r>
              <w:rPr>
                <w:rFonts w:ascii="Arial" w:eastAsia="宋体" w:hAnsi="Arial" w:cs="Arial"/>
                <w:color w:val="333333"/>
                <w:sz w:val="18"/>
                <w:szCs w:val="18"/>
              </w:rPr>
              <w:t> Optane™ technology to enable coherent memory and memory expansion with Intel</w:t>
            </w:r>
            <w:r>
              <w:rPr>
                <w:rFonts w:ascii="Arial" w:eastAsia="宋体" w:hAnsi="Arial" w:cs="Arial"/>
                <w:color w:val="333333"/>
                <w:sz w:val="12"/>
                <w:szCs w:val="12"/>
              </w:rPr>
              <w:t>®</w:t>
            </w:r>
            <w:r>
              <w:rPr>
                <w:rFonts w:ascii="Arial" w:eastAsia="宋体" w:hAnsi="Arial" w:cs="Arial"/>
                <w:color w:val="333333"/>
                <w:sz w:val="18"/>
                <w:szCs w:val="18"/>
              </w:rPr>
              <w:t> Xeon</w:t>
            </w:r>
            <w:r>
              <w:rPr>
                <w:rFonts w:ascii="Arial" w:eastAsia="宋体" w:hAnsi="Arial" w:cs="Arial"/>
                <w:color w:val="333333"/>
                <w:sz w:val="12"/>
                <w:szCs w:val="12"/>
              </w:rPr>
              <w:t>®</w:t>
            </w:r>
            <w:r>
              <w:rPr>
                <w:rFonts w:ascii="Arial" w:eastAsia="宋体" w:hAnsi="Arial" w:cs="Arial"/>
                <w:color w:val="333333"/>
                <w:sz w:val="18"/>
                <w:szCs w:val="18"/>
              </w:rPr>
              <w:t> Scalable processors and other Intel products.</w:t>
            </w:r>
          </w:p>
        </w:tc>
        <w:tc>
          <w:tcPr>
            <w:tcW w:w="0" w:type="auto"/>
            <w:vMerge/>
            <w:shd w:val="clear" w:color="auto" w:fill="auto"/>
            <w:tcMar>
              <w:top w:w="40" w:type="dxa"/>
              <w:left w:w="40" w:type="dxa"/>
              <w:bottom w:w="40" w:type="dxa"/>
              <w:right w:w="40" w:type="dxa"/>
            </w:tcMar>
          </w:tcPr>
          <w:p w14:paraId="4ACE297B" w14:textId="77777777" w:rsidR="006F587A" w:rsidRDefault="006F587A">
            <w:pPr>
              <w:rPr>
                <w:rFonts w:ascii="Times New Roman" w:hAnsi="Times New Roman"/>
                <w:sz w:val="20"/>
                <w:szCs w:val="20"/>
              </w:rPr>
            </w:pPr>
          </w:p>
        </w:tc>
      </w:tr>
      <w:tr w:rsidR="006F587A" w14:paraId="4ACE2980" w14:textId="77777777">
        <w:tc>
          <w:tcPr>
            <w:tcW w:w="0" w:type="auto"/>
            <w:shd w:val="clear" w:color="auto" w:fill="auto"/>
            <w:tcMar>
              <w:top w:w="40" w:type="dxa"/>
              <w:left w:w="40" w:type="dxa"/>
              <w:bottom w:w="40" w:type="dxa"/>
              <w:right w:w="40" w:type="dxa"/>
            </w:tcMar>
          </w:tcPr>
          <w:p w14:paraId="4ACE297D" w14:textId="77777777" w:rsidR="006F587A" w:rsidRDefault="007B2B61">
            <w:pPr>
              <w:jc w:val="center"/>
              <w:textAlignment w:val="top"/>
              <w:rPr>
                <w:rFonts w:ascii="Times New Roman" w:hAnsi="Times New Roman"/>
                <w:sz w:val="18"/>
                <w:szCs w:val="18"/>
              </w:rPr>
            </w:pPr>
            <w:r>
              <w:rPr>
                <w:rFonts w:ascii="Arial" w:eastAsia="宋体" w:hAnsi="Arial" w:cs="Arial"/>
                <w:color w:val="003C71"/>
                <w:sz w:val="18"/>
                <w:szCs w:val="18"/>
              </w:rPr>
              <w:t>●</w:t>
            </w:r>
          </w:p>
        </w:tc>
        <w:tc>
          <w:tcPr>
            <w:tcW w:w="0" w:type="auto"/>
            <w:shd w:val="clear" w:color="auto" w:fill="auto"/>
            <w:tcMar>
              <w:top w:w="40" w:type="dxa"/>
              <w:left w:w="40" w:type="dxa"/>
              <w:bottom w:w="40" w:type="dxa"/>
              <w:right w:w="40" w:type="dxa"/>
            </w:tcMar>
          </w:tcPr>
          <w:p w14:paraId="4ACE297E"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 xml:space="preserve">PSG’s FPGA technology and structured ASIC technology play an important role in Intel’s </w:t>
            </w:r>
            <w:r>
              <w:rPr>
                <w:rFonts w:ascii="Arial" w:eastAsia="宋体" w:hAnsi="Arial" w:cs="Arial"/>
                <w:color w:val="333333"/>
                <w:sz w:val="18"/>
                <w:szCs w:val="18"/>
              </w:rPr>
              <w:t>portfolio and platform strategy, enabling acceleration and programmability for customers in all data-focused markets.</w:t>
            </w:r>
          </w:p>
        </w:tc>
        <w:tc>
          <w:tcPr>
            <w:tcW w:w="0" w:type="auto"/>
            <w:vMerge/>
            <w:shd w:val="clear" w:color="auto" w:fill="auto"/>
            <w:tcMar>
              <w:top w:w="40" w:type="dxa"/>
              <w:left w:w="40" w:type="dxa"/>
              <w:bottom w:w="40" w:type="dxa"/>
              <w:right w:w="40" w:type="dxa"/>
            </w:tcMar>
          </w:tcPr>
          <w:p w14:paraId="4ACE297F" w14:textId="77777777" w:rsidR="006F587A" w:rsidRDefault="006F587A">
            <w:pPr>
              <w:rPr>
                <w:rFonts w:ascii="Times New Roman" w:hAnsi="Times New Roman"/>
                <w:sz w:val="20"/>
                <w:szCs w:val="20"/>
              </w:rPr>
            </w:pPr>
          </w:p>
        </w:tc>
      </w:tr>
    </w:tbl>
    <w:p w14:paraId="4ACE2981" w14:textId="77777777" w:rsidR="006F587A" w:rsidRDefault="006F587A">
      <w:pPr>
        <w:rPr>
          <w:vanish/>
        </w:rPr>
      </w:pPr>
    </w:p>
    <w:tbl>
      <w:tblPr>
        <w:tblW w:w="14640" w:type="dxa"/>
        <w:tblCellMar>
          <w:left w:w="0" w:type="dxa"/>
          <w:right w:w="0" w:type="dxa"/>
        </w:tblCellMar>
        <w:tblLook w:val="04A0" w:firstRow="1" w:lastRow="0" w:firstColumn="1" w:lastColumn="0" w:noHBand="0" w:noVBand="1"/>
      </w:tblPr>
      <w:tblGrid>
        <w:gridCol w:w="14640"/>
      </w:tblGrid>
      <w:tr w:rsidR="006F587A" w14:paraId="4ACE2983" w14:textId="77777777">
        <w:tc>
          <w:tcPr>
            <w:tcW w:w="0" w:type="auto"/>
            <w:shd w:val="clear" w:color="auto" w:fill="auto"/>
            <w:vAlign w:val="center"/>
          </w:tcPr>
          <w:p w14:paraId="4ACE2982" w14:textId="77777777" w:rsidR="006F587A" w:rsidRDefault="006F587A">
            <w:pPr>
              <w:rPr>
                <w:rFonts w:ascii="Times New Roman" w:hAnsi="Times New Roman"/>
                <w:sz w:val="20"/>
                <w:szCs w:val="20"/>
              </w:rPr>
            </w:pPr>
          </w:p>
        </w:tc>
      </w:tr>
      <w:tr w:rsidR="006F587A" w14:paraId="4ACE2985" w14:textId="77777777">
        <w:tc>
          <w:tcPr>
            <w:tcW w:w="14640" w:type="dxa"/>
            <w:shd w:val="clear" w:color="auto" w:fill="auto"/>
            <w:vAlign w:val="center"/>
          </w:tcPr>
          <w:p w14:paraId="4ACE2984" w14:textId="77777777" w:rsidR="006F587A" w:rsidRDefault="006F587A">
            <w:pPr>
              <w:rPr>
                <w:rFonts w:ascii="Times New Roman" w:hAnsi="Times New Roman"/>
                <w:sz w:val="20"/>
                <w:szCs w:val="20"/>
              </w:rPr>
            </w:pPr>
          </w:p>
        </w:tc>
      </w:tr>
      <w:tr w:rsidR="006F587A" w14:paraId="4ACE2987" w14:textId="77777777">
        <w:tc>
          <w:tcPr>
            <w:tcW w:w="0" w:type="auto"/>
            <w:tcBorders>
              <w:bottom w:val="single" w:sz="8" w:space="0" w:color="333333"/>
            </w:tcBorders>
            <w:shd w:val="clear" w:color="auto" w:fill="auto"/>
            <w:tcMar>
              <w:top w:w="40" w:type="dxa"/>
              <w:left w:w="40" w:type="dxa"/>
              <w:bottom w:w="40" w:type="dxa"/>
              <w:right w:w="40" w:type="dxa"/>
            </w:tcMar>
            <w:vAlign w:val="bottom"/>
          </w:tcPr>
          <w:p w14:paraId="4ACE2986" w14:textId="77777777" w:rsidR="006F587A" w:rsidRDefault="007B2B61">
            <w:pPr>
              <w:textAlignment w:val="bottom"/>
              <w:rPr>
                <w:rFonts w:ascii="Times New Roman" w:hAnsi="Times New Roman"/>
                <w:sz w:val="20"/>
                <w:szCs w:val="20"/>
              </w:rPr>
            </w:pPr>
            <w:r>
              <w:rPr>
                <w:rFonts w:ascii="Arial" w:eastAsia="宋体" w:hAnsi="Arial" w:cs="Arial"/>
                <w:b/>
                <w:bCs/>
                <w:color w:val="0071C5"/>
                <w:sz w:val="20"/>
                <w:szCs w:val="20"/>
              </w:rPr>
              <w:t>4-YEAR TRENDS</w:t>
            </w:r>
          </w:p>
        </w:tc>
      </w:tr>
    </w:tbl>
    <w:p w14:paraId="4ACE2988" w14:textId="77777777" w:rsidR="006F587A" w:rsidRDefault="007B2B61">
      <w:pPr>
        <w:spacing w:line="288" w:lineRule="auto"/>
        <w:ind w:firstLine="1440"/>
        <w:rPr>
          <w:rFonts w:ascii="Times New Roman" w:hAnsi="Times New Roman"/>
          <w:sz w:val="18"/>
          <w:szCs w:val="18"/>
        </w:rPr>
      </w:pP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Viewer12_files/chart21_psg4yrrevenue.jpg"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D11" wp14:editId="4ACE6D12">
            <wp:extent cx="304800" cy="304800"/>
            <wp:effectExtent l="0" t="0" r="0" b="0"/>
            <wp:docPr id="237" name="图片 173" descr="IMG_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173" descr="IMG_36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Viewer12_files/chart22_psg4yropincome.jpg"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D13" wp14:editId="4ACE6D14">
            <wp:extent cx="304800" cy="304800"/>
            <wp:effectExtent l="0" t="0" r="0" b="0"/>
            <wp:docPr id="238" name="图片 174" descr="IMG_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174" descr="IMG_36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p>
    <w:tbl>
      <w:tblPr>
        <w:tblW w:w="13500" w:type="dxa"/>
        <w:tblCellMar>
          <w:left w:w="0" w:type="dxa"/>
          <w:right w:w="0" w:type="dxa"/>
        </w:tblCellMar>
        <w:tblLook w:val="04A0" w:firstRow="1" w:lastRow="0" w:firstColumn="1" w:lastColumn="0" w:noHBand="0" w:noVBand="1"/>
      </w:tblPr>
      <w:tblGrid>
        <w:gridCol w:w="1727"/>
        <w:gridCol w:w="1808"/>
        <w:gridCol w:w="2672"/>
        <w:gridCol w:w="2592"/>
        <w:gridCol w:w="2089"/>
        <w:gridCol w:w="2210"/>
        <w:gridCol w:w="402"/>
      </w:tblGrid>
      <w:tr w:rsidR="006F587A" w14:paraId="4ACE298A" w14:textId="77777777">
        <w:tc>
          <w:tcPr>
            <w:tcW w:w="0" w:type="auto"/>
            <w:gridSpan w:val="7"/>
            <w:shd w:val="clear" w:color="auto" w:fill="auto"/>
            <w:vAlign w:val="center"/>
          </w:tcPr>
          <w:p w14:paraId="4ACE2989" w14:textId="77777777" w:rsidR="006F587A" w:rsidRDefault="006F587A">
            <w:pPr>
              <w:rPr>
                <w:rFonts w:ascii="Times New Roman" w:hAnsi="Times New Roman"/>
                <w:sz w:val="20"/>
                <w:szCs w:val="20"/>
              </w:rPr>
            </w:pPr>
          </w:p>
        </w:tc>
      </w:tr>
      <w:tr w:rsidR="006F587A" w14:paraId="4ACE2992" w14:textId="77777777">
        <w:tc>
          <w:tcPr>
            <w:tcW w:w="1720" w:type="dxa"/>
            <w:shd w:val="clear" w:color="auto" w:fill="auto"/>
            <w:vAlign w:val="center"/>
          </w:tcPr>
          <w:p w14:paraId="4ACE298B" w14:textId="77777777" w:rsidR="006F587A" w:rsidRDefault="006F587A">
            <w:pPr>
              <w:rPr>
                <w:rFonts w:ascii="Times New Roman" w:hAnsi="Times New Roman"/>
                <w:sz w:val="20"/>
                <w:szCs w:val="20"/>
              </w:rPr>
            </w:pPr>
          </w:p>
        </w:tc>
        <w:tc>
          <w:tcPr>
            <w:tcW w:w="1800" w:type="dxa"/>
            <w:shd w:val="clear" w:color="auto" w:fill="auto"/>
            <w:vAlign w:val="center"/>
          </w:tcPr>
          <w:p w14:paraId="4ACE298C" w14:textId="77777777" w:rsidR="006F587A" w:rsidRDefault="006F587A">
            <w:pPr>
              <w:rPr>
                <w:rFonts w:ascii="Times New Roman" w:hAnsi="Times New Roman"/>
                <w:sz w:val="20"/>
                <w:szCs w:val="20"/>
              </w:rPr>
            </w:pPr>
          </w:p>
        </w:tc>
        <w:tc>
          <w:tcPr>
            <w:tcW w:w="2660" w:type="dxa"/>
            <w:shd w:val="clear" w:color="auto" w:fill="auto"/>
            <w:vAlign w:val="center"/>
          </w:tcPr>
          <w:p w14:paraId="4ACE298D" w14:textId="77777777" w:rsidR="006F587A" w:rsidRDefault="006F587A">
            <w:pPr>
              <w:rPr>
                <w:rFonts w:ascii="Times New Roman" w:hAnsi="Times New Roman"/>
                <w:sz w:val="20"/>
                <w:szCs w:val="20"/>
              </w:rPr>
            </w:pPr>
          </w:p>
        </w:tc>
        <w:tc>
          <w:tcPr>
            <w:tcW w:w="2580" w:type="dxa"/>
            <w:shd w:val="clear" w:color="auto" w:fill="auto"/>
            <w:vAlign w:val="center"/>
          </w:tcPr>
          <w:p w14:paraId="4ACE298E" w14:textId="77777777" w:rsidR="006F587A" w:rsidRDefault="006F587A">
            <w:pPr>
              <w:rPr>
                <w:rFonts w:ascii="Times New Roman" w:hAnsi="Times New Roman"/>
                <w:sz w:val="20"/>
                <w:szCs w:val="20"/>
              </w:rPr>
            </w:pPr>
          </w:p>
        </w:tc>
        <w:tc>
          <w:tcPr>
            <w:tcW w:w="2080" w:type="dxa"/>
            <w:shd w:val="clear" w:color="auto" w:fill="auto"/>
            <w:vAlign w:val="center"/>
          </w:tcPr>
          <w:p w14:paraId="4ACE298F" w14:textId="77777777" w:rsidR="006F587A" w:rsidRDefault="006F587A">
            <w:pPr>
              <w:rPr>
                <w:rFonts w:ascii="Times New Roman" w:hAnsi="Times New Roman"/>
                <w:sz w:val="20"/>
                <w:szCs w:val="20"/>
              </w:rPr>
            </w:pPr>
          </w:p>
        </w:tc>
        <w:tc>
          <w:tcPr>
            <w:tcW w:w="2200" w:type="dxa"/>
            <w:shd w:val="clear" w:color="auto" w:fill="auto"/>
            <w:vAlign w:val="center"/>
          </w:tcPr>
          <w:p w14:paraId="4ACE2990" w14:textId="77777777" w:rsidR="006F587A" w:rsidRDefault="006F587A">
            <w:pPr>
              <w:rPr>
                <w:rFonts w:ascii="Times New Roman" w:hAnsi="Times New Roman"/>
                <w:sz w:val="20"/>
                <w:szCs w:val="20"/>
              </w:rPr>
            </w:pPr>
          </w:p>
        </w:tc>
        <w:tc>
          <w:tcPr>
            <w:tcW w:w="400" w:type="dxa"/>
            <w:shd w:val="clear" w:color="auto" w:fill="auto"/>
            <w:vAlign w:val="center"/>
          </w:tcPr>
          <w:p w14:paraId="4ACE2991" w14:textId="77777777" w:rsidR="006F587A" w:rsidRDefault="006F587A">
            <w:pPr>
              <w:rPr>
                <w:rFonts w:ascii="Times New Roman" w:hAnsi="Times New Roman"/>
                <w:sz w:val="20"/>
                <w:szCs w:val="20"/>
              </w:rPr>
            </w:pPr>
          </w:p>
        </w:tc>
      </w:tr>
      <w:tr w:rsidR="006F587A" w14:paraId="4ACE299A" w14:textId="77777777">
        <w:tc>
          <w:tcPr>
            <w:tcW w:w="0" w:type="auto"/>
            <w:shd w:val="clear" w:color="auto" w:fill="auto"/>
            <w:tcMar>
              <w:top w:w="40" w:type="dxa"/>
              <w:left w:w="40" w:type="dxa"/>
              <w:bottom w:w="40" w:type="dxa"/>
              <w:right w:w="40" w:type="dxa"/>
            </w:tcMar>
            <w:vAlign w:val="bottom"/>
          </w:tcPr>
          <w:p w14:paraId="4ACE299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994" w14:textId="77777777" w:rsidR="006F587A" w:rsidRDefault="007B2B61">
            <w:pPr>
              <w:textAlignment w:val="bottom"/>
              <w:rPr>
                <w:rFonts w:ascii="Times New Roman" w:hAnsi="Times New Roman"/>
                <w:sz w:val="16"/>
                <w:szCs w:val="16"/>
              </w:rPr>
            </w:pPr>
            <w:r>
              <w:rPr>
                <w:rFonts w:ascii="Arial" w:eastAsia="宋体" w:hAnsi="Arial" w:cs="Arial"/>
                <w:color w:val="003C71"/>
                <w:sz w:val="16"/>
                <w:szCs w:val="16"/>
              </w:rPr>
              <w:t xml:space="preserve">■ </w:t>
            </w:r>
            <w:r>
              <w:rPr>
                <w:rFonts w:ascii="Arial" w:eastAsia="宋体" w:hAnsi="Arial" w:cs="Arial"/>
                <w:color w:val="333333"/>
                <w:sz w:val="16"/>
                <w:szCs w:val="16"/>
              </w:rPr>
              <w:t>Revenue $B</w:t>
            </w:r>
          </w:p>
        </w:tc>
        <w:tc>
          <w:tcPr>
            <w:tcW w:w="0" w:type="auto"/>
            <w:shd w:val="clear" w:color="auto" w:fill="auto"/>
            <w:tcMar>
              <w:top w:w="40" w:type="dxa"/>
              <w:left w:w="40" w:type="dxa"/>
              <w:bottom w:w="40" w:type="dxa"/>
              <w:right w:w="40" w:type="dxa"/>
            </w:tcMar>
            <w:vAlign w:val="bottom"/>
          </w:tcPr>
          <w:p w14:paraId="4ACE2995" w14:textId="77777777" w:rsidR="006F587A" w:rsidRDefault="007B2B61">
            <w:pPr>
              <w:textAlignment w:val="bottom"/>
              <w:rPr>
                <w:rFonts w:ascii="Times New Roman" w:hAnsi="Times New Roman"/>
                <w:sz w:val="16"/>
                <w:szCs w:val="16"/>
              </w:rPr>
            </w:pPr>
            <w:r>
              <w:rPr>
                <w:rFonts w:ascii="Arial" w:eastAsia="宋体" w:hAnsi="Arial" w:cs="Arial"/>
                <w:b/>
                <w:bCs/>
                <w:color w:val="FAAC16"/>
                <w:sz w:val="16"/>
                <w:szCs w:val="16"/>
              </w:rPr>
              <w:t xml:space="preserve">— </w:t>
            </w:r>
            <w:r>
              <w:rPr>
                <w:rFonts w:ascii="Arial" w:eastAsia="宋体" w:hAnsi="Arial" w:cs="Arial"/>
                <w:color w:val="333333"/>
                <w:sz w:val="16"/>
                <w:szCs w:val="16"/>
              </w:rPr>
              <w:t>Year over Year Growth</w:t>
            </w:r>
          </w:p>
        </w:tc>
        <w:tc>
          <w:tcPr>
            <w:tcW w:w="0" w:type="auto"/>
            <w:shd w:val="clear" w:color="auto" w:fill="auto"/>
            <w:tcMar>
              <w:top w:w="40" w:type="dxa"/>
              <w:left w:w="40" w:type="dxa"/>
              <w:bottom w:w="40" w:type="dxa"/>
              <w:right w:w="40" w:type="dxa"/>
            </w:tcMar>
            <w:vAlign w:val="bottom"/>
          </w:tcPr>
          <w:p w14:paraId="4ACE299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997" w14:textId="77777777" w:rsidR="006F587A" w:rsidRDefault="007B2B61">
            <w:pPr>
              <w:textAlignment w:val="bottom"/>
              <w:rPr>
                <w:rFonts w:ascii="Times New Roman" w:hAnsi="Times New Roman"/>
                <w:sz w:val="16"/>
                <w:szCs w:val="16"/>
              </w:rPr>
            </w:pPr>
            <w:r>
              <w:rPr>
                <w:rFonts w:ascii="Arial" w:eastAsia="宋体" w:hAnsi="Arial" w:cs="Arial"/>
                <w:color w:val="00AEEF"/>
                <w:sz w:val="16"/>
                <w:szCs w:val="16"/>
              </w:rPr>
              <w:t>■</w:t>
            </w:r>
            <w:r>
              <w:rPr>
                <w:rFonts w:ascii="Arial" w:eastAsia="宋体" w:hAnsi="Arial" w:cs="Arial"/>
                <w:color w:val="333333"/>
                <w:sz w:val="16"/>
                <w:szCs w:val="16"/>
              </w:rPr>
              <w:t> Op Income $B</w:t>
            </w:r>
          </w:p>
        </w:tc>
        <w:tc>
          <w:tcPr>
            <w:tcW w:w="0" w:type="auto"/>
            <w:shd w:val="clear" w:color="auto" w:fill="auto"/>
            <w:tcMar>
              <w:top w:w="40" w:type="dxa"/>
              <w:left w:w="40" w:type="dxa"/>
              <w:bottom w:w="40" w:type="dxa"/>
              <w:right w:w="40" w:type="dxa"/>
            </w:tcMar>
            <w:vAlign w:val="bottom"/>
          </w:tcPr>
          <w:p w14:paraId="4ACE299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99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bl>
    <w:p w14:paraId="4ACE299B"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408"/>
        <w:gridCol w:w="2409"/>
        <w:gridCol w:w="3489"/>
      </w:tblGrid>
      <w:tr w:rsidR="006F587A" w14:paraId="4ACE299D" w14:textId="77777777">
        <w:tc>
          <w:tcPr>
            <w:tcW w:w="0" w:type="auto"/>
            <w:gridSpan w:val="3"/>
            <w:shd w:val="clear" w:color="auto" w:fill="auto"/>
            <w:vAlign w:val="center"/>
          </w:tcPr>
          <w:p w14:paraId="4ACE299C" w14:textId="77777777" w:rsidR="006F587A" w:rsidRDefault="006F587A">
            <w:pPr>
              <w:rPr>
                <w:rFonts w:ascii="Times New Roman" w:hAnsi="Times New Roman"/>
                <w:sz w:val="20"/>
                <w:szCs w:val="20"/>
              </w:rPr>
            </w:pPr>
          </w:p>
        </w:tc>
      </w:tr>
      <w:tr w:rsidR="006F587A" w14:paraId="4ACE29A1" w14:textId="77777777">
        <w:tc>
          <w:tcPr>
            <w:tcW w:w="1450" w:type="pct"/>
            <w:shd w:val="clear" w:color="auto" w:fill="auto"/>
            <w:vAlign w:val="center"/>
          </w:tcPr>
          <w:p w14:paraId="4ACE299E" w14:textId="77777777" w:rsidR="006F587A" w:rsidRDefault="006F587A">
            <w:pPr>
              <w:rPr>
                <w:rFonts w:ascii="Times New Roman" w:hAnsi="Times New Roman"/>
                <w:sz w:val="20"/>
                <w:szCs w:val="20"/>
              </w:rPr>
            </w:pPr>
          </w:p>
        </w:tc>
        <w:tc>
          <w:tcPr>
            <w:tcW w:w="1450" w:type="pct"/>
            <w:shd w:val="clear" w:color="auto" w:fill="auto"/>
            <w:vAlign w:val="center"/>
          </w:tcPr>
          <w:p w14:paraId="4ACE299F" w14:textId="77777777" w:rsidR="006F587A" w:rsidRDefault="006F587A">
            <w:pPr>
              <w:rPr>
                <w:rFonts w:ascii="Times New Roman" w:hAnsi="Times New Roman"/>
                <w:sz w:val="20"/>
                <w:szCs w:val="20"/>
              </w:rPr>
            </w:pPr>
          </w:p>
        </w:tc>
        <w:tc>
          <w:tcPr>
            <w:tcW w:w="2100" w:type="pct"/>
            <w:shd w:val="clear" w:color="auto" w:fill="auto"/>
            <w:vAlign w:val="center"/>
          </w:tcPr>
          <w:p w14:paraId="4ACE29A0" w14:textId="77777777" w:rsidR="006F587A" w:rsidRDefault="006F587A">
            <w:pPr>
              <w:rPr>
                <w:rFonts w:ascii="Times New Roman" w:hAnsi="Times New Roman"/>
                <w:sz w:val="20"/>
                <w:szCs w:val="20"/>
              </w:rPr>
            </w:pPr>
          </w:p>
        </w:tc>
      </w:tr>
      <w:tr w:rsidR="006F587A" w14:paraId="4ACE29A5"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29A2" w14:textId="77777777" w:rsidR="006F587A" w:rsidRDefault="007B2B61">
            <w:pPr>
              <w:textAlignment w:val="center"/>
              <w:rPr>
                <w:rFonts w:ascii="Times New Roman" w:hAnsi="Times New Roman"/>
                <w:sz w:val="18"/>
                <w:szCs w:val="18"/>
              </w:rPr>
            </w:pP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Viewer12_files/a001intellogo_coverfooter.jpg"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D15" wp14:editId="4ACE6D16">
                  <wp:extent cx="304800" cy="304800"/>
                  <wp:effectExtent l="0" t="0" r="0" b="0"/>
                  <wp:docPr id="236" name="图片 175"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175"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r>
              <w:rPr>
                <w:rFonts w:ascii="Arial" w:eastAsia="宋体" w:hAnsi="Arial" w:cs="Arial"/>
                <w:color w:val="333333"/>
                <w:sz w:val="18"/>
                <w:szCs w:val="18"/>
              </w:rPr>
              <w:t>  </w:t>
            </w:r>
            <w:r>
              <w:rPr>
                <w:rFonts w:ascii="Arial" w:eastAsia="宋体" w:hAnsi="Arial" w:cs="Arial"/>
                <w:color w:val="333333"/>
                <w:sz w:val="16"/>
                <w:szCs w:val="16"/>
              </w:rPr>
              <w:t>MD&amp;A</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9A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9A4"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29</w:t>
            </w:r>
          </w:p>
        </w:tc>
      </w:tr>
    </w:tbl>
    <w:p w14:paraId="4ACE29A6" w14:textId="77777777" w:rsidR="006F587A" w:rsidRDefault="007B2B61">
      <w:r>
        <w:pict w14:anchorId="4ACE6D17">
          <v:rect id="_x0000_i1055" style="width:415.3pt;height:1.5pt" o:hralign="center" o:hrstd="t" o:hr="t" fillcolor="#a0a0a0" stroked="f"/>
        </w:pict>
      </w:r>
    </w:p>
    <w:p w14:paraId="4ACE29A7" w14:textId="77777777" w:rsidR="006F587A" w:rsidRDefault="007B2B61">
      <w:pPr>
        <w:spacing w:line="288" w:lineRule="auto"/>
        <w:jc w:val="right"/>
        <w:rPr>
          <w:rFonts w:ascii="Times New Roman" w:hAnsi="Times New Roman"/>
          <w:sz w:val="16"/>
          <w:szCs w:val="16"/>
        </w:rPr>
      </w:pPr>
      <w:hyperlink r:id="rId63" w:anchor="s9DB683E2CF52561EB8A73BE37F5BF9BE" w:history="1">
        <w:r>
          <w:rPr>
            <w:rStyle w:val="a5"/>
            <w:rFonts w:ascii="Arial" w:eastAsia="宋体" w:hAnsi="Arial" w:cs="Arial"/>
            <w:b/>
            <w:bCs/>
            <w:sz w:val="16"/>
            <w:szCs w:val="16"/>
          </w:rPr>
          <w:t>Table of Contents</w:t>
        </w:r>
      </w:hyperlink>
    </w:p>
    <w:p w14:paraId="4ACE29A8" w14:textId="77777777" w:rsidR="006F587A" w:rsidRDefault="006F587A">
      <w:pPr>
        <w:spacing w:line="288" w:lineRule="auto"/>
        <w:jc w:val="right"/>
        <w:rPr>
          <w:rFonts w:ascii="Times New Roman" w:hAnsi="Times New Roman"/>
          <w:sz w:val="16"/>
          <w:szCs w:val="16"/>
        </w:rPr>
      </w:pPr>
    </w:p>
    <w:p w14:paraId="4ACE29A9" w14:textId="77777777" w:rsidR="006F587A" w:rsidRDefault="006F587A">
      <w:pPr>
        <w:rPr>
          <w:rFonts w:ascii="Times New Roman" w:hAnsi="Times New Roman"/>
          <w:sz w:val="20"/>
          <w:szCs w:val="20"/>
        </w:rPr>
      </w:pPr>
    </w:p>
    <w:p w14:paraId="4ACE29AA" w14:textId="77777777" w:rsidR="006F587A" w:rsidRDefault="007B2B61">
      <w:pPr>
        <w:spacing w:line="288" w:lineRule="auto"/>
        <w:rPr>
          <w:rFonts w:ascii="Times New Roman" w:hAnsi="Times New Roman"/>
        </w:rPr>
      </w:pPr>
      <w:r>
        <w:rPr>
          <w:rFonts w:ascii="Arial" w:eastAsia="宋体" w:hAnsi="Arial" w:cs="Arial"/>
          <w:b/>
          <w:bCs/>
          <w:color w:val="0071C5"/>
        </w:rPr>
        <w:t>MARKET AND BUSINESS OVERVIEW</w:t>
      </w:r>
    </w:p>
    <w:p w14:paraId="4ACE29AB" w14:textId="77777777" w:rsidR="006F587A" w:rsidRDefault="007B2B61">
      <w:pPr>
        <w:spacing w:line="288" w:lineRule="auto"/>
        <w:rPr>
          <w:rFonts w:ascii="Times New Roman" w:hAnsi="Times New Roman"/>
          <w:sz w:val="20"/>
          <w:szCs w:val="20"/>
        </w:rPr>
      </w:pPr>
      <w:r>
        <w:rPr>
          <w:rFonts w:ascii="Arial" w:eastAsia="宋体" w:hAnsi="Arial" w:cs="Arial"/>
          <w:b/>
          <w:bCs/>
          <w:color w:val="333333"/>
          <w:sz w:val="20"/>
          <w:szCs w:val="20"/>
        </w:rPr>
        <w:t>Market trends and strategy</w:t>
      </w:r>
    </w:p>
    <w:p w14:paraId="4ACE29AC"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With the rise of pervasive connectivity and autonomous transactions, vast networks of devices and </w:t>
      </w:r>
      <w:r>
        <w:rPr>
          <w:rFonts w:ascii="Arial" w:eastAsia="宋体" w:hAnsi="Arial" w:cs="Arial"/>
          <w:color w:val="333333"/>
          <w:sz w:val="18"/>
          <w:szCs w:val="18"/>
        </w:rPr>
        <w:t>systems are linked from the edge through infrastructure to the cloud. The Intel</w:t>
      </w:r>
      <w:r>
        <w:rPr>
          <w:rFonts w:ascii="Arial" w:eastAsia="宋体" w:hAnsi="Arial" w:cs="Arial"/>
          <w:color w:val="333333"/>
          <w:sz w:val="12"/>
          <w:szCs w:val="12"/>
        </w:rPr>
        <w:t>®</w:t>
      </w:r>
      <w:r>
        <w:rPr>
          <w:rFonts w:ascii="Arial" w:eastAsia="宋体" w:hAnsi="Arial" w:cs="Arial"/>
          <w:color w:val="333333"/>
          <w:sz w:val="18"/>
          <w:szCs w:val="18"/>
        </w:rPr>
        <w:t xml:space="preserve"> FPGA portfolio enables this transformation with discrete FPGAs and software-defined, hardware-based, multi-function acceleration cards that allow faster development times, hig</w:t>
      </w:r>
      <w:r>
        <w:rPr>
          <w:rFonts w:ascii="Arial" w:eastAsia="宋体" w:hAnsi="Arial" w:cs="Arial"/>
          <w:color w:val="333333"/>
          <w:sz w:val="18"/>
          <w:szCs w:val="18"/>
        </w:rPr>
        <w:t xml:space="preserve">h performance, and power efficiency with lower overall total cost of ownership. </w:t>
      </w:r>
    </w:p>
    <w:p w14:paraId="4ACE29AD"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PSG enables a broad range of solutions targeting the data center, wireless, networking, military, medical, and industrial market segments. The configurability and efficiency o</w:t>
      </w:r>
      <w:r>
        <w:rPr>
          <w:rFonts w:ascii="Arial" w:eastAsia="宋体" w:hAnsi="Arial" w:cs="Arial"/>
          <w:color w:val="333333"/>
          <w:sz w:val="18"/>
          <w:szCs w:val="18"/>
        </w:rPr>
        <w:t xml:space="preserve">f FPGAs provide advantages to enable transformative applications such as 5G wireless, network function virtualization acceleration, and edge acceleration for video analytics and Industry 4.0. At the edge, where systems ingest large amounts </w:t>
      </w:r>
      <w:r>
        <w:rPr>
          <w:rFonts w:ascii="Arial" w:eastAsia="宋体" w:hAnsi="Arial" w:cs="Arial"/>
          <w:color w:val="333333"/>
          <w:sz w:val="18"/>
          <w:szCs w:val="18"/>
        </w:rPr>
        <w:lastRenderedPageBreak/>
        <w:t>of data, Intel</w:t>
      </w:r>
      <w:r>
        <w:rPr>
          <w:rFonts w:ascii="Arial" w:eastAsia="宋体" w:hAnsi="Arial" w:cs="Arial"/>
          <w:color w:val="333333"/>
          <w:sz w:val="12"/>
          <w:szCs w:val="12"/>
        </w:rPr>
        <w:t>®</w:t>
      </w:r>
      <w:r>
        <w:rPr>
          <w:rFonts w:ascii="Arial" w:eastAsia="宋体" w:hAnsi="Arial" w:cs="Arial"/>
          <w:color w:val="333333"/>
          <w:sz w:val="18"/>
          <w:szCs w:val="18"/>
        </w:rPr>
        <w:t xml:space="preserve"> </w:t>
      </w:r>
      <w:r>
        <w:rPr>
          <w:rFonts w:ascii="Arial" w:eastAsia="宋体" w:hAnsi="Arial" w:cs="Arial"/>
          <w:color w:val="333333"/>
          <w:sz w:val="18"/>
          <w:szCs w:val="18"/>
        </w:rPr>
        <w:t>FPGAs are ideal for pre-processing data to accelerate Intel processors. In the network, where data traffic is increasing and network functions are being virtualized to improve transport efficiency, Intel</w:t>
      </w:r>
      <w:r>
        <w:rPr>
          <w:rFonts w:ascii="Arial" w:eastAsia="宋体" w:hAnsi="Arial" w:cs="Arial"/>
          <w:color w:val="333333"/>
          <w:sz w:val="12"/>
          <w:szCs w:val="12"/>
        </w:rPr>
        <w:t>®</w:t>
      </w:r>
      <w:r>
        <w:rPr>
          <w:rFonts w:ascii="Arial" w:eastAsia="宋体" w:hAnsi="Arial" w:cs="Arial"/>
          <w:color w:val="333333"/>
          <w:sz w:val="18"/>
          <w:szCs w:val="18"/>
        </w:rPr>
        <w:t xml:space="preserve"> FPGAs are built to deliver high-bandwidth aggregati</w:t>
      </w:r>
      <w:r>
        <w:rPr>
          <w:rFonts w:ascii="Arial" w:eastAsia="宋体" w:hAnsi="Arial" w:cs="Arial"/>
          <w:color w:val="333333"/>
          <w:sz w:val="18"/>
          <w:szCs w:val="18"/>
        </w:rPr>
        <w:t>on and processing. In the cloud, where workloads shift dynamically and algorithms change, Intel</w:t>
      </w:r>
      <w:r>
        <w:rPr>
          <w:rFonts w:ascii="Arial" w:eastAsia="宋体" w:hAnsi="Arial" w:cs="Arial"/>
          <w:color w:val="333333"/>
          <w:sz w:val="12"/>
          <w:szCs w:val="12"/>
        </w:rPr>
        <w:t>®</w:t>
      </w:r>
      <w:r>
        <w:rPr>
          <w:rFonts w:ascii="Arial" w:eastAsia="宋体" w:hAnsi="Arial" w:cs="Arial"/>
          <w:color w:val="333333"/>
          <w:sz w:val="18"/>
          <w:szCs w:val="18"/>
        </w:rPr>
        <w:t xml:space="preserve"> FPGAs are the ideal solution for adapting to new demands through reconfigurability.</w:t>
      </w:r>
    </w:p>
    <w:p w14:paraId="4ACE29AE" w14:textId="77777777" w:rsidR="006F587A" w:rsidRDefault="007B2B61">
      <w:pPr>
        <w:spacing w:line="288" w:lineRule="auto"/>
        <w:rPr>
          <w:rFonts w:ascii="Times New Roman" w:hAnsi="Times New Roman"/>
          <w:sz w:val="20"/>
          <w:szCs w:val="20"/>
        </w:rPr>
      </w:pPr>
      <w:r>
        <w:rPr>
          <w:rFonts w:ascii="Arial" w:eastAsia="宋体" w:hAnsi="Arial" w:cs="Arial"/>
          <w:b/>
          <w:bCs/>
          <w:color w:val="333333"/>
          <w:sz w:val="20"/>
          <w:szCs w:val="20"/>
        </w:rPr>
        <w:t>Products and competitiveness</w:t>
      </w:r>
    </w:p>
    <w:p w14:paraId="4ACE29AF"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PSG delivers solutions in the PLD market, prim</w:t>
      </w:r>
      <w:r>
        <w:rPr>
          <w:rFonts w:ascii="Arial" w:eastAsia="宋体" w:hAnsi="Arial" w:cs="Arial"/>
          <w:color w:val="333333"/>
          <w:sz w:val="18"/>
          <w:szCs w:val="18"/>
        </w:rPr>
        <w:t>arily FPGAs and structured ASICs, to accelerate applications that help secure, power, and connect billions of devices and the infrastructure of the smart, connected, data-centric world. We face competition from other programmable logic companies, as well a</w:t>
      </w:r>
      <w:r>
        <w:rPr>
          <w:rFonts w:ascii="Arial" w:eastAsia="宋体" w:hAnsi="Arial" w:cs="Arial"/>
          <w:color w:val="333333"/>
          <w:sz w:val="18"/>
          <w:szCs w:val="18"/>
        </w:rPr>
        <w:t>s companies that make other types of semiconductor products, such as ASICs, application-specific standard products, GPUs, digital signal processors, and CPUs. Targeted growth areas for our programmable solutions include communications, data center, industr</w:t>
      </w:r>
      <w:r>
        <w:rPr>
          <w:rFonts w:ascii="Arial" w:eastAsia="宋体" w:hAnsi="Arial" w:cs="Arial"/>
          <w:color w:val="333333"/>
          <w:sz w:val="18"/>
          <w:szCs w:val="18"/>
        </w:rPr>
        <w:t>ial, and military applications. The FPGA life cycle is long relative to other Intel products. It generally takes three or more years from the time that a design win is secured before a customer starts volume production and we receive the associated revenue</w:t>
      </w:r>
      <w:r>
        <w:rPr>
          <w:rFonts w:ascii="Arial" w:eastAsia="宋体" w:hAnsi="Arial" w:cs="Arial"/>
          <w:color w:val="333333"/>
          <w:sz w:val="18"/>
          <w:szCs w:val="18"/>
        </w:rPr>
        <w:t xml:space="preserve">. </w:t>
      </w:r>
    </w:p>
    <w:tbl>
      <w:tblPr>
        <w:tblW w:w="5000" w:type="pct"/>
        <w:tblCellMar>
          <w:left w:w="0" w:type="dxa"/>
          <w:right w:w="0" w:type="dxa"/>
        </w:tblCellMar>
        <w:tblLook w:val="04A0" w:firstRow="1" w:lastRow="0" w:firstColumn="1" w:lastColumn="0" w:noHBand="0" w:noVBand="1"/>
      </w:tblPr>
      <w:tblGrid>
        <w:gridCol w:w="5648"/>
        <w:gridCol w:w="2658"/>
      </w:tblGrid>
      <w:tr w:rsidR="006F587A" w14:paraId="4ACE29B1" w14:textId="77777777">
        <w:tc>
          <w:tcPr>
            <w:tcW w:w="0" w:type="auto"/>
            <w:gridSpan w:val="2"/>
            <w:shd w:val="clear" w:color="auto" w:fill="auto"/>
            <w:vAlign w:val="center"/>
          </w:tcPr>
          <w:p w14:paraId="4ACE29B0" w14:textId="77777777" w:rsidR="006F587A" w:rsidRDefault="006F587A">
            <w:pPr>
              <w:rPr>
                <w:rFonts w:ascii="Times New Roman" w:hAnsi="Times New Roman"/>
                <w:sz w:val="20"/>
                <w:szCs w:val="20"/>
              </w:rPr>
            </w:pPr>
          </w:p>
        </w:tc>
      </w:tr>
      <w:tr w:rsidR="006F587A" w14:paraId="4ACE29B4" w14:textId="77777777">
        <w:tc>
          <w:tcPr>
            <w:tcW w:w="3400" w:type="pct"/>
            <w:shd w:val="clear" w:color="auto" w:fill="auto"/>
            <w:vAlign w:val="center"/>
          </w:tcPr>
          <w:p w14:paraId="4ACE29B2" w14:textId="77777777" w:rsidR="006F587A" w:rsidRDefault="006F587A">
            <w:pPr>
              <w:rPr>
                <w:rFonts w:ascii="Times New Roman" w:hAnsi="Times New Roman"/>
                <w:sz w:val="20"/>
                <w:szCs w:val="20"/>
              </w:rPr>
            </w:pPr>
          </w:p>
        </w:tc>
        <w:tc>
          <w:tcPr>
            <w:tcW w:w="1600" w:type="pct"/>
            <w:shd w:val="clear" w:color="auto" w:fill="auto"/>
            <w:vAlign w:val="center"/>
          </w:tcPr>
          <w:p w14:paraId="4ACE29B3" w14:textId="77777777" w:rsidR="006F587A" w:rsidRDefault="006F587A">
            <w:pPr>
              <w:rPr>
                <w:rFonts w:ascii="Times New Roman" w:hAnsi="Times New Roman"/>
                <w:sz w:val="20"/>
                <w:szCs w:val="20"/>
              </w:rPr>
            </w:pPr>
          </w:p>
        </w:tc>
      </w:tr>
      <w:tr w:rsidR="006F587A" w14:paraId="4ACE29BB" w14:textId="77777777">
        <w:tc>
          <w:tcPr>
            <w:tcW w:w="0" w:type="auto"/>
            <w:shd w:val="clear" w:color="auto" w:fill="auto"/>
            <w:tcMar>
              <w:top w:w="40" w:type="dxa"/>
              <w:left w:w="40" w:type="dxa"/>
              <w:bottom w:w="40" w:type="dxa"/>
              <w:right w:w="40" w:type="dxa"/>
            </w:tcMar>
          </w:tcPr>
          <w:p w14:paraId="4ACE29B5"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PSG expanded its FPGA silicon portfolio by offering additional capability with the Intel</w:t>
            </w:r>
            <w:r>
              <w:rPr>
                <w:rFonts w:ascii="Arial" w:eastAsia="宋体" w:hAnsi="Arial" w:cs="Arial"/>
                <w:color w:val="333333"/>
                <w:sz w:val="12"/>
                <w:szCs w:val="12"/>
              </w:rPr>
              <w:t>®</w:t>
            </w:r>
            <w:r>
              <w:rPr>
                <w:rFonts w:ascii="Arial" w:eastAsia="宋体" w:hAnsi="Arial" w:cs="Arial"/>
                <w:color w:val="333333"/>
                <w:sz w:val="18"/>
                <w:szCs w:val="18"/>
              </w:rPr>
              <w:t> Stratix</w:t>
            </w:r>
            <w:r>
              <w:rPr>
                <w:rFonts w:ascii="Arial" w:eastAsia="宋体" w:hAnsi="Arial" w:cs="Arial"/>
                <w:color w:val="333333"/>
                <w:sz w:val="12"/>
                <w:szCs w:val="12"/>
              </w:rPr>
              <w:t>®</w:t>
            </w:r>
            <w:r>
              <w:rPr>
                <w:rFonts w:ascii="Arial" w:eastAsia="宋体" w:hAnsi="Arial" w:cs="Arial"/>
                <w:color w:val="333333"/>
                <w:sz w:val="18"/>
                <w:szCs w:val="18"/>
              </w:rPr>
              <w:t> 10 FPGA family and by introducing the brand-new Intel</w:t>
            </w:r>
            <w:r>
              <w:rPr>
                <w:rFonts w:ascii="Arial" w:eastAsia="宋体" w:hAnsi="Arial" w:cs="Arial"/>
                <w:color w:val="333333"/>
                <w:sz w:val="12"/>
                <w:szCs w:val="12"/>
              </w:rPr>
              <w:t>®</w:t>
            </w:r>
            <w:r>
              <w:rPr>
                <w:rFonts w:ascii="Arial" w:eastAsia="宋体" w:hAnsi="Arial" w:cs="Arial"/>
                <w:color w:val="333333"/>
                <w:sz w:val="18"/>
                <w:szCs w:val="18"/>
              </w:rPr>
              <w:t> Agilex™ FPGA family. The Intel</w:t>
            </w:r>
            <w:r>
              <w:rPr>
                <w:rFonts w:ascii="Arial" w:eastAsia="宋体" w:hAnsi="Arial" w:cs="Arial"/>
                <w:color w:val="333333"/>
                <w:sz w:val="12"/>
                <w:szCs w:val="12"/>
              </w:rPr>
              <w:t>®</w:t>
            </w:r>
            <w:r>
              <w:rPr>
                <w:rFonts w:ascii="Arial" w:eastAsia="宋体" w:hAnsi="Arial" w:cs="Arial"/>
                <w:color w:val="333333"/>
                <w:sz w:val="18"/>
                <w:szCs w:val="18"/>
              </w:rPr>
              <w:t xml:space="preserve"> Agilex™ FPGA family combines FPGA fabric built on </w:t>
            </w:r>
            <w:r>
              <w:rPr>
                <w:rFonts w:ascii="Arial" w:eastAsia="宋体" w:hAnsi="Arial" w:cs="Arial"/>
                <w:color w:val="333333"/>
                <w:sz w:val="18"/>
                <w:szCs w:val="18"/>
              </w:rPr>
              <w:t>Intel’s 10nm process with innovative heterogeneous 3D SiP technology, which provides the capability to integrate analog, memory, custom computing, custom I/O, and Intel</w:t>
            </w:r>
            <w:r>
              <w:rPr>
                <w:rFonts w:ascii="Arial" w:eastAsia="宋体" w:hAnsi="Arial" w:cs="Arial"/>
                <w:color w:val="333333"/>
                <w:sz w:val="12"/>
                <w:szCs w:val="12"/>
              </w:rPr>
              <w:t>®</w:t>
            </w:r>
            <w:r>
              <w:rPr>
                <w:rFonts w:ascii="Arial" w:eastAsia="宋体" w:hAnsi="Arial" w:cs="Arial"/>
                <w:color w:val="333333"/>
                <w:sz w:val="18"/>
                <w:szCs w:val="18"/>
              </w:rPr>
              <w:t> eASIC™ device tiles into a single package with the FPGA fabric. Intel</w:t>
            </w:r>
            <w:r>
              <w:rPr>
                <w:rFonts w:ascii="Arial" w:eastAsia="宋体" w:hAnsi="Arial" w:cs="Arial"/>
                <w:color w:val="333333"/>
                <w:sz w:val="12"/>
                <w:szCs w:val="12"/>
              </w:rPr>
              <w:t>®</w:t>
            </w:r>
            <w:r>
              <w:rPr>
                <w:rFonts w:ascii="Arial" w:eastAsia="宋体" w:hAnsi="Arial" w:cs="Arial"/>
                <w:color w:val="333333"/>
                <w:sz w:val="18"/>
                <w:szCs w:val="18"/>
              </w:rPr>
              <w:t> Agilex™ FPGAs b</w:t>
            </w:r>
            <w:r>
              <w:rPr>
                <w:rFonts w:ascii="Arial" w:eastAsia="宋体" w:hAnsi="Arial" w:cs="Arial"/>
                <w:color w:val="333333"/>
                <w:sz w:val="18"/>
                <w:szCs w:val="18"/>
              </w:rPr>
              <w:t>egan shipping to early access program customers.</w:t>
            </w:r>
          </w:p>
          <w:p w14:paraId="4ACE29B6"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PSG also expanded its Intel</w:t>
            </w:r>
            <w:r>
              <w:rPr>
                <w:rFonts w:ascii="Arial" w:eastAsia="宋体" w:hAnsi="Arial" w:cs="Arial"/>
                <w:color w:val="333333"/>
                <w:sz w:val="12"/>
                <w:szCs w:val="12"/>
              </w:rPr>
              <w:t>®</w:t>
            </w:r>
            <w:r>
              <w:rPr>
                <w:rFonts w:ascii="Arial" w:eastAsia="宋体" w:hAnsi="Arial" w:cs="Arial"/>
                <w:color w:val="333333"/>
                <w:sz w:val="18"/>
                <w:szCs w:val="18"/>
              </w:rPr>
              <w:t> PAC portfolio with the introduction of the Intel</w:t>
            </w:r>
            <w:r>
              <w:rPr>
                <w:rFonts w:ascii="Arial" w:eastAsia="宋体" w:hAnsi="Arial" w:cs="Arial"/>
                <w:color w:val="333333"/>
                <w:sz w:val="12"/>
                <w:szCs w:val="12"/>
              </w:rPr>
              <w:t>®</w:t>
            </w:r>
            <w:r>
              <w:rPr>
                <w:rFonts w:ascii="Arial" w:eastAsia="宋体" w:hAnsi="Arial" w:cs="Arial"/>
                <w:color w:val="333333"/>
                <w:sz w:val="18"/>
                <w:szCs w:val="18"/>
              </w:rPr>
              <w:t> PAC N3000 and Intel</w:t>
            </w:r>
            <w:r>
              <w:rPr>
                <w:rFonts w:ascii="Arial" w:eastAsia="宋体" w:hAnsi="Arial" w:cs="Arial"/>
                <w:color w:val="333333"/>
                <w:sz w:val="12"/>
                <w:szCs w:val="12"/>
              </w:rPr>
              <w:t>®</w:t>
            </w:r>
            <w:r>
              <w:rPr>
                <w:rFonts w:ascii="Arial" w:eastAsia="宋体" w:hAnsi="Arial" w:cs="Arial"/>
                <w:color w:val="333333"/>
                <w:sz w:val="18"/>
                <w:szCs w:val="18"/>
              </w:rPr>
              <w:t> PAC D5005. The Intel</w:t>
            </w:r>
            <w:r>
              <w:rPr>
                <w:rFonts w:ascii="Arial" w:eastAsia="宋体" w:hAnsi="Arial" w:cs="Arial"/>
                <w:color w:val="333333"/>
                <w:sz w:val="12"/>
                <w:szCs w:val="12"/>
              </w:rPr>
              <w:t>®</w:t>
            </w:r>
            <w:r>
              <w:rPr>
                <w:rFonts w:ascii="Arial" w:eastAsia="宋体" w:hAnsi="Arial" w:cs="Arial"/>
                <w:color w:val="333333"/>
                <w:sz w:val="18"/>
                <w:szCs w:val="18"/>
              </w:rPr>
              <w:t> PAC portfolio, complete with an acceleration software stack, enables customers to plu</w:t>
            </w:r>
            <w:r>
              <w:rPr>
                <w:rFonts w:ascii="Arial" w:eastAsia="宋体" w:hAnsi="Arial" w:cs="Arial"/>
                <w:color w:val="333333"/>
                <w:sz w:val="18"/>
                <w:szCs w:val="18"/>
              </w:rPr>
              <w:t>g cards directly into an Intel</w:t>
            </w:r>
            <w:r>
              <w:rPr>
                <w:rFonts w:ascii="Arial" w:eastAsia="宋体" w:hAnsi="Arial" w:cs="Arial"/>
                <w:color w:val="333333"/>
                <w:sz w:val="12"/>
                <w:szCs w:val="12"/>
              </w:rPr>
              <w:t>®</w:t>
            </w:r>
            <w:r>
              <w:rPr>
                <w:rFonts w:ascii="Arial" w:eastAsia="宋体" w:hAnsi="Arial" w:cs="Arial"/>
                <w:color w:val="333333"/>
                <w:sz w:val="18"/>
                <w:szCs w:val="18"/>
              </w:rPr>
              <w:t> Xeon</w:t>
            </w:r>
            <w:r>
              <w:rPr>
                <w:rFonts w:ascii="Arial" w:eastAsia="宋体" w:hAnsi="Arial" w:cs="Arial"/>
                <w:color w:val="333333"/>
                <w:sz w:val="12"/>
                <w:szCs w:val="12"/>
              </w:rPr>
              <w:t>®</w:t>
            </w:r>
            <w:r>
              <w:rPr>
                <w:rFonts w:ascii="Arial" w:eastAsia="宋体" w:hAnsi="Arial" w:cs="Arial"/>
                <w:color w:val="333333"/>
                <w:sz w:val="18"/>
                <w:szCs w:val="18"/>
              </w:rPr>
              <w:t> processor-based server for application accelerations in markets such as 5G, finance, genomics, video transcoding, and database acceleration.</w:t>
            </w:r>
          </w:p>
          <w:p w14:paraId="4ACE29B7" w14:textId="77777777" w:rsidR="006F587A" w:rsidRDefault="006F587A">
            <w:pPr>
              <w:textAlignment w:val="top"/>
              <w:rPr>
                <w:rFonts w:ascii="Times New Roman" w:hAnsi="Times New Roman"/>
                <w:sz w:val="18"/>
                <w:szCs w:val="18"/>
              </w:rPr>
            </w:pPr>
          </w:p>
          <w:p w14:paraId="4ACE29B8" w14:textId="77777777" w:rsidR="006F587A" w:rsidRDefault="006F587A">
            <w:pPr>
              <w:textAlignment w:val="top"/>
              <w:rPr>
                <w:rFonts w:ascii="Times New Roman" w:hAnsi="Times New Roman"/>
                <w:sz w:val="18"/>
                <w:szCs w:val="18"/>
              </w:rPr>
            </w:pPr>
          </w:p>
          <w:p w14:paraId="4ACE29B9" w14:textId="77777777" w:rsidR="006F587A" w:rsidRDefault="006F587A">
            <w:pPr>
              <w:textAlignment w:val="top"/>
              <w:rPr>
                <w:rFonts w:ascii="Times New Roman" w:hAnsi="Times New Roman"/>
                <w:sz w:val="18"/>
                <w:szCs w:val="18"/>
              </w:rPr>
            </w:pPr>
          </w:p>
        </w:tc>
        <w:tc>
          <w:tcPr>
            <w:tcW w:w="0" w:type="auto"/>
            <w:shd w:val="clear" w:color="auto" w:fill="auto"/>
            <w:tcMar>
              <w:top w:w="40" w:type="dxa"/>
              <w:left w:w="40" w:type="dxa"/>
              <w:bottom w:w="40" w:type="dxa"/>
              <w:right w:w="40" w:type="dxa"/>
            </w:tcMar>
            <w:vAlign w:val="center"/>
          </w:tcPr>
          <w:p w14:paraId="4ACE29BA" w14:textId="77777777" w:rsidR="006F587A" w:rsidRDefault="007B2B61">
            <w:pPr>
              <w:textAlignment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Viewer12_files/a055psgagilexa01.jpg"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D18" wp14:editId="4ACE6D19">
                  <wp:extent cx="304800" cy="304800"/>
                  <wp:effectExtent l="0" t="0" r="0" b="0"/>
                  <wp:docPr id="242" name="图片 177" descr="IMG_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177" descr="IMG_36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r>
    </w:tbl>
    <w:p w14:paraId="4ACE29BC" w14:textId="77777777" w:rsidR="006F587A" w:rsidRDefault="007B2B61">
      <w:r>
        <w:rPr>
          <w:rFonts w:ascii="Arial" w:eastAsia="宋体" w:hAnsi="Arial" w:cs="Arial"/>
          <w:color w:val="333333"/>
          <w:sz w:val="18"/>
          <w:szCs w:val="18"/>
        </w:rPr>
        <w:t>PSG continues to invest in the Intel</w:t>
      </w:r>
      <w:r>
        <w:rPr>
          <w:rFonts w:ascii="Arial" w:eastAsia="宋体" w:hAnsi="Arial" w:cs="Arial"/>
          <w:color w:val="333333"/>
          <w:sz w:val="12"/>
          <w:szCs w:val="12"/>
        </w:rPr>
        <w:t>®</w:t>
      </w:r>
      <w:r>
        <w:rPr>
          <w:rFonts w:ascii="Arial" w:eastAsia="宋体" w:hAnsi="Arial" w:cs="Arial"/>
          <w:color w:val="333333"/>
          <w:sz w:val="18"/>
          <w:szCs w:val="18"/>
        </w:rPr>
        <w:t xml:space="preserve"> eASIC™ silicon portfolio of structured ASICs. These products serve as </w:t>
      </w:r>
      <w:r>
        <w:rPr>
          <w:rFonts w:ascii="Arial" w:eastAsia="宋体" w:hAnsi="Arial" w:cs="Arial"/>
          <w:color w:val="333333"/>
          <w:sz w:val="18"/>
          <w:szCs w:val="18"/>
        </w:rPr>
        <w:t>an intermediary technology between FPGAs and standard-cell ASICs that provides lower unit cost and lower power compared to FPGAs, and faster time-to-market and lower non-recurring engineering cost compared to standard-cell ASICs. Intel</w:t>
      </w:r>
      <w:r>
        <w:rPr>
          <w:rFonts w:ascii="Arial" w:eastAsia="宋体" w:hAnsi="Arial" w:cs="Arial"/>
          <w:color w:val="333333"/>
          <w:sz w:val="12"/>
          <w:szCs w:val="12"/>
        </w:rPr>
        <w:t>®</w:t>
      </w:r>
      <w:r>
        <w:rPr>
          <w:rFonts w:ascii="Arial" w:eastAsia="宋体" w:hAnsi="Arial" w:cs="Arial"/>
          <w:color w:val="333333"/>
          <w:sz w:val="18"/>
          <w:szCs w:val="18"/>
        </w:rPr>
        <w:t xml:space="preserve"> eASIC™ products hav</w:t>
      </w:r>
      <w:r>
        <w:rPr>
          <w:rFonts w:ascii="Arial" w:eastAsia="宋体" w:hAnsi="Arial" w:cs="Arial"/>
          <w:color w:val="333333"/>
          <w:sz w:val="18"/>
          <w:szCs w:val="18"/>
        </w:rPr>
        <w:t>e growth opportunities through adoption in 5G applications and scale across a wide range of markets.</w:t>
      </w:r>
    </w:p>
    <w:p w14:paraId="4ACE29BD" w14:textId="77777777" w:rsidR="006F587A" w:rsidRDefault="006F587A">
      <w:pPr>
        <w:spacing w:line="288" w:lineRule="auto"/>
        <w:rPr>
          <w:rFonts w:ascii="Times New Roman" w:hAnsi="Times New Roman"/>
          <w:sz w:val="18"/>
          <w:szCs w:val="18"/>
        </w:rPr>
      </w:pPr>
    </w:p>
    <w:p w14:paraId="4ACE29BE"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408"/>
        <w:gridCol w:w="2409"/>
        <w:gridCol w:w="3489"/>
      </w:tblGrid>
      <w:tr w:rsidR="006F587A" w14:paraId="4ACE29C0" w14:textId="77777777">
        <w:tc>
          <w:tcPr>
            <w:tcW w:w="0" w:type="auto"/>
            <w:gridSpan w:val="3"/>
            <w:shd w:val="clear" w:color="auto" w:fill="auto"/>
            <w:vAlign w:val="center"/>
          </w:tcPr>
          <w:p w14:paraId="4ACE29BF" w14:textId="77777777" w:rsidR="006F587A" w:rsidRDefault="006F587A">
            <w:pPr>
              <w:rPr>
                <w:rFonts w:ascii="Times New Roman" w:hAnsi="Times New Roman"/>
                <w:sz w:val="20"/>
                <w:szCs w:val="20"/>
              </w:rPr>
            </w:pPr>
          </w:p>
        </w:tc>
      </w:tr>
      <w:tr w:rsidR="006F587A" w14:paraId="4ACE29C4" w14:textId="77777777">
        <w:tc>
          <w:tcPr>
            <w:tcW w:w="1450" w:type="pct"/>
            <w:shd w:val="clear" w:color="auto" w:fill="auto"/>
            <w:vAlign w:val="center"/>
          </w:tcPr>
          <w:p w14:paraId="4ACE29C1" w14:textId="77777777" w:rsidR="006F587A" w:rsidRDefault="006F587A">
            <w:pPr>
              <w:rPr>
                <w:rFonts w:ascii="Times New Roman" w:hAnsi="Times New Roman"/>
                <w:sz w:val="20"/>
                <w:szCs w:val="20"/>
              </w:rPr>
            </w:pPr>
          </w:p>
        </w:tc>
        <w:tc>
          <w:tcPr>
            <w:tcW w:w="1450" w:type="pct"/>
            <w:shd w:val="clear" w:color="auto" w:fill="auto"/>
            <w:vAlign w:val="center"/>
          </w:tcPr>
          <w:p w14:paraId="4ACE29C2" w14:textId="77777777" w:rsidR="006F587A" w:rsidRDefault="006F587A">
            <w:pPr>
              <w:rPr>
                <w:rFonts w:ascii="Times New Roman" w:hAnsi="Times New Roman"/>
                <w:sz w:val="20"/>
                <w:szCs w:val="20"/>
              </w:rPr>
            </w:pPr>
          </w:p>
        </w:tc>
        <w:tc>
          <w:tcPr>
            <w:tcW w:w="2100" w:type="pct"/>
            <w:shd w:val="clear" w:color="auto" w:fill="auto"/>
            <w:vAlign w:val="center"/>
          </w:tcPr>
          <w:p w14:paraId="4ACE29C3" w14:textId="77777777" w:rsidR="006F587A" w:rsidRDefault="006F587A">
            <w:pPr>
              <w:rPr>
                <w:rFonts w:ascii="Times New Roman" w:hAnsi="Times New Roman"/>
                <w:sz w:val="20"/>
                <w:szCs w:val="20"/>
              </w:rPr>
            </w:pPr>
          </w:p>
        </w:tc>
      </w:tr>
      <w:tr w:rsidR="006F587A" w14:paraId="4ACE29C8"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29C5" w14:textId="77777777" w:rsidR="006F587A" w:rsidRDefault="007B2B61">
            <w:pPr>
              <w:textAlignment w:val="center"/>
              <w:rPr>
                <w:rFonts w:ascii="Times New Roman" w:hAnsi="Times New Roman"/>
                <w:sz w:val="18"/>
                <w:szCs w:val="18"/>
              </w:rPr>
            </w:pP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Viewer12_files/a001intellogo_coverfooter.jpg"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D1A" wp14:editId="4ACE6D1B">
                  <wp:extent cx="304800" cy="304800"/>
                  <wp:effectExtent l="0" t="0" r="0" b="0"/>
                  <wp:docPr id="228" name="图片 178"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178"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r>
              <w:rPr>
                <w:rFonts w:ascii="Arial" w:eastAsia="宋体" w:hAnsi="Arial" w:cs="Arial"/>
                <w:color w:val="333333"/>
                <w:sz w:val="18"/>
                <w:szCs w:val="18"/>
              </w:rPr>
              <w:t>  </w:t>
            </w:r>
            <w:r>
              <w:rPr>
                <w:rFonts w:ascii="Arial" w:eastAsia="宋体" w:hAnsi="Arial" w:cs="Arial"/>
                <w:color w:val="333333"/>
                <w:sz w:val="16"/>
                <w:szCs w:val="16"/>
              </w:rPr>
              <w:t>MD&amp;A</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9C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9C7"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30</w:t>
            </w:r>
          </w:p>
        </w:tc>
      </w:tr>
    </w:tbl>
    <w:p w14:paraId="4ACE29C9" w14:textId="77777777" w:rsidR="006F587A" w:rsidRDefault="007B2B61">
      <w:r>
        <w:pict w14:anchorId="4ACE6D1C">
          <v:rect id="_x0000_i1056" style="width:415.3pt;height:1.5pt" o:hralign="center" o:hrstd="t" o:hr="t" fillcolor="#a0a0a0" stroked="f"/>
        </w:pict>
      </w:r>
    </w:p>
    <w:p w14:paraId="4ACE29CA" w14:textId="77777777" w:rsidR="006F587A" w:rsidRDefault="007B2B61">
      <w:pPr>
        <w:spacing w:line="288" w:lineRule="auto"/>
        <w:jc w:val="right"/>
        <w:rPr>
          <w:rFonts w:ascii="Times New Roman" w:hAnsi="Times New Roman"/>
          <w:sz w:val="16"/>
          <w:szCs w:val="16"/>
        </w:rPr>
      </w:pPr>
      <w:hyperlink r:id="rId64" w:anchor="s9DB683E2CF52561EB8A73BE37F5BF9BE" w:history="1">
        <w:r>
          <w:rPr>
            <w:rStyle w:val="a5"/>
            <w:rFonts w:ascii="Arial" w:eastAsia="宋体" w:hAnsi="Arial" w:cs="Arial"/>
            <w:b/>
            <w:bCs/>
            <w:sz w:val="16"/>
            <w:szCs w:val="16"/>
          </w:rPr>
          <w:t>Table of Contents</w:t>
        </w:r>
      </w:hyperlink>
    </w:p>
    <w:p w14:paraId="4ACE29CB" w14:textId="77777777" w:rsidR="006F587A" w:rsidRDefault="006F587A">
      <w:pPr>
        <w:spacing w:line="288" w:lineRule="auto"/>
        <w:jc w:val="right"/>
        <w:rPr>
          <w:rFonts w:ascii="Times New Roman" w:hAnsi="Times New Roman"/>
          <w:sz w:val="16"/>
          <w:szCs w:val="16"/>
        </w:rPr>
      </w:pPr>
    </w:p>
    <w:p w14:paraId="4ACE29CC" w14:textId="77777777" w:rsidR="006F587A" w:rsidRDefault="006F587A">
      <w:pPr>
        <w:rPr>
          <w:rFonts w:ascii="Times New Roman" w:hAnsi="Times New Roman"/>
          <w:sz w:val="20"/>
          <w:szCs w:val="20"/>
        </w:rPr>
      </w:pPr>
    </w:p>
    <w:p w14:paraId="4ACE29CD" w14:textId="77777777" w:rsidR="006F587A" w:rsidRDefault="007B2B61">
      <w:pPr>
        <w:spacing w:line="288" w:lineRule="auto"/>
        <w:rPr>
          <w:rFonts w:ascii="Times New Roman" w:hAnsi="Times New Roman"/>
        </w:rPr>
      </w:pPr>
      <w:r>
        <w:rPr>
          <w:rFonts w:ascii="Arial" w:eastAsia="宋体" w:hAnsi="Arial" w:cs="Arial"/>
          <w:b/>
          <w:bCs/>
          <w:color w:val="0071C5"/>
        </w:rPr>
        <w:t>FINANCIAL PERFORMANCE</w:t>
      </w:r>
    </w:p>
    <w:tbl>
      <w:tblPr>
        <w:tblW w:w="14640" w:type="dxa"/>
        <w:tblCellMar>
          <w:left w:w="0" w:type="dxa"/>
          <w:right w:w="0" w:type="dxa"/>
        </w:tblCellMar>
        <w:tblLook w:val="04A0" w:firstRow="1" w:lastRow="0" w:firstColumn="1" w:lastColumn="0" w:noHBand="0" w:noVBand="1"/>
      </w:tblPr>
      <w:tblGrid>
        <w:gridCol w:w="200"/>
        <w:gridCol w:w="6498"/>
        <w:gridCol w:w="1223"/>
        <w:gridCol w:w="6137"/>
        <w:gridCol w:w="582"/>
      </w:tblGrid>
      <w:tr w:rsidR="006F587A" w14:paraId="4ACE29CF" w14:textId="77777777">
        <w:tc>
          <w:tcPr>
            <w:tcW w:w="0" w:type="auto"/>
            <w:gridSpan w:val="5"/>
            <w:shd w:val="clear" w:color="auto" w:fill="auto"/>
            <w:vAlign w:val="center"/>
          </w:tcPr>
          <w:p w14:paraId="4ACE29CE" w14:textId="77777777" w:rsidR="006F587A" w:rsidRDefault="006F587A">
            <w:pPr>
              <w:rPr>
                <w:rFonts w:ascii="Times New Roman" w:hAnsi="Times New Roman"/>
                <w:sz w:val="20"/>
                <w:szCs w:val="20"/>
              </w:rPr>
            </w:pPr>
          </w:p>
        </w:tc>
      </w:tr>
      <w:tr w:rsidR="006F587A" w14:paraId="4ACE29D5" w14:textId="77777777">
        <w:tc>
          <w:tcPr>
            <w:tcW w:w="200" w:type="dxa"/>
            <w:shd w:val="clear" w:color="auto" w:fill="auto"/>
            <w:vAlign w:val="center"/>
          </w:tcPr>
          <w:p w14:paraId="4ACE29D0" w14:textId="77777777" w:rsidR="006F587A" w:rsidRDefault="006F587A">
            <w:pPr>
              <w:rPr>
                <w:rFonts w:ascii="Times New Roman" w:hAnsi="Times New Roman"/>
                <w:sz w:val="20"/>
                <w:szCs w:val="20"/>
              </w:rPr>
            </w:pPr>
          </w:p>
        </w:tc>
        <w:tc>
          <w:tcPr>
            <w:tcW w:w="6480" w:type="dxa"/>
            <w:shd w:val="clear" w:color="auto" w:fill="auto"/>
            <w:vAlign w:val="center"/>
          </w:tcPr>
          <w:p w14:paraId="4ACE29D1" w14:textId="77777777" w:rsidR="006F587A" w:rsidRDefault="006F587A">
            <w:pPr>
              <w:rPr>
                <w:rFonts w:ascii="Times New Roman" w:hAnsi="Times New Roman"/>
                <w:sz w:val="20"/>
                <w:szCs w:val="20"/>
              </w:rPr>
            </w:pPr>
          </w:p>
        </w:tc>
        <w:tc>
          <w:tcPr>
            <w:tcW w:w="1220" w:type="dxa"/>
            <w:shd w:val="clear" w:color="auto" w:fill="auto"/>
            <w:vAlign w:val="center"/>
          </w:tcPr>
          <w:p w14:paraId="4ACE29D2" w14:textId="77777777" w:rsidR="006F587A" w:rsidRDefault="006F587A">
            <w:pPr>
              <w:rPr>
                <w:rFonts w:ascii="Times New Roman" w:hAnsi="Times New Roman"/>
                <w:sz w:val="20"/>
                <w:szCs w:val="20"/>
              </w:rPr>
            </w:pPr>
          </w:p>
        </w:tc>
        <w:tc>
          <w:tcPr>
            <w:tcW w:w="6120" w:type="dxa"/>
            <w:shd w:val="clear" w:color="auto" w:fill="auto"/>
            <w:vAlign w:val="center"/>
          </w:tcPr>
          <w:p w14:paraId="4ACE29D3" w14:textId="77777777" w:rsidR="006F587A" w:rsidRDefault="006F587A">
            <w:pPr>
              <w:rPr>
                <w:rFonts w:ascii="Times New Roman" w:hAnsi="Times New Roman"/>
                <w:sz w:val="20"/>
                <w:szCs w:val="20"/>
              </w:rPr>
            </w:pPr>
          </w:p>
        </w:tc>
        <w:tc>
          <w:tcPr>
            <w:tcW w:w="580" w:type="dxa"/>
            <w:shd w:val="clear" w:color="auto" w:fill="auto"/>
            <w:vAlign w:val="center"/>
          </w:tcPr>
          <w:p w14:paraId="4ACE29D4" w14:textId="77777777" w:rsidR="006F587A" w:rsidRDefault="006F587A">
            <w:pPr>
              <w:rPr>
                <w:rFonts w:ascii="Times New Roman" w:hAnsi="Times New Roman"/>
                <w:sz w:val="20"/>
                <w:szCs w:val="20"/>
              </w:rPr>
            </w:pPr>
          </w:p>
        </w:tc>
      </w:tr>
      <w:tr w:rsidR="006F587A" w14:paraId="4ACE29DB" w14:textId="77777777">
        <w:tc>
          <w:tcPr>
            <w:tcW w:w="0" w:type="auto"/>
            <w:shd w:val="clear" w:color="auto" w:fill="auto"/>
            <w:tcMar>
              <w:top w:w="40" w:type="dxa"/>
              <w:left w:w="40" w:type="dxa"/>
              <w:bottom w:w="40" w:type="dxa"/>
              <w:right w:w="40" w:type="dxa"/>
            </w:tcMar>
            <w:vAlign w:val="bottom"/>
          </w:tcPr>
          <w:p w14:paraId="4ACE29D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29D7" w14:textId="77777777" w:rsidR="006F587A" w:rsidRDefault="007B2B61">
            <w:pPr>
              <w:jc w:val="center"/>
              <w:textAlignment w:val="bottom"/>
              <w:rPr>
                <w:rFonts w:ascii="Times New Roman" w:hAnsi="Times New Roman"/>
                <w:sz w:val="20"/>
                <w:szCs w:val="20"/>
              </w:rPr>
            </w:pPr>
            <w:r>
              <w:rPr>
                <w:rFonts w:ascii="Arial" w:eastAsia="宋体" w:hAnsi="Arial" w:cs="Arial"/>
                <w:b/>
                <w:bCs/>
                <w:color w:val="0071C5"/>
                <w:sz w:val="20"/>
                <w:szCs w:val="20"/>
              </w:rPr>
              <w:t>PSG REVENUE $B</w:t>
            </w:r>
          </w:p>
        </w:tc>
        <w:tc>
          <w:tcPr>
            <w:tcW w:w="0" w:type="auto"/>
            <w:shd w:val="clear" w:color="auto" w:fill="auto"/>
            <w:tcMar>
              <w:top w:w="40" w:type="dxa"/>
              <w:left w:w="40" w:type="dxa"/>
              <w:bottom w:w="40" w:type="dxa"/>
              <w:right w:w="40" w:type="dxa"/>
            </w:tcMar>
            <w:vAlign w:val="bottom"/>
          </w:tcPr>
          <w:p w14:paraId="4ACE29D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29D9" w14:textId="77777777" w:rsidR="006F587A" w:rsidRDefault="007B2B61">
            <w:pPr>
              <w:jc w:val="center"/>
              <w:textAlignment w:val="bottom"/>
              <w:rPr>
                <w:rFonts w:ascii="Times New Roman" w:hAnsi="Times New Roman"/>
                <w:sz w:val="20"/>
                <w:szCs w:val="20"/>
              </w:rPr>
            </w:pPr>
            <w:r>
              <w:rPr>
                <w:rFonts w:ascii="Arial" w:eastAsia="宋体" w:hAnsi="Arial" w:cs="Arial"/>
                <w:b/>
                <w:bCs/>
                <w:color w:val="0071C5"/>
                <w:sz w:val="20"/>
                <w:szCs w:val="20"/>
              </w:rPr>
              <w:t>PSG OPERATING INCOME $B</w:t>
            </w:r>
          </w:p>
        </w:tc>
        <w:tc>
          <w:tcPr>
            <w:tcW w:w="0" w:type="auto"/>
            <w:shd w:val="clear" w:color="auto" w:fill="auto"/>
            <w:tcMar>
              <w:top w:w="40" w:type="dxa"/>
              <w:left w:w="40" w:type="dxa"/>
              <w:bottom w:w="40" w:type="dxa"/>
              <w:right w:w="40" w:type="dxa"/>
            </w:tcMar>
            <w:vAlign w:val="bottom"/>
          </w:tcPr>
          <w:p w14:paraId="4ACE29D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bl>
    <w:p w14:paraId="4ACE29DC" w14:textId="77777777" w:rsidR="006F587A" w:rsidRDefault="007B2B61">
      <w:pPr>
        <w:spacing w:line="288" w:lineRule="auto"/>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Viewer12_files/chart23_psg3yrrevenue.jpg"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D1D" wp14:editId="4ACE6D1E">
            <wp:extent cx="304800" cy="304800"/>
            <wp:effectExtent l="0" t="0" r="0" b="0"/>
            <wp:docPr id="230" name="图片 180" descr="IMG_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180" descr="IMG_37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/INTEL/./Inline XBRL Viewer12_files/char</w:instrText>
      </w:r>
      <w:r>
        <w:rPr>
          <w:rFonts w:ascii="Times New Roman" w:eastAsia="宋体" w:hAnsi="Times New Roman"/>
          <w:sz w:val="20"/>
          <w:szCs w:val="20"/>
        </w:rPr>
        <w:instrText xml:space="preserve">t24_psg3yropincome.jpg"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D1F" wp14:editId="4ACE6D20">
            <wp:extent cx="304800" cy="304800"/>
            <wp:effectExtent l="0" t="0" r="0" b="0"/>
            <wp:docPr id="243" name="图片 181" descr="IMG_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181" descr="IMG_37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bl>
      <w:tblPr>
        <w:tblW w:w="5000" w:type="pct"/>
        <w:tblCellMar>
          <w:left w:w="0" w:type="dxa"/>
          <w:right w:w="0" w:type="dxa"/>
        </w:tblCellMar>
        <w:tblLook w:val="04A0" w:firstRow="1" w:lastRow="0" w:firstColumn="1" w:lastColumn="0" w:noHBand="0" w:noVBand="1"/>
      </w:tblPr>
      <w:tblGrid>
        <w:gridCol w:w="8306"/>
      </w:tblGrid>
      <w:tr w:rsidR="006F587A" w14:paraId="4ACE29DE" w14:textId="77777777">
        <w:tc>
          <w:tcPr>
            <w:tcW w:w="0" w:type="auto"/>
            <w:shd w:val="clear" w:color="auto" w:fill="auto"/>
            <w:vAlign w:val="center"/>
          </w:tcPr>
          <w:p w14:paraId="4ACE29DD" w14:textId="77777777" w:rsidR="006F587A" w:rsidRDefault="006F587A">
            <w:pPr>
              <w:rPr>
                <w:rFonts w:ascii="Times New Roman" w:hAnsi="Times New Roman"/>
                <w:sz w:val="20"/>
                <w:szCs w:val="20"/>
              </w:rPr>
            </w:pPr>
          </w:p>
        </w:tc>
      </w:tr>
      <w:tr w:rsidR="006F587A" w14:paraId="4ACE29E0" w14:textId="77777777">
        <w:tc>
          <w:tcPr>
            <w:tcW w:w="5000" w:type="pct"/>
            <w:shd w:val="clear" w:color="auto" w:fill="auto"/>
            <w:vAlign w:val="center"/>
          </w:tcPr>
          <w:p w14:paraId="4ACE29DF" w14:textId="77777777" w:rsidR="006F587A" w:rsidRDefault="006F587A">
            <w:pPr>
              <w:rPr>
                <w:rFonts w:ascii="Times New Roman" w:hAnsi="Times New Roman"/>
                <w:sz w:val="20"/>
                <w:szCs w:val="20"/>
              </w:rPr>
            </w:pPr>
          </w:p>
        </w:tc>
      </w:tr>
      <w:tr w:rsidR="006F587A" w14:paraId="4ACE29E2" w14:textId="77777777">
        <w:tc>
          <w:tcPr>
            <w:tcW w:w="0" w:type="auto"/>
            <w:tcBorders>
              <w:bottom w:val="single" w:sz="8" w:space="0" w:color="333333"/>
            </w:tcBorders>
            <w:shd w:val="clear" w:color="auto" w:fill="auto"/>
            <w:tcMar>
              <w:top w:w="40" w:type="dxa"/>
              <w:left w:w="40" w:type="dxa"/>
              <w:bottom w:w="40" w:type="dxa"/>
              <w:right w:w="40" w:type="dxa"/>
            </w:tcMar>
            <w:vAlign w:val="bottom"/>
          </w:tcPr>
          <w:p w14:paraId="4ACE29E1" w14:textId="77777777" w:rsidR="006F587A" w:rsidRDefault="007B2B61">
            <w:pPr>
              <w:textAlignment w:val="bottom"/>
              <w:rPr>
                <w:rFonts w:ascii="Times New Roman" w:hAnsi="Times New Roman"/>
                <w:sz w:val="20"/>
                <w:szCs w:val="20"/>
              </w:rPr>
            </w:pPr>
            <w:r>
              <w:rPr>
                <w:rFonts w:ascii="Arial" w:eastAsia="宋体" w:hAnsi="Arial" w:cs="Arial"/>
                <w:b/>
                <w:bCs/>
                <w:color w:val="0071C5"/>
                <w:sz w:val="20"/>
                <w:szCs w:val="20"/>
              </w:rPr>
              <w:lastRenderedPageBreak/>
              <w:t>REVENUE SUMMARY</w:t>
            </w:r>
          </w:p>
        </w:tc>
      </w:tr>
    </w:tbl>
    <w:p w14:paraId="4ACE29E3" w14:textId="77777777" w:rsidR="006F587A" w:rsidRDefault="007B2B61">
      <w:pPr>
        <w:spacing w:line="288" w:lineRule="auto"/>
        <w:rPr>
          <w:rFonts w:ascii="Times New Roman" w:hAnsi="Times New Roman"/>
          <w:sz w:val="20"/>
          <w:szCs w:val="20"/>
        </w:rPr>
      </w:pPr>
      <w:r>
        <w:rPr>
          <w:rFonts w:ascii="Arial" w:eastAsia="宋体" w:hAnsi="Arial" w:cs="Arial"/>
          <w:b/>
          <w:bCs/>
          <w:color w:val="333333"/>
          <w:sz w:val="20"/>
          <w:szCs w:val="20"/>
        </w:rPr>
        <w:t>2019 – 2018</w:t>
      </w:r>
    </w:p>
    <w:p w14:paraId="4ACE29E4" w14:textId="77777777" w:rsidR="006F587A" w:rsidRDefault="007B2B61">
      <w:pPr>
        <w:spacing w:line="288" w:lineRule="auto"/>
        <w:rPr>
          <w:rFonts w:ascii="Times New Roman" w:hAnsi="Times New Roman"/>
          <w:sz w:val="20"/>
          <w:szCs w:val="20"/>
        </w:rPr>
      </w:pPr>
      <w:r>
        <w:rPr>
          <w:rFonts w:ascii="Arial" w:eastAsia="宋体" w:hAnsi="Arial" w:cs="Arial"/>
          <w:color w:val="333333"/>
          <w:sz w:val="18"/>
          <w:szCs w:val="18"/>
        </w:rPr>
        <w:t>Revenue decreased</w:t>
      </w:r>
      <w:r>
        <w:rPr>
          <w:rFonts w:ascii="Arial" w:eastAsia="宋体" w:hAnsi="Arial" w:cs="Arial"/>
          <w:color w:val="333333"/>
          <w:sz w:val="20"/>
          <w:szCs w:val="20"/>
        </w:rPr>
        <w:t xml:space="preserve"> </w:t>
      </w:r>
      <w:r>
        <w:rPr>
          <w:rFonts w:ascii="Arial" w:eastAsia="宋体" w:hAnsi="Arial" w:cs="Arial"/>
          <w:color w:val="333333"/>
          <w:sz w:val="18"/>
          <w:szCs w:val="18"/>
        </w:rPr>
        <w:t xml:space="preserve">$136 million, </w:t>
      </w:r>
      <w:r>
        <w:rPr>
          <w:rFonts w:ascii="Arial" w:eastAsia="宋体" w:hAnsi="Arial" w:cs="Arial"/>
          <w:color w:val="333333"/>
          <w:sz w:val="18"/>
          <w:szCs w:val="18"/>
        </w:rPr>
        <w:t>driven by a decline in our cloud and enterprise market segment, offset by strength in wireless and advanced products.</w:t>
      </w:r>
    </w:p>
    <w:p w14:paraId="4ACE29E5" w14:textId="77777777" w:rsidR="006F587A" w:rsidRDefault="007B2B61">
      <w:pPr>
        <w:spacing w:line="288" w:lineRule="auto"/>
        <w:rPr>
          <w:rFonts w:ascii="Times New Roman" w:hAnsi="Times New Roman"/>
          <w:sz w:val="20"/>
          <w:szCs w:val="20"/>
        </w:rPr>
      </w:pPr>
      <w:r>
        <w:rPr>
          <w:rFonts w:ascii="Arial" w:eastAsia="宋体" w:hAnsi="Arial" w:cs="Arial"/>
          <w:b/>
          <w:bCs/>
          <w:color w:val="333333"/>
          <w:sz w:val="20"/>
          <w:szCs w:val="20"/>
        </w:rPr>
        <w:t>2018 – 2017</w:t>
      </w:r>
    </w:p>
    <w:p w14:paraId="4ACE29E6" w14:textId="77777777" w:rsidR="006F587A" w:rsidRDefault="007B2B61">
      <w:pPr>
        <w:spacing w:line="288" w:lineRule="auto"/>
        <w:rPr>
          <w:rFonts w:ascii="Times New Roman" w:hAnsi="Times New Roman"/>
          <w:sz w:val="20"/>
          <w:szCs w:val="20"/>
        </w:rPr>
      </w:pPr>
      <w:r>
        <w:rPr>
          <w:rFonts w:ascii="Arial" w:eastAsia="宋体" w:hAnsi="Arial" w:cs="Arial"/>
          <w:color w:val="333333"/>
          <w:sz w:val="18"/>
          <w:szCs w:val="18"/>
        </w:rPr>
        <w:t>Revenue increased $221 million, driven by growth in the data center market segment and our advanced products (28nm, 20nm, and 14nm process technologies), which grew approximately 60% from 2017.</w:t>
      </w:r>
    </w:p>
    <w:tbl>
      <w:tblPr>
        <w:tblW w:w="5000" w:type="pct"/>
        <w:tblCellMar>
          <w:left w:w="0" w:type="dxa"/>
          <w:right w:w="0" w:type="dxa"/>
        </w:tblCellMar>
        <w:tblLook w:val="04A0" w:firstRow="1" w:lastRow="0" w:firstColumn="1" w:lastColumn="0" w:noHBand="0" w:noVBand="1"/>
      </w:tblPr>
      <w:tblGrid>
        <w:gridCol w:w="8306"/>
      </w:tblGrid>
      <w:tr w:rsidR="006F587A" w14:paraId="4ACE29E8" w14:textId="77777777">
        <w:tc>
          <w:tcPr>
            <w:tcW w:w="0" w:type="auto"/>
            <w:shd w:val="clear" w:color="auto" w:fill="auto"/>
            <w:vAlign w:val="center"/>
          </w:tcPr>
          <w:p w14:paraId="4ACE29E7" w14:textId="77777777" w:rsidR="006F587A" w:rsidRDefault="006F587A">
            <w:pPr>
              <w:rPr>
                <w:rFonts w:ascii="Times New Roman" w:hAnsi="Times New Roman"/>
                <w:sz w:val="20"/>
                <w:szCs w:val="20"/>
              </w:rPr>
            </w:pPr>
          </w:p>
        </w:tc>
      </w:tr>
      <w:tr w:rsidR="006F587A" w14:paraId="4ACE29EA" w14:textId="77777777">
        <w:tc>
          <w:tcPr>
            <w:tcW w:w="5000" w:type="pct"/>
            <w:shd w:val="clear" w:color="auto" w:fill="auto"/>
            <w:vAlign w:val="center"/>
          </w:tcPr>
          <w:p w14:paraId="4ACE29E9" w14:textId="77777777" w:rsidR="006F587A" w:rsidRDefault="006F587A">
            <w:pPr>
              <w:rPr>
                <w:rFonts w:ascii="Times New Roman" w:hAnsi="Times New Roman"/>
                <w:sz w:val="20"/>
                <w:szCs w:val="20"/>
              </w:rPr>
            </w:pPr>
          </w:p>
        </w:tc>
      </w:tr>
      <w:tr w:rsidR="006F587A" w14:paraId="4ACE29EC" w14:textId="77777777">
        <w:tc>
          <w:tcPr>
            <w:tcW w:w="0" w:type="auto"/>
            <w:tcBorders>
              <w:bottom w:val="single" w:sz="8" w:space="0" w:color="333333"/>
            </w:tcBorders>
            <w:shd w:val="clear" w:color="auto" w:fill="auto"/>
            <w:tcMar>
              <w:top w:w="40" w:type="dxa"/>
              <w:left w:w="40" w:type="dxa"/>
              <w:bottom w:w="40" w:type="dxa"/>
              <w:right w:w="40" w:type="dxa"/>
            </w:tcMar>
            <w:vAlign w:val="bottom"/>
          </w:tcPr>
          <w:p w14:paraId="4ACE29EB" w14:textId="77777777" w:rsidR="006F587A" w:rsidRDefault="007B2B61">
            <w:pPr>
              <w:textAlignment w:val="bottom"/>
              <w:rPr>
                <w:rFonts w:ascii="Times New Roman" w:hAnsi="Times New Roman"/>
                <w:sz w:val="20"/>
                <w:szCs w:val="20"/>
              </w:rPr>
            </w:pPr>
            <w:r>
              <w:rPr>
                <w:rFonts w:ascii="Arial" w:eastAsia="宋体" w:hAnsi="Arial" w:cs="Arial"/>
                <w:b/>
                <w:bCs/>
                <w:color w:val="0071C5"/>
                <w:sz w:val="20"/>
                <w:szCs w:val="20"/>
              </w:rPr>
              <w:t>OPERATING INCOME SUMMARY</w:t>
            </w:r>
          </w:p>
        </w:tc>
      </w:tr>
    </w:tbl>
    <w:p w14:paraId="4ACE29ED" w14:textId="77777777" w:rsidR="006F587A" w:rsidRDefault="007B2B61">
      <w:pPr>
        <w:spacing w:line="288" w:lineRule="auto"/>
        <w:rPr>
          <w:rFonts w:ascii="Times New Roman" w:hAnsi="Times New Roman"/>
          <w:sz w:val="20"/>
          <w:szCs w:val="20"/>
        </w:rPr>
      </w:pPr>
      <w:r>
        <w:rPr>
          <w:rFonts w:ascii="Arial" w:eastAsia="宋体" w:hAnsi="Arial" w:cs="Arial"/>
          <w:b/>
          <w:bCs/>
          <w:color w:val="333333"/>
          <w:sz w:val="20"/>
          <w:szCs w:val="20"/>
        </w:rPr>
        <w:t>2019 – 2018</w:t>
      </w:r>
    </w:p>
    <w:p w14:paraId="4ACE29EE"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Operating </w:t>
      </w:r>
      <w:r>
        <w:rPr>
          <w:rFonts w:ascii="Arial" w:eastAsia="宋体" w:hAnsi="Arial" w:cs="Arial"/>
          <w:color w:val="333333"/>
          <w:sz w:val="18"/>
          <w:szCs w:val="18"/>
        </w:rPr>
        <w:t>income decreased $148 million, driven by lower revenue in our cloud and enterprise market segment, offset by strength in wireless and advanced products.</w:t>
      </w:r>
    </w:p>
    <w:p w14:paraId="4ACE29EF" w14:textId="77777777" w:rsidR="006F587A" w:rsidRDefault="007B2B61">
      <w:pPr>
        <w:spacing w:line="288" w:lineRule="auto"/>
        <w:rPr>
          <w:rFonts w:ascii="Times New Roman" w:hAnsi="Times New Roman"/>
          <w:sz w:val="20"/>
          <w:szCs w:val="20"/>
        </w:rPr>
      </w:pPr>
      <w:r>
        <w:rPr>
          <w:rFonts w:ascii="Arial" w:eastAsia="宋体" w:hAnsi="Arial" w:cs="Arial"/>
          <w:b/>
          <w:bCs/>
          <w:color w:val="333333"/>
          <w:sz w:val="20"/>
          <w:szCs w:val="20"/>
        </w:rPr>
        <w:t>2018 – 2017</w:t>
      </w:r>
    </w:p>
    <w:p w14:paraId="4ACE29F0" w14:textId="77777777" w:rsidR="006F587A" w:rsidRDefault="007B2B61">
      <w:pPr>
        <w:spacing w:line="288" w:lineRule="auto"/>
        <w:rPr>
          <w:rFonts w:ascii="Times New Roman" w:hAnsi="Times New Roman"/>
          <w:sz w:val="20"/>
          <w:szCs w:val="20"/>
        </w:rPr>
      </w:pPr>
      <w:r>
        <w:rPr>
          <w:rFonts w:ascii="Arial" w:eastAsia="宋体" w:hAnsi="Arial" w:cs="Arial"/>
          <w:color w:val="333333"/>
          <w:sz w:val="18"/>
          <w:szCs w:val="18"/>
        </w:rPr>
        <w:t>Operating income was flat year over year, at</w:t>
      </w:r>
      <w:r>
        <w:rPr>
          <w:rFonts w:ascii="Arial" w:eastAsia="宋体" w:hAnsi="Arial" w:cs="Arial"/>
          <w:color w:val="333333"/>
          <w:sz w:val="20"/>
          <w:szCs w:val="20"/>
        </w:rPr>
        <w:t xml:space="preserve"> </w:t>
      </w:r>
      <w:r>
        <w:rPr>
          <w:rFonts w:ascii="Arial" w:eastAsia="宋体" w:hAnsi="Arial" w:cs="Arial"/>
          <w:color w:val="333333"/>
          <w:sz w:val="18"/>
          <w:szCs w:val="18"/>
        </w:rPr>
        <w:t>$466 million. Revenue increased from the growt</w:t>
      </w:r>
      <w:r>
        <w:rPr>
          <w:rFonts w:ascii="Arial" w:eastAsia="宋体" w:hAnsi="Arial" w:cs="Arial"/>
          <w:color w:val="333333"/>
          <w:sz w:val="18"/>
          <w:szCs w:val="18"/>
        </w:rPr>
        <w:t>h in the data center and advanced products, but was offset by higher costs from an unfavorable product mix and increased investments.</w:t>
      </w:r>
    </w:p>
    <w:p w14:paraId="4ACE29F1" w14:textId="77777777" w:rsidR="006F587A" w:rsidRDefault="006F587A">
      <w:pPr>
        <w:spacing w:line="288" w:lineRule="auto"/>
        <w:rPr>
          <w:rFonts w:ascii="Times New Roman" w:hAnsi="Times New Roman"/>
          <w:sz w:val="18"/>
          <w:szCs w:val="18"/>
        </w:rPr>
      </w:pPr>
    </w:p>
    <w:p w14:paraId="4ACE29F2"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492"/>
        <w:gridCol w:w="2658"/>
        <w:gridCol w:w="3156"/>
      </w:tblGrid>
      <w:tr w:rsidR="006F587A" w14:paraId="4ACE29F4" w14:textId="77777777">
        <w:tc>
          <w:tcPr>
            <w:tcW w:w="0" w:type="auto"/>
            <w:gridSpan w:val="3"/>
            <w:shd w:val="clear" w:color="auto" w:fill="auto"/>
            <w:vAlign w:val="center"/>
          </w:tcPr>
          <w:p w14:paraId="4ACE29F3" w14:textId="77777777" w:rsidR="006F587A" w:rsidRDefault="006F587A">
            <w:pPr>
              <w:rPr>
                <w:rFonts w:ascii="Times New Roman" w:hAnsi="Times New Roman"/>
                <w:sz w:val="20"/>
                <w:szCs w:val="20"/>
              </w:rPr>
            </w:pPr>
          </w:p>
        </w:tc>
      </w:tr>
      <w:tr w:rsidR="006F587A" w14:paraId="4ACE29F8" w14:textId="77777777">
        <w:tc>
          <w:tcPr>
            <w:tcW w:w="1500" w:type="pct"/>
            <w:shd w:val="clear" w:color="auto" w:fill="auto"/>
            <w:vAlign w:val="center"/>
          </w:tcPr>
          <w:p w14:paraId="4ACE29F5" w14:textId="77777777" w:rsidR="006F587A" w:rsidRDefault="006F587A">
            <w:pPr>
              <w:rPr>
                <w:rFonts w:ascii="Times New Roman" w:hAnsi="Times New Roman"/>
                <w:sz w:val="20"/>
                <w:szCs w:val="20"/>
              </w:rPr>
            </w:pPr>
          </w:p>
        </w:tc>
        <w:tc>
          <w:tcPr>
            <w:tcW w:w="1600" w:type="pct"/>
            <w:shd w:val="clear" w:color="auto" w:fill="auto"/>
            <w:vAlign w:val="center"/>
          </w:tcPr>
          <w:p w14:paraId="4ACE29F6" w14:textId="77777777" w:rsidR="006F587A" w:rsidRDefault="006F587A">
            <w:pPr>
              <w:rPr>
                <w:rFonts w:ascii="Times New Roman" w:hAnsi="Times New Roman"/>
                <w:sz w:val="20"/>
                <w:szCs w:val="20"/>
              </w:rPr>
            </w:pPr>
          </w:p>
        </w:tc>
        <w:tc>
          <w:tcPr>
            <w:tcW w:w="1900" w:type="pct"/>
            <w:shd w:val="clear" w:color="auto" w:fill="auto"/>
            <w:vAlign w:val="center"/>
          </w:tcPr>
          <w:p w14:paraId="4ACE29F7" w14:textId="77777777" w:rsidR="006F587A" w:rsidRDefault="006F587A">
            <w:pPr>
              <w:rPr>
                <w:rFonts w:ascii="Times New Roman" w:hAnsi="Times New Roman"/>
                <w:sz w:val="20"/>
                <w:szCs w:val="20"/>
              </w:rPr>
            </w:pPr>
          </w:p>
        </w:tc>
      </w:tr>
      <w:tr w:rsidR="006F587A" w14:paraId="4ACE29FB" w14:textId="77777777">
        <w:tc>
          <w:tcPr>
            <w:tcW w:w="0" w:type="auto"/>
            <w:gridSpan w:val="2"/>
            <w:tcBorders>
              <w:top w:val="single" w:sz="8" w:space="0" w:color="0071C5"/>
            </w:tcBorders>
            <w:shd w:val="clear" w:color="auto" w:fill="auto"/>
            <w:tcMar>
              <w:top w:w="40" w:type="dxa"/>
              <w:left w:w="40" w:type="dxa"/>
              <w:bottom w:w="40" w:type="dxa"/>
              <w:right w:w="40" w:type="dxa"/>
            </w:tcMar>
            <w:vAlign w:val="center"/>
          </w:tcPr>
          <w:p w14:paraId="4ACE29F9" w14:textId="77777777" w:rsidR="006F587A" w:rsidRDefault="007B2B61">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21" wp14:editId="4ACE6D22">
                  <wp:extent cx="304800" cy="304800"/>
                  <wp:effectExtent l="0" t="0" r="0" b="0"/>
                  <wp:docPr id="241" name="图片 182"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182"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MD&amp;A</w:t>
            </w:r>
          </w:p>
        </w:tc>
        <w:tc>
          <w:tcPr>
            <w:tcW w:w="0" w:type="auto"/>
            <w:tcBorders>
              <w:top w:val="single" w:sz="8" w:space="0" w:color="0071C5"/>
            </w:tcBorders>
            <w:shd w:val="clear" w:color="auto" w:fill="auto"/>
            <w:tcMar>
              <w:top w:w="40" w:type="dxa"/>
              <w:left w:w="40" w:type="dxa"/>
              <w:bottom w:w="40" w:type="dxa"/>
              <w:right w:w="40" w:type="dxa"/>
            </w:tcMar>
            <w:vAlign w:val="center"/>
          </w:tcPr>
          <w:p w14:paraId="4ACE29FA" w14:textId="77777777" w:rsidR="006F587A" w:rsidRDefault="007B2B61">
            <w:pPr>
              <w:jc w:val="right"/>
              <w:textAlignment w:val="center"/>
              <w:rPr>
                <w:rFonts w:ascii="Times New Roman" w:hAnsi="Times New Roman"/>
                <w:sz w:val="16"/>
                <w:szCs w:val="16"/>
              </w:rPr>
            </w:pPr>
            <w:r>
              <w:rPr>
                <w:rFonts w:ascii="Arial" w:eastAsia="宋体" w:hAnsi="Arial" w:cs="Arial"/>
                <w:color w:val="333333"/>
                <w:sz w:val="16"/>
                <w:szCs w:val="16"/>
              </w:rPr>
              <w:t>31</w:t>
            </w:r>
          </w:p>
        </w:tc>
      </w:tr>
    </w:tbl>
    <w:p w14:paraId="4ACE29FC" w14:textId="77777777" w:rsidR="006F587A" w:rsidRDefault="007B2B61">
      <w:r>
        <w:pict w14:anchorId="4ACE6D23">
          <v:rect id="_x0000_i1057" style="width:415.3pt;height:1.5pt" o:hralign="center" o:hrstd="t" o:hr="t" fillcolor="#a0a0a0" stroked="f"/>
        </w:pict>
      </w:r>
    </w:p>
    <w:p w14:paraId="4ACE29FD" w14:textId="77777777" w:rsidR="006F587A" w:rsidRDefault="006F587A">
      <w:pPr>
        <w:rPr>
          <w:rFonts w:ascii="Times New Roman" w:hAnsi="Times New Roman"/>
          <w:sz w:val="20"/>
          <w:szCs w:val="20"/>
        </w:rPr>
      </w:pPr>
    </w:p>
    <w:p w14:paraId="4ACE29FE" w14:textId="77777777" w:rsidR="006F587A" w:rsidRDefault="007B2B61">
      <w:pPr>
        <w:spacing w:line="288" w:lineRule="auto"/>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Viewer12_files/a056ccgbanner2.jpg"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D24" wp14:editId="4ACE6D25">
            <wp:extent cx="304800" cy="304800"/>
            <wp:effectExtent l="0" t="0" r="0" b="0"/>
            <wp:docPr id="249" name="图片 184" descr="IMG_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184" descr="IMG_37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bl>
      <w:tblPr>
        <w:tblW w:w="14660" w:type="dxa"/>
        <w:tblCellMar>
          <w:left w:w="0" w:type="dxa"/>
          <w:right w:w="0" w:type="dxa"/>
        </w:tblCellMar>
        <w:tblLook w:val="04A0" w:firstRow="1" w:lastRow="0" w:firstColumn="1" w:lastColumn="0" w:noHBand="0" w:noVBand="1"/>
      </w:tblPr>
      <w:tblGrid>
        <w:gridCol w:w="429"/>
        <w:gridCol w:w="9378"/>
        <w:gridCol w:w="4853"/>
      </w:tblGrid>
      <w:tr w:rsidR="006F587A" w14:paraId="4ACE2A00" w14:textId="77777777">
        <w:tc>
          <w:tcPr>
            <w:tcW w:w="0" w:type="auto"/>
            <w:gridSpan w:val="3"/>
            <w:shd w:val="clear" w:color="auto" w:fill="auto"/>
            <w:vAlign w:val="center"/>
          </w:tcPr>
          <w:p w14:paraId="4ACE29FF" w14:textId="77777777" w:rsidR="006F587A" w:rsidRDefault="006F587A">
            <w:pPr>
              <w:rPr>
                <w:rFonts w:ascii="Times New Roman" w:hAnsi="Times New Roman"/>
                <w:sz w:val="20"/>
                <w:szCs w:val="20"/>
              </w:rPr>
            </w:pPr>
          </w:p>
        </w:tc>
      </w:tr>
      <w:tr w:rsidR="006F587A" w14:paraId="4ACE2A04" w14:textId="77777777">
        <w:tc>
          <w:tcPr>
            <w:tcW w:w="760" w:type="dxa"/>
            <w:shd w:val="clear" w:color="auto" w:fill="auto"/>
            <w:vAlign w:val="center"/>
          </w:tcPr>
          <w:p w14:paraId="4ACE2A01" w14:textId="77777777" w:rsidR="006F587A" w:rsidRDefault="006F587A">
            <w:pPr>
              <w:rPr>
                <w:rFonts w:ascii="Times New Roman" w:hAnsi="Times New Roman"/>
                <w:sz w:val="20"/>
                <w:szCs w:val="20"/>
              </w:rPr>
            </w:pPr>
          </w:p>
        </w:tc>
        <w:tc>
          <w:tcPr>
            <w:tcW w:w="10440" w:type="dxa"/>
            <w:shd w:val="clear" w:color="auto" w:fill="auto"/>
            <w:vAlign w:val="center"/>
          </w:tcPr>
          <w:p w14:paraId="4ACE2A02" w14:textId="77777777" w:rsidR="006F587A" w:rsidRDefault="006F587A">
            <w:pPr>
              <w:rPr>
                <w:rFonts w:ascii="Times New Roman" w:hAnsi="Times New Roman"/>
                <w:sz w:val="20"/>
                <w:szCs w:val="20"/>
              </w:rPr>
            </w:pPr>
          </w:p>
        </w:tc>
        <w:tc>
          <w:tcPr>
            <w:tcW w:w="3400" w:type="dxa"/>
            <w:shd w:val="clear" w:color="auto" w:fill="auto"/>
            <w:vAlign w:val="center"/>
          </w:tcPr>
          <w:p w14:paraId="4ACE2A03" w14:textId="77777777" w:rsidR="006F587A" w:rsidRDefault="006F587A">
            <w:pPr>
              <w:rPr>
                <w:rFonts w:ascii="Times New Roman" w:hAnsi="Times New Roman"/>
                <w:sz w:val="20"/>
                <w:szCs w:val="20"/>
              </w:rPr>
            </w:pPr>
          </w:p>
        </w:tc>
      </w:tr>
      <w:tr w:rsidR="006F587A" w14:paraId="4ACE2A07" w14:textId="77777777">
        <w:tc>
          <w:tcPr>
            <w:tcW w:w="0" w:type="auto"/>
            <w:gridSpan w:val="2"/>
            <w:tcBorders>
              <w:bottom w:val="single" w:sz="8" w:space="0" w:color="333333"/>
            </w:tcBorders>
            <w:shd w:val="clear" w:color="auto" w:fill="auto"/>
            <w:tcMar>
              <w:top w:w="40" w:type="dxa"/>
              <w:left w:w="40" w:type="dxa"/>
              <w:bottom w:w="40" w:type="dxa"/>
              <w:right w:w="40" w:type="dxa"/>
            </w:tcMar>
            <w:vAlign w:val="bottom"/>
          </w:tcPr>
          <w:p w14:paraId="4ACE2A05" w14:textId="77777777" w:rsidR="006F587A" w:rsidRDefault="007B2B61">
            <w:pPr>
              <w:textAlignment w:val="bottom"/>
              <w:rPr>
                <w:rFonts w:ascii="Times New Roman" w:hAnsi="Times New Roman"/>
                <w:sz w:val="20"/>
                <w:szCs w:val="20"/>
              </w:rPr>
            </w:pPr>
            <w:r>
              <w:rPr>
                <w:rFonts w:ascii="Arial" w:eastAsia="宋体" w:hAnsi="Arial" w:cs="Arial"/>
                <w:b/>
                <w:bCs/>
                <w:color w:val="0071C5"/>
                <w:sz w:val="20"/>
                <w:szCs w:val="20"/>
              </w:rPr>
              <w:t>OVERVIEW</w:t>
            </w:r>
          </w:p>
        </w:tc>
        <w:tc>
          <w:tcPr>
            <w:tcW w:w="0" w:type="auto"/>
            <w:vMerge w:val="restart"/>
            <w:shd w:val="clear" w:color="auto" w:fill="auto"/>
            <w:tcMar>
              <w:top w:w="40" w:type="dxa"/>
              <w:left w:w="40" w:type="dxa"/>
              <w:bottom w:w="40" w:type="dxa"/>
              <w:right w:w="40" w:type="dxa"/>
            </w:tcMar>
            <w:vAlign w:val="bottom"/>
          </w:tcPr>
          <w:p w14:paraId="4ACE2A06" w14:textId="77777777" w:rsidR="006F587A" w:rsidRDefault="007B2B61">
            <w:pPr>
              <w:jc w:val="center"/>
              <w:textAlignment w:val="bottom"/>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Viewer12_files/a057gb_circlea02.jpg"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D26" wp14:editId="4ACE6D27">
                  <wp:extent cx="304800" cy="304800"/>
                  <wp:effectExtent l="0" t="0" r="0" b="0"/>
                  <wp:docPr id="246" name="图片 185" descr="IMG_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185" descr="IMG_37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r>
      <w:tr w:rsidR="006F587A" w14:paraId="4ACE2A0A" w14:textId="77777777">
        <w:tc>
          <w:tcPr>
            <w:tcW w:w="0" w:type="auto"/>
            <w:gridSpan w:val="2"/>
            <w:shd w:val="clear" w:color="auto" w:fill="auto"/>
            <w:tcMar>
              <w:top w:w="40" w:type="dxa"/>
              <w:left w:w="40" w:type="dxa"/>
              <w:bottom w:w="40" w:type="dxa"/>
              <w:right w:w="40" w:type="dxa"/>
            </w:tcMar>
          </w:tcPr>
          <w:p w14:paraId="4ACE2A08"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As we evolve to deliver leading end-to-end products across architectures and workloads for the data explosio</w:t>
            </w:r>
            <w:r>
              <w:rPr>
                <w:rFonts w:ascii="Arial" w:eastAsia="宋体" w:hAnsi="Arial" w:cs="Arial"/>
                <w:color w:val="333333"/>
                <w:sz w:val="18"/>
                <w:szCs w:val="18"/>
              </w:rPr>
              <w:t>n, CCG’s contribution is the human touchpoint of this new data-centric era—the PC. As the largest business unit at Intel, CCG deploys platforms that connect people to data, allowing each person to focus, create, and engage in ways that unlock their individ</w:t>
            </w:r>
            <w:r>
              <w:rPr>
                <w:rFonts w:ascii="Arial" w:eastAsia="宋体" w:hAnsi="Arial" w:cs="Arial"/>
                <w:color w:val="333333"/>
                <w:sz w:val="18"/>
                <w:szCs w:val="18"/>
              </w:rPr>
              <w:t xml:space="preserve">ual potential. The PC market remains a critical facet of our business, providing an important source of IP, scale, and cash flow. Our mission is to continue to deliver leadership products in our PC business as well as our adjacent businesses. </w:t>
            </w:r>
          </w:p>
        </w:tc>
        <w:tc>
          <w:tcPr>
            <w:tcW w:w="0" w:type="auto"/>
            <w:vMerge/>
            <w:shd w:val="clear" w:color="auto" w:fill="auto"/>
            <w:tcMar>
              <w:top w:w="40" w:type="dxa"/>
              <w:left w:w="40" w:type="dxa"/>
              <w:bottom w:w="40" w:type="dxa"/>
              <w:right w:w="40" w:type="dxa"/>
            </w:tcMar>
            <w:vAlign w:val="bottom"/>
          </w:tcPr>
          <w:p w14:paraId="4ACE2A09" w14:textId="77777777" w:rsidR="006F587A" w:rsidRDefault="006F587A">
            <w:pPr>
              <w:rPr>
                <w:rFonts w:ascii="Times New Roman" w:hAnsi="Times New Roman"/>
                <w:sz w:val="20"/>
                <w:szCs w:val="20"/>
              </w:rPr>
            </w:pPr>
          </w:p>
        </w:tc>
      </w:tr>
      <w:tr w:rsidR="006F587A" w14:paraId="4ACE2A0E" w14:textId="77777777">
        <w:tc>
          <w:tcPr>
            <w:tcW w:w="0" w:type="auto"/>
            <w:shd w:val="clear" w:color="auto" w:fill="auto"/>
            <w:tcMar>
              <w:top w:w="40" w:type="dxa"/>
              <w:left w:w="40" w:type="dxa"/>
              <w:bottom w:w="40" w:type="dxa"/>
              <w:right w:w="40" w:type="dxa"/>
            </w:tcMar>
            <w:vAlign w:val="bottom"/>
          </w:tcPr>
          <w:p w14:paraId="4ACE2A0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A0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bottom"/>
          </w:tcPr>
          <w:p w14:paraId="4ACE2A0D" w14:textId="77777777" w:rsidR="006F587A" w:rsidRDefault="006F587A">
            <w:pPr>
              <w:rPr>
                <w:rFonts w:ascii="Times New Roman" w:hAnsi="Times New Roman"/>
                <w:sz w:val="20"/>
                <w:szCs w:val="20"/>
              </w:rPr>
            </w:pPr>
          </w:p>
        </w:tc>
      </w:tr>
      <w:tr w:rsidR="006F587A" w14:paraId="4ACE2A11" w14:textId="77777777">
        <w:tc>
          <w:tcPr>
            <w:tcW w:w="0" w:type="auto"/>
            <w:gridSpan w:val="2"/>
            <w:tcBorders>
              <w:bottom w:val="single" w:sz="8" w:space="0" w:color="333333"/>
            </w:tcBorders>
            <w:shd w:val="clear" w:color="auto" w:fill="auto"/>
            <w:tcMar>
              <w:top w:w="40" w:type="dxa"/>
              <w:left w:w="40" w:type="dxa"/>
              <w:bottom w:w="40" w:type="dxa"/>
              <w:right w:w="40" w:type="dxa"/>
            </w:tcMar>
            <w:vAlign w:val="bottom"/>
          </w:tcPr>
          <w:p w14:paraId="4ACE2A0F" w14:textId="77777777" w:rsidR="006F587A" w:rsidRDefault="007B2B61">
            <w:pPr>
              <w:textAlignment w:val="bottom"/>
              <w:rPr>
                <w:rFonts w:ascii="Times New Roman" w:hAnsi="Times New Roman"/>
                <w:sz w:val="20"/>
                <w:szCs w:val="20"/>
              </w:rPr>
            </w:pPr>
            <w:r>
              <w:rPr>
                <w:rFonts w:ascii="Arial" w:eastAsia="宋体" w:hAnsi="Arial" w:cs="Arial"/>
                <w:b/>
                <w:bCs/>
                <w:color w:val="0071C5"/>
                <w:sz w:val="20"/>
                <w:szCs w:val="20"/>
              </w:rPr>
              <w:t>HIGHLIGHTS AND SEGMENT IMPERATIVES</w:t>
            </w:r>
          </w:p>
        </w:tc>
        <w:tc>
          <w:tcPr>
            <w:tcW w:w="0" w:type="auto"/>
            <w:vMerge/>
            <w:shd w:val="clear" w:color="auto" w:fill="auto"/>
            <w:tcMar>
              <w:top w:w="40" w:type="dxa"/>
              <w:left w:w="40" w:type="dxa"/>
              <w:bottom w:w="40" w:type="dxa"/>
              <w:right w:w="40" w:type="dxa"/>
            </w:tcMar>
            <w:vAlign w:val="bottom"/>
          </w:tcPr>
          <w:p w14:paraId="4ACE2A10" w14:textId="77777777" w:rsidR="006F587A" w:rsidRDefault="006F587A">
            <w:pPr>
              <w:rPr>
                <w:rFonts w:ascii="Times New Roman" w:hAnsi="Times New Roman"/>
                <w:sz w:val="20"/>
                <w:szCs w:val="20"/>
              </w:rPr>
            </w:pPr>
          </w:p>
        </w:tc>
      </w:tr>
      <w:tr w:rsidR="006F587A" w14:paraId="4ACE2A15" w14:textId="77777777">
        <w:tc>
          <w:tcPr>
            <w:tcW w:w="0" w:type="auto"/>
            <w:shd w:val="clear" w:color="auto" w:fill="auto"/>
            <w:tcMar>
              <w:top w:w="40" w:type="dxa"/>
              <w:left w:w="40" w:type="dxa"/>
              <w:bottom w:w="40" w:type="dxa"/>
              <w:right w:w="40" w:type="dxa"/>
            </w:tcMar>
            <w:vAlign w:val="bottom"/>
          </w:tcPr>
          <w:p w14:paraId="4ACE2A1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A1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bottom"/>
          </w:tcPr>
          <w:p w14:paraId="4ACE2A14" w14:textId="77777777" w:rsidR="006F587A" w:rsidRDefault="006F587A">
            <w:pPr>
              <w:rPr>
                <w:rFonts w:ascii="Times New Roman" w:hAnsi="Times New Roman"/>
                <w:sz w:val="20"/>
                <w:szCs w:val="20"/>
              </w:rPr>
            </w:pPr>
          </w:p>
        </w:tc>
      </w:tr>
      <w:tr w:rsidR="006F587A" w14:paraId="4ACE2A19" w14:textId="77777777">
        <w:tc>
          <w:tcPr>
            <w:tcW w:w="0" w:type="auto"/>
            <w:shd w:val="clear" w:color="auto" w:fill="auto"/>
            <w:tcMar>
              <w:top w:w="40" w:type="dxa"/>
              <w:left w:w="40" w:type="dxa"/>
              <w:bottom w:w="40" w:type="dxa"/>
              <w:right w:w="40" w:type="dxa"/>
            </w:tcMar>
          </w:tcPr>
          <w:p w14:paraId="4ACE2A16" w14:textId="77777777" w:rsidR="006F587A" w:rsidRDefault="007B2B61">
            <w:pPr>
              <w:jc w:val="center"/>
              <w:textAlignment w:val="top"/>
              <w:rPr>
                <w:rFonts w:ascii="Times New Roman" w:hAnsi="Times New Roman"/>
                <w:sz w:val="18"/>
                <w:szCs w:val="18"/>
              </w:rPr>
            </w:pPr>
            <w:r>
              <w:rPr>
                <w:rFonts w:ascii="Arial" w:eastAsia="宋体" w:hAnsi="Arial" w:cs="Arial"/>
                <w:color w:val="003C71"/>
                <w:sz w:val="18"/>
                <w:szCs w:val="18"/>
              </w:rPr>
              <w:t>●</w:t>
            </w:r>
          </w:p>
        </w:tc>
        <w:tc>
          <w:tcPr>
            <w:tcW w:w="0" w:type="auto"/>
            <w:shd w:val="clear" w:color="auto" w:fill="auto"/>
            <w:tcMar>
              <w:top w:w="40" w:type="dxa"/>
              <w:left w:w="40" w:type="dxa"/>
              <w:bottom w:w="40" w:type="dxa"/>
              <w:right w:w="40" w:type="dxa"/>
            </w:tcMar>
          </w:tcPr>
          <w:p w14:paraId="4ACE2A17"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 xml:space="preserve">We delivered our fourth consecutive year of revenue growth and record operating profit as we managed through supply constraints. We maintained focus on high-growth segments and disciplined portfolio </w:t>
            </w:r>
            <w:r>
              <w:rPr>
                <w:rFonts w:ascii="Arial" w:eastAsia="宋体" w:hAnsi="Arial" w:cs="Arial"/>
                <w:color w:val="333333"/>
                <w:sz w:val="18"/>
                <w:szCs w:val="18"/>
              </w:rPr>
              <w:t>management. Since 2015, we have increased profitability by 86%.</w:t>
            </w:r>
          </w:p>
        </w:tc>
        <w:tc>
          <w:tcPr>
            <w:tcW w:w="0" w:type="auto"/>
            <w:vMerge w:val="restart"/>
            <w:shd w:val="clear" w:color="auto" w:fill="auto"/>
            <w:tcMar>
              <w:top w:w="40" w:type="dxa"/>
              <w:left w:w="40" w:type="dxa"/>
              <w:bottom w:w="40" w:type="dxa"/>
              <w:right w:w="40" w:type="dxa"/>
            </w:tcMar>
          </w:tcPr>
          <w:p w14:paraId="4ACE2A18" w14:textId="77777777" w:rsidR="006F587A" w:rsidRDefault="007B2B61">
            <w:pPr>
              <w:textAlignment w:val="top"/>
              <w:rPr>
                <w:rFonts w:ascii="Times New Roman" w:hAnsi="Times New Roman"/>
                <w:sz w:val="18"/>
                <w:szCs w:val="18"/>
              </w:rPr>
            </w:pPr>
            <w:r>
              <w:rPr>
                <w:rFonts w:ascii="Arial" w:eastAsia="宋体" w:hAnsi="Arial" w:cs="Arial"/>
                <w:b/>
                <w:bCs/>
                <w:i/>
                <w:iCs/>
                <w:color w:val="333333"/>
                <w:sz w:val="18"/>
                <w:szCs w:val="18"/>
              </w:rPr>
              <w:t xml:space="preserve">"I believe we can transform the PC into a platform that powers every person's greatest contribution by enabling them to focus, create, and engage in more meaningful ways." </w:t>
            </w:r>
            <w:r>
              <w:rPr>
                <w:rFonts w:ascii="Arial" w:eastAsia="宋体" w:hAnsi="Arial" w:cs="Arial"/>
                <w:b/>
                <w:bCs/>
                <w:i/>
                <w:iCs/>
                <w:color w:val="333333"/>
                <w:sz w:val="18"/>
                <w:szCs w:val="18"/>
              </w:rPr>
              <w:br/>
            </w:r>
            <w:r>
              <w:rPr>
                <w:rFonts w:ascii="Arial" w:eastAsia="宋体" w:hAnsi="Arial" w:cs="Arial"/>
                <w:b/>
                <w:bCs/>
                <w:i/>
                <w:iCs/>
                <w:color w:val="333333"/>
                <w:sz w:val="18"/>
                <w:szCs w:val="18"/>
              </w:rPr>
              <w:br/>
              <w:t xml:space="preserve">—Gregory Bryant, </w:t>
            </w:r>
            <w:r>
              <w:rPr>
                <w:rFonts w:ascii="Arial" w:eastAsia="宋体" w:hAnsi="Arial" w:cs="Arial"/>
                <w:i/>
                <w:iCs/>
                <w:color w:val="333333"/>
                <w:sz w:val="18"/>
                <w:szCs w:val="18"/>
              </w:rPr>
              <w:t>C</w:t>
            </w:r>
            <w:r>
              <w:rPr>
                <w:rFonts w:ascii="Arial" w:eastAsia="宋体" w:hAnsi="Arial" w:cs="Arial"/>
                <w:i/>
                <w:iCs/>
                <w:color w:val="333333"/>
                <w:sz w:val="18"/>
                <w:szCs w:val="18"/>
              </w:rPr>
              <w:t>CG General Manager</w:t>
            </w:r>
          </w:p>
        </w:tc>
      </w:tr>
      <w:tr w:rsidR="006F587A" w14:paraId="4ACE2A1D" w14:textId="77777777">
        <w:tc>
          <w:tcPr>
            <w:tcW w:w="0" w:type="auto"/>
            <w:shd w:val="clear" w:color="auto" w:fill="auto"/>
            <w:tcMar>
              <w:top w:w="40" w:type="dxa"/>
              <w:left w:w="40" w:type="dxa"/>
              <w:bottom w:w="40" w:type="dxa"/>
              <w:right w:w="40" w:type="dxa"/>
            </w:tcMar>
          </w:tcPr>
          <w:p w14:paraId="4ACE2A1A" w14:textId="77777777" w:rsidR="006F587A" w:rsidRDefault="007B2B61">
            <w:pPr>
              <w:jc w:val="center"/>
              <w:textAlignment w:val="top"/>
              <w:rPr>
                <w:rFonts w:ascii="Times New Roman" w:hAnsi="Times New Roman"/>
                <w:sz w:val="18"/>
                <w:szCs w:val="18"/>
              </w:rPr>
            </w:pPr>
            <w:r>
              <w:rPr>
                <w:rFonts w:ascii="Arial" w:eastAsia="宋体" w:hAnsi="Arial" w:cs="Arial"/>
                <w:color w:val="003C71"/>
                <w:sz w:val="18"/>
                <w:szCs w:val="18"/>
              </w:rPr>
              <w:t>●</w:t>
            </w:r>
          </w:p>
        </w:tc>
        <w:tc>
          <w:tcPr>
            <w:tcW w:w="0" w:type="auto"/>
            <w:shd w:val="clear" w:color="auto" w:fill="auto"/>
            <w:tcMar>
              <w:top w:w="40" w:type="dxa"/>
              <w:left w:w="40" w:type="dxa"/>
              <w:bottom w:w="40" w:type="dxa"/>
              <w:right w:w="40" w:type="dxa"/>
            </w:tcMar>
          </w:tcPr>
          <w:p w14:paraId="4ACE2A1B"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 xml:space="preserve">Delivering an annual cadence of leadership products is foundational to our business. This year, we introduced our </w:t>
            </w:r>
            <w:r>
              <w:rPr>
                <w:rFonts w:ascii="Arial" w:eastAsia="宋体" w:hAnsi="Arial" w:cs="Arial"/>
                <w:color w:val="444444"/>
                <w:sz w:val="18"/>
                <w:szCs w:val="18"/>
              </w:rPr>
              <w:t>10th Gen Intel</w:t>
            </w:r>
            <w:r>
              <w:rPr>
                <w:rFonts w:ascii="Arial" w:eastAsia="宋体" w:hAnsi="Arial" w:cs="Arial"/>
                <w:color w:val="333333"/>
                <w:sz w:val="12"/>
                <w:szCs w:val="12"/>
              </w:rPr>
              <w:t>®</w:t>
            </w:r>
            <w:r>
              <w:rPr>
                <w:rFonts w:ascii="Arial" w:eastAsia="宋体" w:hAnsi="Arial" w:cs="Arial"/>
                <w:color w:val="333333"/>
                <w:sz w:val="18"/>
                <w:szCs w:val="18"/>
              </w:rPr>
              <w:t> </w:t>
            </w:r>
            <w:r>
              <w:rPr>
                <w:rFonts w:ascii="Arial" w:eastAsia="宋体" w:hAnsi="Arial" w:cs="Arial"/>
                <w:color w:val="444444"/>
                <w:sz w:val="18"/>
                <w:szCs w:val="18"/>
              </w:rPr>
              <w:t>Core</w:t>
            </w:r>
            <w:r>
              <w:rPr>
                <w:rFonts w:ascii="Arial" w:eastAsia="宋体" w:hAnsi="Arial" w:cs="Arial"/>
                <w:color w:val="333333"/>
                <w:sz w:val="18"/>
                <w:szCs w:val="18"/>
              </w:rPr>
              <w:t xml:space="preserve">™ </w:t>
            </w:r>
            <w:r>
              <w:rPr>
                <w:rFonts w:ascii="Arial" w:eastAsia="宋体" w:hAnsi="Arial" w:cs="Arial"/>
                <w:color w:val="444444"/>
                <w:sz w:val="18"/>
                <w:szCs w:val="18"/>
              </w:rPr>
              <w:t xml:space="preserve">processor-based systems </w:t>
            </w:r>
            <w:r>
              <w:rPr>
                <w:rFonts w:ascii="Arial" w:eastAsia="宋体" w:hAnsi="Arial" w:cs="Arial"/>
                <w:color w:val="333333"/>
                <w:sz w:val="18"/>
                <w:szCs w:val="18"/>
              </w:rPr>
              <w:t>built on 10nm process technology and launched our new 9th Gen Intel</w:t>
            </w:r>
            <w:r>
              <w:rPr>
                <w:rFonts w:ascii="Arial" w:eastAsia="宋体" w:hAnsi="Arial" w:cs="Arial"/>
                <w:color w:val="333333"/>
                <w:sz w:val="12"/>
                <w:szCs w:val="12"/>
              </w:rPr>
              <w:t>®</w:t>
            </w:r>
            <w:r>
              <w:rPr>
                <w:rFonts w:ascii="Arial" w:eastAsia="宋体" w:hAnsi="Arial" w:cs="Arial"/>
                <w:color w:val="333333"/>
                <w:sz w:val="18"/>
                <w:szCs w:val="18"/>
              </w:rPr>
              <w:t> Core™ vPro</w:t>
            </w:r>
            <w:r>
              <w:rPr>
                <w:rFonts w:ascii="Arial" w:eastAsia="宋体" w:hAnsi="Arial" w:cs="Arial"/>
                <w:color w:val="333333"/>
                <w:sz w:val="12"/>
                <w:szCs w:val="12"/>
              </w:rPr>
              <w:t>®</w:t>
            </w:r>
            <w:r>
              <w:rPr>
                <w:rFonts w:ascii="Arial" w:eastAsia="宋体" w:hAnsi="Arial" w:cs="Arial"/>
                <w:color w:val="333333"/>
                <w:sz w:val="18"/>
                <w:szCs w:val="18"/>
              </w:rPr>
              <w:t> processors.</w:t>
            </w:r>
          </w:p>
        </w:tc>
        <w:tc>
          <w:tcPr>
            <w:tcW w:w="0" w:type="auto"/>
            <w:vMerge/>
            <w:shd w:val="clear" w:color="auto" w:fill="auto"/>
            <w:tcMar>
              <w:top w:w="40" w:type="dxa"/>
              <w:left w:w="40" w:type="dxa"/>
              <w:bottom w:w="40" w:type="dxa"/>
              <w:right w:w="40" w:type="dxa"/>
            </w:tcMar>
          </w:tcPr>
          <w:p w14:paraId="4ACE2A1C" w14:textId="77777777" w:rsidR="006F587A" w:rsidRDefault="006F587A">
            <w:pPr>
              <w:rPr>
                <w:rFonts w:ascii="Times New Roman" w:hAnsi="Times New Roman"/>
                <w:sz w:val="20"/>
                <w:szCs w:val="20"/>
              </w:rPr>
            </w:pPr>
          </w:p>
        </w:tc>
      </w:tr>
      <w:tr w:rsidR="006F587A" w14:paraId="4ACE2A21" w14:textId="77777777">
        <w:tc>
          <w:tcPr>
            <w:tcW w:w="0" w:type="auto"/>
            <w:shd w:val="clear" w:color="auto" w:fill="auto"/>
            <w:tcMar>
              <w:top w:w="40" w:type="dxa"/>
              <w:left w:w="40" w:type="dxa"/>
              <w:bottom w:w="40" w:type="dxa"/>
              <w:right w:w="40" w:type="dxa"/>
            </w:tcMar>
          </w:tcPr>
          <w:p w14:paraId="4ACE2A1E" w14:textId="77777777" w:rsidR="006F587A" w:rsidRDefault="007B2B61">
            <w:pPr>
              <w:jc w:val="center"/>
              <w:textAlignment w:val="top"/>
              <w:rPr>
                <w:rFonts w:ascii="Times New Roman" w:hAnsi="Times New Roman"/>
                <w:sz w:val="18"/>
                <w:szCs w:val="18"/>
              </w:rPr>
            </w:pPr>
            <w:r>
              <w:rPr>
                <w:rFonts w:ascii="Arial" w:eastAsia="宋体" w:hAnsi="Arial" w:cs="Arial"/>
                <w:color w:val="003C71"/>
                <w:sz w:val="18"/>
                <w:szCs w:val="18"/>
              </w:rPr>
              <w:t>●</w:t>
            </w:r>
          </w:p>
        </w:tc>
        <w:tc>
          <w:tcPr>
            <w:tcW w:w="0" w:type="auto"/>
            <w:shd w:val="clear" w:color="auto" w:fill="auto"/>
            <w:tcMar>
              <w:top w:w="40" w:type="dxa"/>
              <w:left w:w="40" w:type="dxa"/>
              <w:bottom w:w="40" w:type="dxa"/>
              <w:right w:w="40" w:type="dxa"/>
            </w:tcMar>
          </w:tcPr>
          <w:p w14:paraId="4ACE2A1F"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We are accelerating the pace of innovation to deliver new experiences and form factors. We launched Project Athena, a multi-year innovation program, designed to deliver advanced laptops.</w:t>
            </w:r>
          </w:p>
        </w:tc>
        <w:tc>
          <w:tcPr>
            <w:tcW w:w="0" w:type="auto"/>
            <w:vMerge/>
            <w:shd w:val="clear" w:color="auto" w:fill="auto"/>
            <w:tcMar>
              <w:top w:w="40" w:type="dxa"/>
              <w:left w:w="40" w:type="dxa"/>
              <w:bottom w:w="40" w:type="dxa"/>
              <w:right w:w="40" w:type="dxa"/>
            </w:tcMar>
          </w:tcPr>
          <w:p w14:paraId="4ACE2A20" w14:textId="77777777" w:rsidR="006F587A" w:rsidRDefault="006F587A">
            <w:pPr>
              <w:rPr>
                <w:rFonts w:ascii="Times New Roman" w:hAnsi="Times New Roman"/>
                <w:sz w:val="20"/>
                <w:szCs w:val="20"/>
              </w:rPr>
            </w:pPr>
          </w:p>
        </w:tc>
      </w:tr>
      <w:tr w:rsidR="006F587A" w14:paraId="4ACE2A25" w14:textId="77777777">
        <w:tc>
          <w:tcPr>
            <w:tcW w:w="0" w:type="auto"/>
            <w:shd w:val="clear" w:color="auto" w:fill="auto"/>
            <w:tcMar>
              <w:top w:w="40" w:type="dxa"/>
              <w:left w:w="40" w:type="dxa"/>
              <w:bottom w:w="40" w:type="dxa"/>
              <w:right w:w="40" w:type="dxa"/>
            </w:tcMar>
          </w:tcPr>
          <w:p w14:paraId="4ACE2A22" w14:textId="77777777" w:rsidR="006F587A" w:rsidRDefault="007B2B61">
            <w:pPr>
              <w:jc w:val="center"/>
              <w:textAlignment w:val="top"/>
              <w:rPr>
                <w:rFonts w:ascii="Times New Roman" w:hAnsi="Times New Roman"/>
                <w:sz w:val="18"/>
                <w:szCs w:val="18"/>
              </w:rPr>
            </w:pPr>
            <w:r>
              <w:rPr>
                <w:rFonts w:ascii="Arial" w:eastAsia="宋体" w:hAnsi="Arial" w:cs="Arial"/>
                <w:color w:val="003C71"/>
                <w:sz w:val="18"/>
                <w:szCs w:val="18"/>
              </w:rPr>
              <w:t>●</w:t>
            </w:r>
          </w:p>
        </w:tc>
        <w:tc>
          <w:tcPr>
            <w:tcW w:w="0" w:type="auto"/>
            <w:shd w:val="clear" w:color="auto" w:fill="auto"/>
            <w:tcMar>
              <w:top w:w="40" w:type="dxa"/>
              <w:left w:w="40" w:type="dxa"/>
              <w:bottom w:w="40" w:type="dxa"/>
              <w:right w:w="40" w:type="dxa"/>
            </w:tcMar>
          </w:tcPr>
          <w:p w14:paraId="4ACE2A23"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 xml:space="preserve">We exited the 5G </w:t>
            </w:r>
            <w:r>
              <w:rPr>
                <w:rFonts w:ascii="Arial" w:eastAsia="宋体" w:hAnsi="Arial" w:cs="Arial"/>
                <w:color w:val="333333"/>
                <w:sz w:val="18"/>
                <w:szCs w:val="18"/>
              </w:rPr>
              <w:t>smartphone modem business, while continuing to meet current customer commitments for our existing 4G modem product lines. We are also assisting OEM partners in the development, certification, and support of 5G modem solutions for PCs.</w:t>
            </w:r>
          </w:p>
        </w:tc>
        <w:tc>
          <w:tcPr>
            <w:tcW w:w="0" w:type="auto"/>
            <w:vMerge/>
            <w:shd w:val="clear" w:color="auto" w:fill="auto"/>
            <w:tcMar>
              <w:top w:w="40" w:type="dxa"/>
              <w:left w:w="40" w:type="dxa"/>
              <w:bottom w:w="40" w:type="dxa"/>
              <w:right w:w="40" w:type="dxa"/>
            </w:tcMar>
          </w:tcPr>
          <w:p w14:paraId="4ACE2A24" w14:textId="77777777" w:rsidR="006F587A" w:rsidRDefault="006F587A">
            <w:pPr>
              <w:rPr>
                <w:rFonts w:ascii="Times New Roman" w:hAnsi="Times New Roman"/>
                <w:sz w:val="20"/>
                <w:szCs w:val="20"/>
              </w:rPr>
            </w:pPr>
          </w:p>
        </w:tc>
      </w:tr>
    </w:tbl>
    <w:p w14:paraId="4ACE2A26" w14:textId="77777777" w:rsidR="006F587A" w:rsidRDefault="006F587A">
      <w:pPr>
        <w:rPr>
          <w:vanish/>
        </w:rPr>
      </w:pPr>
    </w:p>
    <w:tbl>
      <w:tblPr>
        <w:tblW w:w="14640" w:type="dxa"/>
        <w:tblCellMar>
          <w:left w:w="0" w:type="dxa"/>
          <w:right w:w="0" w:type="dxa"/>
        </w:tblCellMar>
        <w:tblLook w:val="04A0" w:firstRow="1" w:lastRow="0" w:firstColumn="1" w:lastColumn="0" w:noHBand="0" w:noVBand="1"/>
      </w:tblPr>
      <w:tblGrid>
        <w:gridCol w:w="14640"/>
      </w:tblGrid>
      <w:tr w:rsidR="006F587A" w14:paraId="4ACE2A28" w14:textId="77777777">
        <w:tc>
          <w:tcPr>
            <w:tcW w:w="0" w:type="auto"/>
            <w:shd w:val="clear" w:color="auto" w:fill="auto"/>
            <w:vAlign w:val="center"/>
          </w:tcPr>
          <w:p w14:paraId="4ACE2A27" w14:textId="77777777" w:rsidR="006F587A" w:rsidRDefault="006F587A">
            <w:pPr>
              <w:rPr>
                <w:rFonts w:ascii="Times New Roman" w:hAnsi="Times New Roman"/>
                <w:sz w:val="20"/>
                <w:szCs w:val="20"/>
              </w:rPr>
            </w:pPr>
          </w:p>
        </w:tc>
      </w:tr>
      <w:tr w:rsidR="006F587A" w14:paraId="4ACE2A2A" w14:textId="77777777">
        <w:tc>
          <w:tcPr>
            <w:tcW w:w="14640" w:type="dxa"/>
            <w:shd w:val="clear" w:color="auto" w:fill="auto"/>
            <w:vAlign w:val="center"/>
          </w:tcPr>
          <w:p w14:paraId="4ACE2A29" w14:textId="77777777" w:rsidR="006F587A" w:rsidRDefault="006F587A">
            <w:pPr>
              <w:rPr>
                <w:rFonts w:ascii="Times New Roman" w:hAnsi="Times New Roman"/>
                <w:sz w:val="20"/>
                <w:szCs w:val="20"/>
              </w:rPr>
            </w:pPr>
          </w:p>
        </w:tc>
      </w:tr>
      <w:tr w:rsidR="006F587A" w14:paraId="4ACE2A2C" w14:textId="77777777">
        <w:tc>
          <w:tcPr>
            <w:tcW w:w="0" w:type="auto"/>
            <w:tcBorders>
              <w:bottom w:val="single" w:sz="8" w:space="0" w:color="333333"/>
            </w:tcBorders>
            <w:shd w:val="clear" w:color="auto" w:fill="auto"/>
            <w:tcMar>
              <w:top w:w="40" w:type="dxa"/>
              <w:left w:w="40" w:type="dxa"/>
              <w:bottom w:w="40" w:type="dxa"/>
              <w:right w:w="40" w:type="dxa"/>
            </w:tcMar>
            <w:vAlign w:val="bottom"/>
          </w:tcPr>
          <w:p w14:paraId="4ACE2A2B" w14:textId="77777777" w:rsidR="006F587A" w:rsidRDefault="007B2B61">
            <w:pPr>
              <w:textAlignment w:val="bottom"/>
              <w:rPr>
                <w:rFonts w:ascii="Times New Roman" w:hAnsi="Times New Roman"/>
                <w:sz w:val="20"/>
                <w:szCs w:val="20"/>
              </w:rPr>
            </w:pPr>
            <w:r>
              <w:rPr>
                <w:rFonts w:ascii="Arial" w:eastAsia="宋体" w:hAnsi="Arial" w:cs="Arial"/>
                <w:b/>
                <w:bCs/>
                <w:color w:val="0071C5"/>
                <w:sz w:val="20"/>
                <w:szCs w:val="20"/>
              </w:rPr>
              <w:t xml:space="preserve">5-YEAR </w:t>
            </w:r>
            <w:r>
              <w:rPr>
                <w:rFonts w:ascii="Arial" w:eastAsia="宋体" w:hAnsi="Arial" w:cs="Arial"/>
                <w:b/>
                <w:bCs/>
                <w:color w:val="0071C5"/>
                <w:sz w:val="20"/>
                <w:szCs w:val="20"/>
              </w:rPr>
              <w:t>TRENDS</w:t>
            </w:r>
          </w:p>
        </w:tc>
      </w:tr>
    </w:tbl>
    <w:p w14:paraId="4ACE2A2D" w14:textId="77777777" w:rsidR="006F587A" w:rsidRDefault="007B2B61">
      <w:pPr>
        <w:spacing w:line="288" w:lineRule="auto"/>
        <w:ind w:firstLine="600"/>
        <w:rPr>
          <w:rFonts w:ascii="Times New Roman" w:hAnsi="Times New Roman"/>
          <w:sz w:val="18"/>
          <w:szCs w:val="18"/>
        </w:rPr>
      </w:pP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Viewer12_files/chart25_ccg5yrrev.jpg"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D28" wp14:editId="4ACE6D29">
            <wp:extent cx="304800" cy="304800"/>
            <wp:effectExtent l="0" t="0" r="0" b="0"/>
            <wp:docPr id="224" name="图片 186" descr="IMG_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186" descr="IMG_37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Viewer12_files/chart26_ccg5yropincome.jpg"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D2A" wp14:editId="4ACE6D2B">
            <wp:extent cx="304800" cy="304800"/>
            <wp:effectExtent l="0" t="0" r="0" b="0"/>
            <wp:docPr id="227" name="图片 187" descr="IMG_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187" descr="IMG_37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p>
    <w:tbl>
      <w:tblPr>
        <w:tblW w:w="14300" w:type="dxa"/>
        <w:tblCellMar>
          <w:left w:w="0" w:type="dxa"/>
          <w:right w:w="0" w:type="dxa"/>
        </w:tblCellMar>
        <w:tblLook w:val="04A0" w:firstRow="1" w:lastRow="0" w:firstColumn="1" w:lastColumn="0" w:noHBand="0" w:noVBand="1"/>
      </w:tblPr>
      <w:tblGrid>
        <w:gridCol w:w="1461"/>
        <w:gridCol w:w="1802"/>
        <w:gridCol w:w="2664"/>
        <w:gridCol w:w="2664"/>
        <w:gridCol w:w="2083"/>
        <w:gridCol w:w="3225"/>
        <w:gridCol w:w="401"/>
      </w:tblGrid>
      <w:tr w:rsidR="006F587A" w14:paraId="4ACE2A2F" w14:textId="77777777">
        <w:tc>
          <w:tcPr>
            <w:tcW w:w="0" w:type="auto"/>
            <w:gridSpan w:val="7"/>
            <w:shd w:val="clear" w:color="auto" w:fill="auto"/>
            <w:vAlign w:val="center"/>
          </w:tcPr>
          <w:p w14:paraId="4ACE2A2E" w14:textId="77777777" w:rsidR="006F587A" w:rsidRDefault="006F587A">
            <w:pPr>
              <w:rPr>
                <w:rFonts w:ascii="Times New Roman" w:hAnsi="Times New Roman"/>
                <w:sz w:val="20"/>
                <w:szCs w:val="20"/>
              </w:rPr>
            </w:pPr>
          </w:p>
        </w:tc>
      </w:tr>
      <w:tr w:rsidR="006F587A" w14:paraId="4ACE2A37" w14:textId="77777777">
        <w:tc>
          <w:tcPr>
            <w:tcW w:w="1460" w:type="dxa"/>
            <w:shd w:val="clear" w:color="auto" w:fill="auto"/>
            <w:vAlign w:val="center"/>
          </w:tcPr>
          <w:p w14:paraId="4ACE2A30" w14:textId="77777777" w:rsidR="006F587A" w:rsidRDefault="006F587A">
            <w:pPr>
              <w:rPr>
                <w:rFonts w:ascii="Times New Roman" w:hAnsi="Times New Roman"/>
                <w:sz w:val="20"/>
                <w:szCs w:val="20"/>
              </w:rPr>
            </w:pPr>
          </w:p>
        </w:tc>
        <w:tc>
          <w:tcPr>
            <w:tcW w:w="1800" w:type="dxa"/>
            <w:shd w:val="clear" w:color="auto" w:fill="auto"/>
            <w:vAlign w:val="center"/>
          </w:tcPr>
          <w:p w14:paraId="4ACE2A31" w14:textId="77777777" w:rsidR="006F587A" w:rsidRDefault="006F587A">
            <w:pPr>
              <w:rPr>
                <w:rFonts w:ascii="Times New Roman" w:hAnsi="Times New Roman"/>
                <w:sz w:val="20"/>
                <w:szCs w:val="20"/>
              </w:rPr>
            </w:pPr>
          </w:p>
        </w:tc>
        <w:tc>
          <w:tcPr>
            <w:tcW w:w="2660" w:type="dxa"/>
            <w:shd w:val="clear" w:color="auto" w:fill="auto"/>
            <w:vAlign w:val="center"/>
          </w:tcPr>
          <w:p w14:paraId="4ACE2A32" w14:textId="77777777" w:rsidR="006F587A" w:rsidRDefault="006F587A">
            <w:pPr>
              <w:rPr>
                <w:rFonts w:ascii="Times New Roman" w:hAnsi="Times New Roman"/>
                <w:sz w:val="20"/>
                <w:szCs w:val="20"/>
              </w:rPr>
            </w:pPr>
          </w:p>
        </w:tc>
        <w:tc>
          <w:tcPr>
            <w:tcW w:w="2660" w:type="dxa"/>
            <w:shd w:val="clear" w:color="auto" w:fill="auto"/>
            <w:vAlign w:val="center"/>
          </w:tcPr>
          <w:p w14:paraId="4ACE2A33" w14:textId="77777777" w:rsidR="006F587A" w:rsidRDefault="006F587A">
            <w:pPr>
              <w:rPr>
                <w:rFonts w:ascii="Times New Roman" w:hAnsi="Times New Roman"/>
                <w:sz w:val="20"/>
                <w:szCs w:val="20"/>
              </w:rPr>
            </w:pPr>
          </w:p>
        </w:tc>
        <w:tc>
          <w:tcPr>
            <w:tcW w:w="2080" w:type="dxa"/>
            <w:shd w:val="clear" w:color="auto" w:fill="auto"/>
            <w:vAlign w:val="center"/>
          </w:tcPr>
          <w:p w14:paraId="4ACE2A34" w14:textId="77777777" w:rsidR="006F587A" w:rsidRDefault="006F587A">
            <w:pPr>
              <w:rPr>
                <w:rFonts w:ascii="Times New Roman" w:hAnsi="Times New Roman"/>
                <w:sz w:val="20"/>
                <w:szCs w:val="20"/>
              </w:rPr>
            </w:pPr>
          </w:p>
        </w:tc>
        <w:tc>
          <w:tcPr>
            <w:tcW w:w="3220" w:type="dxa"/>
            <w:shd w:val="clear" w:color="auto" w:fill="auto"/>
            <w:vAlign w:val="center"/>
          </w:tcPr>
          <w:p w14:paraId="4ACE2A35" w14:textId="77777777" w:rsidR="006F587A" w:rsidRDefault="006F587A">
            <w:pPr>
              <w:rPr>
                <w:rFonts w:ascii="Times New Roman" w:hAnsi="Times New Roman"/>
                <w:sz w:val="20"/>
                <w:szCs w:val="20"/>
              </w:rPr>
            </w:pPr>
          </w:p>
        </w:tc>
        <w:tc>
          <w:tcPr>
            <w:tcW w:w="400" w:type="dxa"/>
            <w:shd w:val="clear" w:color="auto" w:fill="auto"/>
            <w:vAlign w:val="center"/>
          </w:tcPr>
          <w:p w14:paraId="4ACE2A36" w14:textId="77777777" w:rsidR="006F587A" w:rsidRDefault="006F587A">
            <w:pPr>
              <w:rPr>
                <w:rFonts w:ascii="Times New Roman" w:hAnsi="Times New Roman"/>
                <w:sz w:val="20"/>
                <w:szCs w:val="20"/>
              </w:rPr>
            </w:pPr>
          </w:p>
        </w:tc>
      </w:tr>
      <w:tr w:rsidR="006F587A" w14:paraId="4ACE2A40" w14:textId="77777777">
        <w:tc>
          <w:tcPr>
            <w:tcW w:w="0" w:type="auto"/>
            <w:shd w:val="clear" w:color="auto" w:fill="auto"/>
            <w:tcMar>
              <w:top w:w="40" w:type="dxa"/>
              <w:left w:w="40" w:type="dxa"/>
              <w:bottom w:w="40" w:type="dxa"/>
              <w:right w:w="40" w:type="dxa"/>
            </w:tcMar>
            <w:vAlign w:val="bottom"/>
          </w:tcPr>
          <w:p w14:paraId="4ACE2A3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2A39" w14:textId="77777777" w:rsidR="006F587A" w:rsidRDefault="007B2B61">
            <w:pPr>
              <w:textAlignment w:val="top"/>
              <w:rPr>
                <w:rFonts w:ascii="Times New Roman" w:hAnsi="Times New Roman"/>
                <w:sz w:val="16"/>
                <w:szCs w:val="16"/>
              </w:rPr>
            </w:pPr>
            <w:r>
              <w:rPr>
                <w:rFonts w:ascii="Arial" w:eastAsia="宋体" w:hAnsi="Arial" w:cs="Arial"/>
                <w:color w:val="003C71"/>
                <w:sz w:val="16"/>
                <w:szCs w:val="16"/>
              </w:rPr>
              <w:t xml:space="preserve">■ </w:t>
            </w:r>
            <w:r>
              <w:rPr>
                <w:rFonts w:ascii="Arial" w:eastAsia="宋体" w:hAnsi="Arial" w:cs="Arial"/>
                <w:color w:val="333333"/>
                <w:sz w:val="16"/>
                <w:szCs w:val="16"/>
              </w:rPr>
              <w:t>Revenue $B</w:t>
            </w:r>
          </w:p>
        </w:tc>
        <w:tc>
          <w:tcPr>
            <w:tcW w:w="0" w:type="auto"/>
            <w:shd w:val="clear" w:color="auto" w:fill="auto"/>
            <w:tcMar>
              <w:top w:w="40" w:type="dxa"/>
              <w:left w:w="40" w:type="dxa"/>
              <w:bottom w:w="40" w:type="dxa"/>
              <w:right w:w="40" w:type="dxa"/>
            </w:tcMar>
          </w:tcPr>
          <w:p w14:paraId="4ACE2A3A" w14:textId="77777777" w:rsidR="006F587A" w:rsidRDefault="007B2B61">
            <w:pPr>
              <w:textAlignment w:val="top"/>
              <w:rPr>
                <w:rFonts w:ascii="Times New Roman" w:hAnsi="Times New Roman"/>
                <w:sz w:val="16"/>
                <w:szCs w:val="16"/>
              </w:rPr>
            </w:pPr>
            <w:r>
              <w:rPr>
                <w:rFonts w:ascii="Arial" w:eastAsia="宋体" w:hAnsi="Arial" w:cs="Arial"/>
                <w:b/>
                <w:bCs/>
                <w:color w:val="FAAC16"/>
                <w:sz w:val="16"/>
                <w:szCs w:val="16"/>
              </w:rPr>
              <w:t xml:space="preserve">— </w:t>
            </w:r>
            <w:r>
              <w:rPr>
                <w:rFonts w:ascii="Arial" w:eastAsia="宋体" w:hAnsi="Arial" w:cs="Arial"/>
                <w:color w:val="333333"/>
                <w:sz w:val="16"/>
                <w:szCs w:val="16"/>
              </w:rPr>
              <w:t>Year over Year Growth</w:t>
            </w:r>
          </w:p>
        </w:tc>
        <w:tc>
          <w:tcPr>
            <w:tcW w:w="0" w:type="auto"/>
            <w:shd w:val="clear" w:color="auto" w:fill="auto"/>
            <w:tcMar>
              <w:top w:w="40" w:type="dxa"/>
              <w:left w:w="40" w:type="dxa"/>
              <w:bottom w:w="40" w:type="dxa"/>
              <w:right w:w="40" w:type="dxa"/>
            </w:tcMar>
            <w:vAlign w:val="bottom"/>
          </w:tcPr>
          <w:p w14:paraId="4ACE2A3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2A3C" w14:textId="77777777" w:rsidR="006F587A" w:rsidRDefault="007B2B61">
            <w:pPr>
              <w:textAlignment w:val="top"/>
              <w:rPr>
                <w:rFonts w:ascii="Times New Roman" w:hAnsi="Times New Roman"/>
                <w:sz w:val="16"/>
                <w:szCs w:val="16"/>
              </w:rPr>
            </w:pPr>
            <w:r>
              <w:rPr>
                <w:rFonts w:ascii="Arial" w:eastAsia="宋体" w:hAnsi="Arial" w:cs="Arial"/>
                <w:color w:val="00AEEF"/>
                <w:sz w:val="16"/>
                <w:szCs w:val="16"/>
              </w:rPr>
              <w:t>■</w:t>
            </w:r>
            <w:r>
              <w:rPr>
                <w:rFonts w:ascii="Arial" w:eastAsia="宋体" w:hAnsi="Arial" w:cs="Arial"/>
                <w:color w:val="333333"/>
                <w:sz w:val="16"/>
                <w:szCs w:val="16"/>
              </w:rPr>
              <w:t> Op Income $B</w:t>
            </w:r>
          </w:p>
        </w:tc>
        <w:tc>
          <w:tcPr>
            <w:tcW w:w="0" w:type="auto"/>
            <w:shd w:val="clear" w:color="auto" w:fill="auto"/>
            <w:tcMar>
              <w:top w:w="40" w:type="dxa"/>
              <w:left w:w="40" w:type="dxa"/>
              <w:bottom w:w="40" w:type="dxa"/>
              <w:right w:w="40" w:type="dxa"/>
            </w:tcMar>
          </w:tcPr>
          <w:p w14:paraId="4ACE2A3D" w14:textId="77777777" w:rsidR="006F587A" w:rsidRDefault="007B2B61">
            <w:pPr>
              <w:textAlignment w:val="top"/>
              <w:rPr>
                <w:rFonts w:ascii="Times New Roman" w:hAnsi="Times New Roman"/>
                <w:sz w:val="16"/>
                <w:szCs w:val="16"/>
              </w:rPr>
            </w:pPr>
            <w:r>
              <w:rPr>
                <w:rFonts w:ascii="Arial" w:eastAsia="宋体" w:hAnsi="Arial" w:cs="Arial"/>
                <w:b/>
                <w:bCs/>
                <w:color w:val="FAAC16"/>
                <w:sz w:val="16"/>
                <w:szCs w:val="16"/>
              </w:rPr>
              <w:t xml:space="preserve">— </w:t>
            </w:r>
            <w:r>
              <w:rPr>
                <w:rFonts w:ascii="Arial" w:eastAsia="宋体" w:hAnsi="Arial" w:cs="Arial"/>
                <w:color w:val="333333"/>
                <w:sz w:val="16"/>
                <w:szCs w:val="16"/>
              </w:rPr>
              <w:t>Year over Year Growth</w:t>
            </w:r>
          </w:p>
          <w:p w14:paraId="4ACE2A3E" w14:textId="77777777" w:rsidR="006F587A" w:rsidRDefault="006F587A">
            <w:pPr>
              <w:textAlignment w:val="top"/>
              <w:rPr>
                <w:rFonts w:ascii="Times New Roman" w:hAnsi="Times New Roman"/>
                <w:sz w:val="16"/>
                <w:szCs w:val="16"/>
              </w:rPr>
            </w:pPr>
          </w:p>
        </w:tc>
        <w:tc>
          <w:tcPr>
            <w:tcW w:w="0" w:type="auto"/>
            <w:shd w:val="clear" w:color="auto" w:fill="auto"/>
            <w:tcMar>
              <w:top w:w="40" w:type="dxa"/>
              <w:left w:w="40" w:type="dxa"/>
              <w:bottom w:w="40" w:type="dxa"/>
              <w:right w:w="40" w:type="dxa"/>
            </w:tcMar>
            <w:vAlign w:val="bottom"/>
          </w:tcPr>
          <w:p w14:paraId="4ACE2A3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bl>
    <w:p w14:paraId="4ACE2A41"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492"/>
        <w:gridCol w:w="2658"/>
        <w:gridCol w:w="3156"/>
      </w:tblGrid>
      <w:tr w:rsidR="006F587A" w14:paraId="4ACE2A43" w14:textId="77777777">
        <w:tc>
          <w:tcPr>
            <w:tcW w:w="0" w:type="auto"/>
            <w:gridSpan w:val="3"/>
            <w:shd w:val="clear" w:color="auto" w:fill="auto"/>
            <w:vAlign w:val="center"/>
          </w:tcPr>
          <w:p w14:paraId="4ACE2A42" w14:textId="77777777" w:rsidR="006F587A" w:rsidRDefault="006F587A">
            <w:pPr>
              <w:rPr>
                <w:rFonts w:ascii="Times New Roman" w:hAnsi="Times New Roman"/>
                <w:sz w:val="20"/>
                <w:szCs w:val="20"/>
              </w:rPr>
            </w:pPr>
          </w:p>
        </w:tc>
      </w:tr>
      <w:tr w:rsidR="006F587A" w14:paraId="4ACE2A47" w14:textId="77777777">
        <w:tc>
          <w:tcPr>
            <w:tcW w:w="1500" w:type="pct"/>
            <w:shd w:val="clear" w:color="auto" w:fill="auto"/>
            <w:vAlign w:val="center"/>
          </w:tcPr>
          <w:p w14:paraId="4ACE2A44" w14:textId="77777777" w:rsidR="006F587A" w:rsidRDefault="006F587A">
            <w:pPr>
              <w:rPr>
                <w:rFonts w:ascii="Times New Roman" w:hAnsi="Times New Roman"/>
                <w:sz w:val="20"/>
                <w:szCs w:val="20"/>
              </w:rPr>
            </w:pPr>
          </w:p>
        </w:tc>
        <w:tc>
          <w:tcPr>
            <w:tcW w:w="1600" w:type="pct"/>
            <w:shd w:val="clear" w:color="auto" w:fill="auto"/>
            <w:vAlign w:val="center"/>
          </w:tcPr>
          <w:p w14:paraId="4ACE2A45" w14:textId="77777777" w:rsidR="006F587A" w:rsidRDefault="006F587A">
            <w:pPr>
              <w:rPr>
                <w:rFonts w:ascii="Times New Roman" w:hAnsi="Times New Roman"/>
                <w:sz w:val="20"/>
                <w:szCs w:val="20"/>
              </w:rPr>
            </w:pPr>
          </w:p>
        </w:tc>
        <w:tc>
          <w:tcPr>
            <w:tcW w:w="1900" w:type="pct"/>
            <w:shd w:val="clear" w:color="auto" w:fill="auto"/>
            <w:vAlign w:val="center"/>
          </w:tcPr>
          <w:p w14:paraId="4ACE2A46" w14:textId="77777777" w:rsidR="006F587A" w:rsidRDefault="006F587A">
            <w:pPr>
              <w:rPr>
                <w:rFonts w:ascii="Times New Roman" w:hAnsi="Times New Roman"/>
                <w:sz w:val="20"/>
                <w:szCs w:val="20"/>
              </w:rPr>
            </w:pPr>
          </w:p>
        </w:tc>
      </w:tr>
      <w:tr w:rsidR="006F587A" w14:paraId="4ACE2A4A" w14:textId="77777777">
        <w:tc>
          <w:tcPr>
            <w:tcW w:w="0" w:type="auto"/>
            <w:gridSpan w:val="2"/>
            <w:tcBorders>
              <w:top w:val="single" w:sz="8" w:space="0" w:color="0071C5"/>
            </w:tcBorders>
            <w:shd w:val="clear" w:color="auto" w:fill="auto"/>
            <w:tcMar>
              <w:top w:w="40" w:type="dxa"/>
              <w:left w:w="40" w:type="dxa"/>
              <w:bottom w:w="40" w:type="dxa"/>
              <w:right w:w="40" w:type="dxa"/>
            </w:tcMar>
            <w:vAlign w:val="center"/>
          </w:tcPr>
          <w:p w14:paraId="4ACE2A48" w14:textId="77777777" w:rsidR="006F587A" w:rsidRDefault="007B2B61">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2C" wp14:editId="4ACE6D2D">
                  <wp:extent cx="304800" cy="304800"/>
                  <wp:effectExtent l="0" t="0" r="0" b="0"/>
                  <wp:docPr id="225" name="图片 188"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188"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MD&amp;A</w:t>
            </w:r>
          </w:p>
        </w:tc>
        <w:tc>
          <w:tcPr>
            <w:tcW w:w="0" w:type="auto"/>
            <w:tcBorders>
              <w:top w:val="single" w:sz="8" w:space="0" w:color="0071C5"/>
            </w:tcBorders>
            <w:shd w:val="clear" w:color="auto" w:fill="auto"/>
            <w:tcMar>
              <w:top w:w="40" w:type="dxa"/>
              <w:left w:w="40" w:type="dxa"/>
              <w:bottom w:w="40" w:type="dxa"/>
              <w:right w:w="40" w:type="dxa"/>
            </w:tcMar>
            <w:vAlign w:val="center"/>
          </w:tcPr>
          <w:p w14:paraId="4ACE2A49" w14:textId="77777777" w:rsidR="006F587A" w:rsidRDefault="007B2B61">
            <w:pPr>
              <w:jc w:val="right"/>
              <w:textAlignment w:val="center"/>
              <w:rPr>
                <w:rFonts w:ascii="Times New Roman" w:hAnsi="Times New Roman"/>
                <w:sz w:val="16"/>
                <w:szCs w:val="16"/>
              </w:rPr>
            </w:pPr>
            <w:r>
              <w:rPr>
                <w:rFonts w:ascii="Arial" w:eastAsia="宋体" w:hAnsi="Arial" w:cs="Arial"/>
                <w:color w:val="333333"/>
                <w:sz w:val="16"/>
                <w:szCs w:val="16"/>
              </w:rPr>
              <w:t>32</w:t>
            </w:r>
          </w:p>
        </w:tc>
      </w:tr>
    </w:tbl>
    <w:p w14:paraId="4ACE2A4B" w14:textId="77777777" w:rsidR="006F587A" w:rsidRDefault="007B2B61">
      <w:r>
        <w:pict w14:anchorId="4ACE6D2E">
          <v:rect id="_x0000_i1058" style="width:415.3pt;height:1.5pt" o:hralign="center" o:hrstd="t" o:hr="t" fillcolor="#a0a0a0" stroked="f"/>
        </w:pict>
      </w:r>
    </w:p>
    <w:p w14:paraId="4ACE2A4C" w14:textId="77777777" w:rsidR="006F587A" w:rsidRDefault="007B2B61">
      <w:pPr>
        <w:spacing w:line="288" w:lineRule="auto"/>
        <w:jc w:val="right"/>
        <w:rPr>
          <w:rFonts w:ascii="Times New Roman" w:hAnsi="Times New Roman"/>
          <w:sz w:val="16"/>
          <w:szCs w:val="16"/>
        </w:rPr>
      </w:pPr>
      <w:hyperlink r:id="rId65" w:anchor="s9DB683E2CF52561EB8A73BE37F5BF9BE" w:history="1">
        <w:r>
          <w:rPr>
            <w:rStyle w:val="a5"/>
            <w:rFonts w:ascii="Arial" w:eastAsia="宋体" w:hAnsi="Arial" w:cs="Arial"/>
            <w:b/>
            <w:bCs/>
            <w:sz w:val="16"/>
            <w:szCs w:val="16"/>
          </w:rPr>
          <w:t>Table of Contents</w:t>
        </w:r>
      </w:hyperlink>
    </w:p>
    <w:p w14:paraId="4ACE2A4D" w14:textId="77777777" w:rsidR="006F587A" w:rsidRDefault="006F587A">
      <w:pPr>
        <w:spacing w:line="288" w:lineRule="auto"/>
        <w:jc w:val="right"/>
        <w:rPr>
          <w:rFonts w:ascii="Times New Roman" w:hAnsi="Times New Roman"/>
          <w:sz w:val="16"/>
          <w:szCs w:val="16"/>
        </w:rPr>
      </w:pPr>
    </w:p>
    <w:p w14:paraId="4ACE2A4E" w14:textId="77777777" w:rsidR="006F587A" w:rsidRDefault="006F587A">
      <w:pPr>
        <w:rPr>
          <w:rFonts w:ascii="Times New Roman" w:hAnsi="Times New Roman"/>
          <w:sz w:val="20"/>
          <w:szCs w:val="20"/>
        </w:rPr>
      </w:pPr>
    </w:p>
    <w:p w14:paraId="4ACE2A4F" w14:textId="77777777" w:rsidR="006F587A" w:rsidRDefault="007B2B61">
      <w:pPr>
        <w:spacing w:line="288" w:lineRule="auto"/>
        <w:rPr>
          <w:rFonts w:ascii="Times New Roman" w:hAnsi="Times New Roman"/>
        </w:rPr>
      </w:pPr>
      <w:r>
        <w:rPr>
          <w:rFonts w:ascii="Arial" w:eastAsia="宋体" w:hAnsi="Arial" w:cs="Arial"/>
          <w:b/>
          <w:bCs/>
          <w:color w:val="0071C5"/>
        </w:rPr>
        <w:t>MARKET AND BUSINESS OVERVIEW</w:t>
      </w:r>
    </w:p>
    <w:p w14:paraId="4ACE2A50" w14:textId="77777777" w:rsidR="006F587A" w:rsidRDefault="007B2B61">
      <w:pPr>
        <w:spacing w:line="288" w:lineRule="auto"/>
        <w:rPr>
          <w:rFonts w:ascii="Times New Roman" w:hAnsi="Times New Roman"/>
          <w:sz w:val="20"/>
          <w:szCs w:val="20"/>
        </w:rPr>
      </w:pPr>
      <w:r>
        <w:rPr>
          <w:rFonts w:ascii="Arial" w:eastAsia="宋体" w:hAnsi="Arial" w:cs="Arial"/>
          <w:b/>
          <w:bCs/>
          <w:color w:val="333333"/>
          <w:sz w:val="20"/>
          <w:szCs w:val="20"/>
        </w:rPr>
        <w:t>Market trends and strategy</w:t>
      </w:r>
    </w:p>
    <w:p w14:paraId="4ACE2A51"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Overall market conditions continue to improve, but we are operating in an increasingly competitive market. With continued investment in product and process technology, and in partnership with our customers, we are delivering platform innovation across seve</w:t>
      </w:r>
      <w:r>
        <w:rPr>
          <w:rFonts w:ascii="Arial" w:eastAsia="宋体" w:hAnsi="Arial" w:cs="Arial"/>
          <w:color w:val="333333"/>
          <w:sz w:val="18"/>
          <w:szCs w:val="18"/>
        </w:rPr>
        <w:t xml:space="preserve">ral key vectors. We were supply constrained particularly at the value-end of the market as higher than expected PC demand outpaced our supply. We made capacity investments to improve our supply throughout the year, increasing our second-half PC CPU supply </w:t>
      </w:r>
      <w:r>
        <w:rPr>
          <w:rFonts w:ascii="Arial" w:eastAsia="宋体" w:hAnsi="Arial" w:cs="Arial"/>
          <w:color w:val="333333"/>
          <w:sz w:val="18"/>
          <w:szCs w:val="18"/>
        </w:rPr>
        <w:t xml:space="preserve">by double digits compared with the first half of this year. Supply remains tight in our PC business, where we are operating with limited inventory buffers. </w:t>
      </w:r>
    </w:p>
    <w:tbl>
      <w:tblPr>
        <w:tblW w:w="5000" w:type="pct"/>
        <w:tblCellMar>
          <w:left w:w="0" w:type="dxa"/>
          <w:right w:w="0" w:type="dxa"/>
        </w:tblCellMar>
        <w:tblLook w:val="04A0" w:firstRow="1" w:lastRow="0" w:firstColumn="1" w:lastColumn="0" w:noHBand="0" w:noVBand="1"/>
      </w:tblPr>
      <w:tblGrid>
        <w:gridCol w:w="2824"/>
        <w:gridCol w:w="2741"/>
        <w:gridCol w:w="2741"/>
      </w:tblGrid>
      <w:tr w:rsidR="006F587A" w14:paraId="4ACE2A53" w14:textId="77777777">
        <w:tc>
          <w:tcPr>
            <w:tcW w:w="0" w:type="auto"/>
            <w:gridSpan w:val="3"/>
            <w:shd w:val="clear" w:color="auto" w:fill="auto"/>
            <w:vAlign w:val="center"/>
          </w:tcPr>
          <w:p w14:paraId="4ACE2A52" w14:textId="77777777" w:rsidR="006F587A" w:rsidRDefault="006F587A">
            <w:pPr>
              <w:rPr>
                <w:rFonts w:ascii="Times New Roman" w:hAnsi="Times New Roman"/>
                <w:sz w:val="20"/>
                <w:szCs w:val="20"/>
              </w:rPr>
            </w:pPr>
          </w:p>
        </w:tc>
      </w:tr>
      <w:tr w:rsidR="006F587A" w14:paraId="4ACE2A57" w14:textId="77777777">
        <w:tc>
          <w:tcPr>
            <w:tcW w:w="1700" w:type="pct"/>
            <w:shd w:val="clear" w:color="auto" w:fill="auto"/>
            <w:vAlign w:val="center"/>
          </w:tcPr>
          <w:p w14:paraId="4ACE2A54" w14:textId="77777777" w:rsidR="006F587A" w:rsidRDefault="006F587A">
            <w:pPr>
              <w:rPr>
                <w:rFonts w:ascii="Times New Roman" w:hAnsi="Times New Roman"/>
                <w:sz w:val="20"/>
                <w:szCs w:val="20"/>
              </w:rPr>
            </w:pPr>
          </w:p>
        </w:tc>
        <w:tc>
          <w:tcPr>
            <w:tcW w:w="1650" w:type="pct"/>
            <w:shd w:val="clear" w:color="auto" w:fill="auto"/>
            <w:vAlign w:val="center"/>
          </w:tcPr>
          <w:p w14:paraId="4ACE2A55" w14:textId="77777777" w:rsidR="006F587A" w:rsidRDefault="006F587A">
            <w:pPr>
              <w:rPr>
                <w:rFonts w:ascii="Times New Roman" w:hAnsi="Times New Roman"/>
                <w:sz w:val="20"/>
                <w:szCs w:val="20"/>
              </w:rPr>
            </w:pPr>
          </w:p>
        </w:tc>
        <w:tc>
          <w:tcPr>
            <w:tcW w:w="1650" w:type="pct"/>
            <w:shd w:val="clear" w:color="auto" w:fill="auto"/>
            <w:vAlign w:val="center"/>
          </w:tcPr>
          <w:p w14:paraId="4ACE2A56" w14:textId="77777777" w:rsidR="006F587A" w:rsidRDefault="006F587A">
            <w:pPr>
              <w:rPr>
                <w:rFonts w:ascii="Times New Roman" w:hAnsi="Times New Roman"/>
                <w:sz w:val="20"/>
                <w:szCs w:val="20"/>
              </w:rPr>
            </w:pPr>
          </w:p>
        </w:tc>
      </w:tr>
      <w:tr w:rsidR="006F587A" w14:paraId="4ACE2A5B" w14:textId="77777777">
        <w:tc>
          <w:tcPr>
            <w:tcW w:w="0" w:type="auto"/>
            <w:shd w:val="clear" w:color="auto" w:fill="auto"/>
            <w:tcMar>
              <w:top w:w="40" w:type="dxa"/>
              <w:left w:w="40" w:type="dxa"/>
              <w:bottom w:w="40" w:type="dxa"/>
              <w:right w:w="40" w:type="dxa"/>
            </w:tcMar>
            <w:vAlign w:val="center"/>
          </w:tcPr>
          <w:p w14:paraId="4ACE2A58" w14:textId="77777777" w:rsidR="006F587A" w:rsidRDefault="007B2B61">
            <w:pPr>
              <w:jc w:val="right"/>
              <w:textAlignment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/INTEL/./Inline XBRL Viewer1</w:instrText>
            </w:r>
            <w:r>
              <w:rPr>
                <w:rFonts w:ascii="Times New Roman" w:eastAsia="宋体" w:hAnsi="Times New Roman"/>
                <w:sz w:val="20"/>
                <w:szCs w:val="20"/>
              </w:rPr>
              <w:instrText xml:space="preserve">2_files/a058ccgfocusguya01.jpg"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D2F" wp14:editId="4ACE6D30">
                  <wp:extent cx="304800" cy="304800"/>
                  <wp:effectExtent l="0" t="0" r="0" b="0"/>
                  <wp:docPr id="234" name="图片 190" descr="IMG_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190" descr="IMG_3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c>
          <w:tcPr>
            <w:tcW w:w="0" w:type="auto"/>
            <w:shd w:val="clear" w:color="auto" w:fill="auto"/>
            <w:tcMar>
              <w:top w:w="40" w:type="dxa"/>
              <w:left w:w="40" w:type="dxa"/>
              <w:bottom w:w="40" w:type="dxa"/>
              <w:right w:w="40" w:type="dxa"/>
            </w:tcMar>
            <w:vAlign w:val="center"/>
          </w:tcPr>
          <w:p w14:paraId="4ACE2A59" w14:textId="77777777" w:rsidR="006F587A" w:rsidRDefault="007B2B61">
            <w:pPr>
              <w:jc w:val="center"/>
              <w:textAlignment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Viewer12_files/a059ccgcreatev3.jpg"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D31" wp14:editId="4ACE6D32">
                  <wp:extent cx="304800" cy="304800"/>
                  <wp:effectExtent l="0" t="0" r="0" b="0"/>
                  <wp:docPr id="235" name="图片 191" descr="IMG_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191" descr="IMG_37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c>
          <w:tcPr>
            <w:tcW w:w="0" w:type="auto"/>
            <w:shd w:val="clear" w:color="auto" w:fill="auto"/>
            <w:tcMar>
              <w:top w:w="40" w:type="dxa"/>
              <w:left w:w="40" w:type="dxa"/>
              <w:bottom w:w="40" w:type="dxa"/>
              <w:right w:w="40" w:type="dxa"/>
            </w:tcMar>
            <w:vAlign w:val="center"/>
          </w:tcPr>
          <w:p w14:paraId="4ACE2A5A" w14:textId="77777777" w:rsidR="006F587A" w:rsidRDefault="007B2B61">
            <w:pPr>
              <w:textAlignment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Viewer12_files/a060ccgengagev3.jpg"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D33" wp14:editId="4ACE6D34">
                  <wp:extent cx="304800" cy="304800"/>
                  <wp:effectExtent l="0" t="0" r="0" b="0"/>
                  <wp:docPr id="260" name="图片 192" descr="IMG_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192" descr="IMG_38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r>
    </w:tbl>
    <w:p w14:paraId="4ACE2A5C" w14:textId="77777777" w:rsidR="006F587A" w:rsidRDefault="007B2B61">
      <w:pPr>
        <w:spacing w:line="288" w:lineRule="auto"/>
        <w:rPr>
          <w:rFonts w:ascii="Times New Roman" w:hAnsi="Times New Roman"/>
          <w:sz w:val="20"/>
          <w:szCs w:val="20"/>
        </w:rPr>
      </w:pPr>
      <w:r>
        <w:rPr>
          <w:rFonts w:ascii="Arial" w:eastAsia="宋体" w:hAnsi="Arial" w:cs="Arial"/>
          <w:b/>
          <w:bCs/>
          <w:color w:val="333333"/>
          <w:sz w:val="20"/>
          <w:szCs w:val="20"/>
        </w:rPr>
        <w:t>Products and competitiveness</w:t>
      </w:r>
    </w:p>
    <w:p w14:paraId="4ACE2A5D"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are accelerating the pace of innovation and delivering an annual cadence of l</w:t>
      </w:r>
      <w:r>
        <w:rPr>
          <w:rFonts w:ascii="Arial" w:eastAsia="宋体" w:hAnsi="Arial" w:cs="Arial"/>
          <w:color w:val="333333"/>
          <w:sz w:val="18"/>
          <w:szCs w:val="18"/>
        </w:rPr>
        <w:t>eadership products, including for modern notebooks and high-end enthusiast PCs. We deliver value to our customers by leveraging our engineering capabilities and working with our partners to deliver technology across every major vector of the computing expe</w:t>
      </w:r>
      <w:r>
        <w:rPr>
          <w:rFonts w:ascii="Arial" w:eastAsia="宋体" w:hAnsi="Arial" w:cs="Arial"/>
          <w:color w:val="333333"/>
          <w:sz w:val="18"/>
          <w:szCs w:val="18"/>
        </w:rPr>
        <w:t>rience, including performance, battery life, connectivity</w:t>
      </w:r>
      <w:r>
        <w:rPr>
          <w:rFonts w:ascii="Times New Roman" w:eastAsia="宋体" w:hAnsi="Times New Roman"/>
          <w:color w:val="333333"/>
          <w:sz w:val="18"/>
          <w:szCs w:val="18"/>
        </w:rPr>
        <w:t>,</w:t>
      </w:r>
      <w:r>
        <w:rPr>
          <w:rFonts w:ascii="Arial" w:eastAsia="宋体" w:hAnsi="Arial" w:cs="Arial"/>
          <w:color w:val="333333"/>
          <w:sz w:val="18"/>
          <w:szCs w:val="18"/>
        </w:rPr>
        <w:t xml:space="preserve"> memory, graphics, and form factors to create the most advanced PC platforms</w:t>
      </w:r>
      <w:r>
        <w:rPr>
          <w:rFonts w:ascii="Times New Roman" w:eastAsia="宋体" w:hAnsi="Times New Roman"/>
          <w:color w:val="333333"/>
          <w:sz w:val="18"/>
          <w:szCs w:val="18"/>
        </w:rPr>
        <w:t xml:space="preserve">. </w:t>
      </w:r>
    </w:p>
    <w:p w14:paraId="4ACE2A5E"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introduced our 10th Gen Intel</w:t>
      </w:r>
      <w:r>
        <w:rPr>
          <w:rFonts w:ascii="Arial" w:eastAsia="宋体" w:hAnsi="Arial" w:cs="Arial"/>
          <w:color w:val="333333"/>
          <w:sz w:val="12"/>
          <w:szCs w:val="12"/>
        </w:rPr>
        <w:t>®</w:t>
      </w:r>
      <w:r>
        <w:rPr>
          <w:rFonts w:ascii="Arial" w:eastAsia="宋体" w:hAnsi="Arial" w:cs="Arial"/>
          <w:color w:val="333333"/>
          <w:sz w:val="18"/>
          <w:szCs w:val="18"/>
        </w:rPr>
        <w:t xml:space="preserve"> Core™ processor, previously referred to as Ice Lake, a highly integrated new CPU core architecture with new Gen11 graphics, first integrated Wi-Fi6 (11AX) and Thunderbolt™ 3 connectivity, and Intel</w:t>
      </w:r>
      <w:r>
        <w:rPr>
          <w:rFonts w:ascii="Arial" w:eastAsia="宋体" w:hAnsi="Arial" w:cs="Arial"/>
          <w:color w:val="333333"/>
          <w:sz w:val="12"/>
          <w:szCs w:val="12"/>
        </w:rPr>
        <w:t>®</w:t>
      </w:r>
      <w:r>
        <w:rPr>
          <w:rFonts w:ascii="Arial" w:eastAsia="宋体" w:hAnsi="Arial" w:cs="Arial"/>
          <w:color w:val="333333"/>
          <w:sz w:val="18"/>
          <w:szCs w:val="18"/>
        </w:rPr>
        <w:t xml:space="preserve"> Deep Learning Boost. Built on Intel’s advanced 10nm proc</w:t>
      </w:r>
      <w:r>
        <w:rPr>
          <w:rFonts w:ascii="Arial" w:eastAsia="宋体" w:hAnsi="Arial" w:cs="Arial"/>
          <w:color w:val="333333"/>
          <w:sz w:val="18"/>
          <w:szCs w:val="18"/>
        </w:rPr>
        <w:t>ess technology, these processors deliver increased graphics performance, AI, and new levels of integrated connectivity for thin-and-light laptops and 2-in-1s. Further, they give our OEM partners the freedom to innovate on design and aesthetic by reducing t</w:t>
      </w:r>
      <w:r>
        <w:rPr>
          <w:rFonts w:ascii="Arial" w:eastAsia="宋体" w:hAnsi="Arial" w:cs="Arial"/>
          <w:color w:val="333333"/>
          <w:sz w:val="18"/>
          <w:szCs w:val="18"/>
        </w:rPr>
        <w:t>he silicon footprint while still delivering the latest standards and world-class performance.</w:t>
      </w:r>
    </w:p>
    <w:p w14:paraId="4ACE2A5F"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also expanded our 9th Gen family with 14 new Intel</w:t>
      </w:r>
      <w:r>
        <w:rPr>
          <w:rFonts w:ascii="Arial" w:eastAsia="宋体" w:hAnsi="Arial" w:cs="Arial"/>
          <w:color w:val="333333"/>
          <w:sz w:val="12"/>
          <w:szCs w:val="12"/>
        </w:rPr>
        <w:t>®</w:t>
      </w:r>
      <w:r>
        <w:rPr>
          <w:rFonts w:ascii="Arial" w:eastAsia="宋体" w:hAnsi="Arial" w:cs="Arial"/>
          <w:color w:val="333333"/>
          <w:sz w:val="18"/>
          <w:szCs w:val="18"/>
        </w:rPr>
        <w:t xml:space="preserve"> Core™ vPro</w:t>
      </w:r>
      <w:r>
        <w:rPr>
          <w:rFonts w:ascii="Arial" w:eastAsia="宋体" w:hAnsi="Arial" w:cs="Arial"/>
          <w:color w:val="333333"/>
          <w:sz w:val="12"/>
          <w:szCs w:val="12"/>
        </w:rPr>
        <w:t>®</w:t>
      </w:r>
      <w:r>
        <w:rPr>
          <w:rFonts w:ascii="Arial" w:eastAsia="宋体" w:hAnsi="Arial" w:cs="Arial"/>
          <w:color w:val="333333"/>
          <w:sz w:val="18"/>
          <w:szCs w:val="18"/>
        </w:rPr>
        <w:t xml:space="preserve"> processors for high-performance mobile and desktop PCs, bringing the Intel</w:t>
      </w:r>
      <w:r>
        <w:rPr>
          <w:rFonts w:ascii="Arial" w:eastAsia="宋体" w:hAnsi="Arial" w:cs="Arial"/>
          <w:color w:val="333333"/>
          <w:sz w:val="12"/>
          <w:szCs w:val="12"/>
        </w:rPr>
        <w:t>®</w:t>
      </w:r>
      <w:r>
        <w:rPr>
          <w:rFonts w:ascii="Arial" w:eastAsia="宋体" w:hAnsi="Arial" w:cs="Arial"/>
          <w:color w:val="333333"/>
          <w:sz w:val="18"/>
          <w:szCs w:val="18"/>
        </w:rPr>
        <w:t xml:space="preserve"> Core™ i9 processor </w:t>
      </w:r>
      <w:r>
        <w:rPr>
          <w:rFonts w:ascii="Arial" w:eastAsia="宋体" w:hAnsi="Arial" w:cs="Arial"/>
          <w:color w:val="333333"/>
          <w:sz w:val="18"/>
          <w:szCs w:val="18"/>
        </w:rPr>
        <w:t>to the best-for-business platform for the first time. We launched Intel</w:t>
      </w:r>
      <w:r>
        <w:rPr>
          <w:rFonts w:ascii="Arial" w:eastAsia="宋体" w:hAnsi="Arial" w:cs="Arial"/>
          <w:color w:val="333333"/>
          <w:sz w:val="12"/>
          <w:szCs w:val="12"/>
        </w:rPr>
        <w:t>®</w:t>
      </w:r>
      <w:r>
        <w:rPr>
          <w:rFonts w:ascii="Arial" w:eastAsia="宋体" w:hAnsi="Arial" w:cs="Arial"/>
          <w:color w:val="333333"/>
          <w:sz w:val="18"/>
          <w:szCs w:val="18"/>
        </w:rPr>
        <w:t xml:space="preserve"> Xeon</w:t>
      </w:r>
      <w:r>
        <w:rPr>
          <w:rFonts w:ascii="Arial" w:eastAsia="宋体" w:hAnsi="Arial" w:cs="Arial"/>
          <w:color w:val="333333"/>
          <w:sz w:val="12"/>
          <w:szCs w:val="12"/>
        </w:rPr>
        <w:t>®</w:t>
      </w:r>
      <w:r>
        <w:rPr>
          <w:rFonts w:ascii="Arial" w:eastAsia="宋体" w:hAnsi="Arial" w:cs="Arial"/>
          <w:color w:val="333333"/>
          <w:sz w:val="18"/>
          <w:szCs w:val="18"/>
        </w:rPr>
        <w:t xml:space="preserve"> E workstation processors with up to eight cores, 16 threads, 5-GHz turbo frequency, Wi-Fi 6 (Gig+), Intel</w:t>
      </w:r>
      <w:r>
        <w:rPr>
          <w:rFonts w:ascii="Arial" w:eastAsia="宋体" w:hAnsi="Arial" w:cs="Arial"/>
          <w:color w:val="333333"/>
          <w:sz w:val="12"/>
          <w:szCs w:val="12"/>
        </w:rPr>
        <w:t>®</w:t>
      </w:r>
      <w:r>
        <w:rPr>
          <w:rFonts w:ascii="Arial" w:eastAsia="宋体" w:hAnsi="Arial" w:cs="Arial"/>
          <w:color w:val="333333"/>
          <w:sz w:val="18"/>
          <w:szCs w:val="18"/>
        </w:rPr>
        <w:t xml:space="preserve"> Optane™ memory; and delivered a special edition i9-9900KS desktop SKU,</w:t>
      </w:r>
      <w:r>
        <w:rPr>
          <w:rFonts w:ascii="Arial" w:eastAsia="宋体" w:hAnsi="Arial" w:cs="Arial"/>
          <w:color w:val="333333"/>
          <w:sz w:val="18"/>
          <w:szCs w:val="18"/>
        </w:rPr>
        <w:t xml:space="preserve"> with 5-GHz all-core turbo and Intel</w:t>
      </w:r>
      <w:r>
        <w:rPr>
          <w:rFonts w:ascii="Arial" w:eastAsia="宋体" w:hAnsi="Arial" w:cs="Arial"/>
          <w:color w:val="333333"/>
          <w:sz w:val="12"/>
          <w:szCs w:val="12"/>
        </w:rPr>
        <w:t>®</w:t>
      </w:r>
      <w:r>
        <w:rPr>
          <w:rFonts w:ascii="Arial" w:eastAsia="宋体" w:hAnsi="Arial" w:cs="Arial"/>
          <w:color w:val="333333"/>
          <w:sz w:val="18"/>
          <w:szCs w:val="18"/>
        </w:rPr>
        <w:t xml:space="preserve"> Performance Maximizer.</w:t>
      </w:r>
    </w:p>
    <w:p w14:paraId="4ACE2A60"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In May 2019, we launched our multi-year innovation program, Project Athena, with more than 20 verified devices on shelves in time for the holiday season. These devices meet the criteria of our Pr</w:t>
      </w:r>
      <w:r>
        <w:rPr>
          <w:rFonts w:ascii="Arial" w:eastAsia="宋体" w:hAnsi="Arial" w:cs="Arial"/>
          <w:color w:val="333333"/>
          <w:sz w:val="18"/>
          <w:szCs w:val="18"/>
        </w:rPr>
        <w:t>oject Athena 1.0 specification, and are tested and verified in Intel labs to ensure they deliver new experience targets or key experience indicators defined by real-world usage models and innovation across six areas: instant action, performance and respons</w:t>
      </w:r>
      <w:r>
        <w:rPr>
          <w:rFonts w:ascii="Arial" w:eastAsia="宋体" w:hAnsi="Arial" w:cs="Arial"/>
          <w:color w:val="333333"/>
          <w:sz w:val="18"/>
          <w:szCs w:val="18"/>
        </w:rPr>
        <w:t xml:space="preserve">iveness, intelligence, battery life, connectivity, and form factor. </w:t>
      </w:r>
    </w:p>
    <w:p w14:paraId="4ACE2A61"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Our platform products continue to be enhanced by new adjacent technologies. We launched the Wi-Fi6 11X connectivity solution, the first Wi-Fi6 solution in the PC market, featuring faster </w:t>
      </w:r>
      <w:r>
        <w:rPr>
          <w:rFonts w:ascii="Arial" w:eastAsia="宋体" w:hAnsi="Arial" w:cs="Arial"/>
          <w:color w:val="333333"/>
          <w:sz w:val="18"/>
          <w:szCs w:val="18"/>
        </w:rPr>
        <w:t>speeds, increased throughput, and better experiences. We are driving new industry standards for USB-C connector-based products with Thunderbolt™ 3. In addition, we are delivering a new level of performance and high-capacity storage with Intel</w:t>
      </w:r>
      <w:r>
        <w:rPr>
          <w:rFonts w:ascii="Arial" w:eastAsia="宋体" w:hAnsi="Arial" w:cs="Arial"/>
          <w:color w:val="333333"/>
          <w:sz w:val="12"/>
          <w:szCs w:val="12"/>
        </w:rPr>
        <w:t>®</w:t>
      </w:r>
      <w:r>
        <w:rPr>
          <w:rFonts w:ascii="Arial" w:eastAsia="宋体" w:hAnsi="Arial" w:cs="Arial"/>
          <w:color w:val="333333"/>
          <w:sz w:val="18"/>
          <w:szCs w:val="18"/>
        </w:rPr>
        <w:t xml:space="preserve"> Optane™ memo</w:t>
      </w:r>
      <w:r>
        <w:rPr>
          <w:rFonts w:ascii="Arial" w:eastAsia="宋体" w:hAnsi="Arial" w:cs="Arial"/>
          <w:color w:val="333333"/>
          <w:sz w:val="18"/>
          <w:szCs w:val="18"/>
        </w:rPr>
        <w:t>ry H10 with Solid State Storage to enable enhanced SSD experiences.</w:t>
      </w:r>
    </w:p>
    <w:p w14:paraId="4ACE2A62"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lastRenderedPageBreak/>
        <w:t>Our advanced pace of innovation is more important than ever as we are operating in an increasingly competitive market. We face strong competition from AMD, as well as vendors who use appli</w:t>
      </w:r>
      <w:r>
        <w:rPr>
          <w:rFonts w:ascii="Arial" w:eastAsia="宋体" w:hAnsi="Arial" w:cs="Arial"/>
          <w:color w:val="333333"/>
          <w:sz w:val="18"/>
          <w:szCs w:val="18"/>
        </w:rPr>
        <w:t>cations processors based on ARM* architecture, such as Qualcomm Inc. (Qualcomm), and customers who internally develop their own semiconductors. We are expecting an increasingly competitive environment in 2020.</w:t>
      </w:r>
    </w:p>
    <w:p w14:paraId="4ACE2A63" w14:textId="77777777" w:rsidR="006F587A" w:rsidRDefault="006F587A">
      <w:pPr>
        <w:spacing w:line="288" w:lineRule="auto"/>
        <w:rPr>
          <w:rFonts w:ascii="Times New Roman" w:hAnsi="Times New Roman"/>
          <w:sz w:val="18"/>
          <w:szCs w:val="18"/>
        </w:rPr>
      </w:pPr>
    </w:p>
    <w:p w14:paraId="4ACE2A64" w14:textId="77777777" w:rsidR="006F587A" w:rsidRDefault="006F587A">
      <w:pPr>
        <w:spacing w:line="288" w:lineRule="auto"/>
        <w:rPr>
          <w:rFonts w:ascii="Times New Roman" w:hAnsi="Times New Roman"/>
          <w:sz w:val="16"/>
          <w:szCs w:val="16"/>
        </w:rPr>
      </w:pPr>
    </w:p>
    <w:p w14:paraId="4ACE2A65" w14:textId="77777777" w:rsidR="006F587A" w:rsidRDefault="006F587A">
      <w:pPr>
        <w:spacing w:line="288" w:lineRule="auto"/>
        <w:rPr>
          <w:rFonts w:ascii="Times New Roman" w:hAnsi="Times New Roman"/>
          <w:sz w:val="16"/>
          <w:szCs w:val="16"/>
        </w:rPr>
      </w:pPr>
    </w:p>
    <w:p w14:paraId="4ACE2A66" w14:textId="77777777" w:rsidR="006F587A" w:rsidRDefault="006F587A">
      <w:pPr>
        <w:spacing w:line="288" w:lineRule="auto"/>
        <w:rPr>
          <w:rFonts w:ascii="Times New Roman" w:hAnsi="Times New Roman"/>
          <w:sz w:val="16"/>
          <w:szCs w:val="16"/>
        </w:rPr>
      </w:pPr>
    </w:p>
    <w:p w14:paraId="4ACE2A67" w14:textId="77777777" w:rsidR="006F587A" w:rsidRDefault="006F587A">
      <w:pPr>
        <w:spacing w:line="288" w:lineRule="auto"/>
        <w:rPr>
          <w:rFonts w:ascii="Times New Roman" w:hAnsi="Times New Roman"/>
          <w:sz w:val="16"/>
          <w:szCs w:val="16"/>
        </w:rPr>
      </w:pPr>
    </w:p>
    <w:p w14:paraId="4ACE2A68" w14:textId="77777777" w:rsidR="006F587A" w:rsidRDefault="006F587A">
      <w:pPr>
        <w:spacing w:line="288" w:lineRule="auto"/>
        <w:rPr>
          <w:rFonts w:ascii="Times New Roman" w:hAnsi="Times New Roman"/>
          <w:sz w:val="16"/>
          <w:szCs w:val="16"/>
        </w:rPr>
      </w:pPr>
    </w:p>
    <w:p w14:paraId="4ACE2A69" w14:textId="77777777" w:rsidR="006F587A" w:rsidRDefault="006F587A">
      <w:pPr>
        <w:spacing w:line="288" w:lineRule="auto"/>
        <w:rPr>
          <w:rFonts w:ascii="Times New Roman" w:hAnsi="Times New Roman"/>
          <w:sz w:val="16"/>
          <w:szCs w:val="16"/>
        </w:rPr>
      </w:pPr>
    </w:p>
    <w:p w14:paraId="4ACE2A6A" w14:textId="77777777" w:rsidR="006F587A" w:rsidRDefault="006F587A">
      <w:pPr>
        <w:spacing w:line="288" w:lineRule="auto"/>
        <w:ind w:hanging="240"/>
        <w:rPr>
          <w:rFonts w:ascii="Times New Roman" w:hAnsi="Times New Roman"/>
          <w:sz w:val="16"/>
          <w:szCs w:val="16"/>
        </w:rPr>
      </w:pPr>
    </w:p>
    <w:p w14:paraId="4ACE2A6B"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492"/>
        <w:gridCol w:w="2658"/>
        <w:gridCol w:w="3156"/>
      </w:tblGrid>
      <w:tr w:rsidR="006F587A" w14:paraId="4ACE2A6D" w14:textId="77777777">
        <w:tc>
          <w:tcPr>
            <w:tcW w:w="0" w:type="auto"/>
            <w:gridSpan w:val="3"/>
            <w:shd w:val="clear" w:color="auto" w:fill="auto"/>
            <w:vAlign w:val="center"/>
          </w:tcPr>
          <w:p w14:paraId="4ACE2A6C" w14:textId="77777777" w:rsidR="006F587A" w:rsidRDefault="006F587A">
            <w:pPr>
              <w:rPr>
                <w:rFonts w:ascii="Times New Roman" w:hAnsi="Times New Roman"/>
                <w:sz w:val="20"/>
                <w:szCs w:val="20"/>
              </w:rPr>
            </w:pPr>
          </w:p>
        </w:tc>
      </w:tr>
      <w:tr w:rsidR="006F587A" w14:paraId="4ACE2A71" w14:textId="77777777">
        <w:tc>
          <w:tcPr>
            <w:tcW w:w="1500" w:type="pct"/>
            <w:shd w:val="clear" w:color="auto" w:fill="auto"/>
            <w:vAlign w:val="center"/>
          </w:tcPr>
          <w:p w14:paraId="4ACE2A6E" w14:textId="77777777" w:rsidR="006F587A" w:rsidRDefault="006F587A">
            <w:pPr>
              <w:rPr>
                <w:rFonts w:ascii="Times New Roman" w:hAnsi="Times New Roman"/>
                <w:sz w:val="20"/>
                <w:szCs w:val="20"/>
              </w:rPr>
            </w:pPr>
          </w:p>
        </w:tc>
        <w:tc>
          <w:tcPr>
            <w:tcW w:w="1600" w:type="pct"/>
            <w:shd w:val="clear" w:color="auto" w:fill="auto"/>
            <w:vAlign w:val="center"/>
          </w:tcPr>
          <w:p w14:paraId="4ACE2A6F" w14:textId="77777777" w:rsidR="006F587A" w:rsidRDefault="006F587A">
            <w:pPr>
              <w:rPr>
                <w:rFonts w:ascii="Times New Roman" w:hAnsi="Times New Roman"/>
                <w:sz w:val="20"/>
                <w:szCs w:val="20"/>
              </w:rPr>
            </w:pPr>
          </w:p>
        </w:tc>
        <w:tc>
          <w:tcPr>
            <w:tcW w:w="1900" w:type="pct"/>
            <w:shd w:val="clear" w:color="auto" w:fill="auto"/>
            <w:vAlign w:val="center"/>
          </w:tcPr>
          <w:p w14:paraId="4ACE2A70" w14:textId="77777777" w:rsidR="006F587A" w:rsidRDefault="006F587A">
            <w:pPr>
              <w:rPr>
                <w:rFonts w:ascii="Times New Roman" w:hAnsi="Times New Roman"/>
                <w:sz w:val="20"/>
                <w:szCs w:val="20"/>
              </w:rPr>
            </w:pPr>
          </w:p>
        </w:tc>
      </w:tr>
      <w:tr w:rsidR="006F587A" w14:paraId="4ACE2A74" w14:textId="77777777">
        <w:tc>
          <w:tcPr>
            <w:tcW w:w="0" w:type="auto"/>
            <w:gridSpan w:val="2"/>
            <w:tcBorders>
              <w:top w:val="single" w:sz="8" w:space="0" w:color="0071C5"/>
            </w:tcBorders>
            <w:shd w:val="clear" w:color="auto" w:fill="auto"/>
            <w:tcMar>
              <w:top w:w="40" w:type="dxa"/>
              <w:left w:w="40" w:type="dxa"/>
              <w:bottom w:w="40" w:type="dxa"/>
              <w:right w:w="40" w:type="dxa"/>
            </w:tcMar>
            <w:vAlign w:val="center"/>
          </w:tcPr>
          <w:p w14:paraId="4ACE2A72" w14:textId="77777777" w:rsidR="006F587A" w:rsidRDefault="007B2B61">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35" wp14:editId="4ACE6D36">
                  <wp:extent cx="304800" cy="304800"/>
                  <wp:effectExtent l="0" t="0" r="0" b="0"/>
                  <wp:docPr id="226" name="图片 193"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193"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MD&amp;A</w:t>
            </w:r>
          </w:p>
        </w:tc>
        <w:tc>
          <w:tcPr>
            <w:tcW w:w="0" w:type="auto"/>
            <w:tcBorders>
              <w:top w:val="single" w:sz="8" w:space="0" w:color="0071C5"/>
            </w:tcBorders>
            <w:shd w:val="clear" w:color="auto" w:fill="auto"/>
            <w:tcMar>
              <w:top w:w="40" w:type="dxa"/>
              <w:left w:w="40" w:type="dxa"/>
              <w:bottom w:w="40" w:type="dxa"/>
              <w:right w:w="40" w:type="dxa"/>
            </w:tcMar>
            <w:vAlign w:val="center"/>
          </w:tcPr>
          <w:p w14:paraId="4ACE2A73" w14:textId="77777777" w:rsidR="006F587A" w:rsidRDefault="007B2B61">
            <w:pPr>
              <w:jc w:val="right"/>
              <w:textAlignment w:val="center"/>
              <w:rPr>
                <w:rFonts w:ascii="Times New Roman" w:hAnsi="Times New Roman"/>
                <w:sz w:val="16"/>
                <w:szCs w:val="16"/>
              </w:rPr>
            </w:pPr>
            <w:r>
              <w:rPr>
                <w:rFonts w:ascii="Arial" w:eastAsia="宋体" w:hAnsi="Arial" w:cs="Arial"/>
                <w:color w:val="333333"/>
                <w:sz w:val="16"/>
                <w:szCs w:val="16"/>
              </w:rPr>
              <w:t>33</w:t>
            </w:r>
          </w:p>
        </w:tc>
      </w:tr>
    </w:tbl>
    <w:p w14:paraId="4ACE2A75" w14:textId="77777777" w:rsidR="006F587A" w:rsidRDefault="007B2B61">
      <w:r>
        <w:pict w14:anchorId="4ACE6D37">
          <v:rect id="_x0000_i1059" style="width:415.3pt;height:1.5pt" o:hralign="center" o:hrstd="t" o:hr="t" fillcolor="#a0a0a0" stroked="f"/>
        </w:pict>
      </w:r>
    </w:p>
    <w:p w14:paraId="4ACE2A76" w14:textId="77777777" w:rsidR="006F587A" w:rsidRDefault="007B2B61">
      <w:pPr>
        <w:spacing w:line="288" w:lineRule="auto"/>
        <w:jc w:val="right"/>
        <w:rPr>
          <w:rFonts w:ascii="Times New Roman" w:hAnsi="Times New Roman"/>
          <w:sz w:val="16"/>
          <w:szCs w:val="16"/>
        </w:rPr>
      </w:pPr>
      <w:hyperlink r:id="rId66" w:anchor="s9DB683E2CF52561EB8A73BE37F5BF9BE" w:history="1">
        <w:r>
          <w:rPr>
            <w:rStyle w:val="a5"/>
            <w:rFonts w:ascii="Arial" w:eastAsia="宋体" w:hAnsi="Arial" w:cs="Arial"/>
            <w:b/>
            <w:bCs/>
            <w:sz w:val="16"/>
            <w:szCs w:val="16"/>
          </w:rPr>
          <w:t>Table of Contents</w:t>
        </w:r>
      </w:hyperlink>
    </w:p>
    <w:p w14:paraId="4ACE2A77" w14:textId="77777777" w:rsidR="006F587A" w:rsidRDefault="006F587A">
      <w:pPr>
        <w:spacing w:line="288" w:lineRule="auto"/>
        <w:jc w:val="right"/>
        <w:rPr>
          <w:rFonts w:ascii="Times New Roman" w:hAnsi="Times New Roman"/>
          <w:sz w:val="16"/>
          <w:szCs w:val="16"/>
        </w:rPr>
      </w:pPr>
    </w:p>
    <w:p w14:paraId="4ACE2A78" w14:textId="77777777" w:rsidR="006F587A" w:rsidRDefault="006F587A">
      <w:pPr>
        <w:rPr>
          <w:rFonts w:ascii="Times New Roman" w:hAnsi="Times New Roman"/>
          <w:sz w:val="20"/>
          <w:szCs w:val="20"/>
        </w:rPr>
      </w:pPr>
    </w:p>
    <w:p w14:paraId="4ACE2A79" w14:textId="77777777" w:rsidR="006F587A" w:rsidRDefault="007B2B61">
      <w:pPr>
        <w:spacing w:line="288" w:lineRule="auto"/>
        <w:rPr>
          <w:rFonts w:ascii="Times New Roman" w:hAnsi="Times New Roman"/>
        </w:rPr>
      </w:pPr>
      <w:r>
        <w:rPr>
          <w:rFonts w:ascii="Arial" w:eastAsia="宋体" w:hAnsi="Arial" w:cs="Arial"/>
          <w:b/>
          <w:bCs/>
          <w:color w:val="0071C5"/>
        </w:rPr>
        <w:t>FINANCIAL PERFORMANCE</w:t>
      </w:r>
    </w:p>
    <w:tbl>
      <w:tblPr>
        <w:tblW w:w="14640" w:type="dxa"/>
        <w:tblCellMar>
          <w:left w:w="0" w:type="dxa"/>
          <w:right w:w="0" w:type="dxa"/>
        </w:tblCellMar>
        <w:tblLook w:val="04A0" w:firstRow="1" w:lastRow="0" w:firstColumn="1" w:lastColumn="0" w:noHBand="0" w:noVBand="1"/>
      </w:tblPr>
      <w:tblGrid>
        <w:gridCol w:w="200"/>
        <w:gridCol w:w="6498"/>
        <w:gridCol w:w="1223"/>
        <w:gridCol w:w="6137"/>
        <w:gridCol w:w="582"/>
      </w:tblGrid>
      <w:tr w:rsidR="006F587A" w14:paraId="4ACE2A7B" w14:textId="77777777">
        <w:tc>
          <w:tcPr>
            <w:tcW w:w="0" w:type="auto"/>
            <w:gridSpan w:val="5"/>
            <w:shd w:val="clear" w:color="auto" w:fill="auto"/>
            <w:vAlign w:val="center"/>
          </w:tcPr>
          <w:p w14:paraId="4ACE2A7A" w14:textId="77777777" w:rsidR="006F587A" w:rsidRDefault="006F587A">
            <w:pPr>
              <w:rPr>
                <w:rFonts w:ascii="Times New Roman" w:hAnsi="Times New Roman"/>
                <w:sz w:val="20"/>
                <w:szCs w:val="20"/>
              </w:rPr>
            </w:pPr>
          </w:p>
        </w:tc>
      </w:tr>
      <w:tr w:rsidR="006F587A" w14:paraId="4ACE2A81" w14:textId="77777777">
        <w:tc>
          <w:tcPr>
            <w:tcW w:w="200" w:type="dxa"/>
            <w:shd w:val="clear" w:color="auto" w:fill="auto"/>
            <w:vAlign w:val="center"/>
          </w:tcPr>
          <w:p w14:paraId="4ACE2A7C" w14:textId="77777777" w:rsidR="006F587A" w:rsidRDefault="006F587A">
            <w:pPr>
              <w:rPr>
                <w:rFonts w:ascii="Times New Roman" w:hAnsi="Times New Roman"/>
                <w:sz w:val="20"/>
                <w:szCs w:val="20"/>
              </w:rPr>
            </w:pPr>
          </w:p>
        </w:tc>
        <w:tc>
          <w:tcPr>
            <w:tcW w:w="6480" w:type="dxa"/>
            <w:shd w:val="clear" w:color="auto" w:fill="auto"/>
            <w:vAlign w:val="center"/>
          </w:tcPr>
          <w:p w14:paraId="4ACE2A7D" w14:textId="77777777" w:rsidR="006F587A" w:rsidRDefault="006F587A">
            <w:pPr>
              <w:rPr>
                <w:rFonts w:ascii="Times New Roman" w:hAnsi="Times New Roman"/>
                <w:sz w:val="20"/>
                <w:szCs w:val="20"/>
              </w:rPr>
            </w:pPr>
          </w:p>
        </w:tc>
        <w:tc>
          <w:tcPr>
            <w:tcW w:w="1220" w:type="dxa"/>
            <w:shd w:val="clear" w:color="auto" w:fill="auto"/>
            <w:vAlign w:val="center"/>
          </w:tcPr>
          <w:p w14:paraId="4ACE2A7E" w14:textId="77777777" w:rsidR="006F587A" w:rsidRDefault="006F587A">
            <w:pPr>
              <w:rPr>
                <w:rFonts w:ascii="Times New Roman" w:hAnsi="Times New Roman"/>
                <w:sz w:val="20"/>
                <w:szCs w:val="20"/>
              </w:rPr>
            </w:pPr>
          </w:p>
        </w:tc>
        <w:tc>
          <w:tcPr>
            <w:tcW w:w="6120" w:type="dxa"/>
            <w:shd w:val="clear" w:color="auto" w:fill="auto"/>
            <w:vAlign w:val="center"/>
          </w:tcPr>
          <w:p w14:paraId="4ACE2A7F" w14:textId="77777777" w:rsidR="006F587A" w:rsidRDefault="006F587A">
            <w:pPr>
              <w:rPr>
                <w:rFonts w:ascii="Times New Roman" w:hAnsi="Times New Roman"/>
                <w:sz w:val="20"/>
                <w:szCs w:val="20"/>
              </w:rPr>
            </w:pPr>
          </w:p>
        </w:tc>
        <w:tc>
          <w:tcPr>
            <w:tcW w:w="580" w:type="dxa"/>
            <w:shd w:val="clear" w:color="auto" w:fill="auto"/>
            <w:vAlign w:val="center"/>
          </w:tcPr>
          <w:p w14:paraId="4ACE2A80" w14:textId="77777777" w:rsidR="006F587A" w:rsidRDefault="006F587A">
            <w:pPr>
              <w:rPr>
                <w:rFonts w:ascii="Times New Roman" w:hAnsi="Times New Roman"/>
                <w:sz w:val="20"/>
                <w:szCs w:val="20"/>
              </w:rPr>
            </w:pPr>
          </w:p>
        </w:tc>
      </w:tr>
      <w:tr w:rsidR="006F587A" w14:paraId="4ACE2A87" w14:textId="77777777">
        <w:tc>
          <w:tcPr>
            <w:tcW w:w="0" w:type="auto"/>
            <w:shd w:val="clear" w:color="auto" w:fill="auto"/>
            <w:tcMar>
              <w:top w:w="40" w:type="dxa"/>
              <w:left w:w="40" w:type="dxa"/>
              <w:bottom w:w="40" w:type="dxa"/>
              <w:right w:w="40" w:type="dxa"/>
            </w:tcMar>
            <w:vAlign w:val="bottom"/>
          </w:tcPr>
          <w:p w14:paraId="4ACE2A8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2A83" w14:textId="77777777" w:rsidR="006F587A" w:rsidRDefault="007B2B61">
            <w:pPr>
              <w:jc w:val="center"/>
              <w:textAlignment w:val="bottom"/>
              <w:rPr>
                <w:rFonts w:ascii="Times New Roman" w:hAnsi="Times New Roman"/>
                <w:sz w:val="20"/>
                <w:szCs w:val="20"/>
              </w:rPr>
            </w:pPr>
            <w:r>
              <w:rPr>
                <w:rFonts w:ascii="Arial" w:eastAsia="宋体" w:hAnsi="Arial" w:cs="Arial"/>
                <w:b/>
                <w:bCs/>
                <w:color w:val="0071C5"/>
                <w:sz w:val="20"/>
                <w:szCs w:val="20"/>
              </w:rPr>
              <w:t>CCG REVENUE $B</w:t>
            </w:r>
          </w:p>
        </w:tc>
        <w:tc>
          <w:tcPr>
            <w:tcW w:w="0" w:type="auto"/>
            <w:shd w:val="clear" w:color="auto" w:fill="auto"/>
            <w:tcMar>
              <w:top w:w="40" w:type="dxa"/>
              <w:left w:w="40" w:type="dxa"/>
              <w:bottom w:w="40" w:type="dxa"/>
              <w:right w:w="40" w:type="dxa"/>
            </w:tcMar>
            <w:vAlign w:val="bottom"/>
          </w:tcPr>
          <w:p w14:paraId="4ACE2A8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2A85" w14:textId="77777777" w:rsidR="006F587A" w:rsidRDefault="007B2B61">
            <w:pPr>
              <w:jc w:val="center"/>
              <w:textAlignment w:val="bottom"/>
              <w:rPr>
                <w:rFonts w:ascii="Times New Roman" w:hAnsi="Times New Roman"/>
                <w:sz w:val="20"/>
                <w:szCs w:val="20"/>
              </w:rPr>
            </w:pPr>
            <w:r>
              <w:rPr>
                <w:rFonts w:ascii="Arial" w:eastAsia="宋体" w:hAnsi="Arial" w:cs="Arial"/>
                <w:b/>
                <w:bCs/>
                <w:color w:val="0071C5"/>
                <w:sz w:val="20"/>
                <w:szCs w:val="20"/>
              </w:rPr>
              <w:t>CCG OPERATING INCOME $B</w:t>
            </w:r>
          </w:p>
        </w:tc>
        <w:tc>
          <w:tcPr>
            <w:tcW w:w="0" w:type="auto"/>
            <w:shd w:val="clear" w:color="auto" w:fill="auto"/>
            <w:tcMar>
              <w:top w:w="40" w:type="dxa"/>
              <w:left w:w="40" w:type="dxa"/>
              <w:bottom w:w="40" w:type="dxa"/>
              <w:right w:w="40" w:type="dxa"/>
            </w:tcMar>
            <w:vAlign w:val="bottom"/>
          </w:tcPr>
          <w:p w14:paraId="4ACE2A8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bl>
    <w:p w14:paraId="4ACE2A88" w14:textId="77777777" w:rsidR="006F587A" w:rsidRDefault="007B2B61">
      <w:pPr>
        <w:spacing w:line="288" w:lineRule="auto"/>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Viewer12_files/chart27_ccg3yrrev.jpg"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D38" wp14:editId="4ACE6D39">
            <wp:extent cx="304800" cy="304800"/>
            <wp:effectExtent l="0" t="0" r="0" b="0"/>
            <wp:docPr id="221" name="图片 195" descr="IMG_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195" descr="IMG_38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/INTEL/./Inline XBRL Viewer12_files/chart28_</w:instrText>
      </w:r>
      <w:r>
        <w:rPr>
          <w:rFonts w:ascii="Times New Roman" w:eastAsia="宋体" w:hAnsi="Times New Roman"/>
          <w:sz w:val="20"/>
          <w:szCs w:val="20"/>
        </w:rPr>
        <w:instrText xml:space="preserve">ccg3yropincome.jpg"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D3A" wp14:editId="4ACE6D3B">
            <wp:extent cx="304800" cy="304800"/>
            <wp:effectExtent l="0" t="0" r="0" b="0"/>
            <wp:docPr id="222" name="图片 196" descr="IMG_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196" descr="IMG_38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bl>
      <w:tblPr>
        <w:tblW w:w="14640" w:type="dxa"/>
        <w:tblCellMar>
          <w:left w:w="0" w:type="dxa"/>
          <w:right w:w="0" w:type="dxa"/>
        </w:tblCellMar>
        <w:tblLook w:val="04A0" w:firstRow="1" w:lastRow="0" w:firstColumn="1" w:lastColumn="0" w:noHBand="0" w:noVBand="1"/>
      </w:tblPr>
      <w:tblGrid>
        <w:gridCol w:w="2183"/>
        <w:gridCol w:w="1442"/>
        <w:gridCol w:w="11015"/>
      </w:tblGrid>
      <w:tr w:rsidR="006F587A" w14:paraId="4ACE2A8A" w14:textId="77777777">
        <w:tc>
          <w:tcPr>
            <w:tcW w:w="0" w:type="auto"/>
            <w:gridSpan w:val="3"/>
            <w:shd w:val="clear" w:color="auto" w:fill="auto"/>
            <w:vAlign w:val="center"/>
          </w:tcPr>
          <w:p w14:paraId="4ACE2A89" w14:textId="77777777" w:rsidR="006F587A" w:rsidRDefault="006F587A">
            <w:pPr>
              <w:rPr>
                <w:rFonts w:ascii="Times New Roman" w:hAnsi="Times New Roman"/>
                <w:sz w:val="20"/>
                <w:szCs w:val="20"/>
              </w:rPr>
            </w:pPr>
          </w:p>
        </w:tc>
      </w:tr>
      <w:tr w:rsidR="006F587A" w14:paraId="4ACE2A8E" w14:textId="77777777">
        <w:tc>
          <w:tcPr>
            <w:tcW w:w="2180" w:type="dxa"/>
            <w:shd w:val="clear" w:color="auto" w:fill="auto"/>
            <w:vAlign w:val="center"/>
          </w:tcPr>
          <w:p w14:paraId="4ACE2A8B" w14:textId="77777777" w:rsidR="006F587A" w:rsidRDefault="006F587A">
            <w:pPr>
              <w:rPr>
                <w:rFonts w:ascii="Times New Roman" w:hAnsi="Times New Roman"/>
                <w:sz w:val="20"/>
                <w:szCs w:val="20"/>
              </w:rPr>
            </w:pPr>
          </w:p>
        </w:tc>
        <w:tc>
          <w:tcPr>
            <w:tcW w:w="1440" w:type="dxa"/>
            <w:shd w:val="clear" w:color="auto" w:fill="auto"/>
            <w:vAlign w:val="center"/>
          </w:tcPr>
          <w:p w14:paraId="4ACE2A8C" w14:textId="77777777" w:rsidR="006F587A" w:rsidRDefault="006F587A">
            <w:pPr>
              <w:rPr>
                <w:rFonts w:ascii="Times New Roman" w:hAnsi="Times New Roman"/>
                <w:sz w:val="20"/>
                <w:szCs w:val="20"/>
              </w:rPr>
            </w:pPr>
          </w:p>
        </w:tc>
        <w:tc>
          <w:tcPr>
            <w:tcW w:w="11000" w:type="dxa"/>
            <w:shd w:val="clear" w:color="auto" w:fill="auto"/>
            <w:vAlign w:val="center"/>
          </w:tcPr>
          <w:p w14:paraId="4ACE2A8D" w14:textId="77777777" w:rsidR="006F587A" w:rsidRDefault="006F587A">
            <w:pPr>
              <w:rPr>
                <w:rFonts w:ascii="Times New Roman" w:hAnsi="Times New Roman"/>
                <w:sz w:val="20"/>
                <w:szCs w:val="20"/>
              </w:rPr>
            </w:pPr>
          </w:p>
        </w:tc>
      </w:tr>
      <w:tr w:rsidR="006F587A" w14:paraId="4ACE2A92" w14:textId="77777777">
        <w:tc>
          <w:tcPr>
            <w:tcW w:w="0" w:type="auto"/>
            <w:shd w:val="clear" w:color="auto" w:fill="auto"/>
            <w:tcMar>
              <w:top w:w="40" w:type="dxa"/>
              <w:left w:w="40" w:type="dxa"/>
              <w:bottom w:w="40" w:type="dxa"/>
              <w:right w:w="40" w:type="dxa"/>
            </w:tcMar>
            <w:vAlign w:val="bottom"/>
          </w:tcPr>
          <w:p w14:paraId="4ACE2A8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4ACE2A90" w14:textId="77777777" w:rsidR="006F587A" w:rsidRDefault="007B2B61">
            <w:pPr>
              <w:textAlignment w:val="center"/>
              <w:rPr>
                <w:rFonts w:ascii="Times New Roman" w:hAnsi="Times New Roman"/>
                <w:sz w:val="18"/>
                <w:szCs w:val="18"/>
              </w:rPr>
            </w:pPr>
            <w:r>
              <w:rPr>
                <w:rFonts w:ascii="Arial" w:eastAsia="宋体" w:hAnsi="Arial" w:cs="Arial"/>
                <w:color w:val="003C71"/>
                <w:sz w:val="18"/>
                <w:szCs w:val="18"/>
              </w:rPr>
              <w:t>■</w:t>
            </w:r>
            <w:r>
              <w:rPr>
                <w:rFonts w:ascii="Arial" w:eastAsia="宋体" w:hAnsi="Arial" w:cs="Arial"/>
                <w:color w:val="333333"/>
                <w:sz w:val="18"/>
                <w:szCs w:val="18"/>
              </w:rPr>
              <w:t> </w:t>
            </w:r>
            <w:r>
              <w:rPr>
                <w:rFonts w:ascii="Arial" w:eastAsia="宋体" w:hAnsi="Arial" w:cs="Arial"/>
                <w:color w:val="333333"/>
                <w:sz w:val="16"/>
                <w:szCs w:val="16"/>
              </w:rPr>
              <w:t>Platform</w:t>
            </w:r>
          </w:p>
        </w:tc>
        <w:tc>
          <w:tcPr>
            <w:tcW w:w="0" w:type="auto"/>
            <w:shd w:val="clear" w:color="auto" w:fill="auto"/>
            <w:tcMar>
              <w:top w:w="40" w:type="dxa"/>
              <w:left w:w="40" w:type="dxa"/>
              <w:bottom w:w="40" w:type="dxa"/>
              <w:right w:w="40" w:type="dxa"/>
            </w:tcMar>
            <w:vAlign w:val="center"/>
          </w:tcPr>
          <w:p w14:paraId="4ACE2A91" w14:textId="77777777" w:rsidR="006F587A" w:rsidRDefault="007B2B61">
            <w:pPr>
              <w:textAlignment w:val="center"/>
              <w:rPr>
                <w:rFonts w:ascii="Times New Roman" w:hAnsi="Times New Roman"/>
                <w:sz w:val="18"/>
                <w:szCs w:val="18"/>
              </w:rPr>
            </w:pPr>
            <w:r>
              <w:rPr>
                <w:rFonts w:ascii="Arial" w:eastAsia="宋体" w:hAnsi="Arial" w:cs="Arial"/>
                <w:color w:val="FFA300"/>
                <w:sz w:val="18"/>
                <w:szCs w:val="18"/>
              </w:rPr>
              <w:t>■</w:t>
            </w:r>
            <w:r>
              <w:rPr>
                <w:rFonts w:ascii="Arial" w:eastAsia="宋体" w:hAnsi="Arial" w:cs="Arial"/>
                <w:color w:val="333333"/>
                <w:sz w:val="18"/>
                <w:szCs w:val="18"/>
              </w:rPr>
              <w:t>  </w:t>
            </w:r>
            <w:r>
              <w:rPr>
                <w:rFonts w:ascii="Arial" w:eastAsia="宋体" w:hAnsi="Arial" w:cs="Arial"/>
                <w:color w:val="333333"/>
                <w:sz w:val="16"/>
                <w:szCs w:val="16"/>
              </w:rPr>
              <w:t>Adjacent</w:t>
            </w:r>
          </w:p>
        </w:tc>
      </w:tr>
    </w:tbl>
    <w:p w14:paraId="4ACE2A93" w14:textId="77777777" w:rsidR="006F587A" w:rsidRDefault="006F587A">
      <w:pPr>
        <w:rPr>
          <w:vanish/>
        </w:rPr>
      </w:pPr>
    </w:p>
    <w:tbl>
      <w:tblPr>
        <w:tblW w:w="5000" w:type="pct"/>
        <w:tblCellMar>
          <w:left w:w="0" w:type="dxa"/>
          <w:right w:w="0" w:type="dxa"/>
        </w:tblCellMar>
        <w:tblLook w:val="04A0" w:firstRow="1" w:lastRow="0" w:firstColumn="1" w:lastColumn="0" w:noHBand="0" w:noVBand="1"/>
      </w:tblPr>
      <w:tblGrid>
        <w:gridCol w:w="8306"/>
      </w:tblGrid>
      <w:tr w:rsidR="006F587A" w14:paraId="4ACE2A95" w14:textId="77777777">
        <w:tc>
          <w:tcPr>
            <w:tcW w:w="0" w:type="auto"/>
            <w:shd w:val="clear" w:color="auto" w:fill="auto"/>
            <w:vAlign w:val="center"/>
          </w:tcPr>
          <w:p w14:paraId="4ACE2A94" w14:textId="77777777" w:rsidR="006F587A" w:rsidRDefault="006F587A">
            <w:pPr>
              <w:rPr>
                <w:rFonts w:ascii="Times New Roman" w:hAnsi="Times New Roman"/>
                <w:sz w:val="20"/>
                <w:szCs w:val="20"/>
              </w:rPr>
            </w:pPr>
          </w:p>
        </w:tc>
      </w:tr>
      <w:tr w:rsidR="006F587A" w14:paraId="4ACE2A97" w14:textId="77777777">
        <w:tc>
          <w:tcPr>
            <w:tcW w:w="5000" w:type="pct"/>
            <w:shd w:val="clear" w:color="auto" w:fill="auto"/>
            <w:vAlign w:val="center"/>
          </w:tcPr>
          <w:p w14:paraId="4ACE2A96" w14:textId="77777777" w:rsidR="006F587A" w:rsidRDefault="006F587A">
            <w:pPr>
              <w:rPr>
                <w:rFonts w:ascii="Times New Roman" w:hAnsi="Times New Roman"/>
                <w:sz w:val="20"/>
                <w:szCs w:val="20"/>
              </w:rPr>
            </w:pPr>
          </w:p>
        </w:tc>
      </w:tr>
      <w:tr w:rsidR="006F587A" w14:paraId="4ACE2A99" w14:textId="77777777">
        <w:tc>
          <w:tcPr>
            <w:tcW w:w="0" w:type="auto"/>
            <w:tcBorders>
              <w:bottom w:val="single" w:sz="8" w:space="0" w:color="333333"/>
            </w:tcBorders>
            <w:shd w:val="clear" w:color="auto" w:fill="auto"/>
            <w:tcMar>
              <w:top w:w="40" w:type="dxa"/>
              <w:left w:w="40" w:type="dxa"/>
              <w:bottom w:w="40" w:type="dxa"/>
              <w:right w:w="40" w:type="dxa"/>
            </w:tcMar>
            <w:vAlign w:val="bottom"/>
          </w:tcPr>
          <w:p w14:paraId="4ACE2A98" w14:textId="77777777" w:rsidR="006F587A" w:rsidRDefault="007B2B61">
            <w:pPr>
              <w:textAlignment w:val="bottom"/>
              <w:rPr>
                <w:rFonts w:ascii="Times New Roman" w:hAnsi="Times New Roman"/>
                <w:sz w:val="20"/>
                <w:szCs w:val="20"/>
              </w:rPr>
            </w:pPr>
            <w:r>
              <w:rPr>
                <w:rFonts w:ascii="Arial" w:eastAsia="宋体" w:hAnsi="Arial" w:cs="Arial"/>
                <w:b/>
                <w:bCs/>
                <w:color w:val="0071C5"/>
                <w:sz w:val="20"/>
                <w:szCs w:val="20"/>
              </w:rPr>
              <w:t>REVENUE SUMMARY</w:t>
            </w:r>
          </w:p>
        </w:tc>
      </w:tr>
    </w:tbl>
    <w:p w14:paraId="4ACE2A9A"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240"/>
        <w:gridCol w:w="8066"/>
      </w:tblGrid>
      <w:tr w:rsidR="006F587A" w14:paraId="4ACE2A9D" w14:textId="77777777">
        <w:trPr>
          <w:tblCellSpacing w:w="0" w:type="dxa"/>
        </w:trPr>
        <w:tc>
          <w:tcPr>
            <w:tcW w:w="240" w:type="dxa"/>
            <w:shd w:val="clear" w:color="auto" w:fill="auto"/>
            <w:vAlign w:val="center"/>
          </w:tcPr>
          <w:p w14:paraId="4ACE2A9B" w14:textId="77777777" w:rsidR="006F587A" w:rsidRDefault="006F587A">
            <w:pPr>
              <w:rPr>
                <w:rFonts w:ascii="Times New Roman" w:hAnsi="Times New Roman"/>
                <w:sz w:val="20"/>
                <w:szCs w:val="20"/>
              </w:rPr>
            </w:pPr>
          </w:p>
        </w:tc>
        <w:tc>
          <w:tcPr>
            <w:tcW w:w="0" w:type="auto"/>
            <w:shd w:val="clear" w:color="auto" w:fill="auto"/>
            <w:vAlign w:val="center"/>
          </w:tcPr>
          <w:p w14:paraId="4ACE2A9C" w14:textId="77777777" w:rsidR="006F587A" w:rsidRDefault="006F587A">
            <w:pPr>
              <w:rPr>
                <w:rFonts w:ascii="Times New Roman" w:hAnsi="Times New Roman"/>
                <w:sz w:val="20"/>
                <w:szCs w:val="20"/>
              </w:rPr>
            </w:pPr>
          </w:p>
        </w:tc>
      </w:tr>
      <w:tr w:rsidR="006F587A" w14:paraId="4ACE2AA0" w14:textId="77777777">
        <w:trPr>
          <w:tblCellSpacing w:w="0" w:type="dxa"/>
        </w:trPr>
        <w:tc>
          <w:tcPr>
            <w:tcW w:w="0" w:type="auto"/>
            <w:shd w:val="clear" w:color="auto" w:fill="auto"/>
          </w:tcPr>
          <w:p w14:paraId="4ACE2A9E"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2A9F"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Decreased unit sales due to supply constraints particularly at the value-end of the market, and lower market share. </w:t>
            </w:r>
          </w:p>
        </w:tc>
      </w:tr>
    </w:tbl>
    <w:p w14:paraId="4ACE2AA1"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240"/>
        <w:gridCol w:w="8066"/>
      </w:tblGrid>
      <w:tr w:rsidR="006F587A" w14:paraId="4ACE2AA4" w14:textId="77777777">
        <w:trPr>
          <w:tblCellSpacing w:w="0" w:type="dxa"/>
        </w:trPr>
        <w:tc>
          <w:tcPr>
            <w:tcW w:w="240" w:type="dxa"/>
            <w:shd w:val="clear" w:color="auto" w:fill="auto"/>
            <w:vAlign w:val="center"/>
          </w:tcPr>
          <w:p w14:paraId="4ACE2AA2" w14:textId="77777777" w:rsidR="006F587A" w:rsidRDefault="006F587A">
            <w:pPr>
              <w:rPr>
                <w:rFonts w:ascii="Times New Roman" w:hAnsi="Times New Roman"/>
                <w:sz w:val="20"/>
                <w:szCs w:val="20"/>
              </w:rPr>
            </w:pPr>
          </w:p>
        </w:tc>
        <w:tc>
          <w:tcPr>
            <w:tcW w:w="0" w:type="auto"/>
            <w:shd w:val="clear" w:color="auto" w:fill="auto"/>
            <w:vAlign w:val="center"/>
          </w:tcPr>
          <w:p w14:paraId="4ACE2AA3" w14:textId="77777777" w:rsidR="006F587A" w:rsidRDefault="006F587A">
            <w:pPr>
              <w:rPr>
                <w:rFonts w:ascii="Times New Roman" w:hAnsi="Times New Roman"/>
                <w:sz w:val="20"/>
                <w:szCs w:val="20"/>
              </w:rPr>
            </w:pPr>
          </w:p>
        </w:tc>
      </w:tr>
      <w:tr w:rsidR="006F587A" w14:paraId="4ACE2AA7" w14:textId="77777777">
        <w:trPr>
          <w:tblCellSpacing w:w="0" w:type="dxa"/>
        </w:trPr>
        <w:tc>
          <w:tcPr>
            <w:tcW w:w="0" w:type="auto"/>
            <w:shd w:val="clear" w:color="auto" w:fill="auto"/>
          </w:tcPr>
          <w:p w14:paraId="4ACE2AA5"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2AA6"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Increased demand for performance products drove strong product mix and higher ASP as the commercial market segment remained strong.</w:t>
            </w:r>
          </w:p>
        </w:tc>
      </w:tr>
    </w:tbl>
    <w:p w14:paraId="4ACE2AA8"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240"/>
        <w:gridCol w:w="4053"/>
      </w:tblGrid>
      <w:tr w:rsidR="006F587A" w14:paraId="4ACE2AAB" w14:textId="77777777">
        <w:trPr>
          <w:tblCellSpacing w:w="0" w:type="dxa"/>
        </w:trPr>
        <w:tc>
          <w:tcPr>
            <w:tcW w:w="240" w:type="dxa"/>
            <w:shd w:val="clear" w:color="auto" w:fill="auto"/>
            <w:vAlign w:val="center"/>
          </w:tcPr>
          <w:p w14:paraId="4ACE2AA9" w14:textId="77777777" w:rsidR="006F587A" w:rsidRDefault="006F587A">
            <w:pPr>
              <w:rPr>
                <w:rFonts w:ascii="Times New Roman" w:hAnsi="Times New Roman"/>
                <w:sz w:val="20"/>
                <w:szCs w:val="20"/>
              </w:rPr>
            </w:pPr>
          </w:p>
        </w:tc>
        <w:tc>
          <w:tcPr>
            <w:tcW w:w="0" w:type="auto"/>
            <w:shd w:val="clear" w:color="auto" w:fill="auto"/>
            <w:vAlign w:val="center"/>
          </w:tcPr>
          <w:p w14:paraId="4ACE2AAA" w14:textId="77777777" w:rsidR="006F587A" w:rsidRDefault="006F587A">
            <w:pPr>
              <w:rPr>
                <w:rFonts w:ascii="Times New Roman" w:hAnsi="Times New Roman"/>
                <w:sz w:val="20"/>
                <w:szCs w:val="20"/>
              </w:rPr>
            </w:pPr>
          </w:p>
        </w:tc>
      </w:tr>
      <w:tr w:rsidR="006F587A" w14:paraId="4ACE2AAE" w14:textId="77777777">
        <w:trPr>
          <w:tblCellSpacing w:w="0" w:type="dxa"/>
        </w:trPr>
        <w:tc>
          <w:tcPr>
            <w:tcW w:w="0" w:type="auto"/>
            <w:shd w:val="clear" w:color="auto" w:fill="auto"/>
          </w:tcPr>
          <w:p w14:paraId="4ACE2AAC"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2AAD"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Strength in modem drove higher adjacent revenue.</w:t>
            </w:r>
          </w:p>
        </w:tc>
      </w:tr>
    </w:tbl>
    <w:p w14:paraId="4ACE2AAF" w14:textId="77777777" w:rsidR="006F587A" w:rsidRDefault="006F587A">
      <w:pPr>
        <w:rPr>
          <w:vanish/>
        </w:rPr>
      </w:pPr>
    </w:p>
    <w:tbl>
      <w:tblPr>
        <w:tblW w:w="5000" w:type="pct"/>
        <w:tblCellMar>
          <w:left w:w="0" w:type="dxa"/>
          <w:right w:w="0" w:type="dxa"/>
        </w:tblCellMar>
        <w:tblLook w:val="04A0" w:firstRow="1" w:lastRow="0" w:firstColumn="1" w:lastColumn="0" w:noHBand="0" w:noVBand="1"/>
      </w:tblPr>
      <w:tblGrid>
        <w:gridCol w:w="3914"/>
        <w:gridCol w:w="130"/>
        <w:gridCol w:w="511"/>
        <w:gridCol w:w="461"/>
        <w:gridCol w:w="130"/>
        <w:gridCol w:w="142"/>
        <w:gridCol w:w="722"/>
        <w:gridCol w:w="100"/>
        <w:gridCol w:w="130"/>
        <w:gridCol w:w="511"/>
        <w:gridCol w:w="461"/>
        <w:gridCol w:w="130"/>
        <w:gridCol w:w="142"/>
        <w:gridCol w:w="722"/>
        <w:gridCol w:w="100"/>
      </w:tblGrid>
      <w:tr w:rsidR="006F587A" w14:paraId="4ACE2AB1" w14:textId="77777777">
        <w:tc>
          <w:tcPr>
            <w:tcW w:w="0" w:type="auto"/>
            <w:gridSpan w:val="15"/>
            <w:shd w:val="clear" w:color="auto" w:fill="auto"/>
            <w:vAlign w:val="center"/>
          </w:tcPr>
          <w:p w14:paraId="4ACE2AB0" w14:textId="77777777" w:rsidR="006F587A" w:rsidRDefault="006F587A">
            <w:pPr>
              <w:rPr>
                <w:rFonts w:ascii="Times New Roman" w:hAnsi="Times New Roman"/>
                <w:sz w:val="20"/>
                <w:szCs w:val="20"/>
              </w:rPr>
            </w:pPr>
          </w:p>
        </w:tc>
      </w:tr>
      <w:tr w:rsidR="006F587A" w14:paraId="4ACE2AC1" w14:textId="77777777">
        <w:tc>
          <w:tcPr>
            <w:tcW w:w="2400" w:type="pct"/>
            <w:shd w:val="clear" w:color="auto" w:fill="auto"/>
            <w:vAlign w:val="center"/>
          </w:tcPr>
          <w:p w14:paraId="4ACE2AB2" w14:textId="77777777" w:rsidR="006F587A" w:rsidRDefault="006F587A">
            <w:pPr>
              <w:rPr>
                <w:rFonts w:ascii="Times New Roman" w:hAnsi="Times New Roman"/>
                <w:sz w:val="20"/>
                <w:szCs w:val="20"/>
              </w:rPr>
            </w:pPr>
          </w:p>
        </w:tc>
        <w:tc>
          <w:tcPr>
            <w:tcW w:w="50" w:type="pct"/>
            <w:shd w:val="clear" w:color="auto" w:fill="auto"/>
            <w:vAlign w:val="center"/>
          </w:tcPr>
          <w:p w14:paraId="4ACE2AB3" w14:textId="77777777" w:rsidR="006F587A" w:rsidRDefault="006F587A">
            <w:pPr>
              <w:rPr>
                <w:rFonts w:ascii="Times New Roman" w:hAnsi="Times New Roman"/>
                <w:sz w:val="20"/>
                <w:szCs w:val="20"/>
              </w:rPr>
            </w:pPr>
          </w:p>
        </w:tc>
        <w:tc>
          <w:tcPr>
            <w:tcW w:w="300" w:type="pct"/>
            <w:shd w:val="clear" w:color="auto" w:fill="auto"/>
            <w:vAlign w:val="center"/>
          </w:tcPr>
          <w:p w14:paraId="4ACE2AB4" w14:textId="77777777" w:rsidR="006F587A" w:rsidRDefault="006F587A">
            <w:pPr>
              <w:rPr>
                <w:rFonts w:ascii="Times New Roman" w:hAnsi="Times New Roman"/>
                <w:sz w:val="20"/>
                <w:szCs w:val="20"/>
              </w:rPr>
            </w:pPr>
          </w:p>
        </w:tc>
        <w:tc>
          <w:tcPr>
            <w:tcW w:w="300" w:type="pct"/>
            <w:shd w:val="clear" w:color="auto" w:fill="auto"/>
            <w:vAlign w:val="center"/>
          </w:tcPr>
          <w:p w14:paraId="4ACE2AB5" w14:textId="77777777" w:rsidR="006F587A" w:rsidRDefault="006F587A">
            <w:pPr>
              <w:rPr>
                <w:rFonts w:ascii="Times New Roman" w:hAnsi="Times New Roman"/>
                <w:sz w:val="20"/>
                <w:szCs w:val="20"/>
              </w:rPr>
            </w:pPr>
          </w:p>
        </w:tc>
        <w:tc>
          <w:tcPr>
            <w:tcW w:w="50" w:type="pct"/>
            <w:shd w:val="clear" w:color="auto" w:fill="auto"/>
            <w:vAlign w:val="center"/>
          </w:tcPr>
          <w:p w14:paraId="4ACE2AB6" w14:textId="77777777" w:rsidR="006F587A" w:rsidRDefault="006F587A">
            <w:pPr>
              <w:rPr>
                <w:rFonts w:ascii="Times New Roman" w:hAnsi="Times New Roman"/>
                <w:sz w:val="20"/>
                <w:szCs w:val="20"/>
              </w:rPr>
            </w:pPr>
          </w:p>
        </w:tc>
        <w:tc>
          <w:tcPr>
            <w:tcW w:w="50" w:type="pct"/>
            <w:shd w:val="clear" w:color="auto" w:fill="auto"/>
            <w:vAlign w:val="center"/>
          </w:tcPr>
          <w:p w14:paraId="4ACE2AB7" w14:textId="77777777" w:rsidR="006F587A" w:rsidRDefault="006F587A">
            <w:pPr>
              <w:rPr>
                <w:rFonts w:ascii="Times New Roman" w:hAnsi="Times New Roman"/>
                <w:sz w:val="20"/>
                <w:szCs w:val="20"/>
              </w:rPr>
            </w:pPr>
          </w:p>
        </w:tc>
        <w:tc>
          <w:tcPr>
            <w:tcW w:w="500" w:type="pct"/>
            <w:shd w:val="clear" w:color="auto" w:fill="auto"/>
            <w:vAlign w:val="center"/>
          </w:tcPr>
          <w:p w14:paraId="4ACE2AB8" w14:textId="77777777" w:rsidR="006F587A" w:rsidRDefault="006F587A">
            <w:pPr>
              <w:rPr>
                <w:rFonts w:ascii="Times New Roman" w:hAnsi="Times New Roman"/>
                <w:sz w:val="20"/>
                <w:szCs w:val="20"/>
              </w:rPr>
            </w:pPr>
          </w:p>
        </w:tc>
        <w:tc>
          <w:tcPr>
            <w:tcW w:w="50" w:type="pct"/>
            <w:shd w:val="clear" w:color="auto" w:fill="auto"/>
            <w:vAlign w:val="center"/>
          </w:tcPr>
          <w:p w14:paraId="4ACE2AB9" w14:textId="77777777" w:rsidR="006F587A" w:rsidRDefault="006F587A">
            <w:pPr>
              <w:rPr>
                <w:rFonts w:ascii="Times New Roman" w:hAnsi="Times New Roman"/>
                <w:sz w:val="20"/>
                <w:szCs w:val="20"/>
              </w:rPr>
            </w:pPr>
          </w:p>
        </w:tc>
        <w:tc>
          <w:tcPr>
            <w:tcW w:w="50" w:type="pct"/>
            <w:shd w:val="clear" w:color="auto" w:fill="auto"/>
            <w:vAlign w:val="center"/>
          </w:tcPr>
          <w:p w14:paraId="4ACE2ABA" w14:textId="77777777" w:rsidR="006F587A" w:rsidRDefault="006F587A">
            <w:pPr>
              <w:rPr>
                <w:rFonts w:ascii="Times New Roman" w:hAnsi="Times New Roman"/>
                <w:sz w:val="20"/>
                <w:szCs w:val="20"/>
              </w:rPr>
            </w:pPr>
          </w:p>
        </w:tc>
        <w:tc>
          <w:tcPr>
            <w:tcW w:w="300" w:type="pct"/>
            <w:shd w:val="clear" w:color="auto" w:fill="auto"/>
            <w:vAlign w:val="center"/>
          </w:tcPr>
          <w:p w14:paraId="4ACE2ABB" w14:textId="77777777" w:rsidR="006F587A" w:rsidRDefault="006F587A">
            <w:pPr>
              <w:rPr>
                <w:rFonts w:ascii="Times New Roman" w:hAnsi="Times New Roman"/>
                <w:sz w:val="20"/>
                <w:szCs w:val="20"/>
              </w:rPr>
            </w:pPr>
          </w:p>
        </w:tc>
        <w:tc>
          <w:tcPr>
            <w:tcW w:w="300" w:type="pct"/>
            <w:shd w:val="clear" w:color="auto" w:fill="auto"/>
            <w:vAlign w:val="center"/>
          </w:tcPr>
          <w:p w14:paraId="4ACE2ABC" w14:textId="77777777" w:rsidR="006F587A" w:rsidRDefault="006F587A">
            <w:pPr>
              <w:rPr>
                <w:rFonts w:ascii="Times New Roman" w:hAnsi="Times New Roman"/>
                <w:sz w:val="20"/>
                <w:szCs w:val="20"/>
              </w:rPr>
            </w:pPr>
          </w:p>
        </w:tc>
        <w:tc>
          <w:tcPr>
            <w:tcW w:w="50" w:type="pct"/>
            <w:shd w:val="clear" w:color="auto" w:fill="auto"/>
            <w:vAlign w:val="center"/>
          </w:tcPr>
          <w:p w14:paraId="4ACE2ABD" w14:textId="77777777" w:rsidR="006F587A" w:rsidRDefault="006F587A">
            <w:pPr>
              <w:rPr>
                <w:rFonts w:ascii="Times New Roman" w:hAnsi="Times New Roman"/>
                <w:sz w:val="20"/>
                <w:szCs w:val="20"/>
              </w:rPr>
            </w:pPr>
          </w:p>
        </w:tc>
        <w:tc>
          <w:tcPr>
            <w:tcW w:w="50" w:type="pct"/>
            <w:shd w:val="clear" w:color="auto" w:fill="auto"/>
            <w:vAlign w:val="center"/>
          </w:tcPr>
          <w:p w14:paraId="4ACE2ABE" w14:textId="77777777" w:rsidR="006F587A" w:rsidRDefault="006F587A">
            <w:pPr>
              <w:rPr>
                <w:rFonts w:ascii="Times New Roman" w:hAnsi="Times New Roman"/>
                <w:sz w:val="20"/>
                <w:szCs w:val="20"/>
              </w:rPr>
            </w:pPr>
          </w:p>
        </w:tc>
        <w:tc>
          <w:tcPr>
            <w:tcW w:w="500" w:type="pct"/>
            <w:shd w:val="clear" w:color="auto" w:fill="auto"/>
            <w:vAlign w:val="center"/>
          </w:tcPr>
          <w:p w14:paraId="4ACE2ABF" w14:textId="77777777" w:rsidR="006F587A" w:rsidRDefault="006F587A">
            <w:pPr>
              <w:rPr>
                <w:rFonts w:ascii="Times New Roman" w:hAnsi="Times New Roman"/>
                <w:sz w:val="20"/>
                <w:szCs w:val="20"/>
              </w:rPr>
            </w:pPr>
          </w:p>
        </w:tc>
        <w:tc>
          <w:tcPr>
            <w:tcW w:w="50" w:type="pct"/>
            <w:shd w:val="clear" w:color="auto" w:fill="auto"/>
            <w:vAlign w:val="center"/>
          </w:tcPr>
          <w:p w14:paraId="4ACE2AC0" w14:textId="77777777" w:rsidR="006F587A" w:rsidRDefault="006F587A">
            <w:pPr>
              <w:rPr>
                <w:rFonts w:ascii="Times New Roman" w:hAnsi="Times New Roman"/>
                <w:sz w:val="20"/>
                <w:szCs w:val="20"/>
              </w:rPr>
            </w:pPr>
          </w:p>
        </w:tc>
      </w:tr>
      <w:tr w:rsidR="006F587A" w14:paraId="4ACE2AC7" w14:textId="77777777">
        <w:tc>
          <w:tcPr>
            <w:tcW w:w="0" w:type="auto"/>
            <w:shd w:val="clear" w:color="auto" w:fill="auto"/>
            <w:tcMar>
              <w:top w:w="40" w:type="dxa"/>
              <w:left w:w="40" w:type="dxa"/>
              <w:bottom w:w="40" w:type="dxa"/>
              <w:right w:w="40" w:type="dxa"/>
            </w:tcMar>
            <w:vAlign w:val="bottom"/>
          </w:tcPr>
          <w:p w14:paraId="4ACE2AC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AC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71C5"/>
            </w:tcBorders>
            <w:shd w:val="clear" w:color="auto" w:fill="auto"/>
            <w:tcMar>
              <w:top w:w="40" w:type="dxa"/>
              <w:left w:w="40" w:type="dxa"/>
              <w:bottom w:w="40" w:type="dxa"/>
              <w:right w:w="40" w:type="dxa"/>
            </w:tcMar>
            <w:vAlign w:val="bottom"/>
          </w:tcPr>
          <w:p w14:paraId="4ACE2AC4"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2019 – 2018</w:t>
            </w:r>
          </w:p>
        </w:tc>
        <w:tc>
          <w:tcPr>
            <w:tcW w:w="0" w:type="auto"/>
            <w:shd w:val="clear" w:color="auto" w:fill="auto"/>
            <w:tcMar>
              <w:top w:w="40" w:type="dxa"/>
              <w:left w:w="40" w:type="dxa"/>
              <w:bottom w:w="40" w:type="dxa"/>
              <w:right w:w="40" w:type="dxa"/>
            </w:tcMar>
            <w:vAlign w:val="bottom"/>
          </w:tcPr>
          <w:p w14:paraId="4ACE2AC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71C5"/>
            </w:tcBorders>
            <w:shd w:val="clear" w:color="auto" w:fill="auto"/>
            <w:tcMar>
              <w:top w:w="40" w:type="dxa"/>
              <w:left w:w="40" w:type="dxa"/>
              <w:bottom w:w="40" w:type="dxa"/>
              <w:right w:w="40" w:type="dxa"/>
            </w:tcMar>
            <w:vAlign w:val="bottom"/>
          </w:tcPr>
          <w:p w14:paraId="4ACE2AC6"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2018 – 2017</w:t>
            </w:r>
          </w:p>
        </w:tc>
      </w:tr>
      <w:tr w:rsidR="006F587A" w14:paraId="4ACE2AD1"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2AC8"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(Dollars in Millions)</w:t>
            </w:r>
          </w:p>
        </w:tc>
        <w:tc>
          <w:tcPr>
            <w:tcW w:w="0" w:type="auto"/>
            <w:shd w:val="clear" w:color="auto" w:fill="auto"/>
            <w:tcMar>
              <w:top w:w="40" w:type="dxa"/>
              <w:left w:w="40" w:type="dxa"/>
              <w:bottom w:w="40" w:type="dxa"/>
              <w:right w:w="40" w:type="dxa"/>
            </w:tcMar>
            <w:vAlign w:val="bottom"/>
          </w:tcPr>
          <w:p w14:paraId="4ACE2AC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71C5"/>
            </w:tcBorders>
            <w:shd w:val="clear" w:color="auto" w:fill="auto"/>
            <w:tcMar>
              <w:top w:w="40" w:type="dxa"/>
              <w:left w:w="40" w:type="dxa"/>
              <w:bottom w:w="40" w:type="dxa"/>
              <w:right w:w="40" w:type="dxa"/>
            </w:tcMar>
            <w:vAlign w:val="bottom"/>
          </w:tcPr>
          <w:p w14:paraId="4ACE2ACA"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4ACE2AC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2ACC"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Impact</w:t>
            </w:r>
          </w:p>
        </w:tc>
        <w:tc>
          <w:tcPr>
            <w:tcW w:w="0" w:type="auto"/>
            <w:shd w:val="clear" w:color="auto" w:fill="auto"/>
            <w:tcMar>
              <w:top w:w="40" w:type="dxa"/>
              <w:left w:w="40" w:type="dxa"/>
              <w:bottom w:w="40" w:type="dxa"/>
              <w:right w:w="40" w:type="dxa"/>
            </w:tcMar>
            <w:vAlign w:val="bottom"/>
          </w:tcPr>
          <w:p w14:paraId="4ACE2AC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71C5"/>
            </w:tcBorders>
            <w:shd w:val="clear" w:color="auto" w:fill="auto"/>
            <w:tcMar>
              <w:top w:w="40" w:type="dxa"/>
              <w:left w:w="40" w:type="dxa"/>
              <w:bottom w:w="40" w:type="dxa"/>
              <w:right w:w="40" w:type="dxa"/>
            </w:tcMar>
            <w:vAlign w:val="bottom"/>
          </w:tcPr>
          <w:p w14:paraId="4ACE2ACE"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4ACE2AC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2AD0"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Impact</w:t>
            </w:r>
          </w:p>
        </w:tc>
      </w:tr>
      <w:tr w:rsidR="006F587A" w14:paraId="4ACE2ADD" w14:textId="77777777">
        <w:tc>
          <w:tcPr>
            <w:tcW w:w="0" w:type="auto"/>
            <w:shd w:val="clear" w:color="auto" w:fill="auto"/>
            <w:tcMar>
              <w:top w:w="40" w:type="dxa"/>
              <w:left w:w="40" w:type="dxa"/>
              <w:bottom w:w="40" w:type="dxa"/>
              <w:right w:w="40" w:type="dxa"/>
            </w:tcMar>
            <w:vAlign w:val="bottom"/>
          </w:tcPr>
          <w:p w14:paraId="4ACE2AD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AD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AD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AD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AD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2AD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AD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AD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AD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AD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2AD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2AED" w14:textId="77777777">
        <w:tc>
          <w:tcPr>
            <w:tcW w:w="0" w:type="auto"/>
            <w:shd w:val="clear" w:color="auto" w:fill="auto"/>
            <w:tcMar>
              <w:top w:w="40" w:type="dxa"/>
              <w:left w:w="40" w:type="dxa"/>
              <w:bottom w:w="40" w:type="dxa"/>
              <w:right w:w="40" w:type="dxa"/>
            </w:tcMar>
            <w:vAlign w:val="center"/>
          </w:tcPr>
          <w:p w14:paraId="4ACE2ADE" w14:textId="77777777" w:rsidR="006F587A" w:rsidRDefault="007B2B61">
            <w:pPr>
              <w:textAlignment w:val="center"/>
              <w:rPr>
                <w:rFonts w:ascii="Times New Roman" w:hAnsi="Times New Roman"/>
                <w:sz w:val="18"/>
                <w:szCs w:val="18"/>
              </w:rPr>
            </w:pPr>
            <w:r>
              <w:rPr>
                <w:rFonts w:ascii="Arial" w:eastAsia="宋体" w:hAnsi="Arial" w:cs="Arial"/>
                <w:color w:val="333333"/>
                <w:sz w:val="18"/>
                <w:szCs w:val="18"/>
              </w:rPr>
              <w:t>Desktop platform volume</w:t>
            </w:r>
          </w:p>
        </w:tc>
        <w:tc>
          <w:tcPr>
            <w:tcW w:w="0" w:type="auto"/>
            <w:shd w:val="clear" w:color="auto" w:fill="auto"/>
            <w:tcMar>
              <w:top w:w="40" w:type="dxa"/>
              <w:left w:w="40" w:type="dxa"/>
              <w:bottom w:w="40" w:type="dxa"/>
              <w:right w:w="40" w:type="dxa"/>
            </w:tcMar>
            <w:vAlign w:val="bottom"/>
          </w:tcPr>
          <w:p w14:paraId="4ACE2AD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4ACE2AE0" w14:textId="77777777" w:rsidR="006F587A" w:rsidRDefault="007B2B61">
            <w:pPr>
              <w:jc w:val="right"/>
              <w:textAlignment w:val="center"/>
              <w:rPr>
                <w:rFonts w:ascii="Times New Roman" w:hAnsi="Times New Roman"/>
                <w:sz w:val="18"/>
                <w:szCs w:val="18"/>
              </w:rPr>
            </w:pPr>
            <w:r>
              <w:rPr>
                <w:rFonts w:ascii="Arial" w:eastAsia="宋体" w:hAnsi="Arial" w:cs="Arial"/>
                <w:color w:val="0071C5"/>
                <w:sz w:val="18"/>
                <w:szCs w:val="18"/>
              </w:rPr>
              <w:t>down</w:t>
            </w:r>
          </w:p>
        </w:tc>
        <w:tc>
          <w:tcPr>
            <w:tcW w:w="0" w:type="auto"/>
            <w:shd w:val="clear" w:color="auto" w:fill="auto"/>
            <w:tcMar>
              <w:top w:w="40" w:type="dxa"/>
              <w:left w:w="40" w:type="dxa"/>
              <w:bottom w:w="40" w:type="dxa"/>
              <w:right w:w="40" w:type="dxa"/>
            </w:tcMar>
            <w:vAlign w:val="center"/>
          </w:tcPr>
          <w:p w14:paraId="4ACE2AE1" w14:textId="77777777" w:rsidR="006F587A" w:rsidRDefault="007B2B61">
            <w:pPr>
              <w:textAlignment w:val="center"/>
              <w:rPr>
                <w:rFonts w:ascii="Times New Roman" w:hAnsi="Times New Roman"/>
                <w:sz w:val="18"/>
                <w:szCs w:val="18"/>
              </w:rPr>
            </w:pPr>
            <w:r>
              <w:rPr>
                <w:rFonts w:ascii="Arial" w:eastAsia="宋体" w:hAnsi="Arial" w:cs="Arial"/>
                <w:color w:val="0071C5"/>
                <w:sz w:val="18"/>
                <w:szCs w:val="18"/>
              </w:rPr>
              <w:t>(6)%</w:t>
            </w:r>
          </w:p>
        </w:tc>
        <w:tc>
          <w:tcPr>
            <w:tcW w:w="0" w:type="auto"/>
            <w:shd w:val="clear" w:color="auto" w:fill="auto"/>
            <w:tcMar>
              <w:top w:w="40" w:type="dxa"/>
              <w:left w:w="40" w:type="dxa"/>
              <w:bottom w:w="40" w:type="dxa"/>
              <w:right w:w="40" w:type="dxa"/>
            </w:tcMar>
            <w:vAlign w:val="bottom"/>
          </w:tcPr>
          <w:p w14:paraId="4ACE2AE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ACE2AE3" w14:textId="77777777" w:rsidR="006F587A" w:rsidRDefault="007B2B61">
            <w:pPr>
              <w:textAlignment w:val="center"/>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center"/>
          </w:tcPr>
          <w:p w14:paraId="4ACE2AE4" w14:textId="77777777" w:rsidR="006F587A" w:rsidRDefault="007B2B61">
            <w:pPr>
              <w:jc w:val="right"/>
              <w:textAlignment w:val="center"/>
              <w:rPr>
                <w:rFonts w:ascii="Times New Roman" w:hAnsi="Times New Roman"/>
                <w:sz w:val="18"/>
                <w:szCs w:val="18"/>
              </w:rPr>
            </w:pPr>
            <w:r>
              <w:rPr>
                <w:rFonts w:ascii="Arial" w:eastAsia="宋体" w:hAnsi="Arial" w:cs="Arial"/>
                <w:color w:val="0071C5"/>
                <w:sz w:val="18"/>
                <w:szCs w:val="18"/>
              </w:rPr>
              <w:t>(705</w:t>
            </w:r>
          </w:p>
        </w:tc>
        <w:tc>
          <w:tcPr>
            <w:tcW w:w="0" w:type="auto"/>
            <w:shd w:val="clear" w:color="auto" w:fill="auto"/>
            <w:tcMar>
              <w:top w:w="40" w:type="dxa"/>
              <w:bottom w:w="40" w:type="dxa"/>
              <w:right w:w="40" w:type="dxa"/>
            </w:tcMar>
            <w:vAlign w:val="center"/>
          </w:tcPr>
          <w:p w14:paraId="4ACE2AE5" w14:textId="77777777" w:rsidR="006F587A" w:rsidRDefault="007B2B61">
            <w:pPr>
              <w:textAlignment w:val="center"/>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2AE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4ACE2AE7" w14:textId="77777777" w:rsidR="006F587A" w:rsidRDefault="007B2B61">
            <w:pPr>
              <w:jc w:val="right"/>
              <w:textAlignment w:val="center"/>
              <w:rPr>
                <w:rFonts w:ascii="Times New Roman" w:hAnsi="Times New Roman"/>
                <w:sz w:val="18"/>
                <w:szCs w:val="18"/>
              </w:rPr>
            </w:pPr>
            <w:r>
              <w:rPr>
                <w:rFonts w:ascii="Arial" w:eastAsia="宋体" w:hAnsi="Arial" w:cs="Arial"/>
                <w:color w:val="333333"/>
                <w:sz w:val="18"/>
                <w:szCs w:val="18"/>
              </w:rPr>
              <w:t>down</w:t>
            </w:r>
          </w:p>
        </w:tc>
        <w:tc>
          <w:tcPr>
            <w:tcW w:w="0" w:type="auto"/>
            <w:shd w:val="clear" w:color="auto" w:fill="auto"/>
            <w:tcMar>
              <w:top w:w="40" w:type="dxa"/>
              <w:left w:w="40" w:type="dxa"/>
              <w:bottom w:w="40" w:type="dxa"/>
              <w:right w:w="40" w:type="dxa"/>
            </w:tcMar>
            <w:vAlign w:val="center"/>
          </w:tcPr>
          <w:p w14:paraId="4ACE2AE8" w14:textId="77777777" w:rsidR="006F587A" w:rsidRDefault="007B2B61">
            <w:pPr>
              <w:textAlignment w:val="center"/>
              <w:rPr>
                <w:rFonts w:ascii="Times New Roman" w:hAnsi="Times New Roman"/>
                <w:sz w:val="18"/>
                <w:szCs w:val="18"/>
              </w:rPr>
            </w:pPr>
            <w:r>
              <w:rPr>
                <w:rFonts w:ascii="Arial" w:eastAsia="宋体" w:hAnsi="Arial" w:cs="Arial"/>
                <w:color w:val="333333"/>
                <w:sz w:val="18"/>
                <w:szCs w:val="18"/>
              </w:rPr>
              <w:t>(6)%</w:t>
            </w:r>
          </w:p>
        </w:tc>
        <w:tc>
          <w:tcPr>
            <w:tcW w:w="0" w:type="auto"/>
            <w:shd w:val="clear" w:color="auto" w:fill="auto"/>
            <w:tcMar>
              <w:top w:w="40" w:type="dxa"/>
              <w:left w:w="40" w:type="dxa"/>
              <w:bottom w:w="40" w:type="dxa"/>
              <w:right w:w="40" w:type="dxa"/>
            </w:tcMar>
            <w:vAlign w:val="bottom"/>
          </w:tcPr>
          <w:p w14:paraId="4ACE2AE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ACE2AEA" w14:textId="77777777" w:rsidR="006F587A" w:rsidRDefault="007B2B61">
            <w:pPr>
              <w:textAlignment w:val="center"/>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center"/>
          </w:tcPr>
          <w:p w14:paraId="4ACE2AEB" w14:textId="77777777" w:rsidR="006F587A" w:rsidRDefault="007B2B61">
            <w:pPr>
              <w:jc w:val="right"/>
              <w:textAlignment w:val="center"/>
              <w:rPr>
                <w:rFonts w:ascii="Times New Roman" w:hAnsi="Times New Roman"/>
                <w:sz w:val="18"/>
                <w:szCs w:val="18"/>
              </w:rPr>
            </w:pPr>
            <w:r>
              <w:rPr>
                <w:rFonts w:ascii="Arial" w:eastAsia="宋体" w:hAnsi="Arial" w:cs="Arial"/>
                <w:color w:val="333333"/>
                <w:sz w:val="18"/>
                <w:szCs w:val="18"/>
              </w:rPr>
              <w:t>(608</w:t>
            </w:r>
          </w:p>
        </w:tc>
        <w:tc>
          <w:tcPr>
            <w:tcW w:w="0" w:type="auto"/>
            <w:shd w:val="clear" w:color="auto" w:fill="auto"/>
            <w:tcMar>
              <w:top w:w="40" w:type="dxa"/>
              <w:bottom w:w="40" w:type="dxa"/>
              <w:right w:w="40" w:type="dxa"/>
            </w:tcMar>
            <w:vAlign w:val="center"/>
          </w:tcPr>
          <w:p w14:paraId="4ACE2AEC" w14:textId="77777777" w:rsidR="006F587A" w:rsidRDefault="007B2B61">
            <w:pPr>
              <w:textAlignment w:val="center"/>
              <w:rPr>
                <w:rFonts w:ascii="Times New Roman" w:hAnsi="Times New Roman"/>
                <w:sz w:val="18"/>
                <w:szCs w:val="18"/>
              </w:rPr>
            </w:pPr>
            <w:r>
              <w:rPr>
                <w:rFonts w:ascii="Arial" w:eastAsia="宋体" w:hAnsi="Arial" w:cs="Arial"/>
                <w:color w:val="333333"/>
                <w:sz w:val="18"/>
                <w:szCs w:val="18"/>
              </w:rPr>
              <w:t>)</w:t>
            </w:r>
          </w:p>
        </w:tc>
      </w:tr>
      <w:tr w:rsidR="006F587A" w14:paraId="4ACE2AFB" w14:textId="77777777">
        <w:tc>
          <w:tcPr>
            <w:tcW w:w="0" w:type="auto"/>
            <w:shd w:val="clear" w:color="auto" w:fill="auto"/>
            <w:tcMar>
              <w:top w:w="40" w:type="dxa"/>
              <w:left w:w="40" w:type="dxa"/>
              <w:bottom w:w="40" w:type="dxa"/>
              <w:right w:w="40" w:type="dxa"/>
            </w:tcMar>
            <w:vAlign w:val="bottom"/>
          </w:tcPr>
          <w:p w14:paraId="4ACE2AEE"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Desktop platform ASP</w:t>
            </w:r>
          </w:p>
        </w:tc>
        <w:tc>
          <w:tcPr>
            <w:tcW w:w="0" w:type="auto"/>
            <w:shd w:val="clear" w:color="auto" w:fill="auto"/>
            <w:tcMar>
              <w:top w:w="40" w:type="dxa"/>
              <w:left w:w="40" w:type="dxa"/>
              <w:bottom w:w="40" w:type="dxa"/>
              <w:right w:w="40" w:type="dxa"/>
            </w:tcMar>
            <w:vAlign w:val="bottom"/>
          </w:tcPr>
          <w:p w14:paraId="4ACE2AE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4ACE2AF0" w14:textId="77777777" w:rsidR="006F587A" w:rsidRDefault="007B2B61">
            <w:pPr>
              <w:jc w:val="right"/>
              <w:textAlignment w:val="center"/>
              <w:rPr>
                <w:rFonts w:ascii="Times New Roman" w:hAnsi="Times New Roman"/>
                <w:sz w:val="18"/>
                <w:szCs w:val="18"/>
              </w:rPr>
            </w:pPr>
            <w:r>
              <w:rPr>
                <w:rFonts w:ascii="Arial" w:eastAsia="宋体" w:hAnsi="Arial" w:cs="Arial"/>
                <w:color w:val="0071C5"/>
                <w:sz w:val="18"/>
                <w:szCs w:val="18"/>
              </w:rPr>
              <w:t>up</w:t>
            </w:r>
          </w:p>
        </w:tc>
        <w:tc>
          <w:tcPr>
            <w:tcW w:w="0" w:type="auto"/>
            <w:shd w:val="clear" w:color="auto" w:fill="auto"/>
            <w:tcMar>
              <w:top w:w="40" w:type="dxa"/>
              <w:left w:w="40" w:type="dxa"/>
              <w:bottom w:w="40" w:type="dxa"/>
              <w:right w:w="40" w:type="dxa"/>
            </w:tcMar>
            <w:vAlign w:val="center"/>
          </w:tcPr>
          <w:p w14:paraId="4ACE2AF1" w14:textId="77777777" w:rsidR="006F587A" w:rsidRDefault="007B2B61">
            <w:pPr>
              <w:textAlignment w:val="center"/>
              <w:rPr>
                <w:rFonts w:ascii="Times New Roman" w:hAnsi="Times New Roman"/>
                <w:sz w:val="18"/>
                <w:szCs w:val="18"/>
              </w:rPr>
            </w:pPr>
            <w:r>
              <w:rPr>
                <w:rFonts w:ascii="Arial" w:eastAsia="宋体" w:hAnsi="Arial" w:cs="Arial"/>
                <w:color w:val="0071C5"/>
                <w:sz w:val="18"/>
                <w:szCs w:val="18"/>
              </w:rPr>
              <w:t>3%</w:t>
            </w:r>
          </w:p>
        </w:tc>
        <w:tc>
          <w:tcPr>
            <w:tcW w:w="0" w:type="auto"/>
            <w:shd w:val="clear" w:color="auto" w:fill="auto"/>
            <w:tcMar>
              <w:top w:w="40" w:type="dxa"/>
              <w:left w:w="40" w:type="dxa"/>
              <w:bottom w:w="40" w:type="dxa"/>
              <w:right w:w="40" w:type="dxa"/>
            </w:tcMar>
            <w:vAlign w:val="bottom"/>
          </w:tcPr>
          <w:p w14:paraId="4ACE2AF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ACE2AF3" w14:textId="77777777" w:rsidR="006F587A" w:rsidRDefault="007B2B61">
            <w:pPr>
              <w:jc w:val="right"/>
              <w:textAlignment w:val="center"/>
              <w:rPr>
                <w:rFonts w:ascii="Times New Roman" w:hAnsi="Times New Roman"/>
                <w:sz w:val="18"/>
                <w:szCs w:val="18"/>
              </w:rPr>
            </w:pPr>
            <w:r>
              <w:rPr>
                <w:rFonts w:ascii="Arial" w:eastAsia="宋体" w:hAnsi="Arial" w:cs="Arial"/>
                <w:color w:val="0071C5"/>
                <w:sz w:val="18"/>
                <w:szCs w:val="18"/>
              </w:rPr>
              <w:t>307</w:t>
            </w:r>
          </w:p>
        </w:tc>
        <w:tc>
          <w:tcPr>
            <w:tcW w:w="0" w:type="auto"/>
            <w:shd w:val="clear" w:color="auto" w:fill="auto"/>
            <w:vAlign w:val="bottom"/>
          </w:tcPr>
          <w:p w14:paraId="4ACE2AF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AF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4ACE2AF6" w14:textId="77777777" w:rsidR="006F587A" w:rsidRDefault="007B2B61">
            <w:pPr>
              <w:jc w:val="right"/>
              <w:textAlignment w:val="center"/>
              <w:rPr>
                <w:rFonts w:ascii="Times New Roman" w:hAnsi="Times New Roman"/>
                <w:sz w:val="18"/>
                <w:szCs w:val="18"/>
              </w:rPr>
            </w:pPr>
            <w:r>
              <w:rPr>
                <w:rFonts w:ascii="Arial" w:eastAsia="宋体" w:hAnsi="Arial" w:cs="Arial"/>
                <w:color w:val="333333"/>
                <w:sz w:val="18"/>
                <w:szCs w:val="18"/>
              </w:rPr>
              <w:t>up</w:t>
            </w:r>
          </w:p>
        </w:tc>
        <w:tc>
          <w:tcPr>
            <w:tcW w:w="0" w:type="auto"/>
            <w:shd w:val="clear" w:color="auto" w:fill="auto"/>
            <w:tcMar>
              <w:top w:w="40" w:type="dxa"/>
              <w:left w:w="40" w:type="dxa"/>
              <w:bottom w:w="40" w:type="dxa"/>
              <w:right w:w="40" w:type="dxa"/>
            </w:tcMar>
            <w:vAlign w:val="center"/>
          </w:tcPr>
          <w:p w14:paraId="4ACE2AF7" w14:textId="77777777" w:rsidR="006F587A" w:rsidRDefault="007B2B61">
            <w:pPr>
              <w:textAlignment w:val="center"/>
              <w:rPr>
                <w:rFonts w:ascii="Times New Roman" w:hAnsi="Times New Roman"/>
                <w:sz w:val="18"/>
                <w:szCs w:val="18"/>
              </w:rPr>
            </w:pPr>
            <w:r>
              <w:rPr>
                <w:rFonts w:ascii="Arial" w:eastAsia="宋体" w:hAnsi="Arial" w:cs="Arial"/>
                <w:color w:val="333333"/>
                <w:sz w:val="18"/>
                <w:szCs w:val="18"/>
              </w:rPr>
              <w:t>11%</w:t>
            </w:r>
          </w:p>
        </w:tc>
        <w:tc>
          <w:tcPr>
            <w:tcW w:w="0" w:type="auto"/>
            <w:shd w:val="clear" w:color="auto" w:fill="auto"/>
            <w:tcMar>
              <w:top w:w="40" w:type="dxa"/>
              <w:left w:w="40" w:type="dxa"/>
              <w:bottom w:w="40" w:type="dxa"/>
              <w:right w:w="40" w:type="dxa"/>
            </w:tcMar>
            <w:vAlign w:val="bottom"/>
          </w:tcPr>
          <w:p w14:paraId="4ACE2AF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ACE2AF9" w14:textId="77777777" w:rsidR="006F587A" w:rsidRDefault="007B2B61">
            <w:pPr>
              <w:jc w:val="right"/>
              <w:textAlignment w:val="center"/>
              <w:rPr>
                <w:rFonts w:ascii="Times New Roman" w:hAnsi="Times New Roman"/>
                <w:sz w:val="18"/>
                <w:szCs w:val="18"/>
              </w:rPr>
            </w:pPr>
            <w:r>
              <w:rPr>
                <w:rFonts w:ascii="Arial" w:eastAsia="宋体" w:hAnsi="Arial" w:cs="Arial"/>
                <w:color w:val="333333"/>
                <w:sz w:val="18"/>
                <w:szCs w:val="18"/>
              </w:rPr>
              <w:t>1,181</w:t>
            </w:r>
          </w:p>
        </w:tc>
        <w:tc>
          <w:tcPr>
            <w:tcW w:w="0" w:type="auto"/>
            <w:shd w:val="clear" w:color="auto" w:fill="auto"/>
            <w:vAlign w:val="bottom"/>
          </w:tcPr>
          <w:p w14:paraId="4ACE2AFA" w14:textId="77777777" w:rsidR="006F587A" w:rsidRDefault="006F587A">
            <w:pPr>
              <w:textAlignment w:val="bottom"/>
              <w:rPr>
                <w:rFonts w:ascii="Times New Roman" w:hAnsi="Times New Roman"/>
                <w:sz w:val="20"/>
                <w:szCs w:val="20"/>
              </w:rPr>
            </w:pPr>
          </w:p>
        </w:tc>
      </w:tr>
      <w:tr w:rsidR="006F587A" w14:paraId="4ACE2B09" w14:textId="77777777">
        <w:tc>
          <w:tcPr>
            <w:tcW w:w="0" w:type="auto"/>
            <w:shd w:val="clear" w:color="auto" w:fill="auto"/>
            <w:tcMar>
              <w:top w:w="40" w:type="dxa"/>
              <w:left w:w="40" w:type="dxa"/>
              <w:bottom w:w="40" w:type="dxa"/>
              <w:right w:w="40" w:type="dxa"/>
            </w:tcMar>
            <w:vAlign w:val="bottom"/>
          </w:tcPr>
          <w:p w14:paraId="4ACE2AF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Notebook platform volume</w:t>
            </w:r>
          </w:p>
        </w:tc>
        <w:tc>
          <w:tcPr>
            <w:tcW w:w="0" w:type="auto"/>
            <w:shd w:val="clear" w:color="auto" w:fill="auto"/>
            <w:tcMar>
              <w:top w:w="40" w:type="dxa"/>
              <w:left w:w="40" w:type="dxa"/>
              <w:bottom w:w="40" w:type="dxa"/>
              <w:right w:w="40" w:type="dxa"/>
            </w:tcMar>
            <w:vAlign w:val="bottom"/>
          </w:tcPr>
          <w:p w14:paraId="4ACE2AF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4ACE2AFE" w14:textId="77777777" w:rsidR="006F587A" w:rsidRDefault="007B2B61">
            <w:pPr>
              <w:jc w:val="right"/>
              <w:textAlignment w:val="center"/>
              <w:rPr>
                <w:rFonts w:ascii="Times New Roman" w:hAnsi="Times New Roman"/>
                <w:sz w:val="18"/>
                <w:szCs w:val="18"/>
              </w:rPr>
            </w:pPr>
            <w:r>
              <w:rPr>
                <w:rFonts w:ascii="Arial" w:eastAsia="宋体" w:hAnsi="Arial" w:cs="Arial"/>
                <w:color w:val="0071C5"/>
                <w:sz w:val="18"/>
                <w:szCs w:val="18"/>
              </w:rPr>
              <w:t>down</w:t>
            </w:r>
          </w:p>
        </w:tc>
        <w:tc>
          <w:tcPr>
            <w:tcW w:w="0" w:type="auto"/>
            <w:shd w:val="clear" w:color="auto" w:fill="auto"/>
            <w:tcMar>
              <w:top w:w="40" w:type="dxa"/>
              <w:left w:w="40" w:type="dxa"/>
              <w:bottom w:w="40" w:type="dxa"/>
              <w:right w:w="40" w:type="dxa"/>
            </w:tcMar>
            <w:vAlign w:val="center"/>
          </w:tcPr>
          <w:p w14:paraId="4ACE2AFF" w14:textId="77777777" w:rsidR="006F587A" w:rsidRDefault="007B2B61">
            <w:pPr>
              <w:textAlignment w:val="center"/>
              <w:rPr>
                <w:rFonts w:ascii="Times New Roman" w:hAnsi="Times New Roman"/>
                <w:sz w:val="18"/>
                <w:szCs w:val="18"/>
              </w:rPr>
            </w:pPr>
            <w:r>
              <w:rPr>
                <w:rFonts w:ascii="Arial" w:eastAsia="宋体" w:hAnsi="Arial" w:cs="Arial"/>
                <w:color w:val="0071C5"/>
                <w:sz w:val="18"/>
                <w:szCs w:val="18"/>
              </w:rPr>
              <w:t>(5)%</w:t>
            </w:r>
          </w:p>
        </w:tc>
        <w:tc>
          <w:tcPr>
            <w:tcW w:w="0" w:type="auto"/>
            <w:shd w:val="clear" w:color="auto" w:fill="auto"/>
            <w:tcMar>
              <w:top w:w="40" w:type="dxa"/>
              <w:left w:w="40" w:type="dxa"/>
              <w:bottom w:w="40" w:type="dxa"/>
              <w:right w:w="40" w:type="dxa"/>
            </w:tcMar>
            <w:vAlign w:val="bottom"/>
          </w:tcPr>
          <w:p w14:paraId="4ACE2B0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ACE2B01" w14:textId="77777777" w:rsidR="006F587A" w:rsidRDefault="007B2B61">
            <w:pPr>
              <w:jc w:val="right"/>
              <w:textAlignment w:val="center"/>
              <w:rPr>
                <w:rFonts w:ascii="Times New Roman" w:hAnsi="Times New Roman"/>
                <w:sz w:val="18"/>
                <w:szCs w:val="18"/>
              </w:rPr>
            </w:pPr>
            <w:r>
              <w:rPr>
                <w:rFonts w:ascii="Arial" w:eastAsia="宋体" w:hAnsi="Arial" w:cs="Arial"/>
                <w:color w:val="0071C5"/>
                <w:sz w:val="18"/>
                <w:szCs w:val="18"/>
              </w:rPr>
              <w:t>(1,080</w:t>
            </w:r>
          </w:p>
        </w:tc>
        <w:tc>
          <w:tcPr>
            <w:tcW w:w="0" w:type="auto"/>
            <w:shd w:val="clear" w:color="auto" w:fill="auto"/>
            <w:tcMar>
              <w:top w:w="40" w:type="dxa"/>
              <w:bottom w:w="40" w:type="dxa"/>
              <w:right w:w="40" w:type="dxa"/>
            </w:tcMar>
            <w:vAlign w:val="center"/>
          </w:tcPr>
          <w:p w14:paraId="4ACE2B02" w14:textId="77777777" w:rsidR="006F587A" w:rsidRDefault="007B2B61">
            <w:pPr>
              <w:textAlignment w:val="center"/>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2B0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4ACE2B04" w14:textId="77777777" w:rsidR="006F587A" w:rsidRDefault="007B2B61">
            <w:pPr>
              <w:jc w:val="right"/>
              <w:textAlignment w:val="center"/>
              <w:rPr>
                <w:rFonts w:ascii="Times New Roman" w:hAnsi="Times New Roman"/>
                <w:sz w:val="18"/>
                <w:szCs w:val="18"/>
              </w:rPr>
            </w:pPr>
            <w:r>
              <w:rPr>
                <w:rFonts w:ascii="Arial" w:eastAsia="宋体" w:hAnsi="Arial" w:cs="Arial"/>
                <w:color w:val="333333"/>
                <w:sz w:val="18"/>
                <w:szCs w:val="18"/>
              </w:rPr>
              <w:t>up</w:t>
            </w:r>
          </w:p>
        </w:tc>
        <w:tc>
          <w:tcPr>
            <w:tcW w:w="0" w:type="auto"/>
            <w:shd w:val="clear" w:color="auto" w:fill="auto"/>
            <w:tcMar>
              <w:top w:w="40" w:type="dxa"/>
              <w:left w:w="40" w:type="dxa"/>
              <w:bottom w:w="40" w:type="dxa"/>
              <w:right w:w="40" w:type="dxa"/>
            </w:tcMar>
            <w:vAlign w:val="center"/>
          </w:tcPr>
          <w:p w14:paraId="4ACE2B05" w14:textId="77777777" w:rsidR="006F587A" w:rsidRDefault="007B2B61">
            <w:pPr>
              <w:textAlignment w:val="center"/>
              <w:rPr>
                <w:rFonts w:ascii="Times New Roman" w:hAnsi="Times New Roman"/>
                <w:sz w:val="18"/>
                <w:szCs w:val="18"/>
              </w:rPr>
            </w:pPr>
            <w:r>
              <w:rPr>
                <w:rFonts w:ascii="Arial" w:eastAsia="宋体" w:hAnsi="Arial" w:cs="Arial"/>
                <w:color w:val="333333"/>
                <w:sz w:val="18"/>
                <w:szCs w:val="18"/>
              </w:rPr>
              <w:t>4%</w:t>
            </w:r>
          </w:p>
        </w:tc>
        <w:tc>
          <w:tcPr>
            <w:tcW w:w="0" w:type="auto"/>
            <w:shd w:val="clear" w:color="auto" w:fill="auto"/>
            <w:tcMar>
              <w:top w:w="40" w:type="dxa"/>
              <w:left w:w="40" w:type="dxa"/>
              <w:bottom w:w="40" w:type="dxa"/>
              <w:right w:w="40" w:type="dxa"/>
            </w:tcMar>
            <w:vAlign w:val="bottom"/>
          </w:tcPr>
          <w:p w14:paraId="4ACE2B0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ACE2B07" w14:textId="77777777" w:rsidR="006F587A" w:rsidRDefault="007B2B61">
            <w:pPr>
              <w:jc w:val="right"/>
              <w:textAlignment w:val="center"/>
              <w:rPr>
                <w:rFonts w:ascii="Times New Roman" w:hAnsi="Times New Roman"/>
                <w:sz w:val="18"/>
                <w:szCs w:val="18"/>
              </w:rPr>
            </w:pPr>
            <w:r>
              <w:rPr>
                <w:rFonts w:ascii="Arial" w:eastAsia="宋体" w:hAnsi="Arial" w:cs="Arial"/>
                <w:color w:val="333333"/>
                <w:sz w:val="18"/>
                <w:szCs w:val="18"/>
              </w:rPr>
              <w:t>839</w:t>
            </w:r>
          </w:p>
        </w:tc>
        <w:tc>
          <w:tcPr>
            <w:tcW w:w="0" w:type="auto"/>
            <w:shd w:val="clear" w:color="auto" w:fill="auto"/>
            <w:vAlign w:val="bottom"/>
          </w:tcPr>
          <w:p w14:paraId="4ACE2B08" w14:textId="77777777" w:rsidR="006F587A" w:rsidRDefault="006F587A">
            <w:pPr>
              <w:textAlignment w:val="bottom"/>
              <w:rPr>
                <w:rFonts w:ascii="Times New Roman" w:hAnsi="Times New Roman"/>
                <w:sz w:val="20"/>
                <w:szCs w:val="20"/>
              </w:rPr>
            </w:pPr>
          </w:p>
        </w:tc>
      </w:tr>
      <w:tr w:rsidR="006F587A" w14:paraId="4ACE2B17" w14:textId="77777777">
        <w:tc>
          <w:tcPr>
            <w:tcW w:w="0" w:type="auto"/>
            <w:shd w:val="clear" w:color="auto" w:fill="auto"/>
            <w:tcMar>
              <w:top w:w="40" w:type="dxa"/>
              <w:left w:w="40" w:type="dxa"/>
              <w:bottom w:w="40" w:type="dxa"/>
              <w:right w:w="40" w:type="dxa"/>
            </w:tcMar>
            <w:vAlign w:val="bottom"/>
          </w:tcPr>
          <w:p w14:paraId="4ACE2B0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Notebook platform ASP</w:t>
            </w:r>
          </w:p>
        </w:tc>
        <w:tc>
          <w:tcPr>
            <w:tcW w:w="0" w:type="auto"/>
            <w:shd w:val="clear" w:color="auto" w:fill="auto"/>
            <w:tcMar>
              <w:top w:w="40" w:type="dxa"/>
              <w:left w:w="40" w:type="dxa"/>
              <w:bottom w:w="40" w:type="dxa"/>
              <w:right w:w="40" w:type="dxa"/>
            </w:tcMar>
            <w:vAlign w:val="bottom"/>
          </w:tcPr>
          <w:p w14:paraId="4ACE2B0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4ACE2B0C" w14:textId="77777777" w:rsidR="006F587A" w:rsidRDefault="007B2B61">
            <w:pPr>
              <w:jc w:val="right"/>
              <w:textAlignment w:val="center"/>
              <w:rPr>
                <w:rFonts w:ascii="Times New Roman" w:hAnsi="Times New Roman"/>
                <w:sz w:val="18"/>
                <w:szCs w:val="18"/>
              </w:rPr>
            </w:pPr>
            <w:r>
              <w:rPr>
                <w:rFonts w:ascii="Arial" w:eastAsia="宋体" w:hAnsi="Arial" w:cs="Arial"/>
                <w:color w:val="0071C5"/>
                <w:sz w:val="18"/>
                <w:szCs w:val="18"/>
              </w:rPr>
              <w:t>up</w:t>
            </w:r>
          </w:p>
        </w:tc>
        <w:tc>
          <w:tcPr>
            <w:tcW w:w="0" w:type="auto"/>
            <w:shd w:val="clear" w:color="auto" w:fill="auto"/>
            <w:tcMar>
              <w:top w:w="40" w:type="dxa"/>
              <w:left w:w="40" w:type="dxa"/>
              <w:bottom w:w="40" w:type="dxa"/>
              <w:right w:w="40" w:type="dxa"/>
            </w:tcMar>
            <w:vAlign w:val="center"/>
          </w:tcPr>
          <w:p w14:paraId="4ACE2B0D" w14:textId="77777777" w:rsidR="006F587A" w:rsidRDefault="007B2B61">
            <w:pPr>
              <w:textAlignment w:val="center"/>
              <w:rPr>
                <w:rFonts w:ascii="Times New Roman" w:hAnsi="Times New Roman"/>
                <w:sz w:val="18"/>
                <w:szCs w:val="18"/>
              </w:rPr>
            </w:pPr>
            <w:r>
              <w:rPr>
                <w:rFonts w:ascii="Arial" w:eastAsia="宋体" w:hAnsi="Arial" w:cs="Arial"/>
                <w:color w:val="0071C5"/>
                <w:sz w:val="18"/>
                <w:szCs w:val="18"/>
              </w:rPr>
              <w:t>5%</w:t>
            </w:r>
          </w:p>
        </w:tc>
        <w:tc>
          <w:tcPr>
            <w:tcW w:w="0" w:type="auto"/>
            <w:shd w:val="clear" w:color="auto" w:fill="auto"/>
            <w:tcMar>
              <w:top w:w="40" w:type="dxa"/>
              <w:left w:w="40" w:type="dxa"/>
              <w:bottom w:w="40" w:type="dxa"/>
              <w:right w:w="40" w:type="dxa"/>
            </w:tcMar>
            <w:vAlign w:val="bottom"/>
          </w:tcPr>
          <w:p w14:paraId="4ACE2B0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ACE2B0F" w14:textId="77777777" w:rsidR="006F587A" w:rsidRDefault="007B2B61">
            <w:pPr>
              <w:jc w:val="right"/>
              <w:textAlignment w:val="center"/>
              <w:rPr>
                <w:rFonts w:ascii="Times New Roman" w:hAnsi="Times New Roman"/>
                <w:sz w:val="18"/>
                <w:szCs w:val="18"/>
              </w:rPr>
            </w:pPr>
            <w:r>
              <w:rPr>
                <w:rFonts w:ascii="Arial" w:eastAsia="宋体" w:hAnsi="Arial" w:cs="Arial"/>
                <w:color w:val="0071C5"/>
                <w:sz w:val="18"/>
                <w:szCs w:val="18"/>
              </w:rPr>
              <w:t>929</w:t>
            </w:r>
          </w:p>
        </w:tc>
        <w:tc>
          <w:tcPr>
            <w:tcW w:w="0" w:type="auto"/>
            <w:shd w:val="clear" w:color="auto" w:fill="auto"/>
            <w:vAlign w:val="bottom"/>
          </w:tcPr>
          <w:p w14:paraId="4ACE2B1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B1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4ACE2B12" w14:textId="77777777" w:rsidR="006F587A" w:rsidRDefault="007B2B61">
            <w:pPr>
              <w:jc w:val="right"/>
              <w:textAlignment w:val="center"/>
              <w:rPr>
                <w:rFonts w:ascii="Times New Roman" w:hAnsi="Times New Roman"/>
                <w:sz w:val="18"/>
                <w:szCs w:val="18"/>
              </w:rPr>
            </w:pPr>
            <w:r>
              <w:rPr>
                <w:rFonts w:ascii="Arial" w:eastAsia="宋体" w:hAnsi="Arial" w:cs="Arial"/>
                <w:color w:val="333333"/>
                <w:sz w:val="18"/>
                <w:szCs w:val="18"/>
              </w:rPr>
              <w:t>up</w:t>
            </w:r>
          </w:p>
        </w:tc>
        <w:tc>
          <w:tcPr>
            <w:tcW w:w="0" w:type="auto"/>
            <w:shd w:val="clear" w:color="auto" w:fill="auto"/>
            <w:tcMar>
              <w:top w:w="40" w:type="dxa"/>
              <w:left w:w="40" w:type="dxa"/>
              <w:bottom w:w="40" w:type="dxa"/>
              <w:right w:w="40" w:type="dxa"/>
            </w:tcMar>
            <w:vAlign w:val="center"/>
          </w:tcPr>
          <w:p w14:paraId="4ACE2B13" w14:textId="77777777" w:rsidR="006F587A" w:rsidRDefault="007B2B61">
            <w:pPr>
              <w:textAlignment w:val="center"/>
              <w:rPr>
                <w:rFonts w:ascii="Times New Roman" w:hAnsi="Times New Roman"/>
                <w:sz w:val="18"/>
                <w:szCs w:val="18"/>
              </w:rPr>
            </w:pPr>
            <w:r>
              <w:rPr>
                <w:rFonts w:ascii="Arial" w:eastAsia="宋体" w:hAnsi="Arial" w:cs="Arial"/>
                <w:color w:val="333333"/>
                <w:sz w:val="18"/>
                <w:szCs w:val="18"/>
              </w:rPr>
              <w:t>3%</w:t>
            </w:r>
          </w:p>
        </w:tc>
        <w:tc>
          <w:tcPr>
            <w:tcW w:w="0" w:type="auto"/>
            <w:shd w:val="clear" w:color="auto" w:fill="auto"/>
            <w:tcMar>
              <w:top w:w="40" w:type="dxa"/>
              <w:left w:w="40" w:type="dxa"/>
              <w:bottom w:w="40" w:type="dxa"/>
              <w:right w:w="40" w:type="dxa"/>
            </w:tcMar>
            <w:vAlign w:val="bottom"/>
          </w:tcPr>
          <w:p w14:paraId="4ACE2B1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ACE2B15" w14:textId="77777777" w:rsidR="006F587A" w:rsidRDefault="007B2B61">
            <w:pPr>
              <w:jc w:val="right"/>
              <w:textAlignment w:val="center"/>
              <w:rPr>
                <w:rFonts w:ascii="Times New Roman" w:hAnsi="Times New Roman"/>
                <w:sz w:val="18"/>
                <w:szCs w:val="18"/>
              </w:rPr>
            </w:pPr>
            <w:r>
              <w:rPr>
                <w:rFonts w:ascii="Arial" w:eastAsia="宋体" w:hAnsi="Arial" w:cs="Arial"/>
                <w:color w:val="333333"/>
                <w:sz w:val="18"/>
                <w:szCs w:val="18"/>
              </w:rPr>
              <w:t>677</w:t>
            </w:r>
          </w:p>
        </w:tc>
        <w:tc>
          <w:tcPr>
            <w:tcW w:w="0" w:type="auto"/>
            <w:shd w:val="clear" w:color="auto" w:fill="auto"/>
            <w:vAlign w:val="bottom"/>
          </w:tcPr>
          <w:p w14:paraId="4ACE2B16" w14:textId="77777777" w:rsidR="006F587A" w:rsidRDefault="006F587A">
            <w:pPr>
              <w:textAlignment w:val="bottom"/>
              <w:rPr>
                <w:rFonts w:ascii="Times New Roman" w:hAnsi="Times New Roman"/>
                <w:sz w:val="20"/>
                <w:szCs w:val="20"/>
              </w:rPr>
            </w:pPr>
          </w:p>
        </w:tc>
      </w:tr>
      <w:tr w:rsidR="006F587A" w14:paraId="4ACE2B25" w14:textId="77777777">
        <w:tc>
          <w:tcPr>
            <w:tcW w:w="0" w:type="auto"/>
            <w:shd w:val="clear" w:color="auto" w:fill="auto"/>
            <w:tcMar>
              <w:top w:w="40" w:type="dxa"/>
              <w:left w:w="40" w:type="dxa"/>
              <w:bottom w:w="40" w:type="dxa"/>
              <w:right w:w="40" w:type="dxa"/>
            </w:tcMar>
            <w:vAlign w:val="bottom"/>
          </w:tcPr>
          <w:p w14:paraId="4ACE2B1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Adjacent products and other</w:t>
            </w:r>
          </w:p>
        </w:tc>
        <w:tc>
          <w:tcPr>
            <w:tcW w:w="0" w:type="auto"/>
            <w:shd w:val="clear" w:color="auto" w:fill="auto"/>
            <w:tcMar>
              <w:top w:w="40" w:type="dxa"/>
              <w:left w:w="40" w:type="dxa"/>
              <w:bottom w:w="40" w:type="dxa"/>
              <w:right w:w="40" w:type="dxa"/>
            </w:tcMar>
            <w:vAlign w:val="bottom"/>
          </w:tcPr>
          <w:p w14:paraId="4ACE2B1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B1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B1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B1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ACE2B1D" w14:textId="77777777" w:rsidR="006F587A" w:rsidRDefault="007B2B61">
            <w:pPr>
              <w:jc w:val="right"/>
              <w:textAlignment w:val="center"/>
              <w:rPr>
                <w:rFonts w:ascii="Times New Roman" w:hAnsi="Times New Roman"/>
                <w:sz w:val="18"/>
                <w:szCs w:val="18"/>
              </w:rPr>
            </w:pPr>
            <w:r>
              <w:rPr>
                <w:rFonts w:ascii="Arial" w:eastAsia="宋体" w:hAnsi="Arial" w:cs="Arial"/>
                <w:color w:val="0071C5"/>
                <w:sz w:val="18"/>
                <w:szCs w:val="18"/>
              </w:rPr>
              <w:t>691</w:t>
            </w:r>
          </w:p>
        </w:tc>
        <w:tc>
          <w:tcPr>
            <w:tcW w:w="0" w:type="auto"/>
            <w:shd w:val="clear" w:color="auto" w:fill="auto"/>
            <w:vAlign w:val="bottom"/>
          </w:tcPr>
          <w:p w14:paraId="4ACE2B1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B1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B2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B2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B2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ACE2B23" w14:textId="77777777" w:rsidR="006F587A" w:rsidRDefault="007B2B61">
            <w:pPr>
              <w:jc w:val="right"/>
              <w:textAlignment w:val="center"/>
              <w:rPr>
                <w:rFonts w:ascii="Times New Roman" w:hAnsi="Times New Roman"/>
                <w:sz w:val="18"/>
                <w:szCs w:val="18"/>
              </w:rPr>
            </w:pPr>
            <w:r>
              <w:rPr>
                <w:rFonts w:ascii="Arial" w:eastAsia="宋体" w:hAnsi="Arial" w:cs="Arial"/>
                <w:color w:val="333333"/>
                <w:sz w:val="18"/>
                <w:szCs w:val="18"/>
              </w:rPr>
              <w:t>912</w:t>
            </w:r>
          </w:p>
        </w:tc>
        <w:tc>
          <w:tcPr>
            <w:tcW w:w="0" w:type="auto"/>
            <w:shd w:val="clear" w:color="auto" w:fill="auto"/>
            <w:vAlign w:val="bottom"/>
          </w:tcPr>
          <w:p w14:paraId="4ACE2B24" w14:textId="77777777" w:rsidR="006F587A" w:rsidRDefault="006F587A">
            <w:pPr>
              <w:textAlignment w:val="bottom"/>
              <w:rPr>
                <w:rFonts w:ascii="Times New Roman" w:hAnsi="Times New Roman"/>
                <w:sz w:val="20"/>
                <w:szCs w:val="20"/>
              </w:rPr>
            </w:pPr>
          </w:p>
        </w:tc>
      </w:tr>
      <w:tr w:rsidR="006F587A" w14:paraId="4ACE2B31" w14:textId="77777777">
        <w:tc>
          <w:tcPr>
            <w:tcW w:w="0" w:type="auto"/>
            <w:shd w:val="clear" w:color="auto" w:fill="auto"/>
            <w:tcMar>
              <w:top w:w="40" w:type="dxa"/>
              <w:left w:w="40" w:type="dxa"/>
              <w:bottom w:w="40" w:type="dxa"/>
              <w:right w:w="40" w:type="dxa"/>
            </w:tcMar>
            <w:vAlign w:val="bottom"/>
          </w:tcPr>
          <w:p w14:paraId="4ACE2B2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lastRenderedPageBreak/>
              <w:t> </w:t>
            </w:r>
          </w:p>
        </w:tc>
        <w:tc>
          <w:tcPr>
            <w:tcW w:w="0" w:type="auto"/>
            <w:shd w:val="clear" w:color="auto" w:fill="auto"/>
            <w:tcMar>
              <w:top w:w="40" w:type="dxa"/>
              <w:left w:w="40" w:type="dxa"/>
              <w:bottom w:w="40" w:type="dxa"/>
              <w:right w:w="40" w:type="dxa"/>
            </w:tcMar>
            <w:vAlign w:val="bottom"/>
          </w:tcPr>
          <w:p w14:paraId="4ACE2B2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B2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B2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B2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2B2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B2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B2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B2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B2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2B3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2B41" w14:textId="77777777">
        <w:tc>
          <w:tcPr>
            <w:tcW w:w="0" w:type="auto"/>
            <w:shd w:val="clear" w:color="auto" w:fill="auto"/>
            <w:tcMar>
              <w:top w:w="40" w:type="dxa"/>
              <w:left w:w="40" w:type="dxa"/>
              <w:bottom w:w="40" w:type="dxa"/>
              <w:right w:w="40" w:type="dxa"/>
            </w:tcMar>
            <w:vAlign w:val="bottom"/>
          </w:tcPr>
          <w:p w14:paraId="4ACE2B32"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Total change in revenue</w:t>
            </w:r>
          </w:p>
        </w:tc>
        <w:tc>
          <w:tcPr>
            <w:tcW w:w="0" w:type="auto"/>
            <w:shd w:val="clear" w:color="auto" w:fill="auto"/>
            <w:tcMar>
              <w:top w:w="40" w:type="dxa"/>
              <w:left w:w="40" w:type="dxa"/>
              <w:bottom w:w="40" w:type="dxa"/>
              <w:right w:w="40" w:type="dxa"/>
            </w:tcMar>
            <w:vAlign w:val="bottom"/>
          </w:tcPr>
          <w:p w14:paraId="4ACE2B3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B3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B3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B3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2B37"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2B38"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142</w:t>
            </w:r>
          </w:p>
        </w:tc>
        <w:tc>
          <w:tcPr>
            <w:tcW w:w="0" w:type="auto"/>
            <w:tcBorders>
              <w:top w:val="single" w:sz="8" w:space="0" w:color="333333"/>
              <w:bottom w:val="double" w:sz="6" w:space="0" w:color="333333"/>
            </w:tcBorders>
            <w:shd w:val="clear" w:color="auto" w:fill="auto"/>
            <w:vAlign w:val="bottom"/>
          </w:tcPr>
          <w:p w14:paraId="4ACE2B3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B3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B3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B3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B3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2B3E"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2B3F"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3,001</w:t>
            </w:r>
          </w:p>
        </w:tc>
        <w:tc>
          <w:tcPr>
            <w:tcW w:w="0" w:type="auto"/>
            <w:tcBorders>
              <w:top w:val="single" w:sz="8" w:space="0" w:color="333333"/>
              <w:bottom w:val="double" w:sz="6" w:space="0" w:color="333333"/>
            </w:tcBorders>
            <w:shd w:val="clear" w:color="auto" w:fill="auto"/>
            <w:vAlign w:val="bottom"/>
          </w:tcPr>
          <w:p w14:paraId="4ACE2B40" w14:textId="77777777" w:rsidR="006F587A" w:rsidRDefault="006F587A">
            <w:pPr>
              <w:textAlignment w:val="bottom"/>
              <w:rPr>
                <w:rFonts w:ascii="Times New Roman" w:hAnsi="Times New Roman"/>
                <w:sz w:val="20"/>
                <w:szCs w:val="20"/>
              </w:rPr>
            </w:pPr>
          </w:p>
        </w:tc>
      </w:tr>
    </w:tbl>
    <w:p w14:paraId="4ACE2B42" w14:textId="77777777" w:rsidR="006F587A" w:rsidRDefault="006F587A">
      <w:pPr>
        <w:rPr>
          <w:vanish/>
        </w:rPr>
      </w:pPr>
    </w:p>
    <w:tbl>
      <w:tblPr>
        <w:tblW w:w="5000" w:type="pct"/>
        <w:tblCellMar>
          <w:left w:w="0" w:type="dxa"/>
          <w:right w:w="0" w:type="dxa"/>
        </w:tblCellMar>
        <w:tblLook w:val="04A0" w:firstRow="1" w:lastRow="0" w:firstColumn="1" w:lastColumn="0" w:noHBand="0" w:noVBand="1"/>
      </w:tblPr>
      <w:tblGrid>
        <w:gridCol w:w="8306"/>
      </w:tblGrid>
      <w:tr w:rsidR="006F587A" w14:paraId="4ACE2B44" w14:textId="77777777">
        <w:tc>
          <w:tcPr>
            <w:tcW w:w="0" w:type="auto"/>
            <w:shd w:val="clear" w:color="auto" w:fill="auto"/>
            <w:vAlign w:val="center"/>
          </w:tcPr>
          <w:p w14:paraId="4ACE2B43" w14:textId="77777777" w:rsidR="006F587A" w:rsidRDefault="006F587A">
            <w:pPr>
              <w:rPr>
                <w:rFonts w:ascii="Times New Roman" w:hAnsi="Times New Roman"/>
                <w:sz w:val="20"/>
                <w:szCs w:val="20"/>
              </w:rPr>
            </w:pPr>
          </w:p>
        </w:tc>
      </w:tr>
      <w:tr w:rsidR="006F587A" w14:paraId="4ACE2B46" w14:textId="77777777">
        <w:tc>
          <w:tcPr>
            <w:tcW w:w="5000" w:type="pct"/>
            <w:shd w:val="clear" w:color="auto" w:fill="auto"/>
            <w:vAlign w:val="center"/>
          </w:tcPr>
          <w:p w14:paraId="4ACE2B45" w14:textId="77777777" w:rsidR="006F587A" w:rsidRDefault="006F587A">
            <w:pPr>
              <w:rPr>
                <w:rFonts w:ascii="Times New Roman" w:hAnsi="Times New Roman"/>
                <w:sz w:val="20"/>
                <w:szCs w:val="20"/>
              </w:rPr>
            </w:pPr>
          </w:p>
        </w:tc>
      </w:tr>
      <w:tr w:rsidR="006F587A" w14:paraId="4ACE2B48" w14:textId="77777777">
        <w:tc>
          <w:tcPr>
            <w:tcW w:w="0" w:type="auto"/>
            <w:tcBorders>
              <w:bottom w:val="single" w:sz="8" w:space="0" w:color="333333"/>
            </w:tcBorders>
            <w:shd w:val="clear" w:color="auto" w:fill="auto"/>
            <w:tcMar>
              <w:top w:w="40" w:type="dxa"/>
              <w:left w:w="40" w:type="dxa"/>
              <w:bottom w:w="40" w:type="dxa"/>
              <w:right w:w="40" w:type="dxa"/>
            </w:tcMar>
            <w:vAlign w:val="bottom"/>
          </w:tcPr>
          <w:p w14:paraId="4ACE2B47" w14:textId="77777777" w:rsidR="006F587A" w:rsidRDefault="007B2B61">
            <w:pPr>
              <w:textAlignment w:val="bottom"/>
              <w:rPr>
                <w:rFonts w:ascii="Times New Roman" w:hAnsi="Times New Roman"/>
                <w:sz w:val="20"/>
                <w:szCs w:val="20"/>
              </w:rPr>
            </w:pPr>
            <w:r>
              <w:rPr>
                <w:rFonts w:ascii="Arial" w:eastAsia="宋体" w:hAnsi="Arial" w:cs="Arial"/>
                <w:b/>
                <w:bCs/>
                <w:color w:val="0071C5"/>
                <w:sz w:val="20"/>
                <w:szCs w:val="20"/>
              </w:rPr>
              <w:t>OPERATING INCOME SUMMARY</w:t>
            </w:r>
          </w:p>
        </w:tc>
      </w:tr>
    </w:tbl>
    <w:p w14:paraId="4ACE2B49"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Operating income increased 7% year over year, and operating margin was 41% in 2019. </w:t>
      </w:r>
    </w:p>
    <w:tbl>
      <w:tblPr>
        <w:tblW w:w="5000" w:type="pct"/>
        <w:tblCellMar>
          <w:left w:w="0" w:type="dxa"/>
          <w:right w:w="0" w:type="dxa"/>
        </w:tblCellMar>
        <w:tblLook w:val="04A0" w:firstRow="1" w:lastRow="0" w:firstColumn="1" w:lastColumn="0" w:noHBand="0" w:noVBand="1"/>
      </w:tblPr>
      <w:tblGrid>
        <w:gridCol w:w="141"/>
        <w:gridCol w:w="770"/>
        <w:gridCol w:w="100"/>
        <w:gridCol w:w="130"/>
        <w:gridCol w:w="7165"/>
      </w:tblGrid>
      <w:tr w:rsidR="006F587A" w14:paraId="4ACE2B4B" w14:textId="77777777">
        <w:tc>
          <w:tcPr>
            <w:tcW w:w="0" w:type="auto"/>
            <w:gridSpan w:val="5"/>
            <w:shd w:val="clear" w:color="auto" w:fill="auto"/>
            <w:vAlign w:val="center"/>
          </w:tcPr>
          <w:p w14:paraId="4ACE2B4A" w14:textId="77777777" w:rsidR="006F587A" w:rsidRDefault="006F587A">
            <w:pPr>
              <w:rPr>
                <w:rFonts w:ascii="Times New Roman" w:hAnsi="Times New Roman"/>
                <w:sz w:val="20"/>
                <w:szCs w:val="20"/>
              </w:rPr>
            </w:pPr>
          </w:p>
        </w:tc>
      </w:tr>
      <w:tr w:rsidR="006F587A" w14:paraId="4ACE2B51" w14:textId="77777777">
        <w:tc>
          <w:tcPr>
            <w:tcW w:w="50" w:type="pct"/>
            <w:shd w:val="clear" w:color="auto" w:fill="auto"/>
            <w:vAlign w:val="center"/>
          </w:tcPr>
          <w:p w14:paraId="4ACE2B4C" w14:textId="77777777" w:rsidR="006F587A" w:rsidRDefault="006F587A">
            <w:pPr>
              <w:rPr>
                <w:rFonts w:ascii="Times New Roman" w:hAnsi="Times New Roman"/>
                <w:sz w:val="20"/>
                <w:szCs w:val="20"/>
              </w:rPr>
            </w:pPr>
          </w:p>
        </w:tc>
        <w:tc>
          <w:tcPr>
            <w:tcW w:w="500" w:type="pct"/>
            <w:shd w:val="clear" w:color="auto" w:fill="auto"/>
            <w:vAlign w:val="center"/>
          </w:tcPr>
          <w:p w14:paraId="4ACE2B4D" w14:textId="77777777" w:rsidR="006F587A" w:rsidRDefault="006F587A">
            <w:pPr>
              <w:rPr>
                <w:rFonts w:ascii="Times New Roman" w:hAnsi="Times New Roman"/>
                <w:sz w:val="20"/>
                <w:szCs w:val="20"/>
              </w:rPr>
            </w:pPr>
          </w:p>
        </w:tc>
        <w:tc>
          <w:tcPr>
            <w:tcW w:w="50" w:type="pct"/>
            <w:shd w:val="clear" w:color="auto" w:fill="auto"/>
            <w:vAlign w:val="center"/>
          </w:tcPr>
          <w:p w14:paraId="4ACE2B4E" w14:textId="77777777" w:rsidR="006F587A" w:rsidRDefault="006F587A">
            <w:pPr>
              <w:rPr>
                <w:rFonts w:ascii="Times New Roman" w:hAnsi="Times New Roman"/>
                <w:sz w:val="20"/>
                <w:szCs w:val="20"/>
              </w:rPr>
            </w:pPr>
          </w:p>
        </w:tc>
        <w:tc>
          <w:tcPr>
            <w:tcW w:w="50" w:type="pct"/>
            <w:shd w:val="clear" w:color="auto" w:fill="auto"/>
            <w:vAlign w:val="center"/>
          </w:tcPr>
          <w:p w14:paraId="4ACE2B4F" w14:textId="77777777" w:rsidR="006F587A" w:rsidRDefault="006F587A">
            <w:pPr>
              <w:rPr>
                <w:rFonts w:ascii="Times New Roman" w:hAnsi="Times New Roman"/>
                <w:sz w:val="20"/>
                <w:szCs w:val="20"/>
              </w:rPr>
            </w:pPr>
          </w:p>
        </w:tc>
        <w:tc>
          <w:tcPr>
            <w:tcW w:w="4350" w:type="pct"/>
            <w:shd w:val="clear" w:color="auto" w:fill="auto"/>
            <w:vAlign w:val="center"/>
          </w:tcPr>
          <w:p w14:paraId="4ACE2B50" w14:textId="77777777" w:rsidR="006F587A" w:rsidRDefault="006F587A">
            <w:pPr>
              <w:rPr>
                <w:rFonts w:ascii="Times New Roman" w:hAnsi="Times New Roman"/>
                <w:sz w:val="20"/>
                <w:szCs w:val="20"/>
              </w:rPr>
            </w:pPr>
          </w:p>
        </w:tc>
      </w:tr>
      <w:tr w:rsidR="006F587A" w14:paraId="4ACE2B55" w14:textId="77777777">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2B52" w14:textId="77777777" w:rsidR="006F587A" w:rsidRDefault="007B2B61">
            <w:pPr>
              <w:textAlignment w:val="bottom"/>
              <w:rPr>
                <w:rFonts w:ascii="Times New Roman" w:hAnsi="Times New Roman"/>
                <w:sz w:val="16"/>
                <w:szCs w:val="16"/>
              </w:rPr>
            </w:pPr>
            <w:r>
              <w:rPr>
                <w:rFonts w:ascii="Arial" w:eastAsia="宋体" w:hAnsi="Arial" w:cs="Arial"/>
                <w:b/>
                <w:bCs/>
                <w:color w:val="333333"/>
                <w:sz w:val="16"/>
                <w:szCs w:val="16"/>
              </w:rPr>
              <w:t>(In Millions)</w:t>
            </w:r>
          </w:p>
        </w:tc>
        <w:tc>
          <w:tcPr>
            <w:tcW w:w="0" w:type="auto"/>
            <w:shd w:val="clear" w:color="auto" w:fill="auto"/>
            <w:tcMar>
              <w:top w:w="40" w:type="dxa"/>
              <w:left w:w="40" w:type="dxa"/>
              <w:bottom w:w="40" w:type="dxa"/>
              <w:right w:w="40" w:type="dxa"/>
            </w:tcMar>
            <w:vAlign w:val="bottom"/>
          </w:tcPr>
          <w:p w14:paraId="4ACE2B5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71C5"/>
            </w:tcBorders>
            <w:shd w:val="clear" w:color="auto" w:fill="auto"/>
            <w:tcMar>
              <w:top w:w="40" w:type="dxa"/>
              <w:left w:w="40" w:type="dxa"/>
              <w:bottom w:w="40" w:type="dxa"/>
              <w:right w:w="40" w:type="dxa"/>
            </w:tcMar>
            <w:vAlign w:val="bottom"/>
          </w:tcPr>
          <w:p w14:paraId="4ACE2B5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2B5B" w14:textId="77777777">
        <w:tc>
          <w:tcPr>
            <w:tcW w:w="0" w:type="auto"/>
            <w:tcBorders>
              <w:bottom w:val="single" w:sz="8" w:space="0" w:color="333333"/>
            </w:tcBorders>
            <w:shd w:val="clear" w:color="auto" w:fill="auto"/>
            <w:tcMar>
              <w:top w:w="40" w:type="dxa"/>
              <w:left w:w="40" w:type="dxa"/>
              <w:bottom w:w="40" w:type="dxa"/>
            </w:tcMar>
            <w:vAlign w:val="bottom"/>
          </w:tcPr>
          <w:p w14:paraId="4ACE2B56"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bottom w:val="single" w:sz="8" w:space="0" w:color="333333"/>
            </w:tcBorders>
            <w:shd w:val="clear" w:color="auto" w:fill="auto"/>
            <w:tcMar>
              <w:top w:w="40" w:type="dxa"/>
              <w:bottom w:w="40" w:type="dxa"/>
            </w:tcMar>
            <w:vAlign w:val="bottom"/>
          </w:tcPr>
          <w:p w14:paraId="4ACE2B57"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15,202</w:t>
            </w:r>
          </w:p>
        </w:tc>
        <w:tc>
          <w:tcPr>
            <w:tcW w:w="0" w:type="auto"/>
            <w:tcBorders>
              <w:bottom w:val="single" w:sz="8" w:space="0" w:color="333333"/>
            </w:tcBorders>
            <w:shd w:val="clear" w:color="auto" w:fill="auto"/>
            <w:vAlign w:val="bottom"/>
          </w:tcPr>
          <w:p w14:paraId="4ACE2B5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B5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2B5A"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2019 Operating Income</w:t>
            </w:r>
          </w:p>
        </w:tc>
      </w:tr>
      <w:tr w:rsidR="006F587A" w14:paraId="4ACE2B60" w14:textId="77777777">
        <w:tc>
          <w:tcPr>
            <w:tcW w:w="0" w:type="auto"/>
            <w:gridSpan w:val="2"/>
            <w:shd w:val="clear" w:color="auto" w:fill="auto"/>
            <w:tcMar>
              <w:top w:w="40" w:type="dxa"/>
              <w:left w:w="40" w:type="dxa"/>
              <w:bottom w:w="40" w:type="dxa"/>
            </w:tcMar>
          </w:tcPr>
          <w:p w14:paraId="4ACE2B5C" w14:textId="77777777" w:rsidR="006F587A" w:rsidRDefault="007B2B61">
            <w:pPr>
              <w:jc w:val="right"/>
              <w:textAlignment w:val="top"/>
              <w:rPr>
                <w:rFonts w:ascii="Times New Roman" w:hAnsi="Times New Roman"/>
                <w:sz w:val="18"/>
                <w:szCs w:val="18"/>
              </w:rPr>
            </w:pPr>
            <w:r>
              <w:rPr>
                <w:rFonts w:ascii="Arial" w:eastAsia="宋体" w:hAnsi="Arial" w:cs="Arial"/>
                <w:color w:val="0071C5"/>
                <w:sz w:val="18"/>
                <w:szCs w:val="18"/>
              </w:rPr>
              <w:t>1,425</w:t>
            </w:r>
          </w:p>
        </w:tc>
        <w:tc>
          <w:tcPr>
            <w:tcW w:w="0" w:type="auto"/>
            <w:shd w:val="clear" w:color="auto" w:fill="auto"/>
            <w:vAlign w:val="bottom"/>
          </w:tcPr>
          <w:p w14:paraId="4ACE2B5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B5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B5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Lower </w:t>
            </w:r>
            <w:r>
              <w:rPr>
                <w:rFonts w:ascii="Arial" w:eastAsia="宋体" w:hAnsi="Arial" w:cs="Arial"/>
                <w:color w:val="333333"/>
                <w:sz w:val="18"/>
                <w:szCs w:val="18"/>
              </w:rPr>
              <w:t>period charges primarily due to lower factory start-up costs and sell-through of previously reserved non-qualified platform product associated with our 10nm process technology</w:t>
            </w:r>
          </w:p>
        </w:tc>
      </w:tr>
      <w:tr w:rsidR="006F587A" w14:paraId="4ACE2B65" w14:textId="77777777">
        <w:tc>
          <w:tcPr>
            <w:tcW w:w="0" w:type="auto"/>
            <w:gridSpan w:val="2"/>
            <w:shd w:val="clear" w:color="auto" w:fill="auto"/>
            <w:tcMar>
              <w:top w:w="40" w:type="dxa"/>
              <w:left w:w="40" w:type="dxa"/>
              <w:bottom w:w="40" w:type="dxa"/>
            </w:tcMar>
          </w:tcPr>
          <w:p w14:paraId="4ACE2B61" w14:textId="77777777" w:rsidR="006F587A" w:rsidRDefault="007B2B61">
            <w:pPr>
              <w:jc w:val="right"/>
              <w:textAlignment w:val="top"/>
              <w:rPr>
                <w:rFonts w:ascii="Times New Roman" w:hAnsi="Times New Roman"/>
                <w:sz w:val="18"/>
                <w:szCs w:val="18"/>
              </w:rPr>
            </w:pPr>
            <w:r>
              <w:rPr>
                <w:rFonts w:ascii="Arial" w:eastAsia="宋体" w:hAnsi="Arial" w:cs="Arial"/>
                <w:color w:val="0071C5"/>
                <w:sz w:val="18"/>
                <w:szCs w:val="18"/>
              </w:rPr>
              <w:t>725</w:t>
            </w:r>
          </w:p>
        </w:tc>
        <w:tc>
          <w:tcPr>
            <w:tcW w:w="0" w:type="auto"/>
            <w:shd w:val="clear" w:color="auto" w:fill="auto"/>
            <w:vAlign w:val="bottom"/>
          </w:tcPr>
          <w:p w14:paraId="4ACE2B6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B6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B6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Lower operating expenses primarily driven by lower investment in </w:t>
            </w:r>
            <w:r>
              <w:rPr>
                <w:rFonts w:ascii="Arial" w:eastAsia="宋体" w:hAnsi="Arial" w:cs="Arial"/>
                <w:color w:val="333333"/>
                <w:sz w:val="18"/>
                <w:szCs w:val="18"/>
              </w:rPr>
              <w:t>modem</w:t>
            </w:r>
          </w:p>
        </w:tc>
      </w:tr>
      <w:tr w:rsidR="006F587A" w14:paraId="4ACE2B6A" w14:textId="77777777">
        <w:tc>
          <w:tcPr>
            <w:tcW w:w="0" w:type="auto"/>
            <w:gridSpan w:val="2"/>
            <w:shd w:val="clear" w:color="auto" w:fill="auto"/>
            <w:tcMar>
              <w:top w:w="40" w:type="dxa"/>
              <w:left w:w="40" w:type="dxa"/>
              <w:bottom w:w="40" w:type="dxa"/>
            </w:tcMar>
          </w:tcPr>
          <w:p w14:paraId="4ACE2B66" w14:textId="77777777" w:rsidR="006F587A" w:rsidRDefault="007B2B61">
            <w:pPr>
              <w:jc w:val="right"/>
              <w:textAlignment w:val="top"/>
              <w:rPr>
                <w:rFonts w:ascii="Times New Roman" w:hAnsi="Times New Roman"/>
                <w:sz w:val="18"/>
                <w:szCs w:val="18"/>
              </w:rPr>
            </w:pPr>
            <w:r>
              <w:rPr>
                <w:rFonts w:ascii="Arial" w:eastAsia="宋体" w:hAnsi="Arial" w:cs="Arial"/>
                <w:color w:val="0071C5"/>
                <w:sz w:val="18"/>
                <w:szCs w:val="18"/>
              </w:rPr>
              <w:t>(1,170</w:t>
            </w:r>
          </w:p>
        </w:tc>
        <w:tc>
          <w:tcPr>
            <w:tcW w:w="0" w:type="auto"/>
            <w:shd w:val="clear" w:color="auto" w:fill="auto"/>
            <w:tcMar>
              <w:top w:w="40" w:type="dxa"/>
              <w:bottom w:w="40" w:type="dxa"/>
              <w:right w:w="40" w:type="dxa"/>
            </w:tcMar>
          </w:tcPr>
          <w:p w14:paraId="4ACE2B67" w14:textId="77777777" w:rsidR="006F587A" w:rsidRDefault="007B2B61">
            <w:pPr>
              <w:textAlignment w:val="top"/>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2B6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B6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Higher platform unit cost</w:t>
            </w:r>
          </w:p>
        </w:tc>
      </w:tr>
      <w:tr w:rsidR="006F587A" w14:paraId="4ACE2B6F" w14:textId="77777777">
        <w:tc>
          <w:tcPr>
            <w:tcW w:w="0" w:type="auto"/>
            <w:gridSpan w:val="2"/>
            <w:shd w:val="clear" w:color="auto" w:fill="auto"/>
            <w:tcMar>
              <w:top w:w="40" w:type="dxa"/>
              <w:left w:w="40" w:type="dxa"/>
              <w:bottom w:w="40" w:type="dxa"/>
            </w:tcMar>
          </w:tcPr>
          <w:p w14:paraId="4ACE2B6B" w14:textId="77777777" w:rsidR="006F587A" w:rsidRDefault="007B2B61">
            <w:pPr>
              <w:jc w:val="right"/>
              <w:textAlignment w:val="top"/>
              <w:rPr>
                <w:rFonts w:ascii="Times New Roman" w:hAnsi="Times New Roman"/>
                <w:sz w:val="18"/>
                <w:szCs w:val="18"/>
              </w:rPr>
            </w:pPr>
            <w:r>
              <w:rPr>
                <w:rFonts w:ascii="Arial" w:eastAsia="宋体" w:hAnsi="Arial" w:cs="Arial"/>
                <w:color w:val="0071C5"/>
                <w:sz w:val="18"/>
                <w:szCs w:val="18"/>
              </w:rPr>
              <w:t>(145</w:t>
            </w:r>
          </w:p>
        </w:tc>
        <w:tc>
          <w:tcPr>
            <w:tcW w:w="0" w:type="auto"/>
            <w:shd w:val="clear" w:color="auto" w:fill="auto"/>
            <w:tcMar>
              <w:top w:w="40" w:type="dxa"/>
              <w:bottom w:w="40" w:type="dxa"/>
              <w:right w:w="40" w:type="dxa"/>
            </w:tcMar>
          </w:tcPr>
          <w:p w14:paraId="4ACE2B6C" w14:textId="77777777" w:rsidR="006F587A" w:rsidRDefault="007B2B61">
            <w:pPr>
              <w:textAlignment w:val="top"/>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2B6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B6E"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Lower gross margin from platform revenue</w:t>
            </w:r>
          </w:p>
        </w:tc>
      </w:tr>
      <w:tr w:rsidR="006F587A" w14:paraId="4ACE2B74" w14:textId="77777777">
        <w:tc>
          <w:tcPr>
            <w:tcW w:w="0" w:type="auto"/>
            <w:gridSpan w:val="2"/>
            <w:shd w:val="clear" w:color="auto" w:fill="auto"/>
            <w:tcMar>
              <w:top w:w="40" w:type="dxa"/>
              <w:left w:w="40" w:type="dxa"/>
              <w:bottom w:w="40" w:type="dxa"/>
            </w:tcMar>
          </w:tcPr>
          <w:p w14:paraId="4ACE2B70" w14:textId="77777777" w:rsidR="006F587A" w:rsidRDefault="007B2B61">
            <w:pPr>
              <w:jc w:val="right"/>
              <w:textAlignment w:val="top"/>
              <w:rPr>
                <w:rFonts w:ascii="Times New Roman" w:hAnsi="Times New Roman"/>
                <w:sz w:val="18"/>
                <w:szCs w:val="18"/>
              </w:rPr>
            </w:pPr>
            <w:r>
              <w:rPr>
                <w:rFonts w:ascii="Arial" w:eastAsia="宋体" w:hAnsi="Arial" w:cs="Arial"/>
                <w:color w:val="0071C5"/>
                <w:sz w:val="18"/>
                <w:szCs w:val="18"/>
              </w:rPr>
              <w:t>145</w:t>
            </w:r>
          </w:p>
        </w:tc>
        <w:tc>
          <w:tcPr>
            <w:tcW w:w="0" w:type="auto"/>
            <w:shd w:val="clear" w:color="auto" w:fill="auto"/>
            <w:vAlign w:val="bottom"/>
          </w:tcPr>
          <w:p w14:paraId="4ACE2B7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B7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B7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Other</w:t>
            </w:r>
          </w:p>
        </w:tc>
      </w:tr>
      <w:tr w:rsidR="006F587A" w14:paraId="4ACE2B7A" w14:textId="77777777">
        <w:tc>
          <w:tcPr>
            <w:tcW w:w="0" w:type="auto"/>
            <w:tcBorders>
              <w:top w:val="single" w:sz="8" w:space="0" w:color="333333"/>
              <w:bottom w:val="single" w:sz="8" w:space="0" w:color="333333"/>
            </w:tcBorders>
            <w:shd w:val="clear" w:color="auto" w:fill="auto"/>
            <w:tcMar>
              <w:top w:w="40" w:type="dxa"/>
              <w:left w:w="40" w:type="dxa"/>
              <w:bottom w:w="40" w:type="dxa"/>
            </w:tcMar>
            <w:vAlign w:val="bottom"/>
          </w:tcPr>
          <w:p w14:paraId="4ACE2B75"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single" w:sz="8" w:space="0" w:color="333333"/>
            </w:tcBorders>
            <w:shd w:val="clear" w:color="auto" w:fill="auto"/>
            <w:tcMar>
              <w:top w:w="40" w:type="dxa"/>
              <w:bottom w:w="40" w:type="dxa"/>
            </w:tcMar>
            <w:vAlign w:val="bottom"/>
          </w:tcPr>
          <w:p w14:paraId="4ACE2B76"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14,222</w:t>
            </w:r>
          </w:p>
        </w:tc>
        <w:tc>
          <w:tcPr>
            <w:tcW w:w="0" w:type="auto"/>
            <w:tcBorders>
              <w:top w:val="single" w:sz="8" w:space="0" w:color="333333"/>
              <w:bottom w:val="single" w:sz="8" w:space="0" w:color="333333"/>
            </w:tcBorders>
            <w:shd w:val="clear" w:color="auto" w:fill="auto"/>
            <w:vAlign w:val="bottom"/>
          </w:tcPr>
          <w:p w14:paraId="4ACE2B7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B7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single" w:sz="8" w:space="0" w:color="333333"/>
            </w:tcBorders>
            <w:shd w:val="clear" w:color="auto" w:fill="auto"/>
            <w:tcMar>
              <w:top w:w="40" w:type="dxa"/>
              <w:left w:w="40" w:type="dxa"/>
              <w:bottom w:w="40" w:type="dxa"/>
              <w:right w:w="40" w:type="dxa"/>
            </w:tcMar>
            <w:vAlign w:val="bottom"/>
          </w:tcPr>
          <w:p w14:paraId="4ACE2B79"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2018 Operating Income</w:t>
            </w:r>
          </w:p>
        </w:tc>
      </w:tr>
      <w:tr w:rsidR="006F587A" w14:paraId="4ACE2B7F" w14:textId="77777777">
        <w:tc>
          <w:tcPr>
            <w:tcW w:w="0" w:type="auto"/>
            <w:gridSpan w:val="2"/>
            <w:shd w:val="clear" w:color="auto" w:fill="auto"/>
            <w:tcMar>
              <w:top w:w="40" w:type="dxa"/>
              <w:left w:w="40" w:type="dxa"/>
              <w:bottom w:w="40" w:type="dxa"/>
            </w:tcMar>
            <w:vAlign w:val="bottom"/>
          </w:tcPr>
          <w:p w14:paraId="4ACE2B7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2,080</w:t>
            </w:r>
          </w:p>
        </w:tc>
        <w:tc>
          <w:tcPr>
            <w:tcW w:w="0" w:type="auto"/>
            <w:shd w:val="clear" w:color="auto" w:fill="auto"/>
            <w:vAlign w:val="bottom"/>
          </w:tcPr>
          <w:p w14:paraId="4ACE2B7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B7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B7E"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Higher gross margin from platform revenue</w:t>
            </w:r>
          </w:p>
        </w:tc>
      </w:tr>
      <w:tr w:rsidR="006F587A" w14:paraId="4ACE2B84" w14:textId="77777777">
        <w:tc>
          <w:tcPr>
            <w:tcW w:w="0" w:type="auto"/>
            <w:gridSpan w:val="2"/>
            <w:shd w:val="clear" w:color="auto" w:fill="auto"/>
            <w:tcMar>
              <w:top w:w="40" w:type="dxa"/>
              <w:left w:w="40" w:type="dxa"/>
              <w:bottom w:w="40" w:type="dxa"/>
            </w:tcMar>
            <w:vAlign w:val="bottom"/>
          </w:tcPr>
          <w:p w14:paraId="4ACE2B80"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235</w:t>
            </w:r>
          </w:p>
        </w:tc>
        <w:tc>
          <w:tcPr>
            <w:tcW w:w="0" w:type="auto"/>
            <w:shd w:val="clear" w:color="auto" w:fill="auto"/>
            <w:vAlign w:val="bottom"/>
          </w:tcPr>
          <w:p w14:paraId="4ACE2B8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B8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B8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Lower operating expenses</w:t>
            </w:r>
          </w:p>
        </w:tc>
      </w:tr>
      <w:tr w:rsidR="006F587A" w14:paraId="4ACE2B89" w14:textId="77777777">
        <w:tc>
          <w:tcPr>
            <w:tcW w:w="0" w:type="auto"/>
            <w:gridSpan w:val="2"/>
            <w:shd w:val="clear" w:color="auto" w:fill="auto"/>
            <w:tcMar>
              <w:top w:w="40" w:type="dxa"/>
              <w:left w:w="40" w:type="dxa"/>
              <w:bottom w:w="40" w:type="dxa"/>
            </w:tcMar>
            <w:vAlign w:val="bottom"/>
          </w:tcPr>
          <w:p w14:paraId="4ACE2B85"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(690</w:t>
            </w:r>
          </w:p>
        </w:tc>
        <w:tc>
          <w:tcPr>
            <w:tcW w:w="0" w:type="auto"/>
            <w:shd w:val="clear" w:color="auto" w:fill="auto"/>
            <w:tcMar>
              <w:top w:w="40" w:type="dxa"/>
              <w:bottom w:w="40" w:type="dxa"/>
              <w:right w:w="40" w:type="dxa"/>
            </w:tcMar>
            <w:vAlign w:val="bottom"/>
          </w:tcPr>
          <w:p w14:paraId="4ACE2B8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2B8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B8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Higher </w:t>
            </w:r>
            <w:r>
              <w:rPr>
                <w:rFonts w:ascii="Arial" w:eastAsia="宋体" w:hAnsi="Arial" w:cs="Arial"/>
                <w:color w:val="333333"/>
                <w:sz w:val="18"/>
                <w:szCs w:val="18"/>
              </w:rPr>
              <w:t>platform unit cost due to increased mix to performance products</w:t>
            </w:r>
          </w:p>
        </w:tc>
      </w:tr>
      <w:tr w:rsidR="006F587A" w14:paraId="4ACE2B8E" w14:textId="77777777">
        <w:tc>
          <w:tcPr>
            <w:tcW w:w="0" w:type="auto"/>
            <w:gridSpan w:val="2"/>
            <w:shd w:val="clear" w:color="auto" w:fill="auto"/>
            <w:tcMar>
              <w:top w:w="40" w:type="dxa"/>
              <w:left w:w="40" w:type="dxa"/>
              <w:bottom w:w="40" w:type="dxa"/>
            </w:tcMar>
            <w:vAlign w:val="bottom"/>
          </w:tcPr>
          <w:p w14:paraId="4ACE2B8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(225</w:t>
            </w:r>
          </w:p>
        </w:tc>
        <w:tc>
          <w:tcPr>
            <w:tcW w:w="0" w:type="auto"/>
            <w:shd w:val="clear" w:color="auto" w:fill="auto"/>
            <w:tcMar>
              <w:top w:w="40" w:type="dxa"/>
              <w:bottom w:w="40" w:type="dxa"/>
              <w:right w:w="40" w:type="dxa"/>
            </w:tcMar>
            <w:vAlign w:val="bottom"/>
          </w:tcPr>
          <w:p w14:paraId="4ACE2B8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2B8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B8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Higher period charges, primarily due to reserved non-qualified platform product as we ramp 10nm</w:t>
            </w:r>
          </w:p>
        </w:tc>
      </w:tr>
      <w:tr w:rsidR="006F587A" w14:paraId="4ACE2B93" w14:textId="77777777">
        <w:tc>
          <w:tcPr>
            <w:tcW w:w="0" w:type="auto"/>
            <w:gridSpan w:val="2"/>
            <w:shd w:val="clear" w:color="auto" w:fill="auto"/>
            <w:tcMar>
              <w:top w:w="40" w:type="dxa"/>
              <w:left w:w="40" w:type="dxa"/>
              <w:bottom w:w="40" w:type="dxa"/>
            </w:tcMar>
            <w:vAlign w:val="bottom"/>
          </w:tcPr>
          <w:p w14:paraId="4ACE2B8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(97</w:t>
            </w:r>
          </w:p>
        </w:tc>
        <w:tc>
          <w:tcPr>
            <w:tcW w:w="0" w:type="auto"/>
            <w:shd w:val="clear" w:color="auto" w:fill="auto"/>
            <w:tcMar>
              <w:top w:w="40" w:type="dxa"/>
              <w:bottom w:w="40" w:type="dxa"/>
              <w:right w:w="40" w:type="dxa"/>
            </w:tcMar>
            <w:vAlign w:val="bottom"/>
          </w:tcPr>
          <w:p w14:paraId="4ACE2B9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2B9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B9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Other</w:t>
            </w:r>
          </w:p>
        </w:tc>
      </w:tr>
      <w:tr w:rsidR="006F587A" w14:paraId="4ACE2B99" w14:textId="77777777">
        <w:tc>
          <w:tcPr>
            <w:tcW w:w="0" w:type="auto"/>
            <w:tcBorders>
              <w:top w:val="single" w:sz="8" w:space="0" w:color="333333"/>
              <w:bottom w:val="single" w:sz="8" w:space="0" w:color="333333"/>
            </w:tcBorders>
            <w:shd w:val="clear" w:color="auto" w:fill="auto"/>
            <w:tcMar>
              <w:top w:w="40" w:type="dxa"/>
              <w:left w:w="40" w:type="dxa"/>
              <w:bottom w:w="40" w:type="dxa"/>
            </w:tcMar>
            <w:vAlign w:val="bottom"/>
          </w:tcPr>
          <w:p w14:paraId="4ACE2B94"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single" w:sz="8" w:space="0" w:color="333333"/>
            </w:tcBorders>
            <w:shd w:val="clear" w:color="auto" w:fill="auto"/>
            <w:tcMar>
              <w:top w:w="40" w:type="dxa"/>
              <w:bottom w:w="40" w:type="dxa"/>
            </w:tcMar>
            <w:vAlign w:val="bottom"/>
          </w:tcPr>
          <w:p w14:paraId="4ACE2B95"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12,919</w:t>
            </w:r>
          </w:p>
        </w:tc>
        <w:tc>
          <w:tcPr>
            <w:tcW w:w="0" w:type="auto"/>
            <w:tcBorders>
              <w:top w:val="single" w:sz="8" w:space="0" w:color="333333"/>
              <w:bottom w:val="single" w:sz="8" w:space="0" w:color="333333"/>
            </w:tcBorders>
            <w:shd w:val="clear" w:color="auto" w:fill="auto"/>
            <w:vAlign w:val="bottom"/>
          </w:tcPr>
          <w:p w14:paraId="4ACE2B9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B9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single" w:sz="8" w:space="0" w:color="333333"/>
            </w:tcBorders>
            <w:shd w:val="clear" w:color="auto" w:fill="auto"/>
            <w:tcMar>
              <w:top w:w="40" w:type="dxa"/>
              <w:left w:w="40" w:type="dxa"/>
              <w:bottom w:w="40" w:type="dxa"/>
              <w:right w:w="40" w:type="dxa"/>
            </w:tcMar>
            <w:vAlign w:val="bottom"/>
          </w:tcPr>
          <w:p w14:paraId="4ACE2B98"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2017 Operating Income</w:t>
            </w:r>
          </w:p>
        </w:tc>
      </w:tr>
    </w:tbl>
    <w:p w14:paraId="4ACE2B9A" w14:textId="77777777" w:rsidR="006F587A" w:rsidRDefault="006F587A">
      <w:pPr>
        <w:spacing w:line="288" w:lineRule="auto"/>
        <w:rPr>
          <w:rFonts w:ascii="Times New Roman" w:hAnsi="Times New Roman"/>
          <w:sz w:val="18"/>
          <w:szCs w:val="18"/>
        </w:rPr>
      </w:pPr>
    </w:p>
    <w:p w14:paraId="4ACE2B9B" w14:textId="77777777" w:rsidR="006F587A" w:rsidRDefault="006F587A">
      <w:pPr>
        <w:spacing w:line="288" w:lineRule="auto"/>
        <w:rPr>
          <w:rFonts w:ascii="Times New Roman" w:hAnsi="Times New Roman"/>
          <w:sz w:val="18"/>
          <w:szCs w:val="18"/>
        </w:rPr>
      </w:pPr>
    </w:p>
    <w:p w14:paraId="4ACE2B9C" w14:textId="77777777" w:rsidR="006F587A" w:rsidRDefault="006F587A">
      <w:pPr>
        <w:spacing w:line="288" w:lineRule="auto"/>
        <w:rPr>
          <w:rFonts w:ascii="Times New Roman" w:hAnsi="Times New Roman"/>
          <w:sz w:val="16"/>
          <w:szCs w:val="16"/>
        </w:rPr>
      </w:pPr>
    </w:p>
    <w:p w14:paraId="4ACE2B9D"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492"/>
        <w:gridCol w:w="2658"/>
        <w:gridCol w:w="3156"/>
      </w:tblGrid>
      <w:tr w:rsidR="006F587A" w14:paraId="4ACE2B9F" w14:textId="77777777">
        <w:tc>
          <w:tcPr>
            <w:tcW w:w="0" w:type="auto"/>
            <w:gridSpan w:val="3"/>
            <w:shd w:val="clear" w:color="auto" w:fill="auto"/>
            <w:vAlign w:val="center"/>
          </w:tcPr>
          <w:p w14:paraId="4ACE2B9E" w14:textId="77777777" w:rsidR="006F587A" w:rsidRDefault="006F587A">
            <w:pPr>
              <w:rPr>
                <w:rFonts w:ascii="Times New Roman" w:hAnsi="Times New Roman"/>
                <w:sz w:val="20"/>
                <w:szCs w:val="20"/>
              </w:rPr>
            </w:pPr>
          </w:p>
        </w:tc>
      </w:tr>
      <w:tr w:rsidR="006F587A" w14:paraId="4ACE2BA3" w14:textId="77777777">
        <w:tc>
          <w:tcPr>
            <w:tcW w:w="1500" w:type="pct"/>
            <w:shd w:val="clear" w:color="auto" w:fill="auto"/>
            <w:vAlign w:val="center"/>
          </w:tcPr>
          <w:p w14:paraId="4ACE2BA0" w14:textId="77777777" w:rsidR="006F587A" w:rsidRDefault="006F587A">
            <w:pPr>
              <w:rPr>
                <w:rFonts w:ascii="Times New Roman" w:hAnsi="Times New Roman"/>
                <w:sz w:val="20"/>
                <w:szCs w:val="20"/>
              </w:rPr>
            </w:pPr>
          </w:p>
        </w:tc>
        <w:tc>
          <w:tcPr>
            <w:tcW w:w="1600" w:type="pct"/>
            <w:shd w:val="clear" w:color="auto" w:fill="auto"/>
            <w:vAlign w:val="center"/>
          </w:tcPr>
          <w:p w14:paraId="4ACE2BA1" w14:textId="77777777" w:rsidR="006F587A" w:rsidRDefault="006F587A">
            <w:pPr>
              <w:rPr>
                <w:rFonts w:ascii="Times New Roman" w:hAnsi="Times New Roman"/>
                <w:sz w:val="20"/>
                <w:szCs w:val="20"/>
              </w:rPr>
            </w:pPr>
          </w:p>
        </w:tc>
        <w:tc>
          <w:tcPr>
            <w:tcW w:w="1900" w:type="pct"/>
            <w:shd w:val="clear" w:color="auto" w:fill="auto"/>
            <w:vAlign w:val="center"/>
          </w:tcPr>
          <w:p w14:paraId="4ACE2BA2" w14:textId="77777777" w:rsidR="006F587A" w:rsidRDefault="006F587A">
            <w:pPr>
              <w:rPr>
                <w:rFonts w:ascii="Times New Roman" w:hAnsi="Times New Roman"/>
                <w:sz w:val="20"/>
                <w:szCs w:val="20"/>
              </w:rPr>
            </w:pPr>
          </w:p>
        </w:tc>
      </w:tr>
      <w:tr w:rsidR="006F587A" w14:paraId="4ACE2BA6" w14:textId="77777777">
        <w:tc>
          <w:tcPr>
            <w:tcW w:w="0" w:type="auto"/>
            <w:gridSpan w:val="2"/>
            <w:tcBorders>
              <w:top w:val="single" w:sz="8" w:space="0" w:color="0071C5"/>
            </w:tcBorders>
            <w:shd w:val="clear" w:color="auto" w:fill="auto"/>
            <w:tcMar>
              <w:top w:w="40" w:type="dxa"/>
              <w:left w:w="40" w:type="dxa"/>
              <w:bottom w:w="40" w:type="dxa"/>
              <w:right w:w="40" w:type="dxa"/>
            </w:tcMar>
            <w:vAlign w:val="center"/>
          </w:tcPr>
          <w:p w14:paraId="4ACE2BA4" w14:textId="77777777" w:rsidR="006F587A" w:rsidRDefault="007B2B61">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3C" wp14:editId="4ACE6D3D">
                  <wp:extent cx="304800" cy="304800"/>
                  <wp:effectExtent l="0" t="0" r="0" b="0"/>
                  <wp:docPr id="247" name="图片 197"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197"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MD&amp;A</w:t>
            </w:r>
          </w:p>
        </w:tc>
        <w:tc>
          <w:tcPr>
            <w:tcW w:w="0" w:type="auto"/>
            <w:tcBorders>
              <w:top w:val="single" w:sz="8" w:space="0" w:color="0071C5"/>
            </w:tcBorders>
            <w:shd w:val="clear" w:color="auto" w:fill="auto"/>
            <w:tcMar>
              <w:top w:w="40" w:type="dxa"/>
              <w:left w:w="40" w:type="dxa"/>
              <w:bottom w:w="40" w:type="dxa"/>
              <w:right w:w="40" w:type="dxa"/>
            </w:tcMar>
            <w:vAlign w:val="center"/>
          </w:tcPr>
          <w:p w14:paraId="4ACE2BA5" w14:textId="77777777" w:rsidR="006F587A" w:rsidRDefault="007B2B61">
            <w:pPr>
              <w:jc w:val="right"/>
              <w:textAlignment w:val="center"/>
              <w:rPr>
                <w:rFonts w:ascii="Times New Roman" w:hAnsi="Times New Roman"/>
                <w:sz w:val="16"/>
                <w:szCs w:val="16"/>
              </w:rPr>
            </w:pPr>
            <w:r>
              <w:rPr>
                <w:rFonts w:ascii="Arial" w:eastAsia="宋体" w:hAnsi="Arial" w:cs="Arial"/>
                <w:color w:val="333333"/>
                <w:sz w:val="16"/>
                <w:szCs w:val="16"/>
              </w:rPr>
              <w:t>34</w:t>
            </w:r>
          </w:p>
        </w:tc>
      </w:tr>
    </w:tbl>
    <w:p w14:paraId="4ACE2BA7" w14:textId="77777777" w:rsidR="006F587A" w:rsidRDefault="007B2B61">
      <w:r>
        <w:pict w14:anchorId="4ACE6D3E">
          <v:rect id="_x0000_i1060" style="width:415.3pt;height:1.5pt" o:hralign="center" o:hrstd="t" o:hr="t" fillcolor="#a0a0a0" stroked="f"/>
        </w:pict>
      </w:r>
    </w:p>
    <w:p w14:paraId="4ACE2BA8" w14:textId="77777777" w:rsidR="006F587A" w:rsidRDefault="007B2B61">
      <w:pPr>
        <w:spacing w:line="288" w:lineRule="auto"/>
        <w:jc w:val="right"/>
        <w:rPr>
          <w:rFonts w:ascii="Times New Roman" w:hAnsi="Times New Roman"/>
          <w:sz w:val="16"/>
          <w:szCs w:val="16"/>
        </w:rPr>
      </w:pPr>
      <w:hyperlink r:id="rId67" w:anchor="s9DB683E2CF52561EB8A73BE37F5BF9BE" w:history="1">
        <w:r>
          <w:rPr>
            <w:rStyle w:val="a5"/>
            <w:rFonts w:ascii="Arial" w:eastAsia="宋体" w:hAnsi="Arial" w:cs="Arial"/>
            <w:b/>
            <w:bCs/>
            <w:sz w:val="16"/>
            <w:szCs w:val="16"/>
          </w:rPr>
          <w:t>Table of Contents</w:t>
        </w:r>
      </w:hyperlink>
    </w:p>
    <w:p w14:paraId="4ACE2BA9" w14:textId="77777777" w:rsidR="006F587A" w:rsidRDefault="006F587A">
      <w:pPr>
        <w:spacing w:line="288" w:lineRule="auto"/>
        <w:jc w:val="right"/>
        <w:rPr>
          <w:rFonts w:ascii="Times New Roman" w:hAnsi="Times New Roman"/>
          <w:sz w:val="16"/>
          <w:szCs w:val="16"/>
        </w:rPr>
      </w:pPr>
    </w:p>
    <w:p w14:paraId="4ACE2BAA"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6F587A" w14:paraId="4ACE2BAC" w14:textId="77777777">
        <w:tc>
          <w:tcPr>
            <w:tcW w:w="0" w:type="auto"/>
            <w:shd w:val="clear" w:color="auto" w:fill="auto"/>
            <w:vAlign w:val="center"/>
          </w:tcPr>
          <w:p w14:paraId="4ACE2BAB" w14:textId="77777777" w:rsidR="006F587A" w:rsidRDefault="006F587A">
            <w:pPr>
              <w:rPr>
                <w:rFonts w:ascii="Times New Roman" w:hAnsi="Times New Roman"/>
                <w:sz w:val="20"/>
                <w:szCs w:val="20"/>
              </w:rPr>
            </w:pPr>
          </w:p>
        </w:tc>
      </w:tr>
      <w:tr w:rsidR="006F587A" w14:paraId="4ACE2BAE" w14:textId="77777777">
        <w:tc>
          <w:tcPr>
            <w:tcW w:w="5000" w:type="pct"/>
            <w:shd w:val="clear" w:color="auto" w:fill="auto"/>
            <w:vAlign w:val="center"/>
          </w:tcPr>
          <w:p w14:paraId="4ACE2BAD" w14:textId="77777777" w:rsidR="006F587A" w:rsidRDefault="006F587A">
            <w:pPr>
              <w:rPr>
                <w:rFonts w:ascii="Times New Roman" w:hAnsi="Times New Roman"/>
                <w:sz w:val="20"/>
                <w:szCs w:val="20"/>
              </w:rPr>
            </w:pPr>
          </w:p>
        </w:tc>
      </w:tr>
      <w:tr w:rsidR="006F587A" w14:paraId="4ACE2BB0" w14:textId="77777777">
        <w:tc>
          <w:tcPr>
            <w:tcW w:w="0" w:type="auto"/>
            <w:shd w:val="clear" w:color="auto" w:fill="0071C5"/>
            <w:tcMar>
              <w:top w:w="40" w:type="dxa"/>
              <w:left w:w="880" w:type="dxa"/>
              <w:bottom w:w="40" w:type="dxa"/>
              <w:right w:w="40" w:type="dxa"/>
            </w:tcMar>
            <w:vAlign w:val="bottom"/>
          </w:tcPr>
          <w:p w14:paraId="4ACE2BAF" w14:textId="77777777" w:rsidR="006F587A" w:rsidRDefault="007B2B61">
            <w:pPr>
              <w:textAlignment w:val="bottom"/>
              <w:rPr>
                <w:rFonts w:ascii="Times New Roman" w:hAnsi="Times New Roman"/>
                <w:sz w:val="36"/>
                <w:szCs w:val="36"/>
              </w:rPr>
            </w:pPr>
            <w:r>
              <w:rPr>
                <w:rFonts w:ascii="Arial" w:eastAsia="宋体" w:hAnsi="Arial" w:cs="Arial"/>
                <w:b/>
                <w:bCs/>
                <w:color w:val="FFFFFF"/>
                <w:sz w:val="36"/>
                <w:szCs w:val="36"/>
              </w:rPr>
              <w:t>CONSOLIDATED RESULTS OF OPERATIONS</w:t>
            </w:r>
          </w:p>
        </w:tc>
      </w:tr>
    </w:tbl>
    <w:p w14:paraId="4ACE2BB1"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Our transformation to a data-centric company continued in 2019 as we experienced strong demand and reached critical product milestones. Most of our segments experienced continued growth with record total revenue for the fourth year in a row. </w:t>
      </w:r>
    </w:p>
    <w:tbl>
      <w:tblPr>
        <w:tblW w:w="5000" w:type="pct"/>
        <w:tblCellMar>
          <w:left w:w="0" w:type="dxa"/>
          <w:right w:w="0" w:type="dxa"/>
        </w:tblCellMar>
        <w:tblLook w:val="04A0" w:firstRow="1" w:lastRow="0" w:firstColumn="1" w:lastColumn="0" w:noHBand="0" w:noVBand="1"/>
      </w:tblPr>
      <w:tblGrid>
        <w:gridCol w:w="2152"/>
        <w:gridCol w:w="130"/>
        <w:gridCol w:w="141"/>
        <w:gridCol w:w="608"/>
        <w:gridCol w:w="76"/>
        <w:gridCol w:w="130"/>
        <w:gridCol w:w="748"/>
        <w:gridCol w:w="201"/>
        <w:gridCol w:w="130"/>
        <w:gridCol w:w="141"/>
        <w:gridCol w:w="551"/>
        <w:gridCol w:w="100"/>
        <w:gridCol w:w="130"/>
        <w:gridCol w:w="748"/>
        <w:gridCol w:w="260"/>
        <w:gridCol w:w="130"/>
        <w:gridCol w:w="141"/>
        <w:gridCol w:w="551"/>
        <w:gridCol w:w="100"/>
        <w:gridCol w:w="130"/>
        <w:gridCol w:w="748"/>
        <w:gridCol w:w="260"/>
      </w:tblGrid>
      <w:tr w:rsidR="006F587A" w14:paraId="4ACE2BB3" w14:textId="77777777">
        <w:tc>
          <w:tcPr>
            <w:tcW w:w="0" w:type="auto"/>
            <w:gridSpan w:val="22"/>
            <w:shd w:val="clear" w:color="auto" w:fill="auto"/>
            <w:vAlign w:val="center"/>
          </w:tcPr>
          <w:p w14:paraId="4ACE2BB2" w14:textId="77777777" w:rsidR="006F587A" w:rsidRDefault="006F587A">
            <w:pPr>
              <w:rPr>
                <w:rFonts w:ascii="Times New Roman" w:hAnsi="Times New Roman"/>
                <w:sz w:val="20"/>
                <w:szCs w:val="20"/>
              </w:rPr>
            </w:pPr>
          </w:p>
        </w:tc>
      </w:tr>
      <w:tr w:rsidR="006F587A" w14:paraId="4ACE2BCA" w14:textId="77777777">
        <w:tc>
          <w:tcPr>
            <w:tcW w:w="1700" w:type="pct"/>
            <w:shd w:val="clear" w:color="auto" w:fill="auto"/>
            <w:vAlign w:val="center"/>
          </w:tcPr>
          <w:p w14:paraId="4ACE2BB4" w14:textId="77777777" w:rsidR="006F587A" w:rsidRDefault="006F587A">
            <w:pPr>
              <w:rPr>
                <w:rFonts w:ascii="Times New Roman" w:hAnsi="Times New Roman"/>
                <w:sz w:val="20"/>
                <w:szCs w:val="20"/>
              </w:rPr>
            </w:pPr>
          </w:p>
        </w:tc>
        <w:tc>
          <w:tcPr>
            <w:tcW w:w="50" w:type="pct"/>
            <w:shd w:val="clear" w:color="auto" w:fill="auto"/>
            <w:vAlign w:val="center"/>
          </w:tcPr>
          <w:p w14:paraId="4ACE2BB5" w14:textId="77777777" w:rsidR="006F587A" w:rsidRDefault="006F587A">
            <w:pPr>
              <w:rPr>
                <w:rFonts w:ascii="Times New Roman" w:hAnsi="Times New Roman"/>
                <w:sz w:val="20"/>
                <w:szCs w:val="20"/>
              </w:rPr>
            </w:pPr>
          </w:p>
        </w:tc>
        <w:tc>
          <w:tcPr>
            <w:tcW w:w="50" w:type="pct"/>
            <w:shd w:val="clear" w:color="auto" w:fill="auto"/>
            <w:vAlign w:val="center"/>
          </w:tcPr>
          <w:p w14:paraId="4ACE2BB6" w14:textId="77777777" w:rsidR="006F587A" w:rsidRDefault="006F587A">
            <w:pPr>
              <w:rPr>
                <w:rFonts w:ascii="Times New Roman" w:hAnsi="Times New Roman"/>
                <w:sz w:val="20"/>
                <w:szCs w:val="20"/>
              </w:rPr>
            </w:pPr>
          </w:p>
        </w:tc>
        <w:tc>
          <w:tcPr>
            <w:tcW w:w="400" w:type="pct"/>
            <w:shd w:val="clear" w:color="auto" w:fill="auto"/>
            <w:vAlign w:val="center"/>
          </w:tcPr>
          <w:p w14:paraId="4ACE2BB7" w14:textId="77777777" w:rsidR="006F587A" w:rsidRDefault="006F587A">
            <w:pPr>
              <w:rPr>
                <w:rFonts w:ascii="Times New Roman" w:hAnsi="Times New Roman"/>
                <w:sz w:val="20"/>
                <w:szCs w:val="20"/>
              </w:rPr>
            </w:pPr>
          </w:p>
        </w:tc>
        <w:tc>
          <w:tcPr>
            <w:tcW w:w="50" w:type="pct"/>
            <w:shd w:val="clear" w:color="auto" w:fill="auto"/>
            <w:vAlign w:val="center"/>
          </w:tcPr>
          <w:p w14:paraId="4ACE2BB8" w14:textId="77777777" w:rsidR="006F587A" w:rsidRDefault="006F587A">
            <w:pPr>
              <w:rPr>
                <w:rFonts w:ascii="Times New Roman" w:hAnsi="Times New Roman"/>
                <w:sz w:val="20"/>
                <w:szCs w:val="20"/>
              </w:rPr>
            </w:pPr>
          </w:p>
        </w:tc>
        <w:tc>
          <w:tcPr>
            <w:tcW w:w="50" w:type="pct"/>
            <w:shd w:val="clear" w:color="auto" w:fill="auto"/>
            <w:vAlign w:val="center"/>
          </w:tcPr>
          <w:p w14:paraId="4ACE2BB9" w14:textId="77777777" w:rsidR="006F587A" w:rsidRDefault="006F587A">
            <w:pPr>
              <w:rPr>
                <w:rFonts w:ascii="Times New Roman" w:hAnsi="Times New Roman"/>
                <w:sz w:val="20"/>
                <w:szCs w:val="20"/>
              </w:rPr>
            </w:pPr>
          </w:p>
        </w:tc>
        <w:tc>
          <w:tcPr>
            <w:tcW w:w="450" w:type="pct"/>
            <w:shd w:val="clear" w:color="auto" w:fill="auto"/>
            <w:vAlign w:val="center"/>
          </w:tcPr>
          <w:p w14:paraId="4ACE2BBA" w14:textId="77777777" w:rsidR="006F587A" w:rsidRDefault="006F587A">
            <w:pPr>
              <w:rPr>
                <w:rFonts w:ascii="Times New Roman" w:hAnsi="Times New Roman"/>
                <w:sz w:val="20"/>
                <w:szCs w:val="20"/>
              </w:rPr>
            </w:pPr>
          </w:p>
        </w:tc>
        <w:tc>
          <w:tcPr>
            <w:tcW w:w="50" w:type="pct"/>
            <w:shd w:val="clear" w:color="auto" w:fill="auto"/>
            <w:vAlign w:val="center"/>
          </w:tcPr>
          <w:p w14:paraId="4ACE2BBB" w14:textId="77777777" w:rsidR="006F587A" w:rsidRDefault="006F587A">
            <w:pPr>
              <w:rPr>
                <w:rFonts w:ascii="Times New Roman" w:hAnsi="Times New Roman"/>
                <w:sz w:val="20"/>
                <w:szCs w:val="20"/>
              </w:rPr>
            </w:pPr>
          </w:p>
        </w:tc>
        <w:tc>
          <w:tcPr>
            <w:tcW w:w="50" w:type="pct"/>
            <w:shd w:val="clear" w:color="auto" w:fill="auto"/>
            <w:vAlign w:val="center"/>
          </w:tcPr>
          <w:p w14:paraId="4ACE2BBC" w14:textId="77777777" w:rsidR="006F587A" w:rsidRDefault="006F587A">
            <w:pPr>
              <w:rPr>
                <w:rFonts w:ascii="Times New Roman" w:hAnsi="Times New Roman"/>
                <w:sz w:val="20"/>
                <w:szCs w:val="20"/>
              </w:rPr>
            </w:pPr>
          </w:p>
        </w:tc>
        <w:tc>
          <w:tcPr>
            <w:tcW w:w="50" w:type="pct"/>
            <w:shd w:val="clear" w:color="auto" w:fill="auto"/>
            <w:vAlign w:val="center"/>
          </w:tcPr>
          <w:p w14:paraId="4ACE2BBD" w14:textId="77777777" w:rsidR="006F587A" w:rsidRDefault="006F587A">
            <w:pPr>
              <w:rPr>
                <w:rFonts w:ascii="Times New Roman" w:hAnsi="Times New Roman"/>
                <w:sz w:val="20"/>
                <w:szCs w:val="20"/>
              </w:rPr>
            </w:pPr>
          </w:p>
        </w:tc>
        <w:tc>
          <w:tcPr>
            <w:tcW w:w="400" w:type="pct"/>
            <w:shd w:val="clear" w:color="auto" w:fill="auto"/>
            <w:vAlign w:val="center"/>
          </w:tcPr>
          <w:p w14:paraId="4ACE2BBE" w14:textId="77777777" w:rsidR="006F587A" w:rsidRDefault="006F587A">
            <w:pPr>
              <w:rPr>
                <w:rFonts w:ascii="Times New Roman" w:hAnsi="Times New Roman"/>
                <w:sz w:val="20"/>
                <w:szCs w:val="20"/>
              </w:rPr>
            </w:pPr>
          </w:p>
        </w:tc>
        <w:tc>
          <w:tcPr>
            <w:tcW w:w="50" w:type="pct"/>
            <w:shd w:val="clear" w:color="auto" w:fill="auto"/>
            <w:vAlign w:val="center"/>
          </w:tcPr>
          <w:p w14:paraId="4ACE2BBF" w14:textId="77777777" w:rsidR="006F587A" w:rsidRDefault="006F587A">
            <w:pPr>
              <w:rPr>
                <w:rFonts w:ascii="Times New Roman" w:hAnsi="Times New Roman"/>
                <w:sz w:val="20"/>
                <w:szCs w:val="20"/>
              </w:rPr>
            </w:pPr>
          </w:p>
        </w:tc>
        <w:tc>
          <w:tcPr>
            <w:tcW w:w="50" w:type="pct"/>
            <w:shd w:val="clear" w:color="auto" w:fill="auto"/>
            <w:vAlign w:val="center"/>
          </w:tcPr>
          <w:p w14:paraId="4ACE2BC0" w14:textId="77777777" w:rsidR="006F587A" w:rsidRDefault="006F587A">
            <w:pPr>
              <w:rPr>
                <w:rFonts w:ascii="Times New Roman" w:hAnsi="Times New Roman"/>
                <w:sz w:val="20"/>
                <w:szCs w:val="20"/>
              </w:rPr>
            </w:pPr>
          </w:p>
        </w:tc>
        <w:tc>
          <w:tcPr>
            <w:tcW w:w="450" w:type="pct"/>
            <w:shd w:val="clear" w:color="auto" w:fill="auto"/>
            <w:vAlign w:val="center"/>
          </w:tcPr>
          <w:p w14:paraId="4ACE2BC1" w14:textId="77777777" w:rsidR="006F587A" w:rsidRDefault="006F587A">
            <w:pPr>
              <w:rPr>
                <w:rFonts w:ascii="Times New Roman" w:hAnsi="Times New Roman"/>
                <w:sz w:val="20"/>
                <w:szCs w:val="20"/>
              </w:rPr>
            </w:pPr>
          </w:p>
        </w:tc>
        <w:tc>
          <w:tcPr>
            <w:tcW w:w="50" w:type="pct"/>
            <w:shd w:val="clear" w:color="auto" w:fill="auto"/>
            <w:vAlign w:val="center"/>
          </w:tcPr>
          <w:p w14:paraId="4ACE2BC2" w14:textId="77777777" w:rsidR="006F587A" w:rsidRDefault="006F587A">
            <w:pPr>
              <w:rPr>
                <w:rFonts w:ascii="Times New Roman" w:hAnsi="Times New Roman"/>
                <w:sz w:val="20"/>
                <w:szCs w:val="20"/>
              </w:rPr>
            </w:pPr>
          </w:p>
        </w:tc>
        <w:tc>
          <w:tcPr>
            <w:tcW w:w="50" w:type="pct"/>
            <w:shd w:val="clear" w:color="auto" w:fill="auto"/>
            <w:vAlign w:val="center"/>
          </w:tcPr>
          <w:p w14:paraId="4ACE2BC3" w14:textId="77777777" w:rsidR="006F587A" w:rsidRDefault="006F587A">
            <w:pPr>
              <w:rPr>
                <w:rFonts w:ascii="Times New Roman" w:hAnsi="Times New Roman"/>
                <w:sz w:val="20"/>
                <w:szCs w:val="20"/>
              </w:rPr>
            </w:pPr>
          </w:p>
        </w:tc>
        <w:tc>
          <w:tcPr>
            <w:tcW w:w="50" w:type="pct"/>
            <w:shd w:val="clear" w:color="auto" w:fill="auto"/>
            <w:vAlign w:val="center"/>
          </w:tcPr>
          <w:p w14:paraId="4ACE2BC4" w14:textId="77777777" w:rsidR="006F587A" w:rsidRDefault="006F587A">
            <w:pPr>
              <w:rPr>
                <w:rFonts w:ascii="Times New Roman" w:hAnsi="Times New Roman"/>
                <w:sz w:val="20"/>
                <w:szCs w:val="20"/>
              </w:rPr>
            </w:pPr>
          </w:p>
        </w:tc>
        <w:tc>
          <w:tcPr>
            <w:tcW w:w="400" w:type="pct"/>
            <w:shd w:val="clear" w:color="auto" w:fill="auto"/>
            <w:vAlign w:val="center"/>
          </w:tcPr>
          <w:p w14:paraId="4ACE2BC5" w14:textId="77777777" w:rsidR="006F587A" w:rsidRDefault="006F587A">
            <w:pPr>
              <w:rPr>
                <w:rFonts w:ascii="Times New Roman" w:hAnsi="Times New Roman"/>
                <w:sz w:val="20"/>
                <w:szCs w:val="20"/>
              </w:rPr>
            </w:pPr>
          </w:p>
        </w:tc>
        <w:tc>
          <w:tcPr>
            <w:tcW w:w="50" w:type="pct"/>
            <w:shd w:val="clear" w:color="auto" w:fill="auto"/>
            <w:vAlign w:val="center"/>
          </w:tcPr>
          <w:p w14:paraId="4ACE2BC6" w14:textId="77777777" w:rsidR="006F587A" w:rsidRDefault="006F587A">
            <w:pPr>
              <w:rPr>
                <w:rFonts w:ascii="Times New Roman" w:hAnsi="Times New Roman"/>
                <w:sz w:val="20"/>
                <w:szCs w:val="20"/>
              </w:rPr>
            </w:pPr>
          </w:p>
        </w:tc>
        <w:tc>
          <w:tcPr>
            <w:tcW w:w="50" w:type="pct"/>
            <w:shd w:val="clear" w:color="auto" w:fill="auto"/>
            <w:vAlign w:val="center"/>
          </w:tcPr>
          <w:p w14:paraId="4ACE2BC7" w14:textId="77777777" w:rsidR="006F587A" w:rsidRDefault="006F587A">
            <w:pPr>
              <w:rPr>
                <w:rFonts w:ascii="Times New Roman" w:hAnsi="Times New Roman"/>
                <w:sz w:val="20"/>
                <w:szCs w:val="20"/>
              </w:rPr>
            </w:pPr>
          </w:p>
        </w:tc>
        <w:tc>
          <w:tcPr>
            <w:tcW w:w="450" w:type="pct"/>
            <w:shd w:val="clear" w:color="auto" w:fill="auto"/>
            <w:vAlign w:val="center"/>
          </w:tcPr>
          <w:p w14:paraId="4ACE2BC8" w14:textId="77777777" w:rsidR="006F587A" w:rsidRDefault="006F587A">
            <w:pPr>
              <w:rPr>
                <w:rFonts w:ascii="Times New Roman" w:hAnsi="Times New Roman"/>
                <w:sz w:val="20"/>
                <w:szCs w:val="20"/>
              </w:rPr>
            </w:pPr>
          </w:p>
        </w:tc>
        <w:tc>
          <w:tcPr>
            <w:tcW w:w="50" w:type="pct"/>
            <w:shd w:val="clear" w:color="auto" w:fill="auto"/>
            <w:vAlign w:val="center"/>
          </w:tcPr>
          <w:p w14:paraId="4ACE2BC9" w14:textId="77777777" w:rsidR="006F587A" w:rsidRDefault="006F587A">
            <w:pPr>
              <w:rPr>
                <w:rFonts w:ascii="Times New Roman" w:hAnsi="Times New Roman"/>
                <w:sz w:val="20"/>
                <w:szCs w:val="20"/>
              </w:rPr>
            </w:pPr>
          </w:p>
        </w:tc>
      </w:tr>
      <w:tr w:rsidR="006F587A" w14:paraId="4ACE2BD2" w14:textId="77777777">
        <w:tc>
          <w:tcPr>
            <w:tcW w:w="0" w:type="auto"/>
            <w:vMerge w:val="restart"/>
            <w:tcBorders>
              <w:bottom w:val="single" w:sz="8" w:space="0" w:color="0071C5"/>
            </w:tcBorders>
            <w:shd w:val="clear" w:color="auto" w:fill="auto"/>
            <w:tcMar>
              <w:top w:w="40" w:type="dxa"/>
              <w:left w:w="40" w:type="dxa"/>
              <w:bottom w:w="40" w:type="dxa"/>
              <w:right w:w="40" w:type="dxa"/>
            </w:tcMar>
            <w:vAlign w:val="bottom"/>
          </w:tcPr>
          <w:p w14:paraId="4ACE2BCB"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 xml:space="preserve">Years Ended </w:t>
            </w:r>
            <w:r>
              <w:rPr>
                <w:rFonts w:ascii="Arial" w:eastAsia="宋体" w:hAnsi="Arial" w:cs="Arial"/>
                <w:b/>
                <w:bCs/>
                <w:color w:val="333333"/>
                <w:sz w:val="18"/>
                <w:szCs w:val="18"/>
              </w:rPr>
              <w:br/>
              <w:t>(In Millions, Except Per Share Amounts)</w:t>
            </w:r>
          </w:p>
        </w:tc>
        <w:tc>
          <w:tcPr>
            <w:tcW w:w="0" w:type="auto"/>
            <w:shd w:val="clear" w:color="auto" w:fill="auto"/>
            <w:tcMar>
              <w:top w:w="40" w:type="dxa"/>
              <w:left w:w="40" w:type="dxa"/>
              <w:bottom w:w="40" w:type="dxa"/>
              <w:right w:w="40" w:type="dxa"/>
            </w:tcMar>
            <w:vAlign w:val="bottom"/>
          </w:tcPr>
          <w:p w14:paraId="4ACE2BC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71C5"/>
            </w:tcBorders>
            <w:shd w:val="clear" w:color="auto" w:fill="auto"/>
            <w:tcMar>
              <w:top w:w="40" w:type="dxa"/>
              <w:left w:w="40" w:type="dxa"/>
              <w:bottom w:w="40" w:type="dxa"/>
            </w:tcMar>
            <w:vAlign w:val="bottom"/>
          </w:tcPr>
          <w:p w14:paraId="4ACE2BCD"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December 28, 2019</w:t>
            </w:r>
          </w:p>
        </w:tc>
        <w:tc>
          <w:tcPr>
            <w:tcW w:w="0" w:type="auto"/>
            <w:shd w:val="clear" w:color="auto" w:fill="auto"/>
            <w:tcMar>
              <w:top w:w="40" w:type="dxa"/>
              <w:left w:w="40" w:type="dxa"/>
              <w:bottom w:w="40" w:type="dxa"/>
              <w:right w:w="40" w:type="dxa"/>
            </w:tcMar>
            <w:vAlign w:val="bottom"/>
          </w:tcPr>
          <w:p w14:paraId="4ACE2BC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71C5"/>
            </w:tcBorders>
            <w:shd w:val="clear" w:color="auto" w:fill="auto"/>
            <w:tcMar>
              <w:top w:w="40" w:type="dxa"/>
              <w:left w:w="40" w:type="dxa"/>
              <w:bottom w:w="40" w:type="dxa"/>
            </w:tcMar>
            <w:vAlign w:val="bottom"/>
          </w:tcPr>
          <w:p w14:paraId="4ACE2BCF"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December 29, 2018</w:t>
            </w:r>
          </w:p>
        </w:tc>
        <w:tc>
          <w:tcPr>
            <w:tcW w:w="0" w:type="auto"/>
            <w:shd w:val="clear" w:color="auto" w:fill="auto"/>
            <w:tcMar>
              <w:top w:w="40" w:type="dxa"/>
              <w:left w:w="40" w:type="dxa"/>
              <w:bottom w:w="40" w:type="dxa"/>
              <w:right w:w="40" w:type="dxa"/>
            </w:tcMar>
            <w:vAlign w:val="bottom"/>
          </w:tcPr>
          <w:p w14:paraId="4ACE2BD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71C5"/>
            </w:tcBorders>
            <w:shd w:val="clear" w:color="auto" w:fill="auto"/>
            <w:tcMar>
              <w:top w:w="40" w:type="dxa"/>
              <w:left w:w="40" w:type="dxa"/>
              <w:bottom w:w="40" w:type="dxa"/>
            </w:tcMar>
            <w:vAlign w:val="bottom"/>
          </w:tcPr>
          <w:p w14:paraId="4ACE2BD1"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December 30, 2017</w:t>
            </w:r>
          </w:p>
        </w:tc>
      </w:tr>
      <w:tr w:rsidR="006F587A" w14:paraId="4ACE2BE3" w14:textId="77777777">
        <w:tc>
          <w:tcPr>
            <w:tcW w:w="0" w:type="auto"/>
            <w:vMerge/>
            <w:tcBorders>
              <w:bottom w:val="single" w:sz="8" w:space="0" w:color="0071C5"/>
            </w:tcBorders>
            <w:shd w:val="clear" w:color="auto" w:fill="auto"/>
            <w:tcMar>
              <w:top w:w="40" w:type="dxa"/>
              <w:left w:w="40" w:type="dxa"/>
              <w:bottom w:w="40" w:type="dxa"/>
              <w:right w:w="40" w:type="dxa"/>
            </w:tcMar>
            <w:vAlign w:val="bottom"/>
          </w:tcPr>
          <w:p w14:paraId="4ACE2BD3"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BD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2BD5"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Amount</w:t>
            </w:r>
          </w:p>
        </w:tc>
        <w:tc>
          <w:tcPr>
            <w:tcW w:w="0" w:type="auto"/>
            <w:shd w:val="clear" w:color="auto" w:fill="auto"/>
            <w:tcMar>
              <w:top w:w="40" w:type="dxa"/>
              <w:left w:w="40" w:type="dxa"/>
              <w:bottom w:w="40" w:type="dxa"/>
              <w:right w:w="40" w:type="dxa"/>
            </w:tcMar>
            <w:vAlign w:val="bottom"/>
          </w:tcPr>
          <w:p w14:paraId="4ACE2BD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71C5"/>
            </w:tcBorders>
            <w:shd w:val="clear" w:color="auto" w:fill="auto"/>
            <w:tcMar>
              <w:top w:w="40" w:type="dxa"/>
              <w:left w:w="40" w:type="dxa"/>
              <w:bottom w:w="40" w:type="dxa"/>
              <w:right w:w="40" w:type="dxa"/>
            </w:tcMar>
            <w:vAlign w:val="bottom"/>
          </w:tcPr>
          <w:p w14:paraId="4ACE2BD7"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of Net</w:t>
            </w:r>
          </w:p>
          <w:p w14:paraId="4ACE2BD8"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Revenue</w:t>
            </w:r>
          </w:p>
        </w:tc>
        <w:tc>
          <w:tcPr>
            <w:tcW w:w="0" w:type="auto"/>
            <w:shd w:val="clear" w:color="auto" w:fill="auto"/>
            <w:tcMar>
              <w:top w:w="40" w:type="dxa"/>
              <w:left w:w="40" w:type="dxa"/>
              <w:bottom w:w="40" w:type="dxa"/>
              <w:right w:w="40" w:type="dxa"/>
            </w:tcMar>
            <w:vAlign w:val="bottom"/>
          </w:tcPr>
          <w:p w14:paraId="4ACE2BD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2BDA"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Amount</w:t>
            </w:r>
          </w:p>
        </w:tc>
        <w:tc>
          <w:tcPr>
            <w:tcW w:w="0" w:type="auto"/>
            <w:shd w:val="clear" w:color="auto" w:fill="auto"/>
            <w:tcMar>
              <w:top w:w="40" w:type="dxa"/>
              <w:left w:w="40" w:type="dxa"/>
              <w:bottom w:w="40" w:type="dxa"/>
              <w:right w:w="40" w:type="dxa"/>
            </w:tcMar>
            <w:vAlign w:val="bottom"/>
          </w:tcPr>
          <w:p w14:paraId="4ACE2BD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71C5"/>
            </w:tcBorders>
            <w:shd w:val="clear" w:color="auto" w:fill="auto"/>
            <w:tcMar>
              <w:top w:w="40" w:type="dxa"/>
              <w:left w:w="40" w:type="dxa"/>
              <w:bottom w:w="40" w:type="dxa"/>
              <w:right w:w="40" w:type="dxa"/>
            </w:tcMar>
            <w:vAlign w:val="bottom"/>
          </w:tcPr>
          <w:p w14:paraId="4ACE2BDC"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of Net</w:t>
            </w:r>
          </w:p>
          <w:p w14:paraId="4ACE2BDD"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Revenue</w:t>
            </w:r>
          </w:p>
        </w:tc>
        <w:tc>
          <w:tcPr>
            <w:tcW w:w="0" w:type="auto"/>
            <w:shd w:val="clear" w:color="auto" w:fill="auto"/>
            <w:tcMar>
              <w:top w:w="40" w:type="dxa"/>
              <w:left w:w="40" w:type="dxa"/>
              <w:bottom w:w="40" w:type="dxa"/>
              <w:right w:w="40" w:type="dxa"/>
            </w:tcMar>
            <w:vAlign w:val="bottom"/>
          </w:tcPr>
          <w:p w14:paraId="4ACE2BD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2BDF"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Amount</w:t>
            </w:r>
          </w:p>
        </w:tc>
        <w:tc>
          <w:tcPr>
            <w:tcW w:w="0" w:type="auto"/>
            <w:shd w:val="clear" w:color="auto" w:fill="auto"/>
            <w:tcMar>
              <w:top w:w="40" w:type="dxa"/>
              <w:left w:w="40" w:type="dxa"/>
              <w:bottom w:w="40" w:type="dxa"/>
              <w:right w:w="40" w:type="dxa"/>
            </w:tcMar>
            <w:vAlign w:val="bottom"/>
          </w:tcPr>
          <w:p w14:paraId="4ACE2BE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71C5"/>
            </w:tcBorders>
            <w:shd w:val="clear" w:color="auto" w:fill="auto"/>
            <w:tcMar>
              <w:top w:w="40" w:type="dxa"/>
              <w:left w:w="40" w:type="dxa"/>
              <w:bottom w:w="40" w:type="dxa"/>
              <w:right w:w="40" w:type="dxa"/>
            </w:tcMar>
            <w:vAlign w:val="bottom"/>
          </w:tcPr>
          <w:p w14:paraId="4ACE2BE1"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of Net</w:t>
            </w:r>
          </w:p>
          <w:p w14:paraId="4ACE2BE2"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Revenue</w:t>
            </w:r>
          </w:p>
        </w:tc>
      </w:tr>
      <w:tr w:rsidR="006F587A" w14:paraId="4ACE2BFA" w14:textId="77777777">
        <w:tc>
          <w:tcPr>
            <w:tcW w:w="0" w:type="auto"/>
            <w:shd w:val="clear" w:color="auto" w:fill="auto"/>
            <w:tcMar>
              <w:top w:w="40" w:type="dxa"/>
              <w:left w:w="40" w:type="dxa"/>
              <w:bottom w:w="40" w:type="dxa"/>
              <w:right w:w="40" w:type="dxa"/>
            </w:tcMar>
            <w:vAlign w:val="bottom"/>
          </w:tcPr>
          <w:p w14:paraId="4ACE2BE4"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Net revenue</w:t>
            </w:r>
          </w:p>
        </w:tc>
        <w:tc>
          <w:tcPr>
            <w:tcW w:w="0" w:type="auto"/>
            <w:shd w:val="clear" w:color="auto" w:fill="auto"/>
            <w:tcMar>
              <w:top w:w="40" w:type="dxa"/>
              <w:left w:w="40" w:type="dxa"/>
              <w:bottom w:w="40" w:type="dxa"/>
              <w:right w:w="40" w:type="dxa"/>
            </w:tcMar>
            <w:vAlign w:val="bottom"/>
          </w:tcPr>
          <w:p w14:paraId="4ACE2BE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BE6"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bottom w:w="40" w:type="dxa"/>
            </w:tcMar>
            <w:vAlign w:val="bottom"/>
          </w:tcPr>
          <w:p w14:paraId="4ACE2BE7"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71,965</w:t>
            </w:r>
          </w:p>
        </w:tc>
        <w:tc>
          <w:tcPr>
            <w:tcW w:w="0" w:type="auto"/>
            <w:shd w:val="clear" w:color="auto" w:fill="auto"/>
            <w:vAlign w:val="bottom"/>
          </w:tcPr>
          <w:p w14:paraId="4ACE2BE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BE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BEA"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100.0</w:t>
            </w:r>
          </w:p>
        </w:tc>
        <w:tc>
          <w:tcPr>
            <w:tcW w:w="0" w:type="auto"/>
            <w:shd w:val="clear" w:color="auto" w:fill="auto"/>
            <w:tcMar>
              <w:top w:w="40" w:type="dxa"/>
              <w:bottom w:w="40" w:type="dxa"/>
              <w:right w:w="40" w:type="dxa"/>
            </w:tcMar>
            <w:vAlign w:val="bottom"/>
          </w:tcPr>
          <w:p w14:paraId="4ACE2BEB"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left w:w="40" w:type="dxa"/>
              <w:bottom w:w="40" w:type="dxa"/>
              <w:right w:w="40" w:type="dxa"/>
            </w:tcMar>
            <w:vAlign w:val="bottom"/>
          </w:tcPr>
          <w:p w14:paraId="4ACE2BE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BED"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bottom w:w="40" w:type="dxa"/>
            </w:tcMar>
            <w:vAlign w:val="bottom"/>
          </w:tcPr>
          <w:p w14:paraId="4ACE2BEE"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70,848</w:t>
            </w:r>
          </w:p>
        </w:tc>
        <w:tc>
          <w:tcPr>
            <w:tcW w:w="0" w:type="auto"/>
            <w:shd w:val="clear" w:color="auto" w:fill="auto"/>
            <w:vAlign w:val="bottom"/>
          </w:tcPr>
          <w:p w14:paraId="4ACE2BE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BF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BF1"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100.0</w:t>
            </w:r>
          </w:p>
        </w:tc>
        <w:tc>
          <w:tcPr>
            <w:tcW w:w="0" w:type="auto"/>
            <w:shd w:val="clear" w:color="auto" w:fill="auto"/>
            <w:tcMar>
              <w:top w:w="40" w:type="dxa"/>
              <w:bottom w:w="40" w:type="dxa"/>
              <w:right w:w="40" w:type="dxa"/>
            </w:tcMar>
            <w:vAlign w:val="bottom"/>
          </w:tcPr>
          <w:p w14:paraId="4ACE2BF2"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 %</w:t>
            </w:r>
          </w:p>
        </w:tc>
        <w:tc>
          <w:tcPr>
            <w:tcW w:w="0" w:type="auto"/>
            <w:shd w:val="clear" w:color="auto" w:fill="auto"/>
            <w:tcMar>
              <w:top w:w="40" w:type="dxa"/>
              <w:left w:w="40" w:type="dxa"/>
              <w:bottom w:w="40" w:type="dxa"/>
              <w:right w:w="40" w:type="dxa"/>
            </w:tcMar>
            <w:vAlign w:val="bottom"/>
          </w:tcPr>
          <w:p w14:paraId="4ACE2BF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BF4"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bottom w:w="40" w:type="dxa"/>
            </w:tcMar>
            <w:vAlign w:val="bottom"/>
          </w:tcPr>
          <w:p w14:paraId="4ACE2BF5"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62,761</w:t>
            </w:r>
          </w:p>
        </w:tc>
        <w:tc>
          <w:tcPr>
            <w:tcW w:w="0" w:type="auto"/>
            <w:shd w:val="clear" w:color="auto" w:fill="auto"/>
            <w:vAlign w:val="bottom"/>
          </w:tcPr>
          <w:p w14:paraId="4ACE2BF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BF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BF8"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100.0</w:t>
            </w:r>
          </w:p>
        </w:tc>
        <w:tc>
          <w:tcPr>
            <w:tcW w:w="0" w:type="auto"/>
            <w:shd w:val="clear" w:color="auto" w:fill="auto"/>
            <w:tcMar>
              <w:top w:w="40" w:type="dxa"/>
              <w:bottom w:w="40" w:type="dxa"/>
              <w:right w:w="40" w:type="dxa"/>
            </w:tcMar>
            <w:vAlign w:val="bottom"/>
          </w:tcPr>
          <w:p w14:paraId="4ACE2BF9"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 %</w:t>
            </w:r>
          </w:p>
        </w:tc>
      </w:tr>
      <w:tr w:rsidR="006F587A" w14:paraId="4ACE2C0E" w14:textId="77777777">
        <w:tc>
          <w:tcPr>
            <w:tcW w:w="0" w:type="auto"/>
            <w:shd w:val="clear" w:color="auto" w:fill="auto"/>
            <w:tcMar>
              <w:top w:w="40" w:type="dxa"/>
              <w:left w:w="40" w:type="dxa"/>
              <w:bottom w:w="40" w:type="dxa"/>
              <w:right w:w="40" w:type="dxa"/>
            </w:tcMar>
            <w:vAlign w:val="bottom"/>
          </w:tcPr>
          <w:p w14:paraId="4ACE2BF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lastRenderedPageBreak/>
              <w:t>Cost of sales</w:t>
            </w:r>
          </w:p>
        </w:tc>
        <w:tc>
          <w:tcPr>
            <w:tcW w:w="0" w:type="auto"/>
            <w:shd w:val="clear" w:color="auto" w:fill="auto"/>
            <w:tcMar>
              <w:top w:w="40" w:type="dxa"/>
              <w:left w:w="40" w:type="dxa"/>
              <w:bottom w:w="40" w:type="dxa"/>
              <w:right w:w="40" w:type="dxa"/>
            </w:tcMar>
            <w:vAlign w:val="bottom"/>
          </w:tcPr>
          <w:p w14:paraId="4ACE2BF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2BFD"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29,825</w:t>
            </w:r>
          </w:p>
        </w:tc>
        <w:tc>
          <w:tcPr>
            <w:tcW w:w="0" w:type="auto"/>
            <w:shd w:val="clear" w:color="auto" w:fill="auto"/>
            <w:vAlign w:val="bottom"/>
          </w:tcPr>
          <w:p w14:paraId="4ACE2BF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BF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C00"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41.4</w:t>
            </w:r>
          </w:p>
        </w:tc>
        <w:tc>
          <w:tcPr>
            <w:tcW w:w="0" w:type="auto"/>
            <w:shd w:val="clear" w:color="auto" w:fill="auto"/>
            <w:tcMar>
              <w:top w:w="40" w:type="dxa"/>
              <w:bottom w:w="40" w:type="dxa"/>
              <w:right w:w="40" w:type="dxa"/>
            </w:tcMar>
            <w:vAlign w:val="bottom"/>
          </w:tcPr>
          <w:p w14:paraId="4ACE2C01"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2C0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2C03"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27,111</w:t>
            </w:r>
          </w:p>
        </w:tc>
        <w:tc>
          <w:tcPr>
            <w:tcW w:w="0" w:type="auto"/>
            <w:shd w:val="clear" w:color="auto" w:fill="auto"/>
            <w:vAlign w:val="bottom"/>
          </w:tcPr>
          <w:p w14:paraId="4ACE2C0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C0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C0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38.3</w:t>
            </w:r>
          </w:p>
        </w:tc>
        <w:tc>
          <w:tcPr>
            <w:tcW w:w="0" w:type="auto"/>
            <w:shd w:val="clear" w:color="auto" w:fill="auto"/>
            <w:tcMar>
              <w:top w:w="40" w:type="dxa"/>
              <w:bottom w:w="40" w:type="dxa"/>
              <w:right w:w="40" w:type="dxa"/>
            </w:tcMar>
            <w:vAlign w:val="bottom"/>
          </w:tcPr>
          <w:p w14:paraId="4ACE2C0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w:t>
            </w:r>
          </w:p>
        </w:tc>
        <w:tc>
          <w:tcPr>
            <w:tcW w:w="0" w:type="auto"/>
            <w:shd w:val="clear" w:color="auto" w:fill="auto"/>
            <w:tcMar>
              <w:top w:w="40" w:type="dxa"/>
              <w:left w:w="40" w:type="dxa"/>
              <w:bottom w:w="40" w:type="dxa"/>
              <w:right w:w="40" w:type="dxa"/>
            </w:tcMar>
            <w:vAlign w:val="bottom"/>
          </w:tcPr>
          <w:p w14:paraId="4ACE2C0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2C0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23,663</w:t>
            </w:r>
          </w:p>
        </w:tc>
        <w:tc>
          <w:tcPr>
            <w:tcW w:w="0" w:type="auto"/>
            <w:shd w:val="clear" w:color="auto" w:fill="auto"/>
            <w:vAlign w:val="bottom"/>
          </w:tcPr>
          <w:p w14:paraId="4ACE2C0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C0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C0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37.7</w:t>
            </w:r>
          </w:p>
        </w:tc>
        <w:tc>
          <w:tcPr>
            <w:tcW w:w="0" w:type="auto"/>
            <w:shd w:val="clear" w:color="auto" w:fill="auto"/>
            <w:tcMar>
              <w:top w:w="40" w:type="dxa"/>
              <w:bottom w:w="40" w:type="dxa"/>
              <w:right w:w="40" w:type="dxa"/>
            </w:tcMar>
            <w:vAlign w:val="bottom"/>
          </w:tcPr>
          <w:p w14:paraId="4ACE2C0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w:t>
            </w:r>
          </w:p>
        </w:tc>
      </w:tr>
      <w:tr w:rsidR="006F587A" w14:paraId="4ACE2C22" w14:textId="77777777">
        <w:tc>
          <w:tcPr>
            <w:tcW w:w="0" w:type="auto"/>
            <w:shd w:val="clear" w:color="auto" w:fill="auto"/>
            <w:tcMar>
              <w:top w:w="40" w:type="dxa"/>
              <w:left w:w="40" w:type="dxa"/>
              <w:bottom w:w="40" w:type="dxa"/>
              <w:right w:w="40" w:type="dxa"/>
            </w:tcMar>
            <w:vAlign w:val="bottom"/>
          </w:tcPr>
          <w:p w14:paraId="4ACE2C0F"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Gro</w:t>
            </w:r>
            <w:r>
              <w:rPr>
                <w:rFonts w:ascii="Arial" w:eastAsia="宋体" w:hAnsi="Arial" w:cs="Arial"/>
                <w:b/>
                <w:bCs/>
                <w:color w:val="333333"/>
                <w:sz w:val="18"/>
                <w:szCs w:val="18"/>
              </w:rPr>
              <w:t>ss margin</w:t>
            </w:r>
          </w:p>
        </w:tc>
        <w:tc>
          <w:tcPr>
            <w:tcW w:w="0" w:type="auto"/>
            <w:shd w:val="clear" w:color="auto" w:fill="auto"/>
            <w:tcMar>
              <w:top w:w="40" w:type="dxa"/>
              <w:left w:w="40" w:type="dxa"/>
              <w:bottom w:w="40" w:type="dxa"/>
              <w:right w:w="40" w:type="dxa"/>
            </w:tcMar>
            <w:vAlign w:val="bottom"/>
          </w:tcPr>
          <w:p w14:paraId="4ACE2C1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2C11"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42,140</w:t>
            </w:r>
          </w:p>
        </w:tc>
        <w:tc>
          <w:tcPr>
            <w:tcW w:w="0" w:type="auto"/>
            <w:tcBorders>
              <w:top w:val="single" w:sz="8" w:space="0" w:color="333333"/>
              <w:bottom w:val="single" w:sz="8" w:space="0" w:color="333333"/>
            </w:tcBorders>
            <w:shd w:val="clear" w:color="auto" w:fill="auto"/>
            <w:vAlign w:val="bottom"/>
          </w:tcPr>
          <w:p w14:paraId="4ACE2C1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C1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single" w:sz="8" w:space="0" w:color="333333"/>
            </w:tcBorders>
            <w:shd w:val="clear" w:color="auto" w:fill="auto"/>
            <w:tcMar>
              <w:top w:w="40" w:type="dxa"/>
              <w:left w:w="40" w:type="dxa"/>
              <w:bottom w:w="40" w:type="dxa"/>
            </w:tcMar>
            <w:vAlign w:val="bottom"/>
          </w:tcPr>
          <w:p w14:paraId="4ACE2C14"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58.6</w:t>
            </w:r>
          </w:p>
        </w:tc>
        <w:tc>
          <w:tcPr>
            <w:tcW w:w="0" w:type="auto"/>
            <w:tcBorders>
              <w:top w:val="single" w:sz="8" w:space="0" w:color="333333"/>
              <w:bottom w:val="single" w:sz="8" w:space="0" w:color="333333"/>
            </w:tcBorders>
            <w:shd w:val="clear" w:color="auto" w:fill="auto"/>
            <w:tcMar>
              <w:top w:w="40" w:type="dxa"/>
              <w:bottom w:w="40" w:type="dxa"/>
              <w:right w:w="40" w:type="dxa"/>
            </w:tcMar>
            <w:vAlign w:val="bottom"/>
          </w:tcPr>
          <w:p w14:paraId="4ACE2C15"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left w:w="40" w:type="dxa"/>
              <w:bottom w:w="40" w:type="dxa"/>
              <w:right w:w="40" w:type="dxa"/>
            </w:tcMar>
            <w:vAlign w:val="bottom"/>
          </w:tcPr>
          <w:p w14:paraId="4ACE2C1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2C17"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43,737</w:t>
            </w:r>
          </w:p>
        </w:tc>
        <w:tc>
          <w:tcPr>
            <w:tcW w:w="0" w:type="auto"/>
            <w:tcBorders>
              <w:top w:val="single" w:sz="8" w:space="0" w:color="333333"/>
              <w:bottom w:val="single" w:sz="8" w:space="0" w:color="333333"/>
            </w:tcBorders>
            <w:shd w:val="clear" w:color="auto" w:fill="auto"/>
            <w:vAlign w:val="bottom"/>
          </w:tcPr>
          <w:p w14:paraId="4ACE2C1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C1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single" w:sz="8" w:space="0" w:color="333333"/>
            </w:tcBorders>
            <w:shd w:val="clear" w:color="auto" w:fill="auto"/>
            <w:tcMar>
              <w:top w:w="40" w:type="dxa"/>
              <w:left w:w="40" w:type="dxa"/>
              <w:bottom w:w="40" w:type="dxa"/>
            </w:tcMar>
            <w:vAlign w:val="bottom"/>
          </w:tcPr>
          <w:p w14:paraId="4ACE2C1A"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61.7</w:t>
            </w:r>
          </w:p>
        </w:tc>
        <w:tc>
          <w:tcPr>
            <w:tcW w:w="0" w:type="auto"/>
            <w:tcBorders>
              <w:top w:val="single" w:sz="8" w:space="0" w:color="333333"/>
              <w:bottom w:val="single" w:sz="8" w:space="0" w:color="333333"/>
            </w:tcBorders>
            <w:shd w:val="clear" w:color="auto" w:fill="auto"/>
            <w:tcMar>
              <w:top w:w="40" w:type="dxa"/>
              <w:bottom w:w="40" w:type="dxa"/>
              <w:right w:w="40" w:type="dxa"/>
            </w:tcMar>
            <w:vAlign w:val="bottom"/>
          </w:tcPr>
          <w:p w14:paraId="4ACE2C1B"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 %</w:t>
            </w:r>
          </w:p>
        </w:tc>
        <w:tc>
          <w:tcPr>
            <w:tcW w:w="0" w:type="auto"/>
            <w:shd w:val="clear" w:color="auto" w:fill="auto"/>
            <w:tcMar>
              <w:top w:w="40" w:type="dxa"/>
              <w:left w:w="40" w:type="dxa"/>
              <w:bottom w:w="40" w:type="dxa"/>
              <w:right w:w="40" w:type="dxa"/>
            </w:tcMar>
            <w:vAlign w:val="bottom"/>
          </w:tcPr>
          <w:p w14:paraId="4ACE2C1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2C1D"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39,098</w:t>
            </w:r>
          </w:p>
        </w:tc>
        <w:tc>
          <w:tcPr>
            <w:tcW w:w="0" w:type="auto"/>
            <w:tcBorders>
              <w:top w:val="single" w:sz="8" w:space="0" w:color="333333"/>
              <w:bottom w:val="single" w:sz="8" w:space="0" w:color="333333"/>
            </w:tcBorders>
            <w:shd w:val="clear" w:color="auto" w:fill="auto"/>
            <w:vAlign w:val="bottom"/>
          </w:tcPr>
          <w:p w14:paraId="4ACE2C1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C1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single" w:sz="8" w:space="0" w:color="333333"/>
            </w:tcBorders>
            <w:shd w:val="clear" w:color="auto" w:fill="auto"/>
            <w:tcMar>
              <w:top w:w="40" w:type="dxa"/>
              <w:left w:w="40" w:type="dxa"/>
              <w:bottom w:w="40" w:type="dxa"/>
            </w:tcMar>
            <w:vAlign w:val="bottom"/>
          </w:tcPr>
          <w:p w14:paraId="4ACE2C20"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62.3</w:t>
            </w:r>
          </w:p>
        </w:tc>
        <w:tc>
          <w:tcPr>
            <w:tcW w:w="0" w:type="auto"/>
            <w:tcBorders>
              <w:top w:val="single" w:sz="8" w:space="0" w:color="333333"/>
              <w:bottom w:val="single" w:sz="8" w:space="0" w:color="333333"/>
            </w:tcBorders>
            <w:shd w:val="clear" w:color="auto" w:fill="auto"/>
            <w:tcMar>
              <w:top w:w="40" w:type="dxa"/>
              <w:bottom w:w="40" w:type="dxa"/>
              <w:right w:w="40" w:type="dxa"/>
            </w:tcMar>
            <w:vAlign w:val="bottom"/>
          </w:tcPr>
          <w:p w14:paraId="4ACE2C21"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 %</w:t>
            </w:r>
          </w:p>
        </w:tc>
      </w:tr>
      <w:tr w:rsidR="006F587A" w14:paraId="4ACE2C36" w14:textId="77777777">
        <w:tc>
          <w:tcPr>
            <w:tcW w:w="0" w:type="auto"/>
            <w:shd w:val="clear" w:color="auto" w:fill="auto"/>
            <w:tcMar>
              <w:top w:w="40" w:type="dxa"/>
              <w:left w:w="40" w:type="dxa"/>
              <w:bottom w:w="40" w:type="dxa"/>
              <w:right w:w="40" w:type="dxa"/>
            </w:tcMar>
            <w:vAlign w:val="bottom"/>
          </w:tcPr>
          <w:p w14:paraId="4ACE2C2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Research and development</w:t>
            </w:r>
          </w:p>
        </w:tc>
        <w:tc>
          <w:tcPr>
            <w:tcW w:w="0" w:type="auto"/>
            <w:shd w:val="clear" w:color="auto" w:fill="auto"/>
            <w:tcMar>
              <w:top w:w="40" w:type="dxa"/>
              <w:left w:w="40" w:type="dxa"/>
              <w:bottom w:w="40" w:type="dxa"/>
              <w:right w:w="40" w:type="dxa"/>
            </w:tcMar>
            <w:vAlign w:val="bottom"/>
          </w:tcPr>
          <w:p w14:paraId="4ACE2C2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2C25"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13,362</w:t>
            </w:r>
          </w:p>
        </w:tc>
        <w:tc>
          <w:tcPr>
            <w:tcW w:w="0" w:type="auto"/>
            <w:shd w:val="clear" w:color="auto" w:fill="auto"/>
            <w:vAlign w:val="bottom"/>
          </w:tcPr>
          <w:p w14:paraId="4ACE2C2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C2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C28"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18.6</w:t>
            </w:r>
          </w:p>
        </w:tc>
        <w:tc>
          <w:tcPr>
            <w:tcW w:w="0" w:type="auto"/>
            <w:shd w:val="clear" w:color="auto" w:fill="auto"/>
            <w:tcMar>
              <w:top w:w="40" w:type="dxa"/>
              <w:bottom w:w="40" w:type="dxa"/>
              <w:right w:w="40" w:type="dxa"/>
            </w:tcMar>
            <w:vAlign w:val="bottom"/>
          </w:tcPr>
          <w:p w14:paraId="4ACE2C29"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2C2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2C2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13,543</w:t>
            </w:r>
          </w:p>
        </w:tc>
        <w:tc>
          <w:tcPr>
            <w:tcW w:w="0" w:type="auto"/>
            <w:shd w:val="clear" w:color="auto" w:fill="auto"/>
            <w:vAlign w:val="bottom"/>
          </w:tcPr>
          <w:p w14:paraId="4ACE2C2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C2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C2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19.1</w:t>
            </w:r>
          </w:p>
        </w:tc>
        <w:tc>
          <w:tcPr>
            <w:tcW w:w="0" w:type="auto"/>
            <w:shd w:val="clear" w:color="auto" w:fill="auto"/>
            <w:tcMar>
              <w:top w:w="40" w:type="dxa"/>
              <w:bottom w:w="40" w:type="dxa"/>
              <w:right w:w="40" w:type="dxa"/>
            </w:tcMar>
            <w:vAlign w:val="bottom"/>
          </w:tcPr>
          <w:p w14:paraId="4ACE2C2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w:t>
            </w:r>
          </w:p>
        </w:tc>
        <w:tc>
          <w:tcPr>
            <w:tcW w:w="0" w:type="auto"/>
            <w:shd w:val="clear" w:color="auto" w:fill="auto"/>
            <w:tcMar>
              <w:top w:w="40" w:type="dxa"/>
              <w:left w:w="40" w:type="dxa"/>
              <w:bottom w:w="40" w:type="dxa"/>
              <w:right w:w="40" w:type="dxa"/>
            </w:tcMar>
            <w:vAlign w:val="bottom"/>
          </w:tcPr>
          <w:p w14:paraId="4ACE2C3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2C31"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13,035</w:t>
            </w:r>
          </w:p>
        </w:tc>
        <w:tc>
          <w:tcPr>
            <w:tcW w:w="0" w:type="auto"/>
            <w:shd w:val="clear" w:color="auto" w:fill="auto"/>
            <w:vAlign w:val="bottom"/>
          </w:tcPr>
          <w:p w14:paraId="4ACE2C3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C3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C3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20.8</w:t>
            </w:r>
          </w:p>
        </w:tc>
        <w:tc>
          <w:tcPr>
            <w:tcW w:w="0" w:type="auto"/>
            <w:shd w:val="clear" w:color="auto" w:fill="auto"/>
            <w:tcMar>
              <w:top w:w="40" w:type="dxa"/>
              <w:bottom w:w="40" w:type="dxa"/>
              <w:right w:w="40" w:type="dxa"/>
            </w:tcMar>
            <w:vAlign w:val="bottom"/>
          </w:tcPr>
          <w:p w14:paraId="4ACE2C3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w:t>
            </w:r>
          </w:p>
        </w:tc>
      </w:tr>
      <w:tr w:rsidR="006F587A" w14:paraId="4ACE2C4A" w14:textId="77777777">
        <w:tc>
          <w:tcPr>
            <w:tcW w:w="0" w:type="auto"/>
            <w:shd w:val="clear" w:color="auto" w:fill="auto"/>
            <w:tcMar>
              <w:top w:w="40" w:type="dxa"/>
              <w:left w:w="40" w:type="dxa"/>
              <w:bottom w:w="40" w:type="dxa"/>
              <w:right w:w="40" w:type="dxa"/>
            </w:tcMar>
            <w:vAlign w:val="bottom"/>
          </w:tcPr>
          <w:p w14:paraId="4ACE2C37"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Mar</w:t>
            </w:r>
            <w:r>
              <w:rPr>
                <w:rFonts w:ascii="Arial" w:eastAsia="宋体" w:hAnsi="Arial" w:cs="Arial"/>
                <w:color w:val="333333"/>
                <w:sz w:val="18"/>
                <w:szCs w:val="18"/>
              </w:rPr>
              <w:t>keting, general and administrative</w:t>
            </w:r>
          </w:p>
        </w:tc>
        <w:tc>
          <w:tcPr>
            <w:tcW w:w="0" w:type="auto"/>
            <w:shd w:val="clear" w:color="auto" w:fill="auto"/>
            <w:tcMar>
              <w:top w:w="40" w:type="dxa"/>
              <w:left w:w="40" w:type="dxa"/>
              <w:bottom w:w="40" w:type="dxa"/>
              <w:right w:w="40" w:type="dxa"/>
            </w:tcMar>
            <w:vAlign w:val="bottom"/>
          </w:tcPr>
          <w:p w14:paraId="4ACE2C3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2C39"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6,150</w:t>
            </w:r>
          </w:p>
        </w:tc>
        <w:tc>
          <w:tcPr>
            <w:tcW w:w="0" w:type="auto"/>
            <w:shd w:val="clear" w:color="auto" w:fill="auto"/>
            <w:vAlign w:val="bottom"/>
          </w:tcPr>
          <w:p w14:paraId="4ACE2C3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C3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C3C"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8.5</w:t>
            </w:r>
          </w:p>
        </w:tc>
        <w:tc>
          <w:tcPr>
            <w:tcW w:w="0" w:type="auto"/>
            <w:shd w:val="clear" w:color="auto" w:fill="auto"/>
            <w:tcMar>
              <w:top w:w="40" w:type="dxa"/>
              <w:bottom w:w="40" w:type="dxa"/>
              <w:right w:w="40" w:type="dxa"/>
            </w:tcMar>
            <w:vAlign w:val="bottom"/>
          </w:tcPr>
          <w:p w14:paraId="4ACE2C3D"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2C3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2C3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6,750</w:t>
            </w:r>
          </w:p>
        </w:tc>
        <w:tc>
          <w:tcPr>
            <w:tcW w:w="0" w:type="auto"/>
            <w:shd w:val="clear" w:color="auto" w:fill="auto"/>
            <w:vAlign w:val="bottom"/>
          </w:tcPr>
          <w:p w14:paraId="4ACE2C4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C4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C4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9.5</w:t>
            </w:r>
          </w:p>
        </w:tc>
        <w:tc>
          <w:tcPr>
            <w:tcW w:w="0" w:type="auto"/>
            <w:shd w:val="clear" w:color="auto" w:fill="auto"/>
            <w:tcMar>
              <w:top w:w="40" w:type="dxa"/>
              <w:bottom w:w="40" w:type="dxa"/>
              <w:right w:w="40" w:type="dxa"/>
            </w:tcMar>
            <w:vAlign w:val="bottom"/>
          </w:tcPr>
          <w:p w14:paraId="4ACE2C4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w:t>
            </w:r>
          </w:p>
        </w:tc>
        <w:tc>
          <w:tcPr>
            <w:tcW w:w="0" w:type="auto"/>
            <w:shd w:val="clear" w:color="auto" w:fill="auto"/>
            <w:tcMar>
              <w:top w:w="40" w:type="dxa"/>
              <w:left w:w="40" w:type="dxa"/>
              <w:bottom w:w="40" w:type="dxa"/>
              <w:right w:w="40" w:type="dxa"/>
            </w:tcMar>
            <w:vAlign w:val="bottom"/>
          </w:tcPr>
          <w:p w14:paraId="4ACE2C4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2C45"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7,452</w:t>
            </w:r>
          </w:p>
        </w:tc>
        <w:tc>
          <w:tcPr>
            <w:tcW w:w="0" w:type="auto"/>
            <w:shd w:val="clear" w:color="auto" w:fill="auto"/>
            <w:vAlign w:val="bottom"/>
          </w:tcPr>
          <w:p w14:paraId="4ACE2C4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C4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C4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11.9</w:t>
            </w:r>
          </w:p>
        </w:tc>
        <w:tc>
          <w:tcPr>
            <w:tcW w:w="0" w:type="auto"/>
            <w:shd w:val="clear" w:color="auto" w:fill="auto"/>
            <w:tcMar>
              <w:top w:w="40" w:type="dxa"/>
              <w:bottom w:w="40" w:type="dxa"/>
              <w:right w:w="40" w:type="dxa"/>
            </w:tcMar>
            <w:vAlign w:val="bottom"/>
          </w:tcPr>
          <w:p w14:paraId="4ACE2C4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w:t>
            </w:r>
          </w:p>
        </w:tc>
      </w:tr>
      <w:tr w:rsidR="006F587A" w14:paraId="4ACE2C5E" w14:textId="77777777">
        <w:tc>
          <w:tcPr>
            <w:tcW w:w="0" w:type="auto"/>
            <w:shd w:val="clear" w:color="auto" w:fill="auto"/>
            <w:tcMar>
              <w:top w:w="40" w:type="dxa"/>
              <w:left w:w="40" w:type="dxa"/>
              <w:bottom w:w="40" w:type="dxa"/>
              <w:right w:w="40" w:type="dxa"/>
            </w:tcMar>
            <w:vAlign w:val="bottom"/>
          </w:tcPr>
          <w:p w14:paraId="4ACE2C4B"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Res</w:t>
            </w:r>
            <w:r>
              <w:rPr>
                <w:rFonts w:ascii="Arial" w:eastAsia="宋体" w:hAnsi="Arial" w:cs="Arial"/>
                <w:color w:val="333333"/>
                <w:sz w:val="18"/>
                <w:szCs w:val="18"/>
              </w:rPr>
              <w:t>tructuring and other charges</w:t>
            </w:r>
          </w:p>
        </w:tc>
        <w:tc>
          <w:tcPr>
            <w:tcW w:w="0" w:type="auto"/>
            <w:shd w:val="clear" w:color="auto" w:fill="auto"/>
            <w:tcMar>
              <w:top w:w="40" w:type="dxa"/>
              <w:left w:w="40" w:type="dxa"/>
              <w:bottom w:w="40" w:type="dxa"/>
              <w:right w:w="40" w:type="dxa"/>
            </w:tcMar>
            <w:vAlign w:val="bottom"/>
          </w:tcPr>
          <w:p w14:paraId="4ACE2C4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2C4D"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393</w:t>
            </w:r>
          </w:p>
        </w:tc>
        <w:tc>
          <w:tcPr>
            <w:tcW w:w="0" w:type="auto"/>
            <w:shd w:val="clear" w:color="auto" w:fill="auto"/>
            <w:vAlign w:val="bottom"/>
          </w:tcPr>
          <w:p w14:paraId="4ACE2C4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C4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C50"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0.5</w:t>
            </w:r>
          </w:p>
        </w:tc>
        <w:tc>
          <w:tcPr>
            <w:tcW w:w="0" w:type="auto"/>
            <w:shd w:val="clear" w:color="auto" w:fill="auto"/>
            <w:tcMar>
              <w:top w:w="40" w:type="dxa"/>
              <w:bottom w:w="40" w:type="dxa"/>
              <w:right w:w="40" w:type="dxa"/>
            </w:tcMar>
            <w:vAlign w:val="bottom"/>
          </w:tcPr>
          <w:p w14:paraId="4ACE2C51"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2C5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2C53"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(72</w:t>
            </w:r>
          </w:p>
        </w:tc>
        <w:tc>
          <w:tcPr>
            <w:tcW w:w="0" w:type="auto"/>
            <w:shd w:val="clear" w:color="auto" w:fill="auto"/>
            <w:tcMar>
              <w:top w:w="40" w:type="dxa"/>
              <w:bottom w:w="40" w:type="dxa"/>
              <w:right w:w="40" w:type="dxa"/>
            </w:tcMar>
            <w:vAlign w:val="bottom"/>
          </w:tcPr>
          <w:p w14:paraId="4ACE2C5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2C5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C5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(0.1</w:t>
            </w:r>
          </w:p>
        </w:tc>
        <w:tc>
          <w:tcPr>
            <w:tcW w:w="0" w:type="auto"/>
            <w:shd w:val="clear" w:color="auto" w:fill="auto"/>
            <w:tcMar>
              <w:top w:w="40" w:type="dxa"/>
              <w:bottom w:w="40" w:type="dxa"/>
              <w:right w:w="40" w:type="dxa"/>
            </w:tcMar>
            <w:vAlign w:val="bottom"/>
          </w:tcPr>
          <w:p w14:paraId="4ACE2C5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2C5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2C5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384</w:t>
            </w:r>
          </w:p>
        </w:tc>
        <w:tc>
          <w:tcPr>
            <w:tcW w:w="0" w:type="auto"/>
            <w:shd w:val="clear" w:color="auto" w:fill="auto"/>
            <w:vAlign w:val="bottom"/>
          </w:tcPr>
          <w:p w14:paraId="4ACE2C5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C5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C5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0.6</w:t>
            </w:r>
          </w:p>
        </w:tc>
        <w:tc>
          <w:tcPr>
            <w:tcW w:w="0" w:type="auto"/>
            <w:shd w:val="clear" w:color="auto" w:fill="auto"/>
            <w:tcMar>
              <w:top w:w="40" w:type="dxa"/>
              <w:bottom w:w="40" w:type="dxa"/>
              <w:right w:w="40" w:type="dxa"/>
            </w:tcMar>
            <w:vAlign w:val="bottom"/>
          </w:tcPr>
          <w:p w14:paraId="4ACE2C5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w:t>
            </w:r>
          </w:p>
        </w:tc>
      </w:tr>
      <w:tr w:rsidR="006F587A" w14:paraId="4ACE2C72" w14:textId="77777777">
        <w:tc>
          <w:tcPr>
            <w:tcW w:w="0" w:type="auto"/>
            <w:shd w:val="clear" w:color="auto" w:fill="auto"/>
            <w:tcMar>
              <w:top w:w="40" w:type="dxa"/>
              <w:left w:w="40" w:type="dxa"/>
              <w:bottom w:w="40" w:type="dxa"/>
              <w:right w:w="40" w:type="dxa"/>
            </w:tcMar>
            <w:vAlign w:val="bottom"/>
          </w:tcPr>
          <w:p w14:paraId="4ACE2C5F"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Amortization of acquisition-related intangibles</w:t>
            </w:r>
          </w:p>
        </w:tc>
        <w:tc>
          <w:tcPr>
            <w:tcW w:w="0" w:type="auto"/>
            <w:shd w:val="clear" w:color="auto" w:fill="auto"/>
            <w:tcMar>
              <w:top w:w="40" w:type="dxa"/>
              <w:left w:w="40" w:type="dxa"/>
              <w:bottom w:w="40" w:type="dxa"/>
              <w:right w:w="40" w:type="dxa"/>
            </w:tcMar>
            <w:vAlign w:val="bottom"/>
          </w:tcPr>
          <w:p w14:paraId="4ACE2C6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2C61"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200</w:t>
            </w:r>
          </w:p>
        </w:tc>
        <w:tc>
          <w:tcPr>
            <w:tcW w:w="0" w:type="auto"/>
            <w:shd w:val="clear" w:color="auto" w:fill="auto"/>
            <w:vAlign w:val="bottom"/>
          </w:tcPr>
          <w:p w14:paraId="4ACE2C6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C6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C64"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0.3</w:t>
            </w:r>
          </w:p>
        </w:tc>
        <w:tc>
          <w:tcPr>
            <w:tcW w:w="0" w:type="auto"/>
            <w:shd w:val="clear" w:color="auto" w:fill="auto"/>
            <w:tcMar>
              <w:top w:w="40" w:type="dxa"/>
              <w:bottom w:w="40" w:type="dxa"/>
              <w:right w:w="40" w:type="dxa"/>
            </w:tcMar>
            <w:vAlign w:val="bottom"/>
          </w:tcPr>
          <w:p w14:paraId="4ACE2C65"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2C6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2C6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200</w:t>
            </w:r>
          </w:p>
        </w:tc>
        <w:tc>
          <w:tcPr>
            <w:tcW w:w="0" w:type="auto"/>
            <w:shd w:val="clear" w:color="auto" w:fill="auto"/>
            <w:vAlign w:val="bottom"/>
          </w:tcPr>
          <w:p w14:paraId="4ACE2C6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C6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C6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0.3</w:t>
            </w:r>
          </w:p>
        </w:tc>
        <w:tc>
          <w:tcPr>
            <w:tcW w:w="0" w:type="auto"/>
            <w:shd w:val="clear" w:color="auto" w:fill="auto"/>
            <w:tcMar>
              <w:top w:w="40" w:type="dxa"/>
              <w:bottom w:w="40" w:type="dxa"/>
              <w:right w:w="40" w:type="dxa"/>
            </w:tcMar>
            <w:vAlign w:val="bottom"/>
          </w:tcPr>
          <w:p w14:paraId="4ACE2C6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w:t>
            </w:r>
          </w:p>
        </w:tc>
        <w:tc>
          <w:tcPr>
            <w:tcW w:w="0" w:type="auto"/>
            <w:shd w:val="clear" w:color="auto" w:fill="auto"/>
            <w:tcMar>
              <w:top w:w="40" w:type="dxa"/>
              <w:left w:w="40" w:type="dxa"/>
              <w:bottom w:w="40" w:type="dxa"/>
              <w:right w:w="40" w:type="dxa"/>
            </w:tcMar>
            <w:vAlign w:val="bottom"/>
          </w:tcPr>
          <w:p w14:paraId="4ACE2C6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2C6D"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177</w:t>
            </w:r>
          </w:p>
        </w:tc>
        <w:tc>
          <w:tcPr>
            <w:tcW w:w="0" w:type="auto"/>
            <w:shd w:val="clear" w:color="auto" w:fill="auto"/>
            <w:vAlign w:val="bottom"/>
          </w:tcPr>
          <w:p w14:paraId="4ACE2C6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C6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C70"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0.3</w:t>
            </w:r>
          </w:p>
        </w:tc>
        <w:tc>
          <w:tcPr>
            <w:tcW w:w="0" w:type="auto"/>
            <w:shd w:val="clear" w:color="auto" w:fill="auto"/>
            <w:tcMar>
              <w:top w:w="40" w:type="dxa"/>
              <w:bottom w:w="40" w:type="dxa"/>
              <w:right w:w="40" w:type="dxa"/>
            </w:tcMar>
            <w:vAlign w:val="bottom"/>
          </w:tcPr>
          <w:p w14:paraId="4ACE2C7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w:t>
            </w:r>
          </w:p>
        </w:tc>
      </w:tr>
      <w:tr w:rsidR="006F587A" w14:paraId="4ACE2C86" w14:textId="77777777">
        <w:tc>
          <w:tcPr>
            <w:tcW w:w="0" w:type="auto"/>
            <w:shd w:val="clear" w:color="auto" w:fill="auto"/>
            <w:tcMar>
              <w:top w:w="40" w:type="dxa"/>
              <w:left w:w="40" w:type="dxa"/>
              <w:bottom w:w="40" w:type="dxa"/>
              <w:right w:w="40" w:type="dxa"/>
            </w:tcMar>
            <w:vAlign w:val="bottom"/>
          </w:tcPr>
          <w:p w14:paraId="4ACE2C73"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Ope</w:t>
            </w:r>
            <w:r>
              <w:rPr>
                <w:rFonts w:ascii="Arial" w:eastAsia="宋体" w:hAnsi="Arial" w:cs="Arial"/>
                <w:b/>
                <w:bCs/>
                <w:color w:val="333333"/>
                <w:sz w:val="18"/>
                <w:szCs w:val="18"/>
              </w:rPr>
              <w:t>rating income</w:t>
            </w:r>
          </w:p>
        </w:tc>
        <w:tc>
          <w:tcPr>
            <w:tcW w:w="0" w:type="auto"/>
            <w:shd w:val="clear" w:color="auto" w:fill="auto"/>
            <w:tcMar>
              <w:top w:w="40" w:type="dxa"/>
              <w:left w:w="40" w:type="dxa"/>
              <w:bottom w:w="40" w:type="dxa"/>
              <w:right w:w="40" w:type="dxa"/>
            </w:tcMar>
            <w:vAlign w:val="bottom"/>
          </w:tcPr>
          <w:p w14:paraId="4ACE2C7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tcBorders>
            <w:shd w:val="clear" w:color="auto" w:fill="auto"/>
            <w:tcMar>
              <w:top w:w="40" w:type="dxa"/>
              <w:left w:w="40" w:type="dxa"/>
              <w:bottom w:w="40" w:type="dxa"/>
            </w:tcMar>
            <w:vAlign w:val="bottom"/>
          </w:tcPr>
          <w:p w14:paraId="4ACE2C75"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22,035</w:t>
            </w:r>
          </w:p>
        </w:tc>
        <w:tc>
          <w:tcPr>
            <w:tcW w:w="0" w:type="auto"/>
            <w:tcBorders>
              <w:top w:val="single" w:sz="8" w:space="0" w:color="333333"/>
            </w:tcBorders>
            <w:shd w:val="clear" w:color="auto" w:fill="auto"/>
            <w:vAlign w:val="bottom"/>
          </w:tcPr>
          <w:p w14:paraId="4ACE2C7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C7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tcBorders>
            <w:shd w:val="clear" w:color="auto" w:fill="auto"/>
            <w:tcMar>
              <w:top w:w="40" w:type="dxa"/>
              <w:left w:w="40" w:type="dxa"/>
              <w:bottom w:w="40" w:type="dxa"/>
            </w:tcMar>
            <w:vAlign w:val="bottom"/>
          </w:tcPr>
          <w:p w14:paraId="4ACE2C78"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30.6</w:t>
            </w:r>
          </w:p>
        </w:tc>
        <w:tc>
          <w:tcPr>
            <w:tcW w:w="0" w:type="auto"/>
            <w:tcBorders>
              <w:top w:val="single" w:sz="8" w:space="0" w:color="333333"/>
            </w:tcBorders>
            <w:shd w:val="clear" w:color="auto" w:fill="auto"/>
            <w:tcMar>
              <w:top w:w="40" w:type="dxa"/>
              <w:bottom w:w="40" w:type="dxa"/>
              <w:right w:w="40" w:type="dxa"/>
            </w:tcMar>
            <w:vAlign w:val="bottom"/>
          </w:tcPr>
          <w:p w14:paraId="4ACE2C79"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left w:w="40" w:type="dxa"/>
              <w:bottom w:w="40" w:type="dxa"/>
              <w:right w:w="40" w:type="dxa"/>
            </w:tcMar>
            <w:vAlign w:val="bottom"/>
          </w:tcPr>
          <w:p w14:paraId="4ACE2C7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tcBorders>
            <w:shd w:val="clear" w:color="auto" w:fill="auto"/>
            <w:tcMar>
              <w:top w:w="40" w:type="dxa"/>
              <w:left w:w="40" w:type="dxa"/>
              <w:bottom w:w="40" w:type="dxa"/>
            </w:tcMar>
            <w:vAlign w:val="bottom"/>
          </w:tcPr>
          <w:p w14:paraId="4ACE2C7B"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23,316</w:t>
            </w:r>
          </w:p>
        </w:tc>
        <w:tc>
          <w:tcPr>
            <w:tcW w:w="0" w:type="auto"/>
            <w:tcBorders>
              <w:top w:val="single" w:sz="8" w:space="0" w:color="333333"/>
            </w:tcBorders>
            <w:shd w:val="clear" w:color="auto" w:fill="auto"/>
            <w:vAlign w:val="bottom"/>
          </w:tcPr>
          <w:p w14:paraId="4ACE2C7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C7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tcBorders>
            <w:shd w:val="clear" w:color="auto" w:fill="auto"/>
            <w:tcMar>
              <w:top w:w="40" w:type="dxa"/>
              <w:left w:w="40" w:type="dxa"/>
              <w:bottom w:w="40" w:type="dxa"/>
            </w:tcMar>
            <w:vAlign w:val="bottom"/>
          </w:tcPr>
          <w:p w14:paraId="4ACE2C7E"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32.9</w:t>
            </w:r>
          </w:p>
        </w:tc>
        <w:tc>
          <w:tcPr>
            <w:tcW w:w="0" w:type="auto"/>
            <w:tcBorders>
              <w:top w:val="single" w:sz="8" w:space="0" w:color="333333"/>
            </w:tcBorders>
            <w:shd w:val="clear" w:color="auto" w:fill="auto"/>
            <w:tcMar>
              <w:top w:w="40" w:type="dxa"/>
              <w:bottom w:w="40" w:type="dxa"/>
              <w:right w:w="40" w:type="dxa"/>
            </w:tcMar>
            <w:vAlign w:val="bottom"/>
          </w:tcPr>
          <w:p w14:paraId="4ACE2C7F"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 %</w:t>
            </w:r>
          </w:p>
        </w:tc>
        <w:tc>
          <w:tcPr>
            <w:tcW w:w="0" w:type="auto"/>
            <w:shd w:val="clear" w:color="auto" w:fill="auto"/>
            <w:tcMar>
              <w:top w:w="40" w:type="dxa"/>
              <w:left w:w="40" w:type="dxa"/>
              <w:bottom w:w="40" w:type="dxa"/>
              <w:right w:w="40" w:type="dxa"/>
            </w:tcMar>
            <w:vAlign w:val="bottom"/>
          </w:tcPr>
          <w:p w14:paraId="4ACE2C8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tcBorders>
            <w:shd w:val="clear" w:color="auto" w:fill="auto"/>
            <w:tcMar>
              <w:top w:w="40" w:type="dxa"/>
              <w:left w:w="40" w:type="dxa"/>
              <w:bottom w:w="40" w:type="dxa"/>
            </w:tcMar>
            <w:vAlign w:val="bottom"/>
          </w:tcPr>
          <w:p w14:paraId="4ACE2C81"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18,050</w:t>
            </w:r>
          </w:p>
        </w:tc>
        <w:tc>
          <w:tcPr>
            <w:tcW w:w="0" w:type="auto"/>
            <w:tcBorders>
              <w:top w:val="single" w:sz="8" w:space="0" w:color="333333"/>
            </w:tcBorders>
            <w:shd w:val="clear" w:color="auto" w:fill="auto"/>
            <w:vAlign w:val="bottom"/>
          </w:tcPr>
          <w:p w14:paraId="4ACE2C8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C8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tcBorders>
            <w:shd w:val="clear" w:color="auto" w:fill="auto"/>
            <w:tcMar>
              <w:top w:w="40" w:type="dxa"/>
              <w:left w:w="40" w:type="dxa"/>
              <w:bottom w:w="40" w:type="dxa"/>
            </w:tcMar>
            <w:vAlign w:val="bottom"/>
          </w:tcPr>
          <w:p w14:paraId="4ACE2C84"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28.8</w:t>
            </w:r>
          </w:p>
        </w:tc>
        <w:tc>
          <w:tcPr>
            <w:tcW w:w="0" w:type="auto"/>
            <w:tcBorders>
              <w:top w:val="single" w:sz="8" w:space="0" w:color="333333"/>
            </w:tcBorders>
            <w:shd w:val="clear" w:color="auto" w:fill="auto"/>
            <w:tcMar>
              <w:top w:w="40" w:type="dxa"/>
              <w:bottom w:w="40" w:type="dxa"/>
              <w:right w:w="40" w:type="dxa"/>
            </w:tcMar>
            <w:vAlign w:val="bottom"/>
          </w:tcPr>
          <w:p w14:paraId="4ACE2C85"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 %</w:t>
            </w:r>
          </w:p>
        </w:tc>
      </w:tr>
      <w:tr w:rsidR="006F587A" w14:paraId="4ACE2C9A" w14:textId="77777777">
        <w:tc>
          <w:tcPr>
            <w:tcW w:w="0" w:type="auto"/>
            <w:shd w:val="clear" w:color="auto" w:fill="auto"/>
            <w:tcMar>
              <w:top w:w="40" w:type="dxa"/>
              <w:left w:w="40" w:type="dxa"/>
              <w:bottom w:w="40" w:type="dxa"/>
              <w:right w:w="40" w:type="dxa"/>
            </w:tcMar>
            <w:vAlign w:val="bottom"/>
          </w:tcPr>
          <w:p w14:paraId="4ACE2C87"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Gains (losses) on equity investments, net</w:t>
            </w:r>
          </w:p>
        </w:tc>
        <w:tc>
          <w:tcPr>
            <w:tcW w:w="0" w:type="auto"/>
            <w:shd w:val="clear" w:color="auto" w:fill="auto"/>
            <w:tcMar>
              <w:top w:w="40" w:type="dxa"/>
              <w:left w:w="40" w:type="dxa"/>
              <w:bottom w:w="40" w:type="dxa"/>
              <w:right w:w="40" w:type="dxa"/>
            </w:tcMar>
            <w:vAlign w:val="bottom"/>
          </w:tcPr>
          <w:p w14:paraId="4ACE2C8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2C89"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1,539</w:t>
            </w:r>
          </w:p>
        </w:tc>
        <w:tc>
          <w:tcPr>
            <w:tcW w:w="0" w:type="auto"/>
            <w:shd w:val="clear" w:color="auto" w:fill="auto"/>
            <w:vAlign w:val="bottom"/>
          </w:tcPr>
          <w:p w14:paraId="4ACE2C8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C8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C8C"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2.1</w:t>
            </w:r>
          </w:p>
        </w:tc>
        <w:tc>
          <w:tcPr>
            <w:tcW w:w="0" w:type="auto"/>
            <w:shd w:val="clear" w:color="auto" w:fill="auto"/>
            <w:tcMar>
              <w:top w:w="40" w:type="dxa"/>
              <w:bottom w:w="40" w:type="dxa"/>
              <w:right w:w="40" w:type="dxa"/>
            </w:tcMar>
            <w:vAlign w:val="bottom"/>
          </w:tcPr>
          <w:p w14:paraId="4ACE2C8D"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2C8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2C8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(125</w:t>
            </w:r>
          </w:p>
        </w:tc>
        <w:tc>
          <w:tcPr>
            <w:tcW w:w="0" w:type="auto"/>
            <w:shd w:val="clear" w:color="auto" w:fill="auto"/>
            <w:tcMar>
              <w:top w:w="40" w:type="dxa"/>
              <w:bottom w:w="40" w:type="dxa"/>
              <w:right w:w="40" w:type="dxa"/>
            </w:tcMar>
            <w:vAlign w:val="bottom"/>
          </w:tcPr>
          <w:p w14:paraId="4ACE2C9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2C9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C9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(0.2</w:t>
            </w:r>
          </w:p>
        </w:tc>
        <w:tc>
          <w:tcPr>
            <w:tcW w:w="0" w:type="auto"/>
            <w:shd w:val="clear" w:color="auto" w:fill="auto"/>
            <w:tcMar>
              <w:top w:w="40" w:type="dxa"/>
              <w:bottom w:w="40" w:type="dxa"/>
              <w:right w:w="40" w:type="dxa"/>
            </w:tcMar>
            <w:vAlign w:val="bottom"/>
          </w:tcPr>
          <w:p w14:paraId="4ACE2C9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2C9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2C95"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2,651</w:t>
            </w:r>
          </w:p>
        </w:tc>
        <w:tc>
          <w:tcPr>
            <w:tcW w:w="0" w:type="auto"/>
            <w:shd w:val="clear" w:color="auto" w:fill="auto"/>
            <w:vAlign w:val="bottom"/>
          </w:tcPr>
          <w:p w14:paraId="4ACE2C9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C9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C9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4.2</w:t>
            </w:r>
          </w:p>
        </w:tc>
        <w:tc>
          <w:tcPr>
            <w:tcW w:w="0" w:type="auto"/>
            <w:shd w:val="clear" w:color="auto" w:fill="auto"/>
            <w:tcMar>
              <w:top w:w="40" w:type="dxa"/>
              <w:bottom w:w="40" w:type="dxa"/>
              <w:right w:w="40" w:type="dxa"/>
            </w:tcMar>
            <w:vAlign w:val="bottom"/>
          </w:tcPr>
          <w:p w14:paraId="4ACE2C9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w:t>
            </w:r>
          </w:p>
        </w:tc>
      </w:tr>
      <w:tr w:rsidR="006F587A" w14:paraId="4ACE2CAE" w14:textId="77777777">
        <w:tc>
          <w:tcPr>
            <w:tcW w:w="0" w:type="auto"/>
            <w:shd w:val="clear" w:color="auto" w:fill="auto"/>
            <w:tcMar>
              <w:top w:w="40" w:type="dxa"/>
              <w:left w:w="40" w:type="dxa"/>
              <w:bottom w:w="40" w:type="dxa"/>
              <w:right w:w="40" w:type="dxa"/>
            </w:tcMar>
            <w:vAlign w:val="bottom"/>
          </w:tcPr>
          <w:p w14:paraId="4ACE2C9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Interest and other, net</w:t>
            </w:r>
          </w:p>
        </w:tc>
        <w:tc>
          <w:tcPr>
            <w:tcW w:w="0" w:type="auto"/>
            <w:shd w:val="clear" w:color="auto" w:fill="auto"/>
            <w:tcMar>
              <w:top w:w="40" w:type="dxa"/>
              <w:left w:w="40" w:type="dxa"/>
              <w:bottom w:w="40" w:type="dxa"/>
              <w:right w:w="40" w:type="dxa"/>
            </w:tcMar>
            <w:vAlign w:val="bottom"/>
          </w:tcPr>
          <w:p w14:paraId="4ACE2C9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2C9D"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484</w:t>
            </w:r>
          </w:p>
        </w:tc>
        <w:tc>
          <w:tcPr>
            <w:tcW w:w="0" w:type="auto"/>
            <w:shd w:val="clear" w:color="auto" w:fill="auto"/>
            <w:vAlign w:val="bottom"/>
          </w:tcPr>
          <w:p w14:paraId="4ACE2C9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C9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CA0"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0.7</w:t>
            </w:r>
          </w:p>
        </w:tc>
        <w:tc>
          <w:tcPr>
            <w:tcW w:w="0" w:type="auto"/>
            <w:shd w:val="clear" w:color="auto" w:fill="auto"/>
            <w:tcMar>
              <w:top w:w="40" w:type="dxa"/>
              <w:bottom w:w="40" w:type="dxa"/>
              <w:right w:w="40" w:type="dxa"/>
            </w:tcMar>
            <w:vAlign w:val="bottom"/>
          </w:tcPr>
          <w:p w14:paraId="4ACE2CA1"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2CA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2CA3"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126</w:t>
            </w:r>
          </w:p>
        </w:tc>
        <w:tc>
          <w:tcPr>
            <w:tcW w:w="0" w:type="auto"/>
            <w:shd w:val="clear" w:color="auto" w:fill="auto"/>
            <w:vAlign w:val="bottom"/>
          </w:tcPr>
          <w:p w14:paraId="4ACE2CA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CA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CA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0.2</w:t>
            </w:r>
          </w:p>
        </w:tc>
        <w:tc>
          <w:tcPr>
            <w:tcW w:w="0" w:type="auto"/>
            <w:shd w:val="clear" w:color="auto" w:fill="auto"/>
            <w:tcMar>
              <w:top w:w="40" w:type="dxa"/>
              <w:bottom w:w="40" w:type="dxa"/>
              <w:right w:w="40" w:type="dxa"/>
            </w:tcMar>
            <w:vAlign w:val="bottom"/>
          </w:tcPr>
          <w:p w14:paraId="4ACE2CA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w:t>
            </w:r>
          </w:p>
        </w:tc>
        <w:tc>
          <w:tcPr>
            <w:tcW w:w="0" w:type="auto"/>
            <w:shd w:val="clear" w:color="auto" w:fill="auto"/>
            <w:tcMar>
              <w:top w:w="40" w:type="dxa"/>
              <w:left w:w="40" w:type="dxa"/>
              <w:bottom w:w="40" w:type="dxa"/>
              <w:right w:w="40" w:type="dxa"/>
            </w:tcMar>
            <w:vAlign w:val="bottom"/>
          </w:tcPr>
          <w:p w14:paraId="4ACE2CA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2CA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(349</w:t>
            </w:r>
          </w:p>
        </w:tc>
        <w:tc>
          <w:tcPr>
            <w:tcW w:w="0" w:type="auto"/>
            <w:shd w:val="clear" w:color="auto" w:fill="auto"/>
            <w:tcMar>
              <w:top w:w="40" w:type="dxa"/>
              <w:bottom w:w="40" w:type="dxa"/>
              <w:right w:w="40" w:type="dxa"/>
            </w:tcMar>
            <w:vAlign w:val="bottom"/>
          </w:tcPr>
          <w:p w14:paraId="4ACE2CA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2CA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CA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(0.6</w:t>
            </w:r>
          </w:p>
        </w:tc>
        <w:tc>
          <w:tcPr>
            <w:tcW w:w="0" w:type="auto"/>
            <w:shd w:val="clear" w:color="auto" w:fill="auto"/>
            <w:tcMar>
              <w:top w:w="40" w:type="dxa"/>
              <w:bottom w:w="40" w:type="dxa"/>
              <w:right w:w="40" w:type="dxa"/>
            </w:tcMar>
            <w:vAlign w:val="bottom"/>
          </w:tcPr>
          <w:p w14:paraId="4ACE2CA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2CC2" w14:textId="77777777">
        <w:tc>
          <w:tcPr>
            <w:tcW w:w="0" w:type="auto"/>
            <w:shd w:val="clear" w:color="auto" w:fill="auto"/>
            <w:tcMar>
              <w:top w:w="40" w:type="dxa"/>
              <w:left w:w="40" w:type="dxa"/>
              <w:bottom w:w="40" w:type="dxa"/>
              <w:right w:w="40" w:type="dxa"/>
            </w:tcMar>
            <w:vAlign w:val="bottom"/>
          </w:tcPr>
          <w:p w14:paraId="4ACE2CAF"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Income before taxes</w:t>
            </w:r>
          </w:p>
        </w:tc>
        <w:tc>
          <w:tcPr>
            <w:tcW w:w="0" w:type="auto"/>
            <w:shd w:val="clear" w:color="auto" w:fill="auto"/>
            <w:tcMar>
              <w:top w:w="40" w:type="dxa"/>
              <w:left w:w="40" w:type="dxa"/>
              <w:bottom w:w="40" w:type="dxa"/>
              <w:right w:w="40" w:type="dxa"/>
            </w:tcMar>
            <w:vAlign w:val="bottom"/>
          </w:tcPr>
          <w:p w14:paraId="4ACE2CB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tcBorders>
            <w:shd w:val="clear" w:color="auto" w:fill="auto"/>
            <w:tcMar>
              <w:top w:w="40" w:type="dxa"/>
              <w:left w:w="40" w:type="dxa"/>
              <w:bottom w:w="40" w:type="dxa"/>
            </w:tcMar>
            <w:vAlign w:val="bottom"/>
          </w:tcPr>
          <w:p w14:paraId="4ACE2CB1"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24,058</w:t>
            </w:r>
          </w:p>
        </w:tc>
        <w:tc>
          <w:tcPr>
            <w:tcW w:w="0" w:type="auto"/>
            <w:tcBorders>
              <w:top w:val="single" w:sz="8" w:space="0" w:color="333333"/>
            </w:tcBorders>
            <w:shd w:val="clear" w:color="auto" w:fill="auto"/>
            <w:vAlign w:val="bottom"/>
          </w:tcPr>
          <w:p w14:paraId="4ACE2CB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CB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tcBorders>
            <w:shd w:val="clear" w:color="auto" w:fill="auto"/>
            <w:tcMar>
              <w:top w:w="40" w:type="dxa"/>
              <w:left w:w="40" w:type="dxa"/>
              <w:bottom w:w="40" w:type="dxa"/>
            </w:tcMar>
            <w:vAlign w:val="bottom"/>
          </w:tcPr>
          <w:p w14:paraId="4ACE2CB4"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33.4</w:t>
            </w:r>
          </w:p>
        </w:tc>
        <w:tc>
          <w:tcPr>
            <w:tcW w:w="0" w:type="auto"/>
            <w:tcBorders>
              <w:top w:val="single" w:sz="8" w:space="0" w:color="333333"/>
            </w:tcBorders>
            <w:shd w:val="clear" w:color="auto" w:fill="auto"/>
            <w:tcMar>
              <w:top w:w="40" w:type="dxa"/>
              <w:bottom w:w="40" w:type="dxa"/>
              <w:right w:w="40" w:type="dxa"/>
            </w:tcMar>
            <w:vAlign w:val="bottom"/>
          </w:tcPr>
          <w:p w14:paraId="4ACE2CB5"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left w:w="40" w:type="dxa"/>
              <w:bottom w:w="40" w:type="dxa"/>
              <w:right w:w="40" w:type="dxa"/>
            </w:tcMar>
            <w:vAlign w:val="bottom"/>
          </w:tcPr>
          <w:p w14:paraId="4ACE2CB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tcBorders>
            <w:shd w:val="clear" w:color="auto" w:fill="auto"/>
            <w:tcMar>
              <w:top w:w="40" w:type="dxa"/>
              <w:left w:w="40" w:type="dxa"/>
              <w:bottom w:w="40" w:type="dxa"/>
            </w:tcMar>
            <w:vAlign w:val="bottom"/>
          </w:tcPr>
          <w:p w14:paraId="4ACE2CB7"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23,317</w:t>
            </w:r>
          </w:p>
        </w:tc>
        <w:tc>
          <w:tcPr>
            <w:tcW w:w="0" w:type="auto"/>
            <w:tcBorders>
              <w:top w:val="single" w:sz="8" w:space="0" w:color="333333"/>
            </w:tcBorders>
            <w:shd w:val="clear" w:color="auto" w:fill="auto"/>
            <w:vAlign w:val="bottom"/>
          </w:tcPr>
          <w:p w14:paraId="4ACE2CB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CB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tcBorders>
            <w:shd w:val="clear" w:color="auto" w:fill="auto"/>
            <w:tcMar>
              <w:top w:w="40" w:type="dxa"/>
              <w:left w:w="40" w:type="dxa"/>
              <w:bottom w:w="40" w:type="dxa"/>
            </w:tcMar>
            <w:vAlign w:val="bottom"/>
          </w:tcPr>
          <w:p w14:paraId="4ACE2CBA"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32.9</w:t>
            </w:r>
          </w:p>
        </w:tc>
        <w:tc>
          <w:tcPr>
            <w:tcW w:w="0" w:type="auto"/>
            <w:tcBorders>
              <w:top w:val="single" w:sz="8" w:space="0" w:color="333333"/>
            </w:tcBorders>
            <w:shd w:val="clear" w:color="auto" w:fill="auto"/>
            <w:tcMar>
              <w:top w:w="40" w:type="dxa"/>
              <w:bottom w:w="40" w:type="dxa"/>
              <w:right w:w="40" w:type="dxa"/>
            </w:tcMar>
            <w:vAlign w:val="bottom"/>
          </w:tcPr>
          <w:p w14:paraId="4ACE2CBB"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 %</w:t>
            </w:r>
          </w:p>
        </w:tc>
        <w:tc>
          <w:tcPr>
            <w:tcW w:w="0" w:type="auto"/>
            <w:shd w:val="clear" w:color="auto" w:fill="auto"/>
            <w:tcMar>
              <w:top w:w="40" w:type="dxa"/>
              <w:left w:w="40" w:type="dxa"/>
              <w:bottom w:w="40" w:type="dxa"/>
              <w:right w:w="40" w:type="dxa"/>
            </w:tcMar>
            <w:vAlign w:val="bottom"/>
          </w:tcPr>
          <w:p w14:paraId="4ACE2CB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tcBorders>
            <w:shd w:val="clear" w:color="auto" w:fill="auto"/>
            <w:tcMar>
              <w:top w:w="40" w:type="dxa"/>
              <w:left w:w="40" w:type="dxa"/>
              <w:bottom w:w="40" w:type="dxa"/>
            </w:tcMar>
            <w:vAlign w:val="bottom"/>
          </w:tcPr>
          <w:p w14:paraId="4ACE2CBD"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20,352</w:t>
            </w:r>
          </w:p>
        </w:tc>
        <w:tc>
          <w:tcPr>
            <w:tcW w:w="0" w:type="auto"/>
            <w:tcBorders>
              <w:top w:val="single" w:sz="8" w:space="0" w:color="333333"/>
            </w:tcBorders>
            <w:shd w:val="clear" w:color="auto" w:fill="auto"/>
            <w:vAlign w:val="bottom"/>
          </w:tcPr>
          <w:p w14:paraId="4ACE2CB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CB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tcBorders>
            <w:shd w:val="clear" w:color="auto" w:fill="auto"/>
            <w:tcMar>
              <w:top w:w="40" w:type="dxa"/>
              <w:left w:w="40" w:type="dxa"/>
              <w:bottom w:w="40" w:type="dxa"/>
            </w:tcMar>
            <w:vAlign w:val="bottom"/>
          </w:tcPr>
          <w:p w14:paraId="4ACE2CC0"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32.4</w:t>
            </w:r>
          </w:p>
        </w:tc>
        <w:tc>
          <w:tcPr>
            <w:tcW w:w="0" w:type="auto"/>
            <w:tcBorders>
              <w:top w:val="single" w:sz="8" w:space="0" w:color="333333"/>
            </w:tcBorders>
            <w:shd w:val="clear" w:color="auto" w:fill="auto"/>
            <w:tcMar>
              <w:top w:w="40" w:type="dxa"/>
              <w:bottom w:w="40" w:type="dxa"/>
              <w:right w:w="40" w:type="dxa"/>
            </w:tcMar>
            <w:vAlign w:val="bottom"/>
          </w:tcPr>
          <w:p w14:paraId="4ACE2CC1"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 %</w:t>
            </w:r>
          </w:p>
        </w:tc>
      </w:tr>
      <w:tr w:rsidR="006F587A" w14:paraId="4ACE2CD6" w14:textId="77777777">
        <w:tc>
          <w:tcPr>
            <w:tcW w:w="0" w:type="auto"/>
            <w:shd w:val="clear" w:color="auto" w:fill="auto"/>
            <w:tcMar>
              <w:top w:w="40" w:type="dxa"/>
              <w:left w:w="40" w:type="dxa"/>
              <w:bottom w:w="40" w:type="dxa"/>
              <w:right w:w="40" w:type="dxa"/>
            </w:tcMar>
            <w:vAlign w:val="bottom"/>
          </w:tcPr>
          <w:p w14:paraId="4ACE2CC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Provision for taxes</w:t>
            </w:r>
          </w:p>
        </w:tc>
        <w:tc>
          <w:tcPr>
            <w:tcW w:w="0" w:type="auto"/>
            <w:shd w:val="clear" w:color="auto" w:fill="auto"/>
            <w:tcMar>
              <w:top w:w="40" w:type="dxa"/>
              <w:left w:w="40" w:type="dxa"/>
              <w:bottom w:w="40" w:type="dxa"/>
              <w:right w:w="40" w:type="dxa"/>
            </w:tcMar>
            <w:vAlign w:val="bottom"/>
          </w:tcPr>
          <w:p w14:paraId="4ACE2CC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2CC5"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3,010</w:t>
            </w:r>
          </w:p>
        </w:tc>
        <w:tc>
          <w:tcPr>
            <w:tcW w:w="0" w:type="auto"/>
            <w:shd w:val="clear" w:color="auto" w:fill="auto"/>
            <w:vAlign w:val="bottom"/>
          </w:tcPr>
          <w:p w14:paraId="4ACE2CC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CC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CC8"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4.2</w:t>
            </w:r>
          </w:p>
        </w:tc>
        <w:tc>
          <w:tcPr>
            <w:tcW w:w="0" w:type="auto"/>
            <w:shd w:val="clear" w:color="auto" w:fill="auto"/>
            <w:tcMar>
              <w:top w:w="40" w:type="dxa"/>
              <w:bottom w:w="40" w:type="dxa"/>
              <w:right w:w="40" w:type="dxa"/>
            </w:tcMar>
            <w:vAlign w:val="bottom"/>
          </w:tcPr>
          <w:p w14:paraId="4ACE2CC9"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2CC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2CC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2,264</w:t>
            </w:r>
          </w:p>
        </w:tc>
        <w:tc>
          <w:tcPr>
            <w:tcW w:w="0" w:type="auto"/>
            <w:shd w:val="clear" w:color="auto" w:fill="auto"/>
            <w:vAlign w:val="bottom"/>
          </w:tcPr>
          <w:p w14:paraId="4ACE2CC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CC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CC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3.2</w:t>
            </w:r>
          </w:p>
        </w:tc>
        <w:tc>
          <w:tcPr>
            <w:tcW w:w="0" w:type="auto"/>
            <w:shd w:val="clear" w:color="auto" w:fill="auto"/>
            <w:tcMar>
              <w:top w:w="40" w:type="dxa"/>
              <w:bottom w:w="40" w:type="dxa"/>
              <w:right w:w="40" w:type="dxa"/>
            </w:tcMar>
            <w:vAlign w:val="bottom"/>
          </w:tcPr>
          <w:p w14:paraId="4ACE2CC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w:t>
            </w:r>
          </w:p>
        </w:tc>
        <w:tc>
          <w:tcPr>
            <w:tcW w:w="0" w:type="auto"/>
            <w:shd w:val="clear" w:color="auto" w:fill="auto"/>
            <w:tcMar>
              <w:top w:w="40" w:type="dxa"/>
              <w:left w:w="40" w:type="dxa"/>
              <w:bottom w:w="40" w:type="dxa"/>
              <w:right w:w="40" w:type="dxa"/>
            </w:tcMar>
            <w:vAlign w:val="bottom"/>
          </w:tcPr>
          <w:p w14:paraId="4ACE2CD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2CD1"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10,751</w:t>
            </w:r>
          </w:p>
        </w:tc>
        <w:tc>
          <w:tcPr>
            <w:tcW w:w="0" w:type="auto"/>
            <w:shd w:val="clear" w:color="auto" w:fill="auto"/>
            <w:vAlign w:val="bottom"/>
          </w:tcPr>
          <w:p w14:paraId="4ACE2CD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CD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CD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17.1</w:t>
            </w:r>
          </w:p>
        </w:tc>
        <w:tc>
          <w:tcPr>
            <w:tcW w:w="0" w:type="auto"/>
            <w:shd w:val="clear" w:color="auto" w:fill="auto"/>
            <w:tcMar>
              <w:top w:w="40" w:type="dxa"/>
              <w:bottom w:w="40" w:type="dxa"/>
              <w:right w:w="40" w:type="dxa"/>
            </w:tcMar>
            <w:vAlign w:val="bottom"/>
          </w:tcPr>
          <w:p w14:paraId="4ACE2CD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w:t>
            </w:r>
          </w:p>
        </w:tc>
      </w:tr>
      <w:tr w:rsidR="006F587A" w14:paraId="4ACE2CED" w14:textId="77777777">
        <w:tc>
          <w:tcPr>
            <w:tcW w:w="0" w:type="auto"/>
            <w:shd w:val="clear" w:color="auto" w:fill="auto"/>
            <w:tcMar>
              <w:top w:w="40" w:type="dxa"/>
              <w:left w:w="40" w:type="dxa"/>
              <w:bottom w:w="40" w:type="dxa"/>
              <w:right w:w="40" w:type="dxa"/>
            </w:tcMar>
            <w:vAlign w:val="bottom"/>
          </w:tcPr>
          <w:p w14:paraId="4ACE2CD7"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Net</w:t>
            </w:r>
            <w:r>
              <w:rPr>
                <w:rFonts w:ascii="Arial" w:eastAsia="宋体" w:hAnsi="Arial" w:cs="Arial"/>
                <w:b/>
                <w:bCs/>
                <w:color w:val="333333"/>
                <w:sz w:val="18"/>
                <w:szCs w:val="18"/>
              </w:rPr>
              <w:t xml:space="preserve"> income</w:t>
            </w:r>
          </w:p>
        </w:tc>
        <w:tc>
          <w:tcPr>
            <w:tcW w:w="0" w:type="auto"/>
            <w:shd w:val="clear" w:color="auto" w:fill="auto"/>
            <w:tcMar>
              <w:top w:w="40" w:type="dxa"/>
              <w:left w:w="40" w:type="dxa"/>
              <w:bottom w:w="40" w:type="dxa"/>
              <w:right w:w="40" w:type="dxa"/>
            </w:tcMar>
            <w:vAlign w:val="bottom"/>
          </w:tcPr>
          <w:p w14:paraId="4ACE2CD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2CD9"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2CDA"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21,048</w:t>
            </w:r>
          </w:p>
        </w:tc>
        <w:tc>
          <w:tcPr>
            <w:tcW w:w="0" w:type="auto"/>
            <w:tcBorders>
              <w:top w:val="single" w:sz="8" w:space="0" w:color="333333"/>
              <w:bottom w:val="double" w:sz="6" w:space="0" w:color="333333"/>
            </w:tcBorders>
            <w:shd w:val="clear" w:color="auto" w:fill="auto"/>
            <w:vAlign w:val="bottom"/>
          </w:tcPr>
          <w:p w14:paraId="4ACE2CD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CD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2CDD"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29.2</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4ACE2CDE"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left w:w="40" w:type="dxa"/>
              <w:bottom w:w="40" w:type="dxa"/>
              <w:right w:w="40" w:type="dxa"/>
            </w:tcMar>
            <w:vAlign w:val="bottom"/>
          </w:tcPr>
          <w:p w14:paraId="4ACE2CD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2CE0"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2CE1"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21,053</w:t>
            </w:r>
          </w:p>
        </w:tc>
        <w:tc>
          <w:tcPr>
            <w:tcW w:w="0" w:type="auto"/>
            <w:tcBorders>
              <w:top w:val="single" w:sz="8" w:space="0" w:color="333333"/>
              <w:bottom w:val="double" w:sz="6" w:space="0" w:color="333333"/>
            </w:tcBorders>
            <w:shd w:val="clear" w:color="auto" w:fill="auto"/>
            <w:vAlign w:val="bottom"/>
          </w:tcPr>
          <w:p w14:paraId="4ACE2CE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CE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2CE4"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29.7</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4ACE2CE5"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 %</w:t>
            </w:r>
          </w:p>
        </w:tc>
        <w:tc>
          <w:tcPr>
            <w:tcW w:w="0" w:type="auto"/>
            <w:shd w:val="clear" w:color="auto" w:fill="auto"/>
            <w:tcMar>
              <w:top w:w="40" w:type="dxa"/>
              <w:left w:w="40" w:type="dxa"/>
              <w:bottom w:w="40" w:type="dxa"/>
              <w:right w:w="40" w:type="dxa"/>
            </w:tcMar>
            <w:vAlign w:val="bottom"/>
          </w:tcPr>
          <w:p w14:paraId="4ACE2CE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2CE7"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2CE8"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9,601</w:t>
            </w:r>
          </w:p>
        </w:tc>
        <w:tc>
          <w:tcPr>
            <w:tcW w:w="0" w:type="auto"/>
            <w:tcBorders>
              <w:top w:val="single" w:sz="8" w:space="0" w:color="333333"/>
              <w:bottom w:val="double" w:sz="6" w:space="0" w:color="333333"/>
            </w:tcBorders>
            <w:shd w:val="clear" w:color="auto" w:fill="auto"/>
            <w:vAlign w:val="bottom"/>
          </w:tcPr>
          <w:p w14:paraId="4ACE2CE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CE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2CEB"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15.3</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4ACE2CEC"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 %</w:t>
            </w:r>
          </w:p>
        </w:tc>
      </w:tr>
      <w:tr w:rsidR="006F587A" w14:paraId="4ACE2D01" w14:textId="77777777">
        <w:tc>
          <w:tcPr>
            <w:tcW w:w="0" w:type="auto"/>
            <w:shd w:val="clear" w:color="auto" w:fill="auto"/>
            <w:tcMar>
              <w:top w:w="40" w:type="dxa"/>
              <w:left w:w="40" w:type="dxa"/>
              <w:bottom w:w="40" w:type="dxa"/>
              <w:right w:w="40" w:type="dxa"/>
            </w:tcMar>
            <w:vAlign w:val="bottom"/>
          </w:tcPr>
          <w:p w14:paraId="4ACE2CEE"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Earnings per share - Diluted</w:t>
            </w:r>
          </w:p>
        </w:tc>
        <w:tc>
          <w:tcPr>
            <w:tcW w:w="0" w:type="auto"/>
            <w:shd w:val="clear" w:color="auto" w:fill="auto"/>
            <w:tcMar>
              <w:top w:w="40" w:type="dxa"/>
              <w:left w:w="40" w:type="dxa"/>
              <w:bottom w:w="40" w:type="dxa"/>
              <w:right w:w="40" w:type="dxa"/>
            </w:tcMar>
            <w:vAlign w:val="bottom"/>
          </w:tcPr>
          <w:p w14:paraId="4ACE2CE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333333"/>
            </w:tcBorders>
            <w:shd w:val="clear" w:color="auto" w:fill="auto"/>
            <w:tcMar>
              <w:top w:w="40" w:type="dxa"/>
              <w:left w:w="40" w:type="dxa"/>
              <w:bottom w:w="40" w:type="dxa"/>
            </w:tcMar>
            <w:vAlign w:val="bottom"/>
          </w:tcPr>
          <w:p w14:paraId="4ACE2CF0"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bottom w:val="double" w:sz="6" w:space="0" w:color="333333"/>
            </w:tcBorders>
            <w:shd w:val="clear" w:color="auto" w:fill="auto"/>
            <w:tcMar>
              <w:top w:w="40" w:type="dxa"/>
              <w:bottom w:w="40" w:type="dxa"/>
            </w:tcMar>
            <w:vAlign w:val="bottom"/>
          </w:tcPr>
          <w:p w14:paraId="4ACE2CF1"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4.71</w:t>
            </w:r>
          </w:p>
        </w:tc>
        <w:tc>
          <w:tcPr>
            <w:tcW w:w="0" w:type="auto"/>
            <w:tcBorders>
              <w:bottom w:val="double" w:sz="6" w:space="0" w:color="333333"/>
            </w:tcBorders>
            <w:shd w:val="clear" w:color="auto" w:fill="auto"/>
            <w:vAlign w:val="bottom"/>
          </w:tcPr>
          <w:p w14:paraId="4ACE2CF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CF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ACE2CF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CF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333333"/>
            </w:tcBorders>
            <w:shd w:val="clear" w:color="auto" w:fill="auto"/>
            <w:tcMar>
              <w:top w:w="40" w:type="dxa"/>
              <w:left w:w="40" w:type="dxa"/>
              <w:bottom w:w="40" w:type="dxa"/>
            </w:tcMar>
            <w:vAlign w:val="bottom"/>
          </w:tcPr>
          <w:p w14:paraId="4ACE2CF6"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bottom w:val="double" w:sz="6" w:space="0" w:color="333333"/>
            </w:tcBorders>
            <w:shd w:val="clear" w:color="auto" w:fill="auto"/>
            <w:tcMar>
              <w:top w:w="40" w:type="dxa"/>
              <w:bottom w:w="40" w:type="dxa"/>
            </w:tcMar>
            <w:vAlign w:val="bottom"/>
          </w:tcPr>
          <w:p w14:paraId="4ACE2CF7"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4.48</w:t>
            </w:r>
          </w:p>
        </w:tc>
        <w:tc>
          <w:tcPr>
            <w:tcW w:w="0" w:type="auto"/>
            <w:tcBorders>
              <w:bottom w:val="double" w:sz="6" w:space="0" w:color="333333"/>
            </w:tcBorders>
            <w:shd w:val="clear" w:color="auto" w:fill="auto"/>
            <w:vAlign w:val="bottom"/>
          </w:tcPr>
          <w:p w14:paraId="4ACE2CF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CF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ACE2CF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CF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333333"/>
            </w:tcBorders>
            <w:shd w:val="clear" w:color="auto" w:fill="auto"/>
            <w:tcMar>
              <w:top w:w="40" w:type="dxa"/>
              <w:left w:w="40" w:type="dxa"/>
              <w:bottom w:w="40" w:type="dxa"/>
            </w:tcMar>
            <w:vAlign w:val="bottom"/>
          </w:tcPr>
          <w:p w14:paraId="4ACE2CFC"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bottom w:val="double" w:sz="6" w:space="0" w:color="333333"/>
            </w:tcBorders>
            <w:shd w:val="clear" w:color="auto" w:fill="auto"/>
            <w:tcMar>
              <w:top w:w="40" w:type="dxa"/>
              <w:bottom w:w="40" w:type="dxa"/>
            </w:tcMar>
            <w:vAlign w:val="bottom"/>
          </w:tcPr>
          <w:p w14:paraId="4ACE2CFD"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1.99</w:t>
            </w:r>
          </w:p>
        </w:tc>
        <w:tc>
          <w:tcPr>
            <w:tcW w:w="0" w:type="auto"/>
            <w:tcBorders>
              <w:bottom w:val="double" w:sz="6" w:space="0" w:color="333333"/>
            </w:tcBorders>
            <w:shd w:val="clear" w:color="auto" w:fill="auto"/>
            <w:vAlign w:val="bottom"/>
          </w:tcPr>
          <w:p w14:paraId="4ACE2CF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CF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ACE2D0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bl>
    <w:p w14:paraId="4ACE2D02"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408"/>
        <w:gridCol w:w="2409"/>
        <w:gridCol w:w="3489"/>
      </w:tblGrid>
      <w:tr w:rsidR="006F587A" w14:paraId="4ACE2D04" w14:textId="77777777">
        <w:tc>
          <w:tcPr>
            <w:tcW w:w="0" w:type="auto"/>
            <w:gridSpan w:val="3"/>
            <w:shd w:val="clear" w:color="auto" w:fill="auto"/>
            <w:vAlign w:val="center"/>
          </w:tcPr>
          <w:p w14:paraId="4ACE2D03" w14:textId="77777777" w:rsidR="006F587A" w:rsidRDefault="006F587A">
            <w:pPr>
              <w:rPr>
                <w:rFonts w:ascii="Times New Roman" w:hAnsi="Times New Roman"/>
                <w:sz w:val="20"/>
                <w:szCs w:val="20"/>
              </w:rPr>
            </w:pPr>
          </w:p>
        </w:tc>
      </w:tr>
      <w:tr w:rsidR="006F587A" w14:paraId="4ACE2D08" w14:textId="77777777">
        <w:tc>
          <w:tcPr>
            <w:tcW w:w="1450" w:type="pct"/>
            <w:shd w:val="clear" w:color="auto" w:fill="auto"/>
            <w:vAlign w:val="center"/>
          </w:tcPr>
          <w:p w14:paraId="4ACE2D05" w14:textId="77777777" w:rsidR="006F587A" w:rsidRDefault="006F587A">
            <w:pPr>
              <w:rPr>
                <w:rFonts w:ascii="Times New Roman" w:hAnsi="Times New Roman"/>
                <w:sz w:val="20"/>
                <w:szCs w:val="20"/>
              </w:rPr>
            </w:pPr>
          </w:p>
        </w:tc>
        <w:tc>
          <w:tcPr>
            <w:tcW w:w="1450" w:type="pct"/>
            <w:shd w:val="clear" w:color="auto" w:fill="auto"/>
            <w:vAlign w:val="center"/>
          </w:tcPr>
          <w:p w14:paraId="4ACE2D06" w14:textId="77777777" w:rsidR="006F587A" w:rsidRDefault="006F587A">
            <w:pPr>
              <w:rPr>
                <w:rFonts w:ascii="Times New Roman" w:hAnsi="Times New Roman"/>
                <w:sz w:val="20"/>
                <w:szCs w:val="20"/>
              </w:rPr>
            </w:pPr>
          </w:p>
        </w:tc>
        <w:tc>
          <w:tcPr>
            <w:tcW w:w="2100" w:type="pct"/>
            <w:shd w:val="clear" w:color="auto" w:fill="auto"/>
            <w:vAlign w:val="center"/>
          </w:tcPr>
          <w:p w14:paraId="4ACE2D07" w14:textId="77777777" w:rsidR="006F587A" w:rsidRDefault="006F587A">
            <w:pPr>
              <w:rPr>
                <w:rFonts w:ascii="Times New Roman" w:hAnsi="Times New Roman"/>
                <w:sz w:val="20"/>
                <w:szCs w:val="20"/>
              </w:rPr>
            </w:pPr>
          </w:p>
        </w:tc>
      </w:tr>
      <w:tr w:rsidR="006F587A" w14:paraId="4ACE2D0C"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2D09" w14:textId="77777777" w:rsidR="006F587A" w:rsidRDefault="007B2B61">
            <w:pPr>
              <w:textAlignment w:val="center"/>
              <w:rPr>
                <w:rFonts w:ascii="Times New Roman" w:hAnsi="Times New Roman"/>
                <w:sz w:val="18"/>
                <w:szCs w:val="18"/>
              </w:rPr>
            </w:pP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Viewer12_files/a001intellogo_coverfooter.jpg"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D3F" wp14:editId="4ACE6D40">
                  <wp:extent cx="304800" cy="304800"/>
                  <wp:effectExtent l="0" t="0" r="0" b="0"/>
                  <wp:docPr id="21" name="图片 199"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9"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r>
              <w:rPr>
                <w:rFonts w:ascii="Arial" w:eastAsia="宋体" w:hAnsi="Arial" w:cs="Arial"/>
                <w:color w:val="333333"/>
                <w:sz w:val="18"/>
                <w:szCs w:val="18"/>
              </w:rPr>
              <w:t>  </w:t>
            </w:r>
            <w:r>
              <w:rPr>
                <w:rFonts w:ascii="Arial" w:eastAsia="宋体" w:hAnsi="Arial" w:cs="Arial"/>
                <w:color w:val="333333"/>
                <w:sz w:val="16"/>
                <w:szCs w:val="16"/>
              </w:rPr>
              <w:t>MD&amp;A</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D0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D0B"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35</w:t>
            </w:r>
          </w:p>
        </w:tc>
      </w:tr>
    </w:tbl>
    <w:p w14:paraId="4ACE2D0D" w14:textId="77777777" w:rsidR="006F587A" w:rsidRDefault="007B2B61">
      <w:r>
        <w:pict w14:anchorId="4ACE6D41">
          <v:rect id="_x0000_i1061" style="width:415.3pt;height:1.5pt" o:hralign="center" o:hrstd="t" o:hr="t" fillcolor="#a0a0a0" stroked="f"/>
        </w:pict>
      </w:r>
    </w:p>
    <w:p w14:paraId="4ACE2D0E" w14:textId="77777777" w:rsidR="006F587A" w:rsidRDefault="007B2B61">
      <w:pPr>
        <w:spacing w:line="288" w:lineRule="auto"/>
        <w:jc w:val="right"/>
        <w:rPr>
          <w:rFonts w:ascii="Times New Roman" w:hAnsi="Times New Roman"/>
          <w:sz w:val="16"/>
          <w:szCs w:val="16"/>
        </w:rPr>
      </w:pPr>
      <w:hyperlink r:id="rId68" w:anchor="s9DB683E2CF52561EB8A73BE37F5BF9BE" w:history="1">
        <w:r>
          <w:rPr>
            <w:rStyle w:val="a5"/>
            <w:rFonts w:ascii="Arial" w:eastAsia="宋体" w:hAnsi="Arial" w:cs="Arial"/>
            <w:b/>
            <w:bCs/>
            <w:sz w:val="16"/>
            <w:szCs w:val="16"/>
          </w:rPr>
          <w:t>Table of Contents</w:t>
        </w:r>
      </w:hyperlink>
    </w:p>
    <w:p w14:paraId="4ACE2D0F" w14:textId="77777777" w:rsidR="006F587A" w:rsidRDefault="006F587A">
      <w:pPr>
        <w:spacing w:line="288" w:lineRule="auto"/>
        <w:jc w:val="right"/>
        <w:rPr>
          <w:rFonts w:ascii="Times New Roman" w:hAnsi="Times New Roman"/>
          <w:sz w:val="16"/>
          <w:szCs w:val="16"/>
        </w:rPr>
      </w:pPr>
    </w:p>
    <w:p w14:paraId="4ACE2D10" w14:textId="77777777" w:rsidR="006F587A" w:rsidRDefault="006F587A">
      <w:pPr>
        <w:rPr>
          <w:rFonts w:ascii="Times New Roman" w:hAnsi="Times New Roman"/>
          <w:sz w:val="20"/>
          <w:szCs w:val="20"/>
        </w:rPr>
      </w:pPr>
    </w:p>
    <w:p w14:paraId="4ACE2D11" w14:textId="77777777" w:rsidR="006F587A" w:rsidRDefault="007B2B61">
      <w:pPr>
        <w:spacing w:line="288" w:lineRule="auto"/>
        <w:rPr>
          <w:rFonts w:ascii="Times New Roman" w:hAnsi="Times New Roman"/>
          <w:sz w:val="28"/>
          <w:szCs w:val="28"/>
        </w:rPr>
      </w:pPr>
      <w:r>
        <w:rPr>
          <w:rFonts w:ascii="Arial" w:eastAsia="宋体" w:hAnsi="Arial" w:cs="Arial"/>
          <w:b/>
          <w:bCs/>
          <w:color w:val="0071C5"/>
          <w:sz w:val="28"/>
          <w:szCs w:val="28"/>
        </w:rPr>
        <w:t>REVENUE</w:t>
      </w:r>
    </w:p>
    <w:p w14:paraId="4ACE2D12"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Compared to a year ago, data-centric revenue was up 3%, driven by a strong mix of high-performance product sales in the second half of 2019, partially offset by TAM contraction in the DCG enterprise and government market segment and continued pressure on N</w:t>
      </w:r>
      <w:r>
        <w:rPr>
          <w:rFonts w:ascii="Arial" w:eastAsia="宋体" w:hAnsi="Arial" w:cs="Arial"/>
          <w:color w:val="333333"/>
          <w:sz w:val="18"/>
          <w:szCs w:val="18"/>
        </w:rPr>
        <w:t xml:space="preserve">AND pricing. Our PC-centric business was flat, driven by a strong mix of higher performance products as the commercial segment of the PC market remained strong, and modem continued to grow, offset by lower year over year platform volume. </w:t>
      </w:r>
    </w:p>
    <w:p w14:paraId="4ACE2D13"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Our total revenue</w:t>
      </w:r>
      <w:r>
        <w:rPr>
          <w:rFonts w:ascii="Arial" w:eastAsia="宋体" w:hAnsi="Arial" w:cs="Arial"/>
          <w:color w:val="333333"/>
          <w:sz w:val="18"/>
          <w:szCs w:val="18"/>
        </w:rPr>
        <w:t xml:space="preserve"> grew from $55.4 billion in 2015 to $72.0 billion in 2019, representing 7% CAGR. Data-centric businesses collectively grew faster than Intel as a whole at 11% CAGR over the last five years, and are approaching 50% of our revenue.</w:t>
      </w:r>
    </w:p>
    <w:tbl>
      <w:tblPr>
        <w:tblW w:w="14640" w:type="dxa"/>
        <w:tblCellMar>
          <w:left w:w="0" w:type="dxa"/>
          <w:right w:w="0" w:type="dxa"/>
        </w:tblCellMar>
        <w:tblLook w:val="04A0" w:firstRow="1" w:lastRow="0" w:firstColumn="1" w:lastColumn="0" w:noHBand="0" w:noVBand="1"/>
      </w:tblPr>
      <w:tblGrid>
        <w:gridCol w:w="14640"/>
      </w:tblGrid>
      <w:tr w:rsidR="006F587A" w14:paraId="4ACE2D15" w14:textId="77777777">
        <w:tc>
          <w:tcPr>
            <w:tcW w:w="0" w:type="auto"/>
            <w:shd w:val="clear" w:color="auto" w:fill="auto"/>
            <w:vAlign w:val="center"/>
          </w:tcPr>
          <w:p w14:paraId="4ACE2D14" w14:textId="77777777" w:rsidR="006F587A" w:rsidRDefault="006F587A">
            <w:pPr>
              <w:rPr>
                <w:rFonts w:ascii="Times New Roman" w:hAnsi="Times New Roman"/>
                <w:sz w:val="20"/>
                <w:szCs w:val="20"/>
              </w:rPr>
            </w:pPr>
          </w:p>
        </w:tc>
      </w:tr>
      <w:tr w:rsidR="006F587A" w14:paraId="4ACE2D17" w14:textId="77777777">
        <w:tc>
          <w:tcPr>
            <w:tcW w:w="14640" w:type="dxa"/>
            <w:shd w:val="clear" w:color="auto" w:fill="auto"/>
            <w:vAlign w:val="center"/>
          </w:tcPr>
          <w:p w14:paraId="4ACE2D16" w14:textId="77777777" w:rsidR="006F587A" w:rsidRDefault="006F587A">
            <w:pPr>
              <w:rPr>
                <w:rFonts w:ascii="Times New Roman" w:hAnsi="Times New Roman"/>
                <w:sz w:val="20"/>
                <w:szCs w:val="20"/>
              </w:rPr>
            </w:pPr>
          </w:p>
        </w:tc>
      </w:tr>
      <w:tr w:rsidR="006F587A" w14:paraId="4ACE2D19" w14:textId="77777777">
        <w:tc>
          <w:tcPr>
            <w:tcW w:w="0" w:type="auto"/>
            <w:tcBorders>
              <w:bottom w:val="single" w:sz="8" w:space="0" w:color="333333"/>
            </w:tcBorders>
            <w:shd w:val="clear" w:color="auto" w:fill="auto"/>
            <w:tcMar>
              <w:top w:w="40" w:type="dxa"/>
              <w:left w:w="40" w:type="dxa"/>
              <w:bottom w:w="40" w:type="dxa"/>
              <w:right w:w="40" w:type="dxa"/>
            </w:tcMar>
            <w:vAlign w:val="bottom"/>
          </w:tcPr>
          <w:p w14:paraId="4ACE2D18" w14:textId="77777777" w:rsidR="006F587A" w:rsidRDefault="007B2B61">
            <w:pPr>
              <w:jc w:val="center"/>
              <w:textAlignment w:val="bottom"/>
              <w:rPr>
                <w:rFonts w:ascii="Times New Roman" w:hAnsi="Times New Roman"/>
                <w:sz w:val="20"/>
                <w:szCs w:val="20"/>
              </w:rPr>
            </w:pPr>
            <w:r>
              <w:rPr>
                <w:rFonts w:ascii="Arial" w:eastAsia="宋体" w:hAnsi="Arial" w:cs="Arial"/>
                <w:b/>
                <w:bCs/>
                <w:color w:val="0071C5"/>
                <w:sz w:val="20"/>
                <w:szCs w:val="20"/>
              </w:rPr>
              <w:t>PC TO DATA-CENTRIC TRA</w:t>
            </w:r>
            <w:r>
              <w:rPr>
                <w:rFonts w:ascii="Arial" w:eastAsia="宋体" w:hAnsi="Arial" w:cs="Arial"/>
                <w:b/>
                <w:bCs/>
                <w:color w:val="0071C5"/>
                <w:sz w:val="20"/>
                <w:szCs w:val="20"/>
              </w:rPr>
              <w:t>NSFORMATION OVER THE LAST 5 YEARS</w:t>
            </w:r>
          </w:p>
        </w:tc>
      </w:tr>
    </w:tbl>
    <w:p w14:paraId="4ACE2D1A" w14:textId="77777777" w:rsidR="006F587A" w:rsidRDefault="007B2B61">
      <w:pPr>
        <w:spacing w:line="288" w:lineRule="auto"/>
        <w:ind w:firstLine="2880"/>
        <w:rPr>
          <w:rFonts w:ascii="Times New Roman" w:hAnsi="Times New Roman"/>
          <w:sz w:val="18"/>
          <w:szCs w:val="18"/>
        </w:rPr>
      </w:pPr>
      <w:r>
        <w:rPr>
          <w:rFonts w:ascii="Arial" w:eastAsia="宋体" w:hAnsi="Arial" w:cs="Arial"/>
          <w:color w:val="333333"/>
          <w:sz w:val="18"/>
          <w:szCs w:val="18"/>
        </w:rPr>
        <w:t>    </w:t>
      </w: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Viewer12_files/chart29_consolrev.jpg"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D42" wp14:editId="4ACE6D43">
            <wp:extent cx="304800" cy="304800"/>
            <wp:effectExtent l="0" t="0" r="0" b="0"/>
            <wp:docPr id="154" name="图片 201" descr="IMG_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201" descr="IMG_38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p>
    <w:p w14:paraId="4ACE2D1B" w14:textId="77777777" w:rsidR="006F587A" w:rsidRDefault="006F587A">
      <w:pPr>
        <w:spacing w:line="288" w:lineRule="auto"/>
        <w:rPr>
          <w:rFonts w:ascii="Times New Roman" w:hAnsi="Times New Roman"/>
          <w:sz w:val="18"/>
          <w:szCs w:val="18"/>
        </w:rPr>
      </w:pPr>
    </w:p>
    <w:tbl>
      <w:tblPr>
        <w:tblW w:w="14400" w:type="dxa"/>
        <w:tblCellMar>
          <w:left w:w="0" w:type="dxa"/>
          <w:right w:w="0" w:type="dxa"/>
        </w:tblCellMar>
        <w:tblLook w:val="04A0" w:firstRow="1" w:lastRow="0" w:firstColumn="1" w:lastColumn="0" w:noHBand="0" w:noVBand="1"/>
      </w:tblPr>
      <w:tblGrid>
        <w:gridCol w:w="2720"/>
        <w:gridCol w:w="1680"/>
        <w:gridCol w:w="1920"/>
        <w:gridCol w:w="5280"/>
        <w:gridCol w:w="2800"/>
      </w:tblGrid>
      <w:tr w:rsidR="006F587A" w14:paraId="4ACE2D1D" w14:textId="77777777">
        <w:tc>
          <w:tcPr>
            <w:tcW w:w="0" w:type="auto"/>
            <w:gridSpan w:val="5"/>
            <w:shd w:val="clear" w:color="auto" w:fill="auto"/>
            <w:vAlign w:val="center"/>
          </w:tcPr>
          <w:p w14:paraId="4ACE2D1C" w14:textId="77777777" w:rsidR="006F587A" w:rsidRDefault="006F587A">
            <w:pPr>
              <w:rPr>
                <w:rFonts w:ascii="Times New Roman" w:hAnsi="Times New Roman"/>
                <w:sz w:val="20"/>
                <w:szCs w:val="20"/>
              </w:rPr>
            </w:pPr>
          </w:p>
        </w:tc>
      </w:tr>
      <w:tr w:rsidR="006F587A" w14:paraId="4ACE2D23" w14:textId="77777777">
        <w:tc>
          <w:tcPr>
            <w:tcW w:w="2720" w:type="dxa"/>
            <w:shd w:val="clear" w:color="auto" w:fill="auto"/>
            <w:vAlign w:val="center"/>
          </w:tcPr>
          <w:p w14:paraId="4ACE2D1E" w14:textId="77777777" w:rsidR="006F587A" w:rsidRDefault="006F587A">
            <w:pPr>
              <w:rPr>
                <w:rFonts w:ascii="Times New Roman" w:hAnsi="Times New Roman"/>
                <w:sz w:val="20"/>
                <w:szCs w:val="20"/>
              </w:rPr>
            </w:pPr>
          </w:p>
        </w:tc>
        <w:tc>
          <w:tcPr>
            <w:tcW w:w="1680" w:type="dxa"/>
            <w:shd w:val="clear" w:color="auto" w:fill="auto"/>
            <w:vAlign w:val="center"/>
          </w:tcPr>
          <w:p w14:paraId="4ACE2D1F" w14:textId="77777777" w:rsidR="006F587A" w:rsidRDefault="006F587A">
            <w:pPr>
              <w:rPr>
                <w:rFonts w:ascii="Times New Roman" w:hAnsi="Times New Roman"/>
                <w:sz w:val="20"/>
                <w:szCs w:val="20"/>
              </w:rPr>
            </w:pPr>
          </w:p>
        </w:tc>
        <w:tc>
          <w:tcPr>
            <w:tcW w:w="1920" w:type="dxa"/>
            <w:shd w:val="clear" w:color="auto" w:fill="auto"/>
            <w:vAlign w:val="center"/>
          </w:tcPr>
          <w:p w14:paraId="4ACE2D20" w14:textId="77777777" w:rsidR="006F587A" w:rsidRDefault="006F587A">
            <w:pPr>
              <w:rPr>
                <w:rFonts w:ascii="Times New Roman" w:hAnsi="Times New Roman"/>
                <w:sz w:val="20"/>
                <w:szCs w:val="20"/>
              </w:rPr>
            </w:pPr>
          </w:p>
        </w:tc>
        <w:tc>
          <w:tcPr>
            <w:tcW w:w="5280" w:type="dxa"/>
            <w:shd w:val="clear" w:color="auto" w:fill="auto"/>
            <w:vAlign w:val="center"/>
          </w:tcPr>
          <w:p w14:paraId="4ACE2D21" w14:textId="77777777" w:rsidR="006F587A" w:rsidRDefault="006F587A">
            <w:pPr>
              <w:rPr>
                <w:rFonts w:ascii="Times New Roman" w:hAnsi="Times New Roman"/>
                <w:sz w:val="20"/>
                <w:szCs w:val="20"/>
              </w:rPr>
            </w:pPr>
          </w:p>
        </w:tc>
        <w:tc>
          <w:tcPr>
            <w:tcW w:w="2800" w:type="dxa"/>
            <w:shd w:val="clear" w:color="auto" w:fill="auto"/>
            <w:vAlign w:val="center"/>
          </w:tcPr>
          <w:p w14:paraId="4ACE2D22" w14:textId="77777777" w:rsidR="006F587A" w:rsidRDefault="006F587A">
            <w:pPr>
              <w:rPr>
                <w:rFonts w:ascii="Times New Roman" w:hAnsi="Times New Roman"/>
                <w:sz w:val="20"/>
                <w:szCs w:val="20"/>
              </w:rPr>
            </w:pPr>
          </w:p>
        </w:tc>
      </w:tr>
      <w:tr w:rsidR="006F587A" w14:paraId="4ACE2D2A" w14:textId="77777777">
        <w:tc>
          <w:tcPr>
            <w:tcW w:w="0" w:type="auto"/>
            <w:shd w:val="clear" w:color="auto" w:fill="auto"/>
            <w:tcMar>
              <w:top w:w="40" w:type="dxa"/>
              <w:left w:w="40" w:type="dxa"/>
              <w:bottom w:w="40" w:type="dxa"/>
              <w:right w:w="40" w:type="dxa"/>
            </w:tcMar>
            <w:vAlign w:val="bottom"/>
          </w:tcPr>
          <w:p w14:paraId="4ACE2D2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2D25" w14:textId="77777777" w:rsidR="006F587A" w:rsidRDefault="007B2B61">
            <w:pPr>
              <w:textAlignment w:val="top"/>
              <w:rPr>
                <w:rFonts w:ascii="Times New Roman" w:hAnsi="Times New Roman"/>
                <w:sz w:val="16"/>
                <w:szCs w:val="16"/>
              </w:rPr>
            </w:pPr>
            <w:r>
              <w:rPr>
                <w:rFonts w:ascii="Arial" w:eastAsia="宋体" w:hAnsi="Arial" w:cs="Arial"/>
                <w:color w:val="003C71"/>
                <w:sz w:val="16"/>
                <w:szCs w:val="16"/>
              </w:rPr>
              <w:t xml:space="preserve">■ </w:t>
            </w:r>
            <w:r>
              <w:rPr>
                <w:rFonts w:ascii="Arial" w:eastAsia="宋体" w:hAnsi="Arial" w:cs="Arial"/>
                <w:color w:val="333333"/>
                <w:sz w:val="16"/>
                <w:szCs w:val="16"/>
              </w:rPr>
              <w:t>PC-centric $B</w:t>
            </w:r>
          </w:p>
        </w:tc>
        <w:tc>
          <w:tcPr>
            <w:tcW w:w="0" w:type="auto"/>
            <w:shd w:val="clear" w:color="auto" w:fill="auto"/>
            <w:tcMar>
              <w:top w:w="40" w:type="dxa"/>
              <w:left w:w="40" w:type="dxa"/>
              <w:bottom w:w="40" w:type="dxa"/>
              <w:right w:w="40" w:type="dxa"/>
            </w:tcMar>
          </w:tcPr>
          <w:p w14:paraId="4ACE2D26" w14:textId="77777777" w:rsidR="006F587A" w:rsidRDefault="007B2B61">
            <w:pPr>
              <w:textAlignment w:val="top"/>
              <w:rPr>
                <w:rFonts w:ascii="Times New Roman" w:hAnsi="Times New Roman"/>
                <w:sz w:val="16"/>
                <w:szCs w:val="16"/>
              </w:rPr>
            </w:pPr>
            <w:r>
              <w:rPr>
                <w:rFonts w:ascii="Arial" w:eastAsia="宋体" w:hAnsi="Arial" w:cs="Arial"/>
                <w:color w:val="00AEEF"/>
                <w:sz w:val="16"/>
                <w:szCs w:val="16"/>
              </w:rPr>
              <w:t>■</w:t>
            </w:r>
            <w:r>
              <w:rPr>
                <w:rFonts w:ascii="Arial" w:eastAsia="宋体" w:hAnsi="Arial" w:cs="Arial"/>
                <w:color w:val="333333"/>
                <w:sz w:val="16"/>
                <w:szCs w:val="16"/>
              </w:rPr>
              <w:t> Data-centric $B</w:t>
            </w:r>
          </w:p>
        </w:tc>
        <w:tc>
          <w:tcPr>
            <w:tcW w:w="0" w:type="auto"/>
            <w:shd w:val="clear" w:color="auto" w:fill="auto"/>
            <w:tcMar>
              <w:top w:w="40" w:type="dxa"/>
              <w:left w:w="40" w:type="dxa"/>
              <w:bottom w:w="40" w:type="dxa"/>
              <w:right w:w="40" w:type="dxa"/>
            </w:tcMar>
          </w:tcPr>
          <w:p w14:paraId="4ACE2D27" w14:textId="77777777" w:rsidR="006F587A" w:rsidRDefault="007B2B61">
            <w:pPr>
              <w:textAlignment w:val="top"/>
              <w:rPr>
                <w:rFonts w:ascii="Times New Roman" w:hAnsi="Times New Roman"/>
                <w:sz w:val="16"/>
                <w:szCs w:val="16"/>
              </w:rPr>
            </w:pPr>
            <w:r>
              <w:rPr>
                <w:rFonts w:ascii="Arial" w:eastAsia="宋体" w:hAnsi="Arial" w:cs="Arial"/>
                <w:b/>
                <w:bCs/>
                <w:color w:val="FAAC16"/>
                <w:sz w:val="16"/>
                <w:szCs w:val="16"/>
              </w:rPr>
              <w:t xml:space="preserve">— </w:t>
            </w:r>
            <w:r>
              <w:rPr>
                <w:rFonts w:ascii="Arial" w:eastAsia="宋体" w:hAnsi="Arial" w:cs="Arial"/>
                <w:color w:val="333333"/>
                <w:sz w:val="16"/>
                <w:szCs w:val="16"/>
              </w:rPr>
              <w:t>Data-centric as a % of total Intel revenue</w:t>
            </w:r>
          </w:p>
          <w:p w14:paraId="4ACE2D28" w14:textId="77777777" w:rsidR="006F587A" w:rsidRDefault="006F587A">
            <w:pPr>
              <w:textAlignment w:val="top"/>
              <w:rPr>
                <w:rFonts w:ascii="Times New Roman" w:hAnsi="Times New Roman"/>
                <w:sz w:val="16"/>
                <w:szCs w:val="16"/>
              </w:rPr>
            </w:pPr>
          </w:p>
        </w:tc>
        <w:tc>
          <w:tcPr>
            <w:tcW w:w="0" w:type="auto"/>
            <w:shd w:val="clear" w:color="auto" w:fill="auto"/>
            <w:tcMar>
              <w:top w:w="40" w:type="dxa"/>
              <w:left w:w="40" w:type="dxa"/>
              <w:bottom w:w="40" w:type="dxa"/>
              <w:right w:w="40" w:type="dxa"/>
            </w:tcMar>
            <w:vAlign w:val="bottom"/>
          </w:tcPr>
          <w:p w14:paraId="4ACE2D2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bl>
    <w:p w14:paraId="4ACE2D2B" w14:textId="77777777" w:rsidR="006F587A" w:rsidRDefault="006F587A">
      <w:pPr>
        <w:rPr>
          <w:vanish/>
        </w:rPr>
      </w:pPr>
    </w:p>
    <w:tbl>
      <w:tblPr>
        <w:tblW w:w="14640" w:type="dxa"/>
        <w:tblCellMar>
          <w:left w:w="0" w:type="dxa"/>
          <w:right w:w="0" w:type="dxa"/>
        </w:tblCellMar>
        <w:tblLook w:val="04A0" w:firstRow="1" w:lastRow="0" w:firstColumn="1" w:lastColumn="0" w:noHBand="0" w:noVBand="1"/>
      </w:tblPr>
      <w:tblGrid>
        <w:gridCol w:w="14640"/>
      </w:tblGrid>
      <w:tr w:rsidR="006F587A" w14:paraId="4ACE2D2D" w14:textId="77777777">
        <w:tc>
          <w:tcPr>
            <w:tcW w:w="0" w:type="auto"/>
            <w:shd w:val="clear" w:color="auto" w:fill="auto"/>
            <w:vAlign w:val="center"/>
          </w:tcPr>
          <w:p w14:paraId="4ACE2D2C" w14:textId="77777777" w:rsidR="006F587A" w:rsidRDefault="006F587A">
            <w:pPr>
              <w:rPr>
                <w:rFonts w:ascii="Times New Roman" w:hAnsi="Times New Roman"/>
                <w:sz w:val="20"/>
                <w:szCs w:val="20"/>
              </w:rPr>
            </w:pPr>
          </w:p>
        </w:tc>
      </w:tr>
      <w:tr w:rsidR="006F587A" w14:paraId="4ACE2D2F" w14:textId="77777777">
        <w:tc>
          <w:tcPr>
            <w:tcW w:w="14640" w:type="dxa"/>
            <w:shd w:val="clear" w:color="auto" w:fill="auto"/>
            <w:vAlign w:val="center"/>
          </w:tcPr>
          <w:p w14:paraId="4ACE2D2E" w14:textId="77777777" w:rsidR="006F587A" w:rsidRDefault="006F587A">
            <w:pPr>
              <w:rPr>
                <w:rFonts w:ascii="Times New Roman" w:hAnsi="Times New Roman"/>
                <w:sz w:val="20"/>
                <w:szCs w:val="20"/>
              </w:rPr>
            </w:pPr>
          </w:p>
        </w:tc>
      </w:tr>
      <w:tr w:rsidR="006F587A" w14:paraId="4ACE2D31" w14:textId="77777777">
        <w:tc>
          <w:tcPr>
            <w:tcW w:w="0" w:type="auto"/>
            <w:tcBorders>
              <w:bottom w:val="single" w:sz="8" w:space="0" w:color="333333"/>
            </w:tcBorders>
            <w:shd w:val="clear" w:color="auto" w:fill="auto"/>
            <w:tcMar>
              <w:top w:w="40" w:type="dxa"/>
              <w:left w:w="40" w:type="dxa"/>
              <w:bottom w:w="40" w:type="dxa"/>
              <w:right w:w="40" w:type="dxa"/>
            </w:tcMar>
            <w:vAlign w:val="bottom"/>
          </w:tcPr>
          <w:p w14:paraId="4ACE2D30" w14:textId="77777777" w:rsidR="006F587A" w:rsidRDefault="007B2B61">
            <w:pPr>
              <w:jc w:val="center"/>
              <w:textAlignment w:val="bottom"/>
              <w:rPr>
                <w:rFonts w:ascii="Times New Roman" w:hAnsi="Times New Roman"/>
                <w:sz w:val="20"/>
                <w:szCs w:val="20"/>
              </w:rPr>
            </w:pPr>
            <w:r>
              <w:rPr>
                <w:rFonts w:ascii="Arial" w:eastAsia="宋体" w:hAnsi="Arial" w:cs="Arial"/>
                <w:b/>
                <w:bCs/>
                <w:color w:val="0071C5"/>
                <w:sz w:val="20"/>
                <w:szCs w:val="20"/>
              </w:rPr>
              <w:t>SEGMENT REVENUE WALK $B</w:t>
            </w:r>
          </w:p>
        </w:tc>
      </w:tr>
    </w:tbl>
    <w:p w14:paraId="4ACE2D32" w14:textId="77777777" w:rsidR="006F587A" w:rsidRDefault="007B2B61">
      <w:pPr>
        <w:spacing w:line="288" w:lineRule="auto"/>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Viewer12_files/chart30_consolrevflux.jpg"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D44" wp14:editId="4ACE6D45">
            <wp:extent cx="304800" cy="304800"/>
            <wp:effectExtent l="0" t="0" r="0" b="0"/>
            <wp:docPr id="22" name="图片 202" descr="IMG_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2" descr="IMG_38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4ACE2D33" w14:textId="77777777" w:rsidR="006F587A" w:rsidRDefault="007B2B61">
      <w:pPr>
        <w:spacing w:line="288" w:lineRule="auto"/>
        <w:rPr>
          <w:rFonts w:ascii="Times New Roman" w:hAnsi="Times New Roman"/>
          <w:sz w:val="20"/>
          <w:szCs w:val="20"/>
        </w:rPr>
      </w:pPr>
      <w:r>
        <w:rPr>
          <w:rFonts w:ascii="Arial" w:eastAsia="宋体" w:hAnsi="Arial" w:cs="Arial"/>
          <w:b/>
          <w:bCs/>
          <w:color w:val="333333"/>
          <w:sz w:val="20"/>
          <w:szCs w:val="20"/>
        </w:rPr>
        <w:lastRenderedPageBreak/>
        <w:t>2019 – 2018</w:t>
      </w:r>
    </w:p>
    <w:p w14:paraId="4ACE2D34"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In 2019, revenue was $72.0 billion, up $1.1 billion, or 2%, from 2018. Our data-centric businesses collectively grew 3% year over year and made up nearly half of our total revenue in 2019. Platform ASPs increased due to stronger core mix offset by a declin</w:t>
      </w:r>
      <w:r>
        <w:rPr>
          <w:rFonts w:ascii="Arial" w:eastAsia="宋体" w:hAnsi="Arial" w:cs="Arial"/>
          <w:color w:val="333333"/>
          <w:sz w:val="18"/>
          <w:szCs w:val="18"/>
        </w:rPr>
        <w:t>e in NSG ASPs due to lower NAND market pricing and a decrease in DCG platform unit sales as the enterprise and government market segment contracted. Our PC-centric business was flat year over year as ASP strength from richer commercial segment mix and mode</w:t>
      </w:r>
      <w:r>
        <w:rPr>
          <w:rFonts w:ascii="Arial" w:eastAsia="宋体" w:hAnsi="Arial" w:cs="Arial"/>
          <w:color w:val="333333"/>
          <w:sz w:val="18"/>
          <w:szCs w:val="18"/>
        </w:rPr>
        <w:t xml:space="preserve">m growth were offset by declines in platform volume. </w:t>
      </w:r>
    </w:p>
    <w:p w14:paraId="4ACE2D35" w14:textId="77777777" w:rsidR="006F587A" w:rsidRDefault="007B2B61">
      <w:pPr>
        <w:spacing w:line="288" w:lineRule="auto"/>
        <w:rPr>
          <w:rFonts w:ascii="Times New Roman" w:hAnsi="Times New Roman"/>
          <w:sz w:val="20"/>
          <w:szCs w:val="20"/>
        </w:rPr>
      </w:pPr>
      <w:r>
        <w:rPr>
          <w:rFonts w:ascii="Arial" w:eastAsia="宋体" w:hAnsi="Arial" w:cs="Arial"/>
          <w:b/>
          <w:bCs/>
          <w:color w:val="333333"/>
          <w:sz w:val="20"/>
          <w:szCs w:val="20"/>
        </w:rPr>
        <w:t>2018 – 2017</w:t>
      </w:r>
    </w:p>
    <w:p w14:paraId="4ACE2D36"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In 2018, revenue was $70.8 billion, up $8.1 billion, or 13%, from 2017. The increase in revenue was primarily driven by strong performance across our data-centric businesses, which collectiv</w:t>
      </w:r>
      <w:r>
        <w:rPr>
          <w:rFonts w:ascii="Arial" w:eastAsia="宋体" w:hAnsi="Arial" w:cs="Arial"/>
          <w:color w:val="333333"/>
          <w:sz w:val="18"/>
          <w:szCs w:val="18"/>
        </w:rPr>
        <w:t>ely grew 18% year over year and made up nearly half of our total revenue in 2018. Our Mobileye business had revenue of $698 million. Our PC-centric business grew 9%, above our expectations, due to PC TAM</w:t>
      </w:r>
      <w:r>
        <w:rPr>
          <w:rFonts w:ascii="Arial" w:eastAsia="宋体" w:hAnsi="Arial" w:cs="Arial"/>
          <w:i/>
          <w:iCs/>
          <w:color w:val="333333"/>
          <w:sz w:val="10"/>
          <w:szCs w:val="10"/>
        </w:rPr>
        <w:t>1</w:t>
      </w:r>
      <w:r>
        <w:rPr>
          <w:rFonts w:ascii="Arial" w:eastAsia="宋体" w:hAnsi="Arial" w:cs="Arial"/>
          <w:color w:val="333333"/>
          <w:sz w:val="18"/>
          <w:szCs w:val="18"/>
        </w:rPr>
        <w:t xml:space="preserve"> growth and demand for our leadership products. The </w:t>
      </w:r>
      <w:r>
        <w:rPr>
          <w:rFonts w:ascii="Arial" w:eastAsia="宋体" w:hAnsi="Arial" w:cs="Arial"/>
          <w:color w:val="333333"/>
          <w:sz w:val="18"/>
          <w:szCs w:val="18"/>
        </w:rPr>
        <w:t>increase in 2018 revenue was partially offset by the loss of revenue from businesses that were divested, specifically $534 million from the divestiture of the ISecG and approximately $165 million from the divestiture of Wind River.</w:t>
      </w:r>
    </w:p>
    <w:p w14:paraId="4ACE2D37" w14:textId="77777777" w:rsidR="006F587A" w:rsidRDefault="007B2B61">
      <w:pPr>
        <w:spacing w:line="288" w:lineRule="auto"/>
        <w:rPr>
          <w:rFonts w:ascii="Times New Roman" w:hAnsi="Times New Roman"/>
          <w:sz w:val="16"/>
          <w:szCs w:val="16"/>
        </w:rPr>
      </w:pPr>
      <w:r>
        <w:rPr>
          <w:rFonts w:ascii="Arial" w:eastAsia="宋体" w:hAnsi="Arial" w:cs="Arial"/>
          <w:i/>
          <w:iCs/>
          <w:color w:val="333333"/>
          <w:sz w:val="10"/>
          <w:szCs w:val="10"/>
        </w:rPr>
        <w:t xml:space="preserve">1 </w:t>
      </w:r>
      <w:r>
        <w:rPr>
          <w:rFonts w:ascii="Arial" w:eastAsia="宋体" w:hAnsi="Arial" w:cs="Arial"/>
          <w:i/>
          <w:iCs/>
          <w:color w:val="333333"/>
          <w:sz w:val="16"/>
          <w:szCs w:val="16"/>
        </w:rPr>
        <w:t>Source: Intel calculat</w:t>
      </w:r>
      <w:r>
        <w:rPr>
          <w:rFonts w:ascii="Arial" w:eastAsia="宋体" w:hAnsi="Arial" w:cs="Arial"/>
          <w:i/>
          <w:iCs/>
          <w:color w:val="333333"/>
          <w:sz w:val="16"/>
          <w:szCs w:val="16"/>
        </w:rPr>
        <w:t xml:space="preserve">ed PC TAM derived from industry analyst reports. </w:t>
      </w:r>
    </w:p>
    <w:p w14:paraId="4ACE2D38"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408"/>
        <w:gridCol w:w="2409"/>
        <w:gridCol w:w="3489"/>
      </w:tblGrid>
      <w:tr w:rsidR="006F587A" w14:paraId="4ACE2D3A" w14:textId="77777777">
        <w:tc>
          <w:tcPr>
            <w:tcW w:w="0" w:type="auto"/>
            <w:gridSpan w:val="3"/>
            <w:shd w:val="clear" w:color="auto" w:fill="auto"/>
            <w:vAlign w:val="center"/>
          </w:tcPr>
          <w:p w14:paraId="4ACE2D39" w14:textId="77777777" w:rsidR="006F587A" w:rsidRDefault="006F587A">
            <w:pPr>
              <w:rPr>
                <w:rFonts w:ascii="Times New Roman" w:hAnsi="Times New Roman"/>
                <w:sz w:val="20"/>
                <w:szCs w:val="20"/>
              </w:rPr>
            </w:pPr>
          </w:p>
        </w:tc>
      </w:tr>
      <w:tr w:rsidR="006F587A" w14:paraId="4ACE2D3E" w14:textId="77777777">
        <w:tc>
          <w:tcPr>
            <w:tcW w:w="1450" w:type="pct"/>
            <w:shd w:val="clear" w:color="auto" w:fill="auto"/>
            <w:vAlign w:val="center"/>
          </w:tcPr>
          <w:p w14:paraId="4ACE2D3B" w14:textId="77777777" w:rsidR="006F587A" w:rsidRDefault="006F587A">
            <w:pPr>
              <w:rPr>
                <w:rFonts w:ascii="Times New Roman" w:hAnsi="Times New Roman"/>
                <w:sz w:val="20"/>
                <w:szCs w:val="20"/>
              </w:rPr>
            </w:pPr>
          </w:p>
        </w:tc>
        <w:tc>
          <w:tcPr>
            <w:tcW w:w="1450" w:type="pct"/>
            <w:shd w:val="clear" w:color="auto" w:fill="auto"/>
            <w:vAlign w:val="center"/>
          </w:tcPr>
          <w:p w14:paraId="4ACE2D3C" w14:textId="77777777" w:rsidR="006F587A" w:rsidRDefault="006F587A">
            <w:pPr>
              <w:rPr>
                <w:rFonts w:ascii="Times New Roman" w:hAnsi="Times New Roman"/>
                <w:sz w:val="20"/>
                <w:szCs w:val="20"/>
              </w:rPr>
            </w:pPr>
          </w:p>
        </w:tc>
        <w:tc>
          <w:tcPr>
            <w:tcW w:w="2100" w:type="pct"/>
            <w:shd w:val="clear" w:color="auto" w:fill="auto"/>
            <w:vAlign w:val="center"/>
          </w:tcPr>
          <w:p w14:paraId="4ACE2D3D" w14:textId="77777777" w:rsidR="006F587A" w:rsidRDefault="006F587A">
            <w:pPr>
              <w:rPr>
                <w:rFonts w:ascii="Times New Roman" w:hAnsi="Times New Roman"/>
                <w:sz w:val="20"/>
                <w:szCs w:val="20"/>
              </w:rPr>
            </w:pPr>
          </w:p>
        </w:tc>
      </w:tr>
      <w:tr w:rsidR="006F587A" w14:paraId="4ACE2D42"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2D3F" w14:textId="77777777" w:rsidR="006F587A" w:rsidRDefault="007B2B61">
            <w:pPr>
              <w:textAlignment w:val="center"/>
              <w:rPr>
                <w:rFonts w:ascii="Times New Roman" w:hAnsi="Times New Roman"/>
                <w:sz w:val="18"/>
                <w:szCs w:val="18"/>
              </w:rPr>
            </w:pP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Viewer12_files/a001intellogo_coverfooter.jpg"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D46" wp14:editId="4ACE6D47">
                  <wp:extent cx="304800" cy="304800"/>
                  <wp:effectExtent l="0" t="0" r="0" b="0"/>
                  <wp:docPr id="25" name="图片 203"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3"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r>
              <w:rPr>
                <w:rFonts w:ascii="Arial" w:eastAsia="宋体" w:hAnsi="Arial" w:cs="Arial"/>
                <w:color w:val="333333"/>
                <w:sz w:val="18"/>
                <w:szCs w:val="18"/>
              </w:rPr>
              <w:t>  </w:t>
            </w:r>
            <w:r>
              <w:rPr>
                <w:rFonts w:ascii="Arial" w:eastAsia="宋体" w:hAnsi="Arial" w:cs="Arial"/>
                <w:color w:val="333333"/>
                <w:sz w:val="16"/>
                <w:szCs w:val="16"/>
              </w:rPr>
              <w:t>MD&amp;A</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D4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D41"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36</w:t>
            </w:r>
          </w:p>
        </w:tc>
      </w:tr>
    </w:tbl>
    <w:p w14:paraId="4ACE2D43" w14:textId="77777777" w:rsidR="006F587A" w:rsidRDefault="007B2B61">
      <w:r>
        <w:pict w14:anchorId="4ACE6D48">
          <v:rect id="_x0000_i1062" style="width:415.3pt;height:1.5pt" o:hralign="center" o:hrstd="t" o:hr="t" fillcolor="#a0a0a0" stroked="f"/>
        </w:pict>
      </w:r>
    </w:p>
    <w:p w14:paraId="4ACE2D44" w14:textId="77777777" w:rsidR="006F587A" w:rsidRDefault="007B2B61">
      <w:pPr>
        <w:spacing w:line="288" w:lineRule="auto"/>
        <w:jc w:val="right"/>
        <w:rPr>
          <w:rFonts w:ascii="Times New Roman" w:hAnsi="Times New Roman"/>
          <w:sz w:val="16"/>
          <w:szCs w:val="16"/>
        </w:rPr>
      </w:pPr>
      <w:hyperlink r:id="rId69" w:anchor="s9DB683E2CF52561EB8A73BE37F5BF9BE" w:history="1">
        <w:r>
          <w:rPr>
            <w:rStyle w:val="a5"/>
            <w:rFonts w:ascii="Arial" w:eastAsia="宋体" w:hAnsi="Arial" w:cs="Arial"/>
            <w:b/>
            <w:bCs/>
            <w:sz w:val="16"/>
            <w:szCs w:val="16"/>
          </w:rPr>
          <w:t>Table of Contents</w:t>
        </w:r>
      </w:hyperlink>
    </w:p>
    <w:p w14:paraId="4ACE2D45" w14:textId="77777777" w:rsidR="006F587A" w:rsidRDefault="006F587A">
      <w:pPr>
        <w:spacing w:line="288" w:lineRule="auto"/>
        <w:jc w:val="right"/>
        <w:rPr>
          <w:rFonts w:ascii="Times New Roman" w:hAnsi="Times New Roman"/>
          <w:sz w:val="16"/>
          <w:szCs w:val="16"/>
        </w:rPr>
      </w:pPr>
    </w:p>
    <w:p w14:paraId="4ACE2D46" w14:textId="77777777" w:rsidR="006F587A" w:rsidRDefault="006F587A">
      <w:pPr>
        <w:rPr>
          <w:rFonts w:ascii="Times New Roman" w:hAnsi="Times New Roman"/>
          <w:sz w:val="20"/>
          <w:szCs w:val="20"/>
        </w:rPr>
      </w:pPr>
    </w:p>
    <w:p w14:paraId="4ACE2D47" w14:textId="77777777" w:rsidR="006F587A" w:rsidRDefault="007B2B61">
      <w:pPr>
        <w:spacing w:line="288" w:lineRule="auto"/>
        <w:rPr>
          <w:rFonts w:ascii="Times New Roman" w:hAnsi="Times New Roman"/>
          <w:sz w:val="28"/>
          <w:szCs w:val="28"/>
        </w:rPr>
      </w:pPr>
      <w:r>
        <w:rPr>
          <w:rFonts w:ascii="Arial" w:eastAsia="宋体" w:hAnsi="Arial" w:cs="Arial"/>
          <w:b/>
          <w:bCs/>
          <w:color w:val="0071C5"/>
          <w:sz w:val="28"/>
          <w:szCs w:val="28"/>
        </w:rPr>
        <w:t>GROSS MARGIN</w:t>
      </w:r>
    </w:p>
    <w:p w14:paraId="4ACE2D48"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derived most of our overall gross margin dollars from the sale of platform products in the DCG and CCG operating segments. Our overall gross margin dollars in 2019 decreased by $1.6 billion, or 4%, compared to 2018, and in 2018 increased by $4.6 billion</w:t>
      </w:r>
      <w:r>
        <w:rPr>
          <w:rFonts w:ascii="Arial" w:eastAsia="宋体" w:hAnsi="Arial" w:cs="Arial"/>
          <w:color w:val="333333"/>
          <w:sz w:val="18"/>
          <w:szCs w:val="18"/>
        </w:rPr>
        <w:t>, or 12%, compared to 2017. In 2019, our adjacent products revenue continued to grow primarily due to memory and modem products, which have a lower gross margin percentage than our overall average. Lower platform unit sales and margin compression on memory</w:t>
      </w:r>
      <w:r>
        <w:rPr>
          <w:rFonts w:ascii="Arial" w:eastAsia="宋体" w:hAnsi="Arial" w:cs="Arial"/>
          <w:color w:val="333333"/>
          <w:sz w:val="18"/>
          <w:szCs w:val="18"/>
        </w:rPr>
        <w:t xml:space="preserve"> products resulted in lower gross margins, which were partially offset by platform ASP strength. </w:t>
      </w:r>
    </w:p>
    <w:tbl>
      <w:tblPr>
        <w:tblW w:w="14640" w:type="dxa"/>
        <w:tblCellMar>
          <w:left w:w="0" w:type="dxa"/>
          <w:right w:w="0" w:type="dxa"/>
        </w:tblCellMar>
        <w:tblLook w:val="04A0" w:firstRow="1" w:lastRow="0" w:firstColumn="1" w:lastColumn="0" w:noHBand="0" w:noVBand="1"/>
      </w:tblPr>
      <w:tblGrid>
        <w:gridCol w:w="14640"/>
      </w:tblGrid>
      <w:tr w:rsidR="006F587A" w14:paraId="4ACE2D4A" w14:textId="77777777">
        <w:tc>
          <w:tcPr>
            <w:tcW w:w="0" w:type="auto"/>
            <w:shd w:val="clear" w:color="auto" w:fill="auto"/>
            <w:vAlign w:val="center"/>
          </w:tcPr>
          <w:p w14:paraId="4ACE2D49" w14:textId="77777777" w:rsidR="006F587A" w:rsidRDefault="006F587A">
            <w:pPr>
              <w:rPr>
                <w:rFonts w:ascii="Times New Roman" w:hAnsi="Times New Roman"/>
                <w:sz w:val="20"/>
                <w:szCs w:val="20"/>
              </w:rPr>
            </w:pPr>
          </w:p>
        </w:tc>
      </w:tr>
      <w:tr w:rsidR="006F587A" w14:paraId="4ACE2D4C" w14:textId="77777777">
        <w:tc>
          <w:tcPr>
            <w:tcW w:w="14640" w:type="dxa"/>
            <w:shd w:val="clear" w:color="auto" w:fill="auto"/>
            <w:vAlign w:val="center"/>
          </w:tcPr>
          <w:p w14:paraId="4ACE2D4B" w14:textId="77777777" w:rsidR="006F587A" w:rsidRDefault="006F587A">
            <w:pPr>
              <w:rPr>
                <w:rFonts w:ascii="Times New Roman" w:hAnsi="Times New Roman"/>
                <w:sz w:val="20"/>
                <w:szCs w:val="20"/>
              </w:rPr>
            </w:pPr>
          </w:p>
        </w:tc>
      </w:tr>
      <w:tr w:rsidR="006F587A" w14:paraId="4ACE2D4E" w14:textId="77777777">
        <w:tc>
          <w:tcPr>
            <w:tcW w:w="0" w:type="auto"/>
            <w:tcBorders>
              <w:bottom w:val="single" w:sz="8" w:space="0" w:color="333333"/>
            </w:tcBorders>
            <w:shd w:val="clear" w:color="auto" w:fill="auto"/>
            <w:tcMar>
              <w:top w:w="40" w:type="dxa"/>
              <w:left w:w="40" w:type="dxa"/>
              <w:bottom w:w="40" w:type="dxa"/>
              <w:right w:w="40" w:type="dxa"/>
            </w:tcMar>
            <w:vAlign w:val="bottom"/>
          </w:tcPr>
          <w:p w14:paraId="4ACE2D4D" w14:textId="77777777" w:rsidR="006F587A" w:rsidRDefault="007B2B61">
            <w:pPr>
              <w:jc w:val="center"/>
              <w:textAlignment w:val="bottom"/>
              <w:rPr>
                <w:rFonts w:ascii="Times New Roman" w:hAnsi="Times New Roman"/>
                <w:sz w:val="20"/>
                <w:szCs w:val="20"/>
              </w:rPr>
            </w:pPr>
            <w:r>
              <w:rPr>
                <w:rFonts w:ascii="Arial" w:eastAsia="宋体" w:hAnsi="Arial" w:cs="Arial"/>
                <w:b/>
                <w:bCs/>
                <w:color w:val="0071C5"/>
                <w:sz w:val="20"/>
                <w:szCs w:val="20"/>
              </w:rPr>
              <w:t>GROSS MARGIN $B</w:t>
            </w:r>
          </w:p>
        </w:tc>
      </w:tr>
      <w:tr w:rsidR="006F587A" w14:paraId="4ACE2D50" w14:textId="77777777">
        <w:tc>
          <w:tcPr>
            <w:tcW w:w="0" w:type="auto"/>
            <w:shd w:val="clear" w:color="auto" w:fill="auto"/>
            <w:tcMar>
              <w:top w:w="40" w:type="dxa"/>
              <w:left w:w="40" w:type="dxa"/>
              <w:bottom w:w="40" w:type="dxa"/>
              <w:right w:w="40" w:type="dxa"/>
            </w:tcMar>
            <w:vAlign w:val="bottom"/>
          </w:tcPr>
          <w:p w14:paraId="4ACE2D4F" w14:textId="77777777" w:rsidR="006F587A" w:rsidRDefault="007B2B61">
            <w:pPr>
              <w:jc w:val="center"/>
              <w:textAlignment w:val="bottom"/>
              <w:rPr>
                <w:rFonts w:ascii="Times New Roman" w:hAnsi="Times New Roman"/>
                <w:sz w:val="16"/>
                <w:szCs w:val="16"/>
              </w:rPr>
            </w:pPr>
            <w:r>
              <w:rPr>
                <w:rFonts w:ascii="Arial" w:eastAsia="宋体" w:hAnsi="Arial" w:cs="Arial"/>
                <w:color w:val="333333"/>
                <w:sz w:val="16"/>
                <w:szCs w:val="16"/>
              </w:rPr>
              <w:t>(Percentages in chart indicate gross margin as a percentage of total revenue)</w:t>
            </w:r>
          </w:p>
        </w:tc>
      </w:tr>
    </w:tbl>
    <w:p w14:paraId="4ACE2D51" w14:textId="77777777" w:rsidR="006F587A" w:rsidRDefault="007B2B61">
      <w:pPr>
        <w:spacing w:line="288" w:lineRule="auto"/>
        <w:ind w:firstLine="3840"/>
        <w:rPr>
          <w:rFonts w:ascii="Times New Roman" w:hAnsi="Times New Roman"/>
          <w:sz w:val="18"/>
          <w:szCs w:val="18"/>
        </w:rPr>
      </w:pP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Viewer12_files/chart31_consolgm.jpg"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D49" wp14:editId="4ACE6D4A">
            <wp:extent cx="304800" cy="304800"/>
            <wp:effectExtent l="0" t="0" r="0" b="0"/>
            <wp:docPr id="172" name="图片 205" descr="IMG_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205" descr="IMG_38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p>
    <w:tbl>
      <w:tblPr>
        <w:tblW w:w="5000" w:type="pct"/>
        <w:tblCellMar>
          <w:left w:w="0" w:type="dxa"/>
          <w:right w:w="0" w:type="dxa"/>
        </w:tblCellMar>
        <w:tblLook w:val="04A0" w:firstRow="1" w:lastRow="0" w:firstColumn="1" w:lastColumn="0" w:noHBand="0" w:noVBand="1"/>
      </w:tblPr>
      <w:tblGrid>
        <w:gridCol w:w="142"/>
        <w:gridCol w:w="769"/>
        <w:gridCol w:w="100"/>
        <w:gridCol w:w="130"/>
        <w:gridCol w:w="7165"/>
      </w:tblGrid>
      <w:tr w:rsidR="006F587A" w14:paraId="4ACE2D53" w14:textId="77777777">
        <w:tc>
          <w:tcPr>
            <w:tcW w:w="0" w:type="auto"/>
            <w:gridSpan w:val="5"/>
            <w:shd w:val="clear" w:color="auto" w:fill="auto"/>
            <w:vAlign w:val="center"/>
          </w:tcPr>
          <w:p w14:paraId="4ACE2D52" w14:textId="77777777" w:rsidR="006F587A" w:rsidRDefault="006F587A">
            <w:pPr>
              <w:rPr>
                <w:rFonts w:ascii="Times New Roman" w:hAnsi="Times New Roman"/>
                <w:sz w:val="20"/>
                <w:szCs w:val="20"/>
              </w:rPr>
            </w:pPr>
          </w:p>
        </w:tc>
      </w:tr>
      <w:tr w:rsidR="006F587A" w14:paraId="4ACE2D59" w14:textId="77777777">
        <w:tc>
          <w:tcPr>
            <w:tcW w:w="50" w:type="pct"/>
            <w:shd w:val="clear" w:color="auto" w:fill="auto"/>
            <w:vAlign w:val="center"/>
          </w:tcPr>
          <w:p w14:paraId="4ACE2D54" w14:textId="77777777" w:rsidR="006F587A" w:rsidRDefault="006F587A">
            <w:pPr>
              <w:rPr>
                <w:rFonts w:ascii="Times New Roman" w:hAnsi="Times New Roman"/>
                <w:sz w:val="20"/>
                <w:szCs w:val="20"/>
              </w:rPr>
            </w:pPr>
          </w:p>
        </w:tc>
        <w:tc>
          <w:tcPr>
            <w:tcW w:w="500" w:type="pct"/>
            <w:shd w:val="clear" w:color="auto" w:fill="auto"/>
            <w:vAlign w:val="center"/>
          </w:tcPr>
          <w:p w14:paraId="4ACE2D55" w14:textId="77777777" w:rsidR="006F587A" w:rsidRDefault="006F587A">
            <w:pPr>
              <w:rPr>
                <w:rFonts w:ascii="Times New Roman" w:hAnsi="Times New Roman"/>
                <w:sz w:val="20"/>
                <w:szCs w:val="20"/>
              </w:rPr>
            </w:pPr>
          </w:p>
        </w:tc>
        <w:tc>
          <w:tcPr>
            <w:tcW w:w="50" w:type="pct"/>
            <w:shd w:val="clear" w:color="auto" w:fill="auto"/>
            <w:vAlign w:val="center"/>
          </w:tcPr>
          <w:p w14:paraId="4ACE2D56" w14:textId="77777777" w:rsidR="006F587A" w:rsidRDefault="006F587A">
            <w:pPr>
              <w:rPr>
                <w:rFonts w:ascii="Times New Roman" w:hAnsi="Times New Roman"/>
                <w:sz w:val="20"/>
                <w:szCs w:val="20"/>
              </w:rPr>
            </w:pPr>
          </w:p>
        </w:tc>
        <w:tc>
          <w:tcPr>
            <w:tcW w:w="50" w:type="pct"/>
            <w:shd w:val="clear" w:color="auto" w:fill="auto"/>
            <w:vAlign w:val="center"/>
          </w:tcPr>
          <w:p w14:paraId="4ACE2D57" w14:textId="77777777" w:rsidR="006F587A" w:rsidRDefault="006F587A">
            <w:pPr>
              <w:rPr>
                <w:rFonts w:ascii="Times New Roman" w:hAnsi="Times New Roman"/>
                <w:sz w:val="20"/>
                <w:szCs w:val="20"/>
              </w:rPr>
            </w:pPr>
          </w:p>
        </w:tc>
        <w:tc>
          <w:tcPr>
            <w:tcW w:w="4350" w:type="pct"/>
            <w:shd w:val="clear" w:color="auto" w:fill="auto"/>
            <w:vAlign w:val="center"/>
          </w:tcPr>
          <w:p w14:paraId="4ACE2D58" w14:textId="77777777" w:rsidR="006F587A" w:rsidRDefault="006F587A">
            <w:pPr>
              <w:rPr>
                <w:rFonts w:ascii="Times New Roman" w:hAnsi="Times New Roman"/>
                <w:sz w:val="20"/>
                <w:szCs w:val="20"/>
              </w:rPr>
            </w:pPr>
          </w:p>
        </w:tc>
      </w:tr>
      <w:tr w:rsidR="006F587A" w14:paraId="4ACE2D5D" w14:textId="77777777">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2D5A"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4ACE2D5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71C5"/>
            </w:tcBorders>
            <w:shd w:val="clear" w:color="auto" w:fill="auto"/>
            <w:tcMar>
              <w:top w:w="40" w:type="dxa"/>
              <w:left w:w="40" w:type="dxa"/>
              <w:bottom w:w="40" w:type="dxa"/>
              <w:right w:w="40" w:type="dxa"/>
            </w:tcMar>
            <w:vAlign w:val="bottom"/>
          </w:tcPr>
          <w:p w14:paraId="4ACE2D5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2D63" w14:textId="77777777">
        <w:tc>
          <w:tcPr>
            <w:tcW w:w="0" w:type="auto"/>
            <w:tcBorders>
              <w:bottom w:val="single" w:sz="8" w:space="0" w:color="333333"/>
            </w:tcBorders>
            <w:shd w:val="clear" w:color="auto" w:fill="auto"/>
            <w:tcMar>
              <w:top w:w="40" w:type="dxa"/>
              <w:left w:w="40" w:type="dxa"/>
              <w:bottom w:w="40" w:type="dxa"/>
            </w:tcMar>
            <w:vAlign w:val="bottom"/>
          </w:tcPr>
          <w:p w14:paraId="4ACE2D5E"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bottom w:val="single" w:sz="8" w:space="0" w:color="333333"/>
            </w:tcBorders>
            <w:shd w:val="clear" w:color="auto" w:fill="auto"/>
            <w:tcMar>
              <w:top w:w="40" w:type="dxa"/>
              <w:bottom w:w="40" w:type="dxa"/>
            </w:tcMar>
            <w:vAlign w:val="bottom"/>
          </w:tcPr>
          <w:p w14:paraId="4ACE2D5F"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42,140</w:t>
            </w:r>
          </w:p>
        </w:tc>
        <w:tc>
          <w:tcPr>
            <w:tcW w:w="0" w:type="auto"/>
            <w:tcBorders>
              <w:bottom w:val="single" w:sz="8" w:space="0" w:color="333333"/>
            </w:tcBorders>
            <w:shd w:val="clear" w:color="auto" w:fill="auto"/>
            <w:vAlign w:val="bottom"/>
          </w:tcPr>
          <w:p w14:paraId="4ACE2D6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D6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2D62"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2019 Gross Margin</w:t>
            </w:r>
          </w:p>
        </w:tc>
      </w:tr>
      <w:tr w:rsidR="006F587A" w14:paraId="4ACE2D68" w14:textId="77777777">
        <w:tc>
          <w:tcPr>
            <w:tcW w:w="0" w:type="auto"/>
            <w:gridSpan w:val="2"/>
            <w:shd w:val="clear" w:color="auto" w:fill="auto"/>
            <w:tcMar>
              <w:top w:w="40" w:type="dxa"/>
              <w:left w:w="40" w:type="dxa"/>
              <w:bottom w:w="40" w:type="dxa"/>
            </w:tcMar>
          </w:tcPr>
          <w:p w14:paraId="4ACE2D64" w14:textId="77777777" w:rsidR="006F587A" w:rsidRDefault="007B2B61">
            <w:pPr>
              <w:jc w:val="right"/>
              <w:textAlignment w:val="top"/>
              <w:rPr>
                <w:rFonts w:ascii="Times New Roman" w:hAnsi="Times New Roman"/>
                <w:sz w:val="18"/>
                <w:szCs w:val="18"/>
              </w:rPr>
            </w:pPr>
            <w:r>
              <w:rPr>
                <w:rFonts w:ascii="Arial" w:eastAsia="宋体" w:hAnsi="Arial" w:cs="Arial"/>
                <w:color w:val="0071C5"/>
                <w:sz w:val="18"/>
                <w:szCs w:val="18"/>
              </w:rPr>
              <w:t>(1,360</w:t>
            </w:r>
          </w:p>
        </w:tc>
        <w:tc>
          <w:tcPr>
            <w:tcW w:w="0" w:type="auto"/>
            <w:shd w:val="clear" w:color="auto" w:fill="auto"/>
            <w:tcMar>
              <w:top w:w="40" w:type="dxa"/>
              <w:bottom w:w="40" w:type="dxa"/>
              <w:right w:w="40" w:type="dxa"/>
            </w:tcMar>
          </w:tcPr>
          <w:p w14:paraId="4ACE2D65" w14:textId="77777777" w:rsidR="006F587A" w:rsidRDefault="007B2B61">
            <w:pPr>
              <w:textAlignment w:val="top"/>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2D6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D6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Lower gross margin from adjacent </w:t>
            </w:r>
            <w:r>
              <w:rPr>
                <w:rFonts w:ascii="Arial" w:eastAsia="宋体" w:hAnsi="Arial" w:cs="Arial"/>
                <w:color w:val="333333"/>
                <w:sz w:val="18"/>
                <w:szCs w:val="18"/>
              </w:rPr>
              <w:t>businesses primarily due to NAND, DCG adjacencies, and PSG offset by higher gross margin on Mobileye</w:t>
            </w:r>
          </w:p>
        </w:tc>
      </w:tr>
      <w:tr w:rsidR="006F587A" w14:paraId="4ACE2D6D" w14:textId="77777777">
        <w:tc>
          <w:tcPr>
            <w:tcW w:w="0" w:type="auto"/>
            <w:gridSpan w:val="2"/>
            <w:shd w:val="clear" w:color="auto" w:fill="auto"/>
            <w:tcMar>
              <w:top w:w="40" w:type="dxa"/>
              <w:left w:w="40" w:type="dxa"/>
              <w:bottom w:w="40" w:type="dxa"/>
            </w:tcMar>
          </w:tcPr>
          <w:p w14:paraId="4ACE2D69" w14:textId="77777777" w:rsidR="006F587A" w:rsidRDefault="007B2B61">
            <w:pPr>
              <w:jc w:val="right"/>
              <w:textAlignment w:val="top"/>
              <w:rPr>
                <w:rFonts w:ascii="Times New Roman" w:hAnsi="Times New Roman"/>
                <w:sz w:val="18"/>
                <w:szCs w:val="18"/>
              </w:rPr>
            </w:pPr>
            <w:r>
              <w:rPr>
                <w:rFonts w:ascii="Arial" w:eastAsia="宋体" w:hAnsi="Arial" w:cs="Arial"/>
                <w:color w:val="0071C5"/>
                <w:sz w:val="18"/>
                <w:szCs w:val="18"/>
              </w:rPr>
              <w:t>(1,300</w:t>
            </w:r>
          </w:p>
        </w:tc>
        <w:tc>
          <w:tcPr>
            <w:tcW w:w="0" w:type="auto"/>
            <w:shd w:val="clear" w:color="auto" w:fill="auto"/>
            <w:tcMar>
              <w:top w:w="40" w:type="dxa"/>
              <w:bottom w:w="40" w:type="dxa"/>
              <w:right w:w="40" w:type="dxa"/>
            </w:tcMar>
          </w:tcPr>
          <w:p w14:paraId="4ACE2D6A" w14:textId="77777777" w:rsidR="006F587A" w:rsidRDefault="007B2B61">
            <w:pPr>
              <w:textAlignment w:val="top"/>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2D6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D6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Higher platform unit cost primarily from increased mix of performance products</w:t>
            </w:r>
          </w:p>
        </w:tc>
      </w:tr>
      <w:tr w:rsidR="006F587A" w14:paraId="4ACE2D72" w14:textId="77777777">
        <w:tc>
          <w:tcPr>
            <w:tcW w:w="0" w:type="auto"/>
            <w:gridSpan w:val="2"/>
            <w:shd w:val="clear" w:color="auto" w:fill="auto"/>
            <w:tcMar>
              <w:top w:w="40" w:type="dxa"/>
              <w:left w:w="40" w:type="dxa"/>
              <w:bottom w:w="40" w:type="dxa"/>
            </w:tcMar>
          </w:tcPr>
          <w:p w14:paraId="4ACE2D6E" w14:textId="77777777" w:rsidR="006F587A" w:rsidRDefault="007B2B61">
            <w:pPr>
              <w:jc w:val="right"/>
              <w:textAlignment w:val="top"/>
              <w:rPr>
                <w:rFonts w:ascii="Times New Roman" w:hAnsi="Times New Roman"/>
                <w:sz w:val="18"/>
                <w:szCs w:val="18"/>
              </w:rPr>
            </w:pPr>
            <w:r>
              <w:rPr>
                <w:rFonts w:ascii="Arial" w:eastAsia="宋体" w:hAnsi="Arial" w:cs="Arial"/>
                <w:color w:val="0071C5"/>
                <w:sz w:val="18"/>
                <w:szCs w:val="18"/>
              </w:rPr>
              <w:t>580</w:t>
            </w:r>
          </w:p>
        </w:tc>
        <w:tc>
          <w:tcPr>
            <w:tcW w:w="0" w:type="auto"/>
            <w:shd w:val="clear" w:color="auto" w:fill="auto"/>
            <w:vAlign w:val="bottom"/>
          </w:tcPr>
          <w:p w14:paraId="4ACE2D6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D7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D7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Higher gross margin from platform revenue</w:t>
            </w:r>
          </w:p>
        </w:tc>
      </w:tr>
      <w:tr w:rsidR="006F587A" w14:paraId="4ACE2D77" w14:textId="77777777">
        <w:tc>
          <w:tcPr>
            <w:tcW w:w="0" w:type="auto"/>
            <w:gridSpan w:val="2"/>
            <w:shd w:val="clear" w:color="auto" w:fill="auto"/>
            <w:tcMar>
              <w:top w:w="40" w:type="dxa"/>
              <w:left w:w="40" w:type="dxa"/>
              <w:bottom w:w="40" w:type="dxa"/>
            </w:tcMar>
          </w:tcPr>
          <w:p w14:paraId="4ACE2D73" w14:textId="77777777" w:rsidR="006F587A" w:rsidRDefault="007B2B61">
            <w:pPr>
              <w:jc w:val="right"/>
              <w:textAlignment w:val="top"/>
              <w:rPr>
                <w:rFonts w:ascii="Times New Roman" w:hAnsi="Times New Roman"/>
                <w:sz w:val="18"/>
                <w:szCs w:val="18"/>
              </w:rPr>
            </w:pPr>
            <w:r>
              <w:rPr>
                <w:rFonts w:ascii="Arial" w:eastAsia="宋体" w:hAnsi="Arial" w:cs="Arial"/>
                <w:color w:val="0071C5"/>
                <w:sz w:val="18"/>
                <w:szCs w:val="18"/>
              </w:rPr>
              <w:t>490</w:t>
            </w:r>
          </w:p>
        </w:tc>
        <w:tc>
          <w:tcPr>
            <w:tcW w:w="0" w:type="auto"/>
            <w:shd w:val="clear" w:color="auto" w:fill="auto"/>
            <w:vAlign w:val="bottom"/>
          </w:tcPr>
          <w:p w14:paraId="4ACE2D7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D7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D7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Lower period charges primarily due to lower factory start-up costs and sell-through of previously reserved non-qualified platform product, offset by higher initial production costs associated with our 10nm process technology</w:t>
            </w:r>
          </w:p>
        </w:tc>
      </w:tr>
      <w:tr w:rsidR="006F587A" w14:paraId="4ACE2D7C" w14:textId="77777777">
        <w:tc>
          <w:tcPr>
            <w:tcW w:w="0" w:type="auto"/>
            <w:gridSpan w:val="2"/>
            <w:shd w:val="clear" w:color="auto" w:fill="auto"/>
            <w:tcMar>
              <w:top w:w="40" w:type="dxa"/>
              <w:left w:w="40" w:type="dxa"/>
              <w:bottom w:w="40" w:type="dxa"/>
            </w:tcMar>
          </w:tcPr>
          <w:p w14:paraId="4ACE2D78" w14:textId="77777777" w:rsidR="006F587A" w:rsidRDefault="007B2B61">
            <w:pPr>
              <w:jc w:val="right"/>
              <w:textAlignment w:val="top"/>
              <w:rPr>
                <w:rFonts w:ascii="Times New Roman" w:hAnsi="Times New Roman"/>
                <w:sz w:val="18"/>
                <w:szCs w:val="18"/>
              </w:rPr>
            </w:pPr>
            <w:r>
              <w:rPr>
                <w:rFonts w:ascii="Arial" w:eastAsia="宋体" w:hAnsi="Arial" w:cs="Arial"/>
                <w:color w:val="0071C5"/>
                <w:sz w:val="18"/>
                <w:szCs w:val="18"/>
              </w:rPr>
              <w:t>(7</w:t>
            </w:r>
          </w:p>
        </w:tc>
        <w:tc>
          <w:tcPr>
            <w:tcW w:w="0" w:type="auto"/>
            <w:shd w:val="clear" w:color="auto" w:fill="auto"/>
            <w:tcMar>
              <w:top w:w="40" w:type="dxa"/>
              <w:bottom w:w="40" w:type="dxa"/>
              <w:right w:w="40" w:type="dxa"/>
            </w:tcMar>
          </w:tcPr>
          <w:p w14:paraId="4ACE2D79" w14:textId="77777777" w:rsidR="006F587A" w:rsidRDefault="007B2B61">
            <w:pPr>
              <w:textAlignment w:val="top"/>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2D7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D7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Other</w:t>
            </w:r>
          </w:p>
        </w:tc>
      </w:tr>
      <w:tr w:rsidR="006F587A" w14:paraId="4ACE2D82" w14:textId="77777777">
        <w:tc>
          <w:tcPr>
            <w:tcW w:w="0" w:type="auto"/>
            <w:tcBorders>
              <w:top w:val="single" w:sz="8" w:space="0" w:color="333333"/>
              <w:bottom w:val="single" w:sz="8" w:space="0" w:color="333333"/>
            </w:tcBorders>
            <w:shd w:val="clear" w:color="auto" w:fill="auto"/>
            <w:tcMar>
              <w:top w:w="40" w:type="dxa"/>
              <w:left w:w="40" w:type="dxa"/>
              <w:bottom w:w="40" w:type="dxa"/>
            </w:tcMar>
            <w:vAlign w:val="bottom"/>
          </w:tcPr>
          <w:p w14:paraId="4ACE2D7D"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single" w:sz="8" w:space="0" w:color="333333"/>
            </w:tcBorders>
            <w:shd w:val="clear" w:color="auto" w:fill="auto"/>
            <w:tcMar>
              <w:top w:w="40" w:type="dxa"/>
              <w:bottom w:w="40" w:type="dxa"/>
            </w:tcMar>
            <w:vAlign w:val="bottom"/>
          </w:tcPr>
          <w:p w14:paraId="4ACE2D7E"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43,737</w:t>
            </w:r>
          </w:p>
        </w:tc>
        <w:tc>
          <w:tcPr>
            <w:tcW w:w="0" w:type="auto"/>
            <w:tcBorders>
              <w:top w:val="single" w:sz="8" w:space="0" w:color="333333"/>
              <w:bottom w:val="single" w:sz="8" w:space="0" w:color="333333"/>
            </w:tcBorders>
            <w:shd w:val="clear" w:color="auto" w:fill="auto"/>
            <w:vAlign w:val="bottom"/>
          </w:tcPr>
          <w:p w14:paraId="4ACE2D7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D8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single" w:sz="8" w:space="0" w:color="333333"/>
            </w:tcBorders>
            <w:shd w:val="clear" w:color="auto" w:fill="auto"/>
            <w:tcMar>
              <w:top w:w="40" w:type="dxa"/>
              <w:left w:w="40" w:type="dxa"/>
              <w:bottom w:w="40" w:type="dxa"/>
              <w:right w:w="40" w:type="dxa"/>
            </w:tcMar>
            <w:vAlign w:val="bottom"/>
          </w:tcPr>
          <w:p w14:paraId="4ACE2D81"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2018 Gross Margin</w:t>
            </w:r>
          </w:p>
        </w:tc>
      </w:tr>
      <w:tr w:rsidR="006F587A" w14:paraId="4ACE2D87" w14:textId="77777777">
        <w:tc>
          <w:tcPr>
            <w:tcW w:w="0" w:type="auto"/>
            <w:gridSpan w:val="2"/>
            <w:shd w:val="clear" w:color="auto" w:fill="auto"/>
            <w:tcMar>
              <w:top w:w="40" w:type="dxa"/>
              <w:left w:w="40" w:type="dxa"/>
              <w:bottom w:w="40" w:type="dxa"/>
            </w:tcMar>
            <w:vAlign w:val="bottom"/>
          </w:tcPr>
          <w:p w14:paraId="4ACE2D83"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lastRenderedPageBreak/>
              <w:t>5,810</w:t>
            </w:r>
          </w:p>
        </w:tc>
        <w:tc>
          <w:tcPr>
            <w:tcW w:w="0" w:type="auto"/>
            <w:shd w:val="clear" w:color="auto" w:fill="auto"/>
            <w:vAlign w:val="bottom"/>
          </w:tcPr>
          <w:p w14:paraId="4ACE2D8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D8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D8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Higher gross margin from platform revenue</w:t>
            </w:r>
          </w:p>
        </w:tc>
      </w:tr>
      <w:tr w:rsidR="006F587A" w14:paraId="4ACE2D8C" w14:textId="77777777">
        <w:tc>
          <w:tcPr>
            <w:tcW w:w="0" w:type="auto"/>
            <w:gridSpan w:val="2"/>
            <w:shd w:val="clear" w:color="auto" w:fill="auto"/>
            <w:tcMar>
              <w:top w:w="40" w:type="dxa"/>
              <w:left w:w="40" w:type="dxa"/>
              <w:bottom w:w="40" w:type="dxa"/>
            </w:tcMar>
            <w:vAlign w:val="bottom"/>
          </w:tcPr>
          <w:p w14:paraId="4ACE2D8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(1,085</w:t>
            </w:r>
          </w:p>
        </w:tc>
        <w:tc>
          <w:tcPr>
            <w:tcW w:w="0" w:type="auto"/>
            <w:shd w:val="clear" w:color="auto" w:fill="auto"/>
            <w:tcMar>
              <w:top w:w="40" w:type="dxa"/>
              <w:bottom w:w="40" w:type="dxa"/>
              <w:right w:w="40" w:type="dxa"/>
            </w:tcMar>
            <w:vAlign w:val="bottom"/>
          </w:tcPr>
          <w:p w14:paraId="4ACE2D8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2D8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D8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Higher platform unit cost, primarily from increased mix of performance products</w:t>
            </w:r>
          </w:p>
        </w:tc>
      </w:tr>
      <w:tr w:rsidR="006F587A" w14:paraId="4ACE2D91" w14:textId="77777777">
        <w:tc>
          <w:tcPr>
            <w:tcW w:w="0" w:type="auto"/>
            <w:gridSpan w:val="2"/>
            <w:shd w:val="clear" w:color="auto" w:fill="auto"/>
            <w:tcMar>
              <w:top w:w="40" w:type="dxa"/>
              <w:left w:w="40" w:type="dxa"/>
              <w:bottom w:w="40" w:type="dxa"/>
            </w:tcMar>
            <w:vAlign w:val="bottom"/>
          </w:tcPr>
          <w:p w14:paraId="4ACE2D8D"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(86</w:t>
            </w:r>
          </w:p>
        </w:tc>
        <w:tc>
          <w:tcPr>
            <w:tcW w:w="0" w:type="auto"/>
            <w:shd w:val="clear" w:color="auto" w:fill="auto"/>
            <w:tcMar>
              <w:top w:w="40" w:type="dxa"/>
              <w:bottom w:w="40" w:type="dxa"/>
              <w:right w:w="40" w:type="dxa"/>
            </w:tcMar>
            <w:vAlign w:val="bottom"/>
          </w:tcPr>
          <w:p w14:paraId="4ACE2D8E"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2D8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D9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Other, primarily due to impact from divestitures, offset by higher gross margin </w:t>
            </w:r>
            <w:r>
              <w:rPr>
                <w:rFonts w:ascii="Arial" w:eastAsia="宋体" w:hAnsi="Arial" w:cs="Arial"/>
                <w:color w:val="333333"/>
                <w:sz w:val="18"/>
                <w:szCs w:val="18"/>
              </w:rPr>
              <w:t>from adjacent businesses</w:t>
            </w:r>
          </w:p>
        </w:tc>
      </w:tr>
      <w:tr w:rsidR="006F587A" w14:paraId="4ACE2D97" w14:textId="77777777">
        <w:tc>
          <w:tcPr>
            <w:tcW w:w="0" w:type="auto"/>
            <w:tcBorders>
              <w:top w:val="single" w:sz="8" w:space="0" w:color="333333"/>
              <w:bottom w:val="single" w:sz="8" w:space="0" w:color="333333"/>
            </w:tcBorders>
            <w:shd w:val="clear" w:color="auto" w:fill="auto"/>
            <w:tcMar>
              <w:top w:w="40" w:type="dxa"/>
              <w:left w:w="40" w:type="dxa"/>
              <w:bottom w:w="40" w:type="dxa"/>
            </w:tcMar>
            <w:vAlign w:val="bottom"/>
          </w:tcPr>
          <w:p w14:paraId="4ACE2D92"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single" w:sz="8" w:space="0" w:color="333333"/>
            </w:tcBorders>
            <w:shd w:val="clear" w:color="auto" w:fill="auto"/>
            <w:tcMar>
              <w:top w:w="40" w:type="dxa"/>
              <w:bottom w:w="40" w:type="dxa"/>
            </w:tcMar>
            <w:vAlign w:val="bottom"/>
          </w:tcPr>
          <w:p w14:paraId="4ACE2D93"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39,098</w:t>
            </w:r>
          </w:p>
        </w:tc>
        <w:tc>
          <w:tcPr>
            <w:tcW w:w="0" w:type="auto"/>
            <w:tcBorders>
              <w:top w:val="single" w:sz="8" w:space="0" w:color="333333"/>
              <w:bottom w:val="single" w:sz="8" w:space="0" w:color="333333"/>
            </w:tcBorders>
            <w:shd w:val="clear" w:color="auto" w:fill="auto"/>
            <w:vAlign w:val="bottom"/>
          </w:tcPr>
          <w:p w14:paraId="4ACE2D9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D9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single" w:sz="8" w:space="0" w:color="333333"/>
            </w:tcBorders>
            <w:shd w:val="clear" w:color="auto" w:fill="auto"/>
            <w:tcMar>
              <w:top w:w="40" w:type="dxa"/>
              <w:left w:w="40" w:type="dxa"/>
              <w:bottom w:w="40" w:type="dxa"/>
              <w:right w:w="40" w:type="dxa"/>
            </w:tcMar>
            <w:vAlign w:val="bottom"/>
          </w:tcPr>
          <w:p w14:paraId="4ACE2D96"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2017 Gross Margin</w:t>
            </w:r>
          </w:p>
        </w:tc>
      </w:tr>
    </w:tbl>
    <w:p w14:paraId="4ACE2D98"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408"/>
        <w:gridCol w:w="2409"/>
        <w:gridCol w:w="3489"/>
      </w:tblGrid>
      <w:tr w:rsidR="006F587A" w14:paraId="4ACE2D9A" w14:textId="77777777">
        <w:tc>
          <w:tcPr>
            <w:tcW w:w="0" w:type="auto"/>
            <w:gridSpan w:val="3"/>
            <w:shd w:val="clear" w:color="auto" w:fill="auto"/>
            <w:vAlign w:val="center"/>
          </w:tcPr>
          <w:p w14:paraId="4ACE2D99" w14:textId="77777777" w:rsidR="006F587A" w:rsidRDefault="006F587A">
            <w:pPr>
              <w:rPr>
                <w:rFonts w:ascii="Times New Roman" w:hAnsi="Times New Roman"/>
                <w:sz w:val="20"/>
                <w:szCs w:val="20"/>
              </w:rPr>
            </w:pPr>
          </w:p>
        </w:tc>
      </w:tr>
      <w:tr w:rsidR="006F587A" w14:paraId="4ACE2D9E" w14:textId="77777777">
        <w:tc>
          <w:tcPr>
            <w:tcW w:w="1450" w:type="pct"/>
            <w:shd w:val="clear" w:color="auto" w:fill="auto"/>
            <w:vAlign w:val="center"/>
          </w:tcPr>
          <w:p w14:paraId="4ACE2D9B" w14:textId="77777777" w:rsidR="006F587A" w:rsidRDefault="006F587A">
            <w:pPr>
              <w:rPr>
                <w:rFonts w:ascii="Times New Roman" w:hAnsi="Times New Roman"/>
                <w:sz w:val="20"/>
                <w:szCs w:val="20"/>
              </w:rPr>
            </w:pPr>
          </w:p>
        </w:tc>
        <w:tc>
          <w:tcPr>
            <w:tcW w:w="1450" w:type="pct"/>
            <w:shd w:val="clear" w:color="auto" w:fill="auto"/>
            <w:vAlign w:val="center"/>
          </w:tcPr>
          <w:p w14:paraId="4ACE2D9C" w14:textId="77777777" w:rsidR="006F587A" w:rsidRDefault="006F587A">
            <w:pPr>
              <w:rPr>
                <w:rFonts w:ascii="Times New Roman" w:hAnsi="Times New Roman"/>
                <w:sz w:val="20"/>
                <w:szCs w:val="20"/>
              </w:rPr>
            </w:pPr>
          </w:p>
        </w:tc>
        <w:tc>
          <w:tcPr>
            <w:tcW w:w="2100" w:type="pct"/>
            <w:shd w:val="clear" w:color="auto" w:fill="auto"/>
            <w:vAlign w:val="center"/>
          </w:tcPr>
          <w:p w14:paraId="4ACE2D9D" w14:textId="77777777" w:rsidR="006F587A" w:rsidRDefault="006F587A">
            <w:pPr>
              <w:rPr>
                <w:rFonts w:ascii="Times New Roman" w:hAnsi="Times New Roman"/>
                <w:sz w:val="20"/>
                <w:szCs w:val="20"/>
              </w:rPr>
            </w:pPr>
          </w:p>
        </w:tc>
      </w:tr>
      <w:tr w:rsidR="006F587A" w14:paraId="4ACE2DA2"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2D9F" w14:textId="77777777" w:rsidR="006F587A" w:rsidRDefault="007B2B61">
            <w:pPr>
              <w:textAlignment w:val="center"/>
              <w:rPr>
                <w:rFonts w:ascii="Times New Roman" w:hAnsi="Times New Roman"/>
                <w:sz w:val="18"/>
                <w:szCs w:val="18"/>
              </w:rPr>
            </w:pP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Viewer12_files/a001intellogo_coverfooter.jpg"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D4B" wp14:editId="4ACE6D4C">
                  <wp:extent cx="304800" cy="304800"/>
                  <wp:effectExtent l="0" t="0" r="0" b="0"/>
                  <wp:docPr id="159" name="图片 206"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206"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r>
              <w:rPr>
                <w:rFonts w:ascii="Arial" w:eastAsia="宋体" w:hAnsi="Arial" w:cs="Arial"/>
                <w:color w:val="333333"/>
                <w:sz w:val="18"/>
                <w:szCs w:val="18"/>
              </w:rPr>
              <w:t>  </w:t>
            </w:r>
            <w:r>
              <w:rPr>
                <w:rFonts w:ascii="Arial" w:eastAsia="宋体" w:hAnsi="Arial" w:cs="Arial"/>
                <w:color w:val="333333"/>
                <w:sz w:val="16"/>
                <w:szCs w:val="16"/>
              </w:rPr>
              <w:t>MD&amp;A</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DA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DA1"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37</w:t>
            </w:r>
          </w:p>
        </w:tc>
      </w:tr>
    </w:tbl>
    <w:p w14:paraId="4ACE2DA3" w14:textId="77777777" w:rsidR="006F587A" w:rsidRDefault="007B2B61">
      <w:r>
        <w:pict w14:anchorId="4ACE6D4D">
          <v:rect id="_x0000_i1063" style="width:415.3pt;height:1.5pt" o:hralign="center" o:hrstd="t" o:hr="t" fillcolor="#a0a0a0" stroked="f"/>
        </w:pict>
      </w:r>
    </w:p>
    <w:p w14:paraId="4ACE2DA4" w14:textId="77777777" w:rsidR="006F587A" w:rsidRDefault="007B2B61">
      <w:pPr>
        <w:spacing w:line="288" w:lineRule="auto"/>
        <w:jc w:val="right"/>
        <w:rPr>
          <w:rFonts w:ascii="Times New Roman" w:hAnsi="Times New Roman"/>
          <w:sz w:val="16"/>
          <w:szCs w:val="16"/>
        </w:rPr>
      </w:pPr>
      <w:hyperlink r:id="rId70" w:anchor="s9DB683E2CF52561EB8A73BE37F5BF9BE" w:history="1">
        <w:r>
          <w:rPr>
            <w:rStyle w:val="a5"/>
            <w:rFonts w:ascii="Arial" w:eastAsia="宋体" w:hAnsi="Arial" w:cs="Arial"/>
            <w:b/>
            <w:bCs/>
            <w:sz w:val="16"/>
            <w:szCs w:val="16"/>
          </w:rPr>
          <w:t>Table of Contents</w:t>
        </w:r>
      </w:hyperlink>
    </w:p>
    <w:p w14:paraId="4ACE2DA5" w14:textId="77777777" w:rsidR="006F587A" w:rsidRDefault="006F587A">
      <w:pPr>
        <w:spacing w:line="288" w:lineRule="auto"/>
        <w:jc w:val="right"/>
        <w:rPr>
          <w:rFonts w:ascii="Times New Roman" w:hAnsi="Times New Roman"/>
          <w:sz w:val="16"/>
          <w:szCs w:val="16"/>
        </w:rPr>
      </w:pPr>
    </w:p>
    <w:p w14:paraId="4ACE2DA6" w14:textId="77777777" w:rsidR="006F587A" w:rsidRDefault="006F587A">
      <w:pPr>
        <w:rPr>
          <w:rFonts w:ascii="Times New Roman" w:hAnsi="Times New Roman"/>
          <w:sz w:val="20"/>
          <w:szCs w:val="20"/>
        </w:rPr>
      </w:pPr>
    </w:p>
    <w:p w14:paraId="4ACE2DA7" w14:textId="77777777" w:rsidR="006F587A" w:rsidRDefault="007B2B61">
      <w:pPr>
        <w:spacing w:line="288" w:lineRule="auto"/>
        <w:rPr>
          <w:rFonts w:ascii="Times New Roman" w:hAnsi="Times New Roman"/>
          <w:sz w:val="28"/>
          <w:szCs w:val="28"/>
        </w:rPr>
      </w:pPr>
      <w:r>
        <w:rPr>
          <w:rFonts w:ascii="Arial" w:eastAsia="宋体" w:hAnsi="Arial" w:cs="Arial"/>
          <w:b/>
          <w:bCs/>
          <w:color w:val="0071C5"/>
          <w:sz w:val="28"/>
          <w:szCs w:val="28"/>
        </w:rPr>
        <w:t>OPERATING EXPENSES</w:t>
      </w:r>
    </w:p>
    <w:p w14:paraId="4ACE2DA8"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Total R&amp;D and MG&amp;A expenses for 2019 were $19.5 billion, down 4% from 2018. These expenses represented 27.1% of revenue for 2019 and 28.6% of revenue for 2018. </w:t>
      </w:r>
    </w:p>
    <w:p w14:paraId="4ACE2DA9"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continue to invest in R&amp;D to accelerate our growth and profitability while driving operation</w:t>
      </w:r>
      <w:r>
        <w:rPr>
          <w:rFonts w:ascii="Arial" w:eastAsia="宋体" w:hAnsi="Arial" w:cs="Arial"/>
          <w:color w:val="333333"/>
          <w:sz w:val="18"/>
          <w:szCs w:val="18"/>
        </w:rPr>
        <w:t>al efficiencies to reduce our MG&amp;A spending. Over the next three years, we plan to continue to reduce our spending as a percentage of revenue down to 25%.</w:t>
      </w:r>
    </w:p>
    <w:tbl>
      <w:tblPr>
        <w:tblW w:w="14640" w:type="dxa"/>
        <w:tblCellMar>
          <w:left w:w="0" w:type="dxa"/>
          <w:right w:w="0" w:type="dxa"/>
        </w:tblCellMar>
        <w:tblLook w:val="04A0" w:firstRow="1" w:lastRow="0" w:firstColumn="1" w:lastColumn="0" w:noHBand="0" w:noVBand="1"/>
      </w:tblPr>
      <w:tblGrid>
        <w:gridCol w:w="7235"/>
        <w:gridCol w:w="130"/>
        <w:gridCol w:w="7275"/>
      </w:tblGrid>
      <w:tr w:rsidR="006F587A" w14:paraId="4ACE2DAB" w14:textId="77777777">
        <w:tc>
          <w:tcPr>
            <w:tcW w:w="0" w:type="auto"/>
            <w:gridSpan w:val="3"/>
            <w:shd w:val="clear" w:color="auto" w:fill="auto"/>
            <w:vAlign w:val="center"/>
          </w:tcPr>
          <w:p w14:paraId="4ACE2DAA" w14:textId="77777777" w:rsidR="006F587A" w:rsidRDefault="006F587A">
            <w:pPr>
              <w:rPr>
                <w:rFonts w:ascii="Times New Roman" w:hAnsi="Times New Roman"/>
                <w:sz w:val="20"/>
                <w:szCs w:val="20"/>
              </w:rPr>
            </w:pPr>
          </w:p>
        </w:tc>
      </w:tr>
      <w:tr w:rsidR="006F587A" w14:paraId="4ACE2DAF" w14:textId="77777777">
        <w:tc>
          <w:tcPr>
            <w:tcW w:w="7240" w:type="dxa"/>
            <w:shd w:val="clear" w:color="auto" w:fill="auto"/>
            <w:vAlign w:val="center"/>
          </w:tcPr>
          <w:p w14:paraId="4ACE2DAC" w14:textId="77777777" w:rsidR="006F587A" w:rsidRDefault="006F587A">
            <w:pPr>
              <w:rPr>
                <w:rFonts w:ascii="Times New Roman" w:hAnsi="Times New Roman"/>
                <w:sz w:val="20"/>
                <w:szCs w:val="20"/>
              </w:rPr>
            </w:pPr>
          </w:p>
        </w:tc>
        <w:tc>
          <w:tcPr>
            <w:tcW w:w="100" w:type="dxa"/>
            <w:shd w:val="clear" w:color="auto" w:fill="auto"/>
            <w:vAlign w:val="center"/>
          </w:tcPr>
          <w:p w14:paraId="4ACE2DAD" w14:textId="77777777" w:rsidR="006F587A" w:rsidRDefault="006F587A">
            <w:pPr>
              <w:rPr>
                <w:rFonts w:ascii="Times New Roman" w:hAnsi="Times New Roman"/>
                <w:sz w:val="20"/>
                <w:szCs w:val="20"/>
              </w:rPr>
            </w:pPr>
          </w:p>
        </w:tc>
        <w:tc>
          <w:tcPr>
            <w:tcW w:w="7280" w:type="dxa"/>
            <w:shd w:val="clear" w:color="auto" w:fill="auto"/>
            <w:vAlign w:val="center"/>
          </w:tcPr>
          <w:p w14:paraId="4ACE2DAE" w14:textId="77777777" w:rsidR="006F587A" w:rsidRDefault="006F587A">
            <w:pPr>
              <w:rPr>
                <w:rFonts w:ascii="Times New Roman" w:hAnsi="Times New Roman"/>
                <w:sz w:val="20"/>
                <w:szCs w:val="20"/>
              </w:rPr>
            </w:pPr>
          </w:p>
        </w:tc>
      </w:tr>
      <w:tr w:rsidR="006F587A" w14:paraId="4ACE2DB3" w14:textId="77777777">
        <w:tc>
          <w:tcPr>
            <w:tcW w:w="0" w:type="auto"/>
            <w:tcBorders>
              <w:bottom w:val="single" w:sz="8" w:space="0" w:color="333333"/>
            </w:tcBorders>
            <w:shd w:val="clear" w:color="auto" w:fill="auto"/>
            <w:tcMar>
              <w:top w:w="40" w:type="dxa"/>
              <w:left w:w="40" w:type="dxa"/>
              <w:bottom w:w="40" w:type="dxa"/>
              <w:right w:w="40" w:type="dxa"/>
            </w:tcMar>
            <w:vAlign w:val="bottom"/>
          </w:tcPr>
          <w:p w14:paraId="4ACE2DB0" w14:textId="77777777" w:rsidR="006F587A" w:rsidRDefault="007B2B61">
            <w:pPr>
              <w:jc w:val="center"/>
              <w:textAlignment w:val="bottom"/>
              <w:rPr>
                <w:rFonts w:ascii="Times New Roman" w:hAnsi="Times New Roman"/>
                <w:sz w:val="20"/>
                <w:szCs w:val="20"/>
              </w:rPr>
            </w:pPr>
            <w:r>
              <w:rPr>
                <w:rFonts w:ascii="Arial" w:eastAsia="宋体" w:hAnsi="Arial" w:cs="Arial"/>
                <w:b/>
                <w:bCs/>
                <w:color w:val="0071C5"/>
                <w:sz w:val="20"/>
                <w:szCs w:val="20"/>
              </w:rPr>
              <w:t>RESEARCH AND DEVELOPMENT $B</w:t>
            </w:r>
          </w:p>
        </w:tc>
        <w:tc>
          <w:tcPr>
            <w:tcW w:w="0" w:type="auto"/>
            <w:shd w:val="clear" w:color="auto" w:fill="auto"/>
            <w:tcMar>
              <w:top w:w="40" w:type="dxa"/>
              <w:left w:w="40" w:type="dxa"/>
              <w:bottom w:w="40" w:type="dxa"/>
              <w:right w:w="40" w:type="dxa"/>
            </w:tcMar>
            <w:vAlign w:val="bottom"/>
          </w:tcPr>
          <w:p w14:paraId="4ACE2DB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2DB2" w14:textId="77777777" w:rsidR="006F587A" w:rsidRDefault="007B2B61">
            <w:pPr>
              <w:jc w:val="center"/>
              <w:textAlignment w:val="bottom"/>
              <w:rPr>
                <w:rFonts w:ascii="Times New Roman" w:hAnsi="Times New Roman"/>
                <w:sz w:val="20"/>
                <w:szCs w:val="20"/>
              </w:rPr>
            </w:pPr>
            <w:r>
              <w:rPr>
                <w:rFonts w:ascii="Arial" w:eastAsia="宋体" w:hAnsi="Arial" w:cs="Arial"/>
                <w:b/>
                <w:bCs/>
                <w:color w:val="0071C5"/>
                <w:sz w:val="20"/>
                <w:szCs w:val="20"/>
              </w:rPr>
              <w:t>MARKETING, GENERAL AND ADMINISTRATIVE $B</w:t>
            </w:r>
          </w:p>
        </w:tc>
      </w:tr>
      <w:tr w:rsidR="006F587A" w14:paraId="4ACE2DB5" w14:textId="77777777">
        <w:tc>
          <w:tcPr>
            <w:tcW w:w="0" w:type="auto"/>
            <w:gridSpan w:val="3"/>
            <w:shd w:val="clear" w:color="auto" w:fill="auto"/>
            <w:tcMar>
              <w:top w:w="40" w:type="dxa"/>
              <w:left w:w="40" w:type="dxa"/>
              <w:bottom w:w="40" w:type="dxa"/>
              <w:right w:w="40" w:type="dxa"/>
            </w:tcMar>
            <w:vAlign w:val="bottom"/>
          </w:tcPr>
          <w:p w14:paraId="4ACE2DB4" w14:textId="77777777" w:rsidR="006F587A" w:rsidRDefault="007B2B61">
            <w:pPr>
              <w:jc w:val="center"/>
              <w:textAlignment w:val="bottom"/>
              <w:rPr>
                <w:rFonts w:ascii="Times New Roman" w:hAnsi="Times New Roman"/>
                <w:sz w:val="16"/>
                <w:szCs w:val="16"/>
              </w:rPr>
            </w:pPr>
            <w:r>
              <w:rPr>
                <w:rFonts w:ascii="Arial" w:eastAsia="宋体" w:hAnsi="Arial" w:cs="Arial"/>
                <w:color w:val="333333"/>
                <w:sz w:val="16"/>
                <w:szCs w:val="16"/>
              </w:rPr>
              <w:t>(Percentages indicate expenses as a percentage of total revenue)</w:t>
            </w:r>
          </w:p>
        </w:tc>
      </w:tr>
    </w:tbl>
    <w:p w14:paraId="4ACE2DB6" w14:textId="77777777" w:rsidR="006F587A" w:rsidRDefault="007B2B61">
      <w:pPr>
        <w:spacing w:line="288" w:lineRule="auto"/>
        <w:rPr>
          <w:rFonts w:ascii="Times New Roman" w:hAnsi="Times New Roman"/>
          <w:sz w:val="18"/>
          <w:szCs w:val="18"/>
        </w:rPr>
      </w:pP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Viewer12_files/chart32_opexrnd.jpg"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D4E" wp14:editId="4ACE6D4F">
            <wp:extent cx="304800" cy="304800"/>
            <wp:effectExtent l="0" t="0" r="0" b="0"/>
            <wp:docPr id="180" name="图片 208" descr="IMG_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208" descr="IMG_39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r>
        <w:rPr>
          <w:rFonts w:ascii="Times New Roman" w:eastAsia="宋体" w:hAnsi="Times New Roman"/>
          <w:sz w:val="18"/>
          <w:szCs w:val="18"/>
        </w:rPr>
        <w:fldChar w:fldCharType="begin"/>
      </w:r>
      <w:r>
        <w:rPr>
          <w:rFonts w:ascii="Times New Roman" w:eastAsia="宋体" w:hAnsi="Times New Roman"/>
          <w:sz w:val="18"/>
          <w:szCs w:val="18"/>
        </w:rPr>
        <w:instrText>INCLUDEPICTURE \d "/Users/xuxinrun/Document/0</w:instrText>
      </w:r>
      <w:r>
        <w:rPr>
          <w:rFonts w:ascii="Times New Roman" w:eastAsia="宋体" w:hAnsi="Times New Roman"/>
          <w:sz w:val="18"/>
          <w:szCs w:val="18"/>
        </w:rPr>
        <w:instrText xml:space="preserve">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Viewer12_files/chart33_opexmga.jpg"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D50" wp14:editId="4ACE6D51">
            <wp:extent cx="304800" cy="304800"/>
            <wp:effectExtent l="0" t="0" r="0" b="0"/>
            <wp:docPr id="174" name="图片 209" descr="IMG_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209" descr="IMG_39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p>
    <w:tbl>
      <w:tblPr>
        <w:tblW w:w="5000" w:type="pct"/>
        <w:tblCellMar>
          <w:left w:w="0" w:type="dxa"/>
          <w:right w:w="0" w:type="dxa"/>
        </w:tblCellMar>
        <w:tblLook w:val="04A0" w:firstRow="1" w:lastRow="0" w:firstColumn="1" w:lastColumn="0" w:noHBand="0" w:noVBand="1"/>
      </w:tblPr>
      <w:tblGrid>
        <w:gridCol w:w="8306"/>
      </w:tblGrid>
      <w:tr w:rsidR="006F587A" w14:paraId="4ACE2DB8" w14:textId="77777777">
        <w:tc>
          <w:tcPr>
            <w:tcW w:w="0" w:type="auto"/>
            <w:shd w:val="clear" w:color="auto" w:fill="auto"/>
            <w:vAlign w:val="center"/>
          </w:tcPr>
          <w:p w14:paraId="4ACE2DB7" w14:textId="77777777" w:rsidR="006F587A" w:rsidRDefault="006F587A">
            <w:pPr>
              <w:rPr>
                <w:rFonts w:ascii="Times New Roman" w:hAnsi="Times New Roman"/>
                <w:sz w:val="20"/>
                <w:szCs w:val="20"/>
              </w:rPr>
            </w:pPr>
          </w:p>
        </w:tc>
      </w:tr>
      <w:tr w:rsidR="006F587A" w14:paraId="4ACE2DBA" w14:textId="77777777">
        <w:tc>
          <w:tcPr>
            <w:tcW w:w="5000" w:type="pct"/>
            <w:shd w:val="clear" w:color="auto" w:fill="auto"/>
            <w:vAlign w:val="center"/>
          </w:tcPr>
          <w:p w14:paraId="4ACE2DB9" w14:textId="77777777" w:rsidR="006F587A" w:rsidRDefault="006F587A">
            <w:pPr>
              <w:rPr>
                <w:rFonts w:ascii="Times New Roman" w:hAnsi="Times New Roman"/>
                <w:sz w:val="20"/>
                <w:szCs w:val="20"/>
              </w:rPr>
            </w:pPr>
          </w:p>
        </w:tc>
      </w:tr>
      <w:tr w:rsidR="006F587A" w14:paraId="4ACE2DBC" w14:textId="77777777">
        <w:tc>
          <w:tcPr>
            <w:tcW w:w="0" w:type="auto"/>
            <w:tcBorders>
              <w:bottom w:val="single" w:sz="8" w:space="0" w:color="333333"/>
            </w:tcBorders>
            <w:shd w:val="clear" w:color="auto" w:fill="auto"/>
            <w:tcMar>
              <w:top w:w="40" w:type="dxa"/>
              <w:left w:w="40" w:type="dxa"/>
              <w:bottom w:w="40" w:type="dxa"/>
              <w:right w:w="40" w:type="dxa"/>
            </w:tcMar>
            <w:vAlign w:val="bottom"/>
          </w:tcPr>
          <w:p w14:paraId="4ACE2DBB" w14:textId="77777777" w:rsidR="006F587A" w:rsidRDefault="007B2B61">
            <w:pPr>
              <w:textAlignment w:val="bottom"/>
              <w:rPr>
                <w:rFonts w:ascii="Times New Roman" w:hAnsi="Times New Roman"/>
                <w:sz w:val="20"/>
                <w:szCs w:val="20"/>
              </w:rPr>
            </w:pPr>
            <w:r>
              <w:rPr>
                <w:rFonts w:ascii="Arial" w:eastAsia="宋体" w:hAnsi="Arial" w:cs="Arial"/>
                <w:b/>
                <w:bCs/>
                <w:color w:val="0071C5"/>
                <w:sz w:val="20"/>
                <w:szCs w:val="20"/>
              </w:rPr>
              <w:t>RESEARCH AND DEVELOPMENT</w:t>
            </w:r>
          </w:p>
        </w:tc>
      </w:tr>
    </w:tbl>
    <w:p w14:paraId="4ACE2DBD" w14:textId="77777777" w:rsidR="006F587A" w:rsidRDefault="006F587A">
      <w:pPr>
        <w:rPr>
          <w:vanish/>
        </w:rPr>
      </w:pPr>
    </w:p>
    <w:tbl>
      <w:tblPr>
        <w:tblW w:w="5000" w:type="pct"/>
        <w:tblCellMar>
          <w:left w:w="0" w:type="dxa"/>
          <w:right w:w="0" w:type="dxa"/>
        </w:tblCellMar>
        <w:tblLook w:val="04A0" w:firstRow="1" w:lastRow="0" w:firstColumn="1" w:lastColumn="0" w:noHBand="0" w:noVBand="1"/>
      </w:tblPr>
      <w:tblGrid>
        <w:gridCol w:w="249"/>
        <w:gridCol w:w="8057"/>
      </w:tblGrid>
      <w:tr w:rsidR="006F587A" w14:paraId="4ACE2DBF" w14:textId="77777777">
        <w:tc>
          <w:tcPr>
            <w:tcW w:w="0" w:type="auto"/>
            <w:gridSpan w:val="2"/>
            <w:shd w:val="clear" w:color="auto" w:fill="auto"/>
            <w:vAlign w:val="center"/>
          </w:tcPr>
          <w:p w14:paraId="4ACE2DBE" w14:textId="77777777" w:rsidR="006F587A" w:rsidRDefault="006F587A">
            <w:pPr>
              <w:rPr>
                <w:rFonts w:ascii="Times New Roman" w:hAnsi="Times New Roman"/>
                <w:sz w:val="20"/>
                <w:szCs w:val="20"/>
              </w:rPr>
            </w:pPr>
          </w:p>
        </w:tc>
      </w:tr>
      <w:tr w:rsidR="006F587A" w14:paraId="4ACE2DC2" w14:textId="77777777">
        <w:tc>
          <w:tcPr>
            <w:tcW w:w="150" w:type="pct"/>
            <w:shd w:val="clear" w:color="auto" w:fill="auto"/>
            <w:vAlign w:val="center"/>
          </w:tcPr>
          <w:p w14:paraId="4ACE2DC0" w14:textId="77777777" w:rsidR="006F587A" w:rsidRDefault="006F587A">
            <w:pPr>
              <w:rPr>
                <w:rFonts w:ascii="Times New Roman" w:hAnsi="Times New Roman"/>
                <w:sz w:val="20"/>
                <w:szCs w:val="20"/>
              </w:rPr>
            </w:pPr>
          </w:p>
        </w:tc>
        <w:tc>
          <w:tcPr>
            <w:tcW w:w="4850" w:type="pct"/>
            <w:shd w:val="clear" w:color="auto" w:fill="auto"/>
            <w:vAlign w:val="center"/>
          </w:tcPr>
          <w:p w14:paraId="4ACE2DC1" w14:textId="77777777" w:rsidR="006F587A" w:rsidRDefault="006F587A">
            <w:pPr>
              <w:rPr>
                <w:rFonts w:ascii="Times New Roman" w:hAnsi="Times New Roman"/>
                <w:sz w:val="20"/>
                <w:szCs w:val="20"/>
              </w:rPr>
            </w:pPr>
          </w:p>
        </w:tc>
      </w:tr>
      <w:tr w:rsidR="006F587A" w14:paraId="4ACE2DC4" w14:textId="77777777">
        <w:tc>
          <w:tcPr>
            <w:tcW w:w="0" w:type="auto"/>
            <w:gridSpan w:val="2"/>
            <w:shd w:val="clear" w:color="auto" w:fill="auto"/>
            <w:tcMar>
              <w:top w:w="40" w:type="dxa"/>
              <w:left w:w="40" w:type="dxa"/>
              <w:bottom w:w="40" w:type="dxa"/>
              <w:right w:w="40" w:type="dxa"/>
            </w:tcMar>
            <w:vAlign w:val="bottom"/>
          </w:tcPr>
          <w:p w14:paraId="4ACE2DC3" w14:textId="77777777" w:rsidR="006F587A" w:rsidRDefault="007B2B61">
            <w:pPr>
              <w:textAlignment w:val="bottom"/>
              <w:rPr>
                <w:rFonts w:ascii="Times New Roman" w:hAnsi="Times New Roman"/>
                <w:sz w:val="20"/>
                <w:szCs w:val="20"/>
              </w:rPr>
            </w:pPr>
            <w:r>
              <w:rPr>
                <w:rFonts w:ascii="Arial" w:eastAsia="宋体" w:hAnsi="Arial" w:cs="Arial"/>
                <w:b/>
                <w:bCs/>
                <w:color w:val="333333"/>
                <w:sz w:val="20"/>
                <w:szCs w:val="20"/>
              </w:rPr>
              <w:t>2019 – 2018</w:t>
            </w:r>
          </w:p>
        </w:tc>
      </w:tr>
      <w:tr w:rsidR="006F587A" w14:paraId="4ACE2DC7" w14:textId="77777777">
        <w:tc>
          <w:tcPr>
            <w:tcW w:w="0" w:type="auto"/>
            <w:shd w:val="clear" w:color="auto" w:fill="auto"/>
            <w:tcMar>
              <w:top w:w="40" w:type="dxa"/>
              <w:left w:w="40" w:type="dxa"/>
              <w:bottom w:w="40" w:type="dxa"/>
              <w:right w:w="40" w:type="dxa"/>
            </w:tcMar>
            <w:vAlign w:val="bottom"/>
          </w:tcPr>
          <w:p w14:paraId="4ACE2DC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DC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2DC9" w14:textId="77777777">
        <w:tc>
          <w:tcPr>
            <w:tcW w:w="0" w:type="auto"/>
            <w:gridSpan w:val="2"/>
            <w:shd w:val="clear" w:color="auto" w:fill="auto"/>
            <w:tcMar>
              <w:top w:w="40" w:type="dxa"/>
              <w:left w:w="40" w:type="dxa"/>
              <w:bottom w:w="40" w:type="dxa"/>
              <w:right w:w="40" w:type="dxa"/>
            </w:tcMar>
            <w:vAlign w:val="bottom"/>
          </w:tcPr>
          <w:p w14:paraId="4ACE2DC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R&amp;D spending decreased by $181 million, or 1%, driven by the following:</w:t>
            </w:r>
          </w:p>
        </w:tc>
      </w:tr>
      <w:tr w:rsidR="006F587A" w14:paraId="4ACE2DCC" w14:textId="77777777">
        <w:tc>
          <w:tcPr>
            <w:tcW w:w="0" w:type="auto"/>
            <w:shd w:val="clear" w:color="auto" w:fill="auto"/>
            <w:tcMar>
              <w:top w:w="40" w:type="dxa"/>
              <w:left w:w="40" w:type="dxa"/>
              <w:bottom w:w="40" w:type="dxa"/>
              <w:right w:w="40" w:type="dxa"/>
            </w:tcMar>
            <w:vAlign w:val="bottom"/>
          </w:tcPr>
          <w:p w14:paraId="4ACE2DC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DC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2DCF" w14:textId="77777777">
        <w:tc>
          <w:tcPr>
            <w:tcW w:w="0" w:type="auto"/>
            <w:shd w:val="clear" w:color="auto" w:fill="auto"/>
            <w:tcMar>
              <w:top w:w="40" w:type="dxa"/>
              <w:left w:w="40" w:type="dxa"/>
              <w:bottom w:w="40" w:type="dxa"/>
              <w:right w:w="40" w:type="dxa"/>
            </w:tcMar>
            <w:vAlign w:val="bottom"/>
          </w:tcPr>
          <w:p w14:paraId="4ACE2DCD" w14:textId="77777777" w:rsidR="006F587A" w:rsidRDefault="007B2B61">
            <w:pPr>
              <w:jc w:val="center"/>
              <w:textAlignment w:val="bottom"/>
              <w:rPr>
                <w:rFonts w:ascii="Times New Roman" w:hAnsi="Times New Roman"/>
                <w:sz w:val="18"/>
                <w:szCs w:val="18"/>
              </w:rPr>
            </w:pPr>
            <w:r>
              <w:rPr>
                <w:rFonts w:ascii="Arial" w:eastAsia="宋体" w:hAnsi="Arial" w:cs="Arial"/>
                <w:b/>
                <w:bCs/>
                <w:color w:val="FAAC16"/>
                <w:sz w:val="18"/>
                <w:szCs w:val="18"/>
              </w:rPr>
              <w:t>-</w:t>
            </w:r>
          </w:p>
        </w:tc>
        <w:tc>
          <w:tcPr>
            <w:tcW w:w="0" w:type="auto"/>
            <w:shd w:val="clear" w:color="auto" w:fill="auto"/>
            <w:tcMar>
              <w:top w:w="40" w:type="dxa"/>
              <w:left w:w="40" w:type="dxa"/>
              <w:bottom w:w="40" w:type="dxa"/>
              <w:right w:w="40" w:type="dxa"/>
            </w:tcMar>
            <w:vAlign w:val="bottom"/>
          </w:tcPr>
          <w:p w14:paraId="4ACE2DCE"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Ramp down of 5G </w:t>
            </w:r>
            <w:r>
              <w:rPr>
                <w:rFonts w:ascii="Arial" w:eastAsia="宋体" w:hAnsi="Arial" w:cs="Arial"/>
                <w:color w:val="333333"/>
                <w:sz w:val="18"/>
                <w:szCs w:val="18"/>
              </w:rPr>
              <w:t>smartphone modem business and other projects</w:t>
            </w:r>
          </w:p>
        </w:tc>
      </w:tr>
      <w:tr w:rsidR="006F587A" w14:paraId="4ACE2DD2" w14:textId="77777777">
        <w:tc>
          <w:tcPr>
            <w:tcW w:w="0" w:type="auto"/>
            <w:shd w:val="clear" w:color="auto" w:fill="auto"/>
            <w:tcMar>
              <w:top w:w="40" w:type="dxa"/>
              <w:left w:w="40" w:type="dxa"/>
              <w:bottom w:w="40" w:type="dxa"/>
              <w:right w:w="40" w:type="dxa"/>
            </w:tcMar>
            <w:vAlign w:val="bottom"/>
          </w:tcPr>
          <w:p w14:paraId="4ACE2DD0" w14:textId="77777777" w:rsidR="006F587A" w:rsidRDefault="007B2B61">
            <w:pPr>
              <w:jc w:val="center"/>
              <w:textAlignment w:val="bottom"/>
              <w:rPr>
                <w:rFonts w:ascii="Times New Roman" w:hAnsi="Times New Roman"/>
                <w:sz w:val="18"/>
                <w:szCs w:val="18"/>
              </w:rPr>
            </w:pPr>
            <w:r>
              <w:rPr>
                <w:rFonts w:ascii="Arial" w:eastAsia="宋体" w:hAnsi="Arial" w:cs="Arial"/>
                <w:b/>
                <w:bCs/>
                <w:color w:val="FAAC16"/>
                <w:sz w:val="18"/>
                <w:szCs w:val="18"/>
              </w:rPr>
              <w:t>-</w:t>
            </w:r>
          </w:p>
        </w:tc>
        <w:tc>
          <w:tcPr>
            <w:tcW w:w="0" w:type="auto"/>
            <w:shd w:val="clear" w:color="auto" w:fill="auto"/>
            <w:tcMar>
              <w:top w:w="40" w:type="dxa"/>
              <w:left w:w="40" w:type="dxa"/>
              <w:bottom w:w="40" w:type="dxa"/>
              <w:right w:w="40" w:type="dxa"/>
            </w:tcMar>
            <w:vAlign w:val="bottom"/>
          </w:tcPr>
          <w:p w14:paraId="4ACE2DD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Profit-dependent compensation</w:t>
            </w:r>
          </w:p>
        </w:tc>
      </w:tr>
      <w:tr w:rsidR="006F587A" w14:paraId="4ACE2DD5" w14:textId="77777777">
        <w:tc>
          <w:tcPr>
            <w:tcW w:w="0" w:type="auto"/>
            <w:shd w:val="clear" w:color="auto" w:fill="auto"/>
            <w:tcMar>
              <w:top w:w="40" w:type="dxa"/>
              <w:left w:w="40" w:type="dxa"/>
              <w:bottom w:w="40" w:type="dxa"/>
              <w:right w:w="40" w:type="dxa"/>
            </w:tcMar>
            <w:vAlign w:val="bottom"/>
          </w:tcPr>
          <w:p w14:paraId="4ACE2DD3" w14:textId="77777777" w:rsidR="006F587A" w:rsidRDefault="007B2B61">
            <w:pPr>
              <w:jc w:val="center"/>
              <w:textAlignment w:val="bottom"/>
              <w:rPr>
                <w:rFonts w:ascii="Times New Roman" w:hAnsi="Times New Roman"/>
                <w:sz w:val="18"/>
                <w:szCs w:val="18"/>
              </w:rPr>
            </w:pPr>
            <w:r>
              <w:rPr>
                <w:rFonts w:ascii="Arial" w:eastAsia="宋体" w:hAnsi="Arial" w:cs="Arial"/>
                <w:b/>
                <w:bCs/>
                <w:color w:val="FAAC16"/>
                <w:sz w:val="18"/>
                <w:szCs w:val="18"/>
              </w:rPr>
              <w:t>-</w:t>
            </w:r>
          </w:p>
        </w:tc>
        <w:tc>
          <w:tcPr>
            <w:tcW w:w="0" w:type="auto"/>
            <w:shd w:val="clear" w:color="auto" w:fill="auto"/>
            <w:tcMar>
              <w:top w:w="40" w:type="dxa"/>
              <w:left w:w="40" w:type="dxa"/>
              <w:bottom w:w="40" w:type="dxa"/>
              <w:right w:w="40" w:type="dxa"/>
            </w:tcMar>
            <w:vAlign w:val="bottom"/>
          </w:tcPr>
          <w:p w14:paraId="4ACE2DD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Corporate spending efficiencies</w:t>
            </w:r>
          </w:p>
        </w:tc>
      </w:tr>
      <w:tr w:rsidR="006F587A" w14:paraId="4ACE2DD8" w14:textId="77777777">
        <w:tc>
          <w:tcPr>
            <w:tcW w:w="0" w:type="auto"/>
            <w:shd w:val="clear" w:color="auto" w:fill="auto"/>
            <w:tcMar>
              <w:top w:w="40" w:type="dxa"/>
              <w:left w:w="40" w:type="dxa"/>
              <w:bottom w:w="40" w:type="dxa"/>
              <w:right w:w="40" w:type="dxa"/>
            </w:tcMar>
            <w:vAlign w:val="bottom"/>
          </w:tcPr>
          <w:p w14:paraId="4ACE2DD6" w14:textId="77777777" w:rsidR="006F587A" w:rsidRDefault="007B2B61">
            <w:pPr>
              <w:jc w:val="center"/>
              <w:textAlignment w:val="bottom"/>
              <w:rPr>
                <w:rFonts w:ascii="Times New Roman" w:hAnsi="Times New Roman"/>
                <w:sz w:val="18"/>
                <w:szCs w:val="18"/>
              </w:rPr>
            </w:pPr>
            <w:r>
              <w:rPr>
                <w:rFonts w:ascii="Arial" w:eastAsia="宋体" w:hAnsi="Arial" w:cs="Arial"/>
                <w:b/>
                <w:bCs/>
                <w:color w:val="0094FF"/>
                <w:sz w:val="18"/>
                <w:szCs w:val="18"/>
              </w:rPr>
              <w:t>+</w:t>
            </w:r>
          </w:p>
        </w:tc>
        <w:tc>
          <w:tcPr>
            <w:tcW w:w="0" w:type="auto"/>
            <w:shd w:val="clear" w:color="auto" w:fill="auto"/>
            <w:tcMar>
              <w:top w:w="40" w:type="dxa"/>
              <w:left w:w="40" w:type="dxa"/>
              <w:bottom w:w="40" w:type="dxa"/>
              <w:right w:w="40" w:type="dxa"/>
            </w:tcMar>
            <w:vAlign w:val="bottom"/>
          </w:tcPr>
          <w:p w14:paraId="4ACE2DD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Investments in our data-centric businesses</w:t>
            </w:r>
          </w:p>
        </w:tc>
      </w:tr>
      <w:tr w:rsidR="006F587A" w14:paraId="4ACE2DDB" w14:textId="77777777">
        <w:tc>
          <w:tcPr>
            <w:tcW w:w="0" w:type="auto"/>
            <w:shd w:val="clear" w:color="auto" w:fill="auto"/>
            <w:tcMar>
              <w:top w:w="40" w:type="dxa"/>
              <w:left w:w="40" w:type="dxa"/>
              <w:bottom w:w="40" w:type="dxa"/>
              <w:right w:w="40" w:type="dxa"/>
            </w:tcMar>
            <w:vAlign w:val="bottom"/>
          </w:tcPr>
          <w:p w14:paraId="4ACE2DD9" w14:textId="77777777" w:rsidR="006F587A" w:rsidRDefault="007B2B61">
            <w:pPr>
              <w:jc w:val="center"/>
              <w:textAlignment w:val="bottom"/>
              <w:rPr>
                <w:rFonts w:ascii="Times New Roman" w:hAnsi="Times New Roman"/>
                <w:sz w:val="18"/>
                <w:szCs w:val="18"/>
              </w:rPr>
            </w:pPr>
            <w:r>
              <w:rPr>
                <w:rFonts w:ascii="Arial" w:eastAsia="宋体" w:hAnsi="Arial" w:cs="Arial"/>
                <w:b/>
                <w:bCs/>
                <w:color w:val="0094FF"/>
                <w:sz w:val="18"/>
                <w:szCs w:val="18"/>
              </w:rPr>
              <w:t>+</w:t>
            </w:r>
          </w:p>
        </w:tc>
        <w:tc>
          <w:tcPr>
            <w:tcW w:w="0" w:type="auto"/>
            <w:shd w:val="clear" w:color="auto" w:fill="auto"/>
            <w:tcMar>
              <w:top w:w="40" w:type="dxa"/>
              <w:left w:w="40" w:type="dxa"/>
              <w:bottom w:w="40" w:type="dxa"/>
              <w:right w:w="40" w:type="dxa"/>
            </w:tcMar>
            <w:vAlign w:val="bottom"/>
          </w:tcPr>
          <w:p w14:paraId="4ACE2DD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Investments in process technology</w:t>
            </w:r>
          </w:p>
        </w:tc>
      </w:tr>
      <w:tr w:rsidR="006F587A" w14:paraId="4ACE2DDE" w14:textId="77777777">
        <w:tc>
          <w:tcPr>
            <w:tcW w:w="0" w:type="auto"/>
            <w:shd w:val="clear" w:color="auto" w:fill="auto"/>
            <w:tcMar>
              <w:top w:w="40" w:type="dxa"/>
              <w:left w:w="40" w:type="dxa"/>
              <w:bottom w:w="40" w:type="dxa"/>
              <w:right w:w="40" w:type="dxa"/>
            </w:tcMar>
            <w:vAlign w:val="bottom"/>
          </w:tcPr>
          <w:p w14:paraId="4ACE2DD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DD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2DE0" w14:textId="77777777">
        <w:tc>
          <w:tcPr>
            <w:tcW w:w="0" w:type="auto"/>
            <w:gridSpan w:val="2"/>
            <w:shd w:val="clear" w:color="auto" w:fill="auto"/>
            <w:tcMar>
              <w:top w:w="40" w:type="dxa"/>
              <w:left w:w="40" w:type="dxa"/>
              <w:bottom w:w="40" w:type="dxa"/>
              <w:right w:w="40" w:type="dxa"/>
            </w:tcMar>
            <w:vAlign w:val="bottom"/>
          </w:tcPr>
          <w:p w14:paraId="4ACE2DDF" w14:textId="77777777" w:rsidR="006F587A" w:rsidRDefault="007B2B61">
            <w:pPr>
              <w:textAlignment w:val="bottom"/>
              <w:rPr>
                <w:rFonts w:ascii="Times New Roman" w:hAnsi="Times New Roman"/>
                <w:sz w:val="20"/>
                <w:szCs w:val="20"/>
              </w:rPr>
            </w:pPr>
            <w:r>
              <w:rPr>
                <w:rFonts w:ascii="Arial" w:eastAsia="宋体" w:hAnsi="Arial" w:cs="Arial"/>
                <w:b/>
                <w:bCs/>
                <w:color w:val="333333"/>
                <w:sz w:val="20"/>
                <w:szCs w:val="20"/>
              </w:rPr>
              <w:t>2018 – 2017</w:t>
            </w:r>
          </w:p>
        </w:tc>
      </w:tr>
      <w:tr w:rsidR="006F587A" w14:paraId="4ACE2DE3" w14:textId="77777777">
        <w:tc>
          <w:tcPr>
            <w:tcW w:w="0" w:type="auto"/>
            <w:shd w:val="clear" w:color="auto" w:fill="auto"/>
            <w:tcMar>
              <w:top w:w="40" w:type="dxa"/>
              <w:left w:w="40" w:type="dxa"/>
              <w:bottom w:w="40" w:type="dxa"/>
              <w:right w:w="40" w:type="dxa"/>
            </w:tcMar>
            <w:vAlign w:val="bottom"/>
          </w:tcPr>
          <w:p w14:paraId="4ACE2DE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DE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2DE5" w14:textId="77777777">
        <w:tc>
          <w:tcPr>
            <w:tcW w:w="0" w:type="auto"/>
            <w:gridSpan w:val="2"/>
            <w:shd w:val="clear" w:color="auto" w:fill="auto"/>
            <w:tcMar>
              <w:top w:w="40" w:type="dxa"/>
              <w:left w:w="40" w:type="dxa"/>
              <w:bottom w:w="40" w:type="dxa"/>
              <w:right w:w="40" w:type="dxa"/>
            </w:tcMar>
            <w:vAlign w:val="bottom"/>
          </w:tcPr>
          <w:p w14:paraId="4ACE2DE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R&amp;D spending increased by $508 </w:t>
            </w:r>
            <w:r>
              <w:rPr>
                <w:rFonts w:ascii="Arial" w:eastAsia="宋体" w:hAnsi="Arial" w:cs="Arial"/>
                <w:color w:val="333333"/>
                <w:sz w:val="18"/>
                <w:szCs w:val="18"/>
              </w:rPr>
              <w:t>million, or 4%, driven by the following:</w:t>
            </w:r>
          </w:p>
        </w:tc>
      </w:tr>
      <w:tr w:rsidR="006F587A" w14:paraId="4ACE2DE8" w14:textId="77777777">
        <w:tc>
          <w:tcPr>
            <w:tcW w:w="0" w:type="auto"/>
            <w:shd w:val="clear" w:color="auto" w:fill="auto"/>
            <w:tcMar>
              <w:top w:w="40" w:type="dxa"/>
              <w:left w:w="40" w:type="dxa"/>
              <w:bottom w:w="40" w:type="dxa"/>
              <w:right w:w="40" w:type="dxa"/>
            </w:tcMar>
            <w:vAlign w:val="bottom"/>
          </w:tcPr>
          <w:p w14:paraId="4ACE2DE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DE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2DEB" w14:textId="77777777">
        <w:tc>
          <w:tcPr>
            <w:tcW w:w="0" w:type="auto"/>
            <w:shd w:val="clear" w:color="auto" w:fill="auto"/>
            <w:tcMar>
              <w:top w:w="40" w:type="dxa"/>
              <w:left w:w="40" w:type="dxa"/>
              <w:bottom w:w="40" w:type="dxa"/>
              <w:right w:w="40" w:type="dxa"/>
            </w:tcMar>
            <w:vAlign w:val="bottom"/>
          </w:tcPr>
          <w:p w14:paraId="4ACE2DE9" w14:textId="77777777" w:rsidR="006F587A" w:rsidRDefault="007B2B61">
            <w:pPr>
              <w:jc w:val="center"/>
              <w:textAlignment w:val="bottom"/>
              <w:rPr>
                <w:rFonts w:ascii="Times New Roman" w:hAnsi="Times New Roman"/>
                <w:sz w:val="18"/>
                <w:szCs w:val="18"/>
              </w:rPr>
            </w:pPr>
            <w:r>
              <w:rPr>
                <w:rFonts w:ascii="Arial" w:eastAsia="宋体" w:hAnsi="Arial" w:cs="Arial"/>
                <w:b/>
                <w:bCs/>
                <w:color w:val="0094FF"/>
                <w:sz w:val="18"/>
                <w:szCs w:val="18"/>
              </w:rPr>
              <w:t>+</w:t>
            </w:r>
          </w:p>
        </w:tc>
        <w:tc>
          <w:tcPr>
            <w:tcW w:w="0" w:type="auto"/>
            <w:shd w:val="clear" w:color="auto" w:fill="auto"/>
            <w:tcMar>
              <w:top w:w="40" w:type="dxa"/>
              <w:left w:w="40" w:type="dxa"/>
              <w:bottom w:w="40" w:type="dxa"/>
              <w:right w:w="40" w:type="dxa"/>
            </w:tcMar>
            <w:vAlign w:val="bottom"/>
          </w:tcPr>
          <w:p w14:paraId="4ACE2DE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Investments in our data-centric businesses</w:t>
            </w:r>
          </w:p>
        </w:tc>
      </w:tr>
      <w:tr w:rsidR="006F587A" w14:paraId="4ACE2DEE" w14:textId="77777777">
        <w:tc>
          <w:tcPr>
            <w:tcW w:w="0" w:type="auto"/>
            <w:shd w:val="clear" w:color="auto" w:fill="auto"/>
            <w:tcMar>
              <w:top w:w="40" w:type="dxa"/>
              <w:left w:w="40" w:type="dxa"/>
              <w:bottom w:w="40" w:type="dxa"/>
              <w:right w:w="40" w:type="dxa"/>
            </w:tcMar>
            <w:vAlign w:val="bottom"/>
          </w:tcPr>
          <w:p w14:paraId="4ACE2DEC" w14:textId="77777777" w:rsidR="006F587A" w:rsidRDefault="007B2B61">
            <w:pPr>
              <w:jc w:val="center"/>
              <w:textAlignment w:val="bottom"/>
              <w:rPr>
                <w:rFonts w:ascii="Times New Roman" w:hAnsi="Times New Roman"/>
                <w:sz w:val="18"/>
                <w:szCs w:val="18"/>
              </w:rPr>
            </w:pPr>
            <w:r>
              <w:rPr>
                <w:rFonts w:ascii="Arial" w:eastAsia="宋体" w:hAnsi="Arial" w:cs="Arial"/>
                <w:b/>
                <w:bCs/>
                <w:color w:val="0094FF"/>
                <w:sz w:val="18"/>
                <w:szCs w:val="18"/>
              </w:rPr>
              <w:t>+</w:t>
            </w:r>
          </w:p>
        </w:tc>
        <w:tc>
          <w:tcPr>
            <w:tcW w:w="0" w:type="auto"/>
            <w:shd w:val="clear" w:color="auto" w:fill="auto"/>
            <w:tcMar>
              <w:top w:w="40" w:type="dxa"/>
              <w:left w:w="40" w:type="dxa"/>
              <w:bottom w:w="40" w:type="dxa"/>
              <w:right w:w="40" w:type="dxa"/>
            </w:tcMar>
            <w:vAlign w:val="bottom"/>
          </w:tcPr>
          <w:p w14:paraId="4ACE2DE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Investments in 10nm process technology</w:t>
            </w:r>
          </w:p>
        </w:tc>
      </w:tr>
      <w:tr w:rsidR="006F587A" w14:paraId="4ACE2DF1" w14:textId="77777777">
        <w:tc>
          <w:tcPr>
            <w:tcW w:w="0" w:type="auto"/>
            <w:shd w:val="clear" w:color="auto" w:fill="auto"/>
            <w:tcMar>
              <w:top w:w="40" w:type="dxa"/>
              <w:left w:w="40" w:type="dxa"/>
              <w:bottom w:w="40" w:type="dxa"/>
              <w:right w:w="40" w:type="dxa"/>
            </w:tcMar>
            <w:vAlign w:val="bottom"/>
          </w:tcPr>
          <w:p w14:paraId="4ACE2DEF" w14:textId="77777777" w:rsidR="006F587A" w:rsidRDefault="007B2B61">
            <w:pPr>
              <w:jc w:val="center"/>
              <w:textAlignment w:val="bottom"/>
              <w:rPr>
                <w:rFonts w:ascii="Times New Roman" w:hAnsi="Times New Roman"/>
                <w:sz w:val="18"/>
                <w:szCs w:val="18"/>
              </w:rPr>
            </w:pPr>
            <w:r>
              <w:rPr>
                <w:rFonts w:ascii="Arial" w:eastAsia="宋体" w:hAnsi="Arial" w:cs="Arial"/>
                <w:b/>
                <w:bCs/>
                <w:color w:val="0094FF"/>
                <w:sz w:val="18"/>
                <w:szCs w:val="18"/>
              </w:rPr>
              <w:t>+</w:t>
            </w:r>
          </w:p>
        </w:tc>
        <w:tc>
          <w:tcPr>
            <w:tcW w:w="0" w:type="auto"/>
            <w:shd w:val="clear" w:color="auto" w:fill="auto"/>
            <w:tcMar>
              <w:top w:w="40" w:type="dxa"/>
              <w:left w:w="40" w:type="dxa"/>
              <w:bottom w:w="40" w:type="dxa"/>
              <w:right w:w="40" w:type="dxa"/>
            </w:tcMar>
            <w:vAlign w:val="bottom"/>
          </w:tcPr>
          <w:p w14:paraId="4ACE2DF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Profit-dependent compensation due to an increase in net income</w:t>
            </w:r>
          </w:p>
        </w:tc>
      </w:tr>
      <w:tr w:rsidR="006F587A" w14:paraId="4ACE2DF4" w14:textId="77777777">
        <w:tc>
          <w:tcPr>
            <w:tcW w:w="0" w:type="auto"/>
            <w:shd w:val="clear" w:color="auto" w:fill="auto"/>
            <w:tcMar>
              <w:top w:w="40" w:type="dxa"/>
              <w:left w:w="40" w:type="dxa"/>
              <w:bottom w:w="40" w:type="dxa"/>
              <w:right w:w="40" w:type="dxa"/>
            </w:tcMar>
            <w:vAlign w:val="bottom"/>
          </w:tcPr>
          <w:p w14:paraId="4ACE2DF2" w14:textId="77777777" w:rsidR="006F587A" w:rsidRDefault="007B2B61">
            <w:pPr>
              <w:jc w:val="center"/>
              <w:textAlignment w:val="bottom"/>
              <w:rPr>
                <w:rFonts w:ascii="Times New Roman" w:hAnsi="Times New Roman"/>
                <w:sz w:val="18"/>
                <w:szCs w:val="18"/>
              </w:rPr>
            </w:pPr>
            <w:r>
              <w:rPr>
                <w:rFonts w:ascii="Arial" w:eastAsia="宋体" w:hAnsi="Arial" w:cs="Arial"/>
                <w:b/>
                <w:bCs/>
                <w:color w:val="FAAC16"/>
                <w:sz w:val="18"/>
                <w:szCs w:val="18"/>
              </w:rPr>
              <w:t>-</w:t>
            </w:r>
          </w:p>
        </w:tc>
        <w:tc>
          <w:tcPr>
            <w:tcW w:w="0" w:type="auto"/>
            <w:shd w:val="clear" w:color="auto" w:fill="auto"/>
            <w:tcMar>
              <w:top w:w="40" w:type="dxa"/>
              <w:left w:w="40" w:type="dxa"/>
              <w:bottom w:w="40" w:type="dxa"/>
              <w:right w:w="40" w:type="dxa"/>
            </w:tcMar>
            <w:vAlign w:val="bottom"/>
          </w:tcPr>
          <w:p w14:paraId="4ACE2DF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Lower expenses due to the divestiture of ISecG in </w:t>
            </w:r>
            <w:r>
              <w:rPr>
                <w:rFonts w:ascii="Arial" w:eastAsia="宋体" w:hAnsi="Arial" w:cs="Arial"/>
                <w:color w:val="333333"/>
                <w:sz w:val="18"/>
                <w:szCs w:val="18"/>
              </w:rPr>
              <w:t>Q2 2017 and Wind River in Q2 2018</w:t>
            </w:r>
          </w:p>
        </w:tc>
      </w:tr>
    </w:tbl>
    <w:p w14:paraId="4ACE2DF5" w14:textId="77777777" w:rsidR="006F587A" w:rsidRDefault="006F587A">
      <w:pPr>
        <w:rPr>
          <w:vanish/>
        </w:rPr>
      </w:pPr>
    </w:p>
    <w:tbl>
      <w:tblPr>
        <w:tblW w:w="5000" w:type="pct"/>
        <w:tblCellMar>
          <w:left w:w="0" w:type="dxa"/>
          <w:right w:w="0" w:type="dxa"/>
        </w:tblCellMar>
        <w:tblLook w:val="04A0" w:firstRow="1" w:lastRow="0" w:firstColumn="1" w:lastColumn="0" w:noHBand="0" w:noVBand="1"/>
      </w:tblPr>
      <w:tblGrid>
        <w:gridCol w:w="8306"/>
      </w:tblGrid>
      <w:tr w:rsidR="006F587A" w14:paraId="4ACE2DF7" w14:textId="77777777">
        <w:tc>
          <w:tcPr>
            <w:tcW w:w="0" w:type="auto"/>
            <w:shd w:val="clear" w:color="auto" w:fill="auto"/>
            <w:vAlign w:val="center"/>
          </w:tcPr>
          <w:p w14:paraId="4ACE2DF6" w14:textId="77777777" w:rsidR="006F587A" w:rsidRDefault="006F587A">
            <w:pPr>
              <w:rPr>
                <w:rFonts w:ascii="Times New Roman" w:hAnsi="Times New Roman"/>
                <w:sz w:val="20"/>
                <w:szCs w:val="20"/>
              </w:rPr>
            </w:pPr>
          </w:p>
        </w:tc>
      </w:tr>
      <w:tr w:rsidR="006F587A" w14:paraId="4ACE2DF9" w14:textId="77777777">
        <w:tc>
          <w:tcPr>
            <w:tcW w:w="5000" w:type="pct"/>
            <w:shd w:val="clear" w:color="auto" w:fill="auto"/>
            <w:vAlign w:val="center"/>
          </w:tcPr>
          <w:p w14:paraId="4ACE2DF8" w14:textId="77777777" w:rsidR="006F587A" w:rsidRDefault="006F587A">
            <w:pPr>
              <w:rPr>
                <w:rFonts w:ascii="Times New Roman" w:hAnsi="Times New Roman"/>
                <w:sz w:val="20"/>
                <w:szCs w:val="20"/>
              </w:rPr>
            </w:pPr>
          </w:p>
        </w:tc>
      </w:tr>
      <w:tr w:rsidR="006F587A" w14:paraId="4ACE2DFB" w14:textId="77777777">
        <w:tc>
          <w:tcPr>
            <w:tcW w:w="0" w:type="auto"/>
            <w:tcBorders>
              <w:bottom w:val="single" w:sz="8" w:space="0" w:color="333333"/>
            </w:tcBorders>
            <w:shd w:val="clear" w:color="auto" w:fill="auto"/>
            <w:tcMar>
              <w:top w:w="40" w:type="dxa"/>
              <w:left w:w="40" w:type="dxa"/>
              <w:bottom w:w="40" w:type="dxa"/>
              <w:right w:w="40" w:type="dxa"/>
            </w:tcMar>
            <w:vAlign w:val="bottom"/>
          </w:tcPr>
          <w:p w14:paraId="4ACE2DFA" w14:textId="77777777" w:rsidR="006F587A" w:rsidRDefault="007B2B61">
            <w:pPr>
              <w:textAlignment w:val="bottom"/>
              <w:rPr>
                <w:rFonts w:ascii="Times New Roman" w:hAnsi="Times New Roman"/>
                <w:sz w:val="20"/>
                <w:szCs w:val="20"/>
              </w:rPr>
            </w:pPr>
            <w:r>
              <w:rPr>
                <w:rFonts w:ascii="Arial" w:eastAsia="宋体" w:hAnsi="Arial" w:cs="Arial"/>
                <w:b/>
                <w:bCs/>
                <w:color w:val="0071C5"/>
                <w:sz w:val="20"/>
                <w:szCs w:val="20"/>
              </w:rPr>
              <w:lastRenderedPageBreak/>
              <w:t>MARKETING, GENERAL AND ADMINISTRATIVE</w:t>
            </w:r>
          </w:p>
        </w:tc>
      </w:tr>
    </w:tbl>
    <w:p w14:paraId="4ACE2DFC" w14:textId="77777777" w:rsidR="006F587A" w:rsidRDefault="006F587A">
      <w:pPr>
        <w:rPr>
          <w:vanish/>
        </w:rPr>
      </w:pPr>
    </w:p>
    <w:tbl>
      <w:tblPr>
        <w:tblW w:w="5000" w:type="pct"/>
        <w:tblCellMar>
          <w:left w:w="0" w:type="dxa"/>
          <w:right w:w="0" w:type="dxa"/>
        </w:tblCellMar>
        <w:tblLook w:val="04A0" w:firstRow="1" w:lastRow="0" w:firstColumn="1" w:lastColumn="0" w:noHBand="0" w:noVBand="1"/>
      </w:tblPr>
      <w:tblGrid>
        <w:gridCol w:w="249"/>
        <w:gridCol w:w="8057"/>
      </w:tblGrid>
      <w:tr w:rsidR="006F587A" w14:paraId="4ACE2DFE" w14:textId="77777777">
        <w:tc>
          <w:tcPr>
            <w:tcW w:w="0" w:type="auto"/>
            <w:gridSpan w:val="2"/>
            <w:shd w:val="clear" w:color="auto" w:fill="auto"/>
            <w:vAlign w:val="center"/>
          </w:tcPr>
          <w:p w14:paraId="4ACE2DFD" w14:textId="77777777" w:rsidR="006F587A" w:rsidRDefault="006F587A">
            <w:pPr>
              <w:rPr>
                <w:rFonts w:ascii="Times New Roman" w:hAnsi="Times New Roman"/>
                <w:sz w:val="20"/>
                <w:szCs w:val="20"/>
              </w:rPr>
            </w:pPr>
          </w:p>
        </w:tc>
      </w:tr>
      <w:tr w:rsidR="006F587A" w14:paraId="4ACE2E01" w14:textId="77777777">
        <w:tc>
          <w:tcPr>
            <w:tcW w:w="150" w:type="pct"/>
            <w:shd w:val="clear" w:color="auto" w:fill="auto"/>
            <w:vAlign w:val="center"/>
          </w:tcPr>
          <w:p w14:paraId="4ACE2DFF" w14:textId="77777777" w:rsidR="006F587A" w:rsidRDefault="006F587A">
            <w:pPr>
              <w:rPr>
                <w:rFonts w:ascii="Times New Roman" w:hAnsi="Times New Roman"/>
                <w:sz w:val="20"/>
                <w:szCs w:val="20"/>
              </w:rPr>
            </w:pPr>
          </w:p>
        </w:tc>
        <w:tc>
          <w:tcPr>
            <w:tcW w:w="4850" w:type="pct"/>
            <w:shd w:val="clear" w:color="auto" w:fill="auto"/>
            <w:vAlign w:val="center"/>
          </w:tcPr>
          <w:p w14:paraId="4ACE2E00" w14:textId="77777777" w:rsidR="006F587A" w:rsidRDefault="006F587A">
            <w:pPr>
              <w:rPr>
                <w:rFonts w:ascii="Times New Roman" w:hAnsi="Times New Roman"/>
                <w:sz w:val="20"/>
                <w:szCs w:val="20"/>
              </w:rPr>
            </w:pPr>
          </w:p>
        </w:tc>
      </w:tr>
      <w:tr w:rsidR="006F587A" w14:paraId="4ACE2E03" w14:textId="77777777">
        <w:tc>
          <w:tcPr>
            <w:tcW w:w="0" w:type="auto"/>
            <w:gridSpan w:val="2"/>
            <w:shd w:val="clear" w:color="auto" w:fill="auto"/>
            <w:tcMar>
              <w:top w:w="40" w:type="dxa"/>
              <w:left w:w="40" w:type="dxa"/>
              <w:bottom w:w="40" w:type="dxa"/>
              <w:right w:w="40" w:type="dxa"/>
            </w:tcMar>
            <w:vAlign w:val="bottom"/>
          </w:tcPr>
          <w:p w14:paraId="4ACE2E02" w14:textId="77777777" w:rsidR="006F587A" w:rsidRDefault="007B2B61">
            <w:pPr>
              <w:textAlignment w:val="bottom"/>
              <w:rPr>
                <w:rFonts w:ascii="Times New Roman" w:hAnsi="Times New Roman"/>
                <w:sz w:val="20"/>
                <w:szCs w:val="20"/>
              </w:rPr>
            </w:pPr>
            <w:r>
              <w:rPr>
                <w:rFonts w:ascii="Arial" w:eastAsia="宋体" w:hAnsi="Arial" w:cs="Arial"/>
                <w:b/>
                <w:bCs/>
                <w:color w:val="333333"/>
                <w:sz w:val="20"/>
                <w:szCs w:val="20"/>
              </w:rPr>
              <w:t>2019 – 2018</w:t>
            </w:r>
          </w:p>
        </w:tc>
      </w:tr>
      <w:tr w:rsidR="006F587A" w14:paraId="4ACE2E06" w14:textId="77777777">
        <w:tc>
          <w:tcPr>
            <w:tcW w:w="0" w:type="auto"/>
            <w:shd w:val="clear" w:color="auto" w:fill="auto"/>
            <w:tcMar>
              <w:top w:w="40" w:type="dxa"/>
              <w:left w:w="40" w:type="dxa"/>
              <w:bottom w:w="40" w:type="dxa"/>
              <w:right w:w="40" w:type="dxa"/>
            </w:tcMar>
            <w:vAlign w:val="bottom"/>
          </w:tcPr>
          <w:p w14:paraId="4ACE2E0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E0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2E08" w14:textId="77777777">
        <w:tc>
          <w:tcPr>
            <w:tcW w:w="0" w:type="auto"/>
            <w:gridSpan w:val="2"/>
            <w:shd w:val="clear" w:color="auto" w:fill="auto"/>
            <w:tcMar>
              <w:top w:w="40" w:type="dxa"/>
              <w:left w:w="40" w:type="dxa"/>
              <w:bottom w:w="40" w:type="dxa"/>
              <w:right w:w="40" w:type="dxa"/>
            </w:tcMar>
            <w:vAlign w:val="bottom"/>
          </w:tcPr>
          <w:p w14:paraId="4ACE2E0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MG&amp;A spending decreased by $600 million, or 9%, driven by the following:</w:t>
            </w:r>
          </w:p>
        </w:tc>
      </w:tr>
      <w:tr w:rsidR="006F587A" w14:paraId="4ACE2E0B" w14:textId="77777777">
        <w:tc>
          <w:tcPr>
            <w:tcW w:w="0" w:type="auto"/>
            <w:shd w:val="clear" w:color="auto" w:fill="auto"/>
            <w:tcMar>
              <w:top w:w="40" w:type="dxa"/>
              <w:left w:w="40" w:type="dxa"/>
              <w:bottom w:w="40" w:type="dxa"/>
              <w:right w:w="40" w:type="dxa"/>
            </w:tcMar>
            <w:vAlign w:val="bottom"/>
          </w:tcPr>
          <w:p w14:paraId="4ACE2E0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E0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2E0E" w14:textId="77777777">
        <w:tc>
          <w:tcPr>
            <w:tcW w:w="0" w:type="auto"/>
            <w:shd w:val="clear" w:color="auto" w:fill="auto"/>
            <w:tcMar>
              <w:top w:w="40" w:type="dxa"/>
              <w:left w:w="40" w:type="dxa"/>
              <w:bottom w:w="40" w:type="dxa"/>
              <w:right w:w="40" w:type="dxa"/>
            </w:tcMar>
            <w:vAlign w:val="bottom"/>
          </w:tcPr>
          <w:p w14:paraId="4ACE2E0C" w14:textId="77777777" w:rsidR="006F587A" w:rsidRDefault="007B2B61">
            <w:pPr>
              <w:jc w:val="center"/>
              <w:textAlignment w:val="bottom"/>
              <w:rPr>
                <w:rFonts w:ascii="Times New Roman" w:hAnsi="Times New Roman"/>
                <w:sz w:val="18"/>
                <w:szCs w:val="18"/>
              </w:rPr>
            </w:pPr>
            <w:r>
              <w:rPr>
                <w:rFonts w:ascii="Arial" w:eastAsia="宋体" w:hAnsi="Arial" w:cs="Arial"/>
                <w:b/>
                <w:bCs/>
                <w:color w:val="FAAC16"/>
                <w:sz w:val="18"/>
                <w:szCs w:val="18"/>
              </w:rPr>
              <w:t>-</w:t>
            </w:r>
          </w:p>
        </w:tc>
        <w:tc>
          <w:tcPr>
            <w:tcW w:w="0" w:type="auto"/>
            <w:shd w:val="clear" w:color="auto" w:fill="auto"/>
            <w:tcMar>
              <w:top w:w="40" w:type="dxa"/>
              <w:left w:w="40" w:type="dxa"/>
              <w:bottom w:w="40" w:type="dxa"/>
              <w:right w:w="40" w:type="dxa"/>
            </w:tcMar>
            <w:vAlign w:val="bottom"/>
          </w:tcPr>
          <w:p w14:paraId="4ACE2E0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Corporate spending efficiencies </w:t>
            </w:r>
          </w:p>
        </w:tc>
      </w:tr>
      <w:tr w:rsidR="006F587A" w14:paraId="4ACE2E11" w14:textId="77777777">
        <w:tc>
          <w:tcPr>
            <w:tcW w:w="0" w:type="auto"/>
            <w:shd w:val="clear" w:color="auto" w:fill="auto"/>
            <w:tcMar>
              <w:top w:w="40" w:type="dxa"/>
              <w:left w:w="40" w:type="dxa"/>
              <w:bottom w:w="40" w:type="dxa"/>
              <w:right w:w="40" w:type="dxa"/>
            </w:tcMar>
            <w:vAlign w:val="bottom"/>
          </w:tcPr>
          <w:p w14:paraId="4ACE2E0F" w14:textId="77777777" w:rsidR="006F587A" w:rsidRDefault="007B2B61">
            <w:pPr>
              <w:jc w:val="center"/>
              <w:textAlignment w:val="bottom"/>
              <w:rPr>
                <w:rFonts w:ascii="Times New Roman" w:hAnsi="Times New Roman"/>
                <w:sz w:val="18"/>
                <w:szCs w:val="18"/>
              </w:rPr>
            </w:pPr>
            <w:r>
              <w:rPr>
                <w:rFonts w:ascii="Arial" w:eastAsia="宋体" w:hAnsi="Arial" w:cs="Arial"/>
                <w:b/>
                <w:bCs/>
                <w:color w:val="FAAC16"/>
                <w:sz w:val="18"/>
                <w:szCs w:val="18"/>
              </w:rPr>
              <w:t>-</w:t>
            </w:r>
          </w:p>
        </w:tc>
        <w:tc>
          <w:tcPr>
            <w:tcW w:w="0" w:type="auto"/>
            <w:shd w:val="clear" w:color="auto" w:fill="auto"/>
            <w:tcMar>
              <w:top w:w="40" w:type="dxa"/>
              <w:left w:w="40" w:type="dxa"/>
              <w:bottom w:w="40" w:type="dxa"/>
              <w:right w:w="40" w:type="dxa"/>
            </w:tcMar>
            <w:vAlign w:val="bottom"/>
          </w:tcPr>
          <w:p w14:paraId="4ACE2E1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Reduction in marketing </w:t>
            </w:r>
            <w:r>
              <w:rPr>
                <w:rFonts w:ascii="Arial" w:eastAsia="宋体" w:hAnsi="Arial" w:cs="Arial"/>
                <w:color w:val="333333"/>
                <w:sz w:val="18"/>
                <w:szCs w:val="18"/>
              </w:rPr>
              <w:t>programs</w:t>
            </w:r>
          </w:p>
        </w:tc>
      </w:tr>
      <w:tr w:rsidR="006F587A" w14:paraId="4ACE2E14" w14:textId="77777777">
        <w:tc>
          <w:tcPr>
            <w:tcW w:w="0" w:type="auto"/>
            <w:shd w:val="clear" w:color="auto" w:fill="auto"/>
            <w:tcMar>
              <w:top w:w="40" w:type="dxa"/>
              <w:left w:w="40" w:type="dxa"/>
              <w:bottom w:w="40" w:type="dxa"/>
              <w:right w:w="40" w:type="dxa"/>
            </w:tcMar>
            <w:vAlign w:val="bottom"/>
          </w:tcPr>
          <w:p w14:paraId="4ACE2E12" w14:textId="77777777" w:rsidR="006F587A" w:rsidRDefault="007B2B61">
            <w:pPr>
              <w:jc w:val="center"/>
              <w:textAlignment w:val="bottom"/>
              <w:rPr>
                <w:rFonts w:ascii="Times New Roman" w:hAnsi="Times New Roman"/>
                <w:sz w:val="18"/>
                <w:szCs w:val="18"/>
              </w:rPr>
            </w:pPr>
            <w:r>
              <w:rPr>
                <w:rFonts w:ascii="Arial" w:eastAsia="宋体" w:hAnsi="Arial" w:cs="Arial"/>
                <w:b/>
                <w:bCs/>
                <w:color w:val="FAAC16"/>
                <w:sz w:val="18"/>
                <w:szCs w:val="18"/>
              </w:rPr>
              <w:t>-</w:t>
            </w:r>
          </w:p>
        </w:tc>
        <w:tc>
          <w:tcPr>
            <w:tcW w:w="0" w:type="auto"/>
            <w:shd w:val="clear" w:color="auto" w:fill="auto"/>
            <w:tcMar>
              <w:top w:w="40" w:type="dxa"/>
              <w:left w:w="40" w:type="dxa"/>
              <w:bottom w:w="40" w:type="dxa"/>
              <w:right w:w="40" w:type="dxa"/>
            </w:tcMar>
            <w:vAlign w:val="bottom"/>
          </w:tcPr>
          <w:p w14:paraId="4ACE2E1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Profit-dependent compensation</w:t>
            </w:r>
          </w:p>
        </w:tc>
      </w:tr>
      <w:tr w:rsidR="006F587A" w14:paraId="4ACE2E17" w14:textId="77777777">
        <w:tc>
          <w:tcPr>
            <w:tcW w:w="0" w:type="auto"/>
            <w:shd w:val="clear" w:color="auto" w:fill="auto"/>
            <w:tcMar>
              <w:top w:w="40" w:type="dxa"/>
              <w:left w:w="40" w:type="dxa"/>
              <w:bottom w:w="40" w:type="dxa"/>
              <w:right w:w="40" w:type="dxa"/>
            </w:tcMar>
            <w:vAlign w:val="bottom"/>
          </w:tcPr>
          <w:p w14:paraId="4ACE2E15" w14:textId="77777777" w:rsidR="006F587A" w:rsidRDefault="007B2B61">
            <w:pPr>
              <w:jc w:val="center"/>
              <w:textAlignment w:val="bottom"/>
              <w:rPr>
                <w:rFonts w:ascii="Times New Roman" w:hAnsi="Times New Roman"/>
                <w:sz w:val="18"/>
                <w:szCs w:val="18"/>
              </w:rPr>
            </w:pPr>
            <w:r>
              <w:rPr>
                <w:rFonts w:ascii="Arial" w:eastAsia="宋体" w:hAnsi="Arial" w:cs="Arial"/>
                <w:b/>
                <w:bCs/>
                <w:color w:val="FAAC16"/>
                <w:sz w:val="18"/>
                <w:szCs w:val="18"/>
              </w:rPr>
              <w:t>-</w:t>
            </w:r>
          </w:p>
        </w:tc>
        <w:tc>
          <w:tcPr>
            <w:tcW w:w="0" w:type="auto"/>
            <w:shd w:val="clear" w:color="auto" w:fill="auto"/>
            <w:tcMar>
              <w:top w:w="40" w:type="dxa"/>
              <w:left w:w="40" w:type="dxa"/>
              <w:bottom w:w="40" w:type="dxa"/>
              <w:right w:w="40" w:type="dxa"/>
            </w:tcMar>
            <w:vAlign w:val="bottom"/>
          </w:tcPr>
          <w:p w14:paraId="4ACE2E1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Lower expenses due to the Wind River divestiture in Q2 2018</w:t>
            </w:r>
          </w:p>
        </w:tc>
      </w:tr>
      <w:tr w:rsidR="006F587A" w14:paraId="4ACE2E1A" w14:textId="77777777">
        <w:tc>
          <w:tcPr>
            <w:tcW w:w="0" w:type="auto"/>
            <w:shd w:val="clear" w:color="auto" w:fill="auto"/>
            <w:tcMar>
              <w:top w:w="40" w:type="dxa"/>
              <w:left w:w="40" w:type="dxa"/>
              <w:bottom w:w="40" w:type="dxa"/>
              <w:right w:w="40" w:type="dxa"/>
            </w:tcMar>
            <w:vAlign w:val="bottom"/>
          </w:tcPr>
          <w:p w14:paraId="4ACE2E1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E1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2E1C" w14:textId="77777777">
        <w:tc>
          <w:tcPr>
            <w:tcW w:w="0" w:type="auto"/>
            <w:gridSpan w:val="2"/>
            <w:shd w:val="clear" w:color="auto" w:fill="auto"/>
            <w:tcMar>
              <w:top w:w="40" w:type="dxa"/>
              <w:left w:w="40" w:type="dxa"/>
              <w:bottom w:w="40" w:type="dxa"/>
              <w:right w:w="40" w:type="dxa"/>
            </w:tcMar>
            <w:vAlign w:val="bottom"/>
          </w:tcPr>
          <w:p w14:paraId="4ACE2E1B" w14:textId="77777777" w:rsidR="006F587A" w:rsidRDefault="007B2B61">
            <w:pPr>
              <w:textAlignment w:val="bottom"/>
              <w:rPr>
                <w:rFonts w:ascii="Times New Roman" w:hAnsi="Times New Roman"/>
                <w:sz w:val="20"/>
                <w:szCs w:val="20"/>
              </w:rPr>
            </w:pPr>
            <w:r>
              <w:rPr>
                <w:rFonts w:ascii="Arial" w:eastAsia="宋体" w:hAnsi="Arial" w:cs="Arial"/>
                <w:b/>
                <w:bCs/>
                <w:color w:val="333333"/>
                <w:sz w:val="20"/>
                <w:szCs w:val="20"/>
              </w:rPr>
              <w:t>2018 – 2017</w:t>
            </w:r>
          </w:p>
        </w:tc>
      </w:tr>
      <w:tr w:rsidR="006F587A" w14:paraId="4ACE2E1F" w14:textId="77777777">
        <w:tc>
          <w:tcPr>
            <w:tcW w:w="0" w:type="auto"/>
            <w:shd w:val="clear" w:color="auto" w:fill="auto"/>
            <w:tcMar>
              <w:top w:w="40" w:type="dxa"/>
              <w:left w:w="40" w:type="dxa"/>
              <w:bottom w:w="40" w:type="dxa"/>
              <w:right w:w="40" w:type="dxa"/>
            </w:tcMar>
            <w:vAlign w:val="bottom"/>
          </w:tcPr>
          <w:p w14:paraId="4ACE2E1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E1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2E21" w14:textId="77777777">
        <w:tc>
          <w:tcPr>
            <w:tcW w:w="0" w:type="auto"/>
            <w:gridSpan w:val="2"/>
            <w:shd w:val="clear" w:color="auto" w:fill="auto"/>
            <w:tcMar>
              <w:top w:w="40" w:type="dxa"/>
              <w:left w:w="40" w:type="dxa"/>
              <w:bottom w:w="40" w:type="dxa"/>
              <w:right w:w="40" w:type="dxa"/>
            </w:tcMar>
            <w:vAlign w:val="bottom"/>
          </w:tcPr>
          <w:p w14:paraId="4ACE2E2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MG&amp;A spending decreased by $702 million, or 9%, driven by the following:</w:t>
            </w:r>
          </w:p>
        </w:tc>
      </w:tr>
      <w:tr w:rsidR="006F587A" w14:paraId="4ACE2E24" w14:textId="77777777">
        <w:tc>
          <w:tcPr>
            <w:tcW w:w="0" w:type="auto"/>
            <w:shd w:val="clear" w:color="auto" w:fill="auto"/>
            <w:tcMar>
              <w:top w:w="40" w:type="dxa"/>
              <w:left w:w="40" w:type="dxa"/>
              <w:bottom w:w="40" w:type="dxa"/>
              <w:right w:w="40" w:type="dxa"/>
            </w:tcMar>
            <w:vAlign w:val="bottom"/>
          </w:tcPr>
          <w:p w14:paraId="4ACE2E2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E2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2E27" w14:textId="77777777">
        <w:tc>
          <w:tcPr>
            <w:tcW w:w="0" w:type="auto"/>
            <w:shd w:val="clear" w:color="auto" w:fill="auto"/>
            <w:tcMar>
              <w:top w:w="40" w:type="dxa"/>
              <w:left w:w="40" w:type="dxa"/>
              <w:bottom w:w="40" w:type="dxa"/>
              <w:right w:w="40" w:type="dxa"/>
            </w:tcMar>
            <w:vAlign w:val="bottom"/>
          </w:tcPr>
          <w:p w14:paraId="4ACE2E25" w14:textId="77777777" w:rsidR="006F587A" w:rsidRDefault="007B2B61">
            <w:pPr>
              <w:jc w:val="center"/>
              <w:textAlignment w:val="bottom"/>
              <w:rPr>
                <w:rFonts w:ascii="Times New Roman" w:hAnsi="Times New Roman"/>
                <w:sz w:val="18"/>
                <w:szCs w:val="18"/>
              </w:rPr>
            </w:pPr>
            <w:r>
              <w:rPr>
                <w:rFonts w:ascii="Arial" w:eastAsia="宋体" w:hAnsi="Arial" w:cs="Arial"/>
                <w:b/>
                <w:bCs/>
                <w:color w:val="FAAC16"/>
                <w:sz w:val="18"/>
                <w:szCs w:val="18"/>
              </w:rPr>
              <w:t>-</w:t>
            </w:r>
          </w:p>
        </w:tc>
        <w:tc>
          <w:tcPr>
            <w:tcW w:w="0" w:type="auto"/>
            <w:shd w:val="clear" w:color="auto" w:fill="auto"/>
            <w:tcMar>
              <w:top w:w="40" w:type="dxa"/>
              <w:left w:w="40" w:type="dxa"/>
              <w:bottom w:w="40" w:type="dxa"/>
              <w:right w:w="40" w:type="dxa"/>
            </w:tcMar>
            <w:vAlign w:val="bottom"/>
          </w:tcPr>
          <w:p w14:paraId="4ACE2E2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Reduction in marketing programs</w:t>
            </w:r>
          </w:p>
        </w:tc>
      </w:tr>
      <w:tr w:rsidR="006F587A" w14:paraId="4ACE2E2A" w14:textId="77777777">
        <w:tc>
          <w:tcPr>
            <w:tcW w:w="0" w:type="auto"/>
            <w:shd w:val="clear" w:color="auto" w:fill="auto"/>
            <w:tcMar>
              <w:top w:w="40" w:type="dxa"/>
              <w:left w:w="40" w:type="dxa"/>
              <w:bottom w:w="40" w:type="dxa"/>
              <w:right w:w="40" w:type="dxa"/>
            </w:tcMar>
            <w:vAlign w:val="bottom"/>
          </w:tcPr>
          <w:p w14:paraId="4ACE2E28" w14:textId="77777777" w:rsidR="006F587A" w:rsidRDefault="007B2B61">
            <w:pPr>
              <w:jc w:val="center"/>
              <w:textAlignment w:val="bottom"/>
              <w:rPr>
                <w:rFonts w:ascii="Times New Roman" w:hAnsi="Times New Roman"/>
                <w:sz w:val="18"/>
                <w:szCs w:val="18"/>
              </w:rPr>
            </w:pPr>
            <w:r>
              <w:rPr>
                <w:rFonts w:ascii="Arial" w:eastAsia="宋体" w:hAnsi="Arial" w:cs="Arial"/>
                <w:b/>
                <w:bCs/>
                <w:color w:val="FAAC16"/>
                <w:sz w:val="18"/>
                <w:szCs w:val="18"/>
              </w:rPr>
              <w:t>-</w:t>
            </w:r>
          </w:p>
        </w:tc>
        <w:tc>
          <w:tcPr>
            <w:tcW w:w="0" w:type="auto"/>
            <w:shd w:val="clear" w:color="auto" w:fill="auto"/>
            <w:tcMar>
              <w:top w:w="40" w:type="dxa"/>
              <w:left w:w="40" w:type="dxa"/>
              <w:bottom w:w="40" w:type="dxa"/>
              <w:right w:w="40" w:type="dxa"/>
            </w:tcMar>
            <w:vAlign w:val="bottom"/>
          </w:tcPr>
          <w:p w14:paraId="4ACE2E2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Lower </w:t>
            </w:r>
            <w:r>
              <w:rPr>
                <w:rFonts w:ascii="Arial" w:eastAsia="宋体" w:hAnsi="Arial" w:cs="Arial"/>
                <w:color w:val="333333"/>
                <w:sz w:val="18"/>
                <w:szCs w:val="18"/>
              </w:rPr>
              <w:t>acquisition costs due to our 2017 acquisition of Mobileye</w:t>
            </w:r>
          </w:p>
        </w:tc>
      </w:tr>
      <w:tr w:rsidR="006F587A" w14:paraId="4ACE2E2D" w14:textId="77777777">
        <w:tc>
          <w:tcPr>
            <w:tcW w:w="0" w:type="auto"/>
            <w:shd w:val="clear" w:color="auto" w:fill="auto"/>
            <w:tcMar>
              <w:top w:w="40" w:type="dxa"/>
              <w:left w:w="40" w:type="dxa"/>
              <w:bottom w:w="40" w:type="dxa"/>
              <w:right w:w="40" w:type="dxa"/>
            </w:tcMar>
            <w:vAlign w:val="bottom"/>
          </w:tcPr>
          <w:p w14:paraId="4ACE2E2B" w14:textId="77777777" w:rsidR="006F587A" w:rsidRDefault="007B2B61">
            <w:pPr>
              <w:jc w:val="center"/>
              <w:textAlignment w:val="bottom"/>
              <w:rPr>
                <w:rFonts w:ascii="Times New Roman" w:hAnsi="Times New Roman"/>
                <w:sz w:val="18"/>
                <w:szCs w:val="18"/>
              </w:rPr>
            </w:pPr>
            <w:r>
              <w:rPr>
                <w:rFonts w:ascii="Arial" w:eastAsia="宋体" w:hAnsi="Arial" w:cs="Arial"/>
                <w:b/>
                <w:bCs/>
                <w:color w:val="FAAC16"/>
                <w:sz w:val="18"/>
                <w:szCs w:val="18"/>
              </w:rPr>
              <w:t>-</w:t>
            </w:r>
          </w:p>
        </w:tc>
        <w:tc>
          <w:tcPr>
            <w:tcW w:w="0" w:type="auto"/>
            <w:shd w:val="clear" w:color="auto" w:fill="auto"/>
            <w:tcMar>
              <w:top w:w="40" w:type="dxa"/>
              <w:left w:w="40" w:type="dxa"/>
              <w:bottom w:w="40" w:type="dxa"/>
              <w:right w:w="40" w:type="dxa"/>
            </w:tcMar>
            <w:vAlign w:val="bottom"/>
          </w:tcPr>
          <w:p w14:paraId="4ACE2E2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Lower expenses due to the divestiture of ISecG in Q2 2017 and Wind River in Q2 2018 </w:t>
            </w:r>
          </w:p>
        </w:tc>
      </w:tr>
      <w:tr w:rsidR="006F587A" w14:paraId="4ACE2E30" w14:textId="77777777">
        <w:tc>
          <w:tcPr>
            <w:tcW w:w="0" w:type="auto"/>
            <w:shd w:val="clear" w:color="auto" w:fill="auto"/>
            <w:tcMar>
              <w:top w:w="40" w:type="dxa"/>
              <w:left w:w="40" w:type="dxa"/>
              <w:bottom w:w="40" w:type="dxa"/>
              <w:right w:w="40" w:type="dxa"/>
            </w:tcMar>
            <w:vAlign w:val="bottom"/>
          </w:tcPr>
          <w:p w14:paraId="4ACE2E2E" w14:textId="77777777" w:rsidR="006F587A" w:rsidRDefault="007B2B61">
            <w:pPr>
              <w:jc w:val="center"/>
              <w:textAlignment w:val="bottom"/>
              <w:rPr>
                <w:rFonts w:ascii="Times New Roman" w:hAnsi="Times New Roman"/>
                <w:sz w:val="18"/>
                <w:szCs w:val="18"/>
              </w:rPr>
            </w:pPr>
            <w:r>
              <w:rPr>
                <w:rFonts w:ascii="Arial" w:eastAsia="宋体" w:hAnsi="Arial" w:cs="Arial"/>
                <w:b/>
                <w:bCs/>
                <w:color w:val="FAAC16"/>
                <w:sz w:val="18"/>
                <w:szCs w:val="18"/>
              </w:rPr>
              <w:t>-</w:t>
            </w:r>
          </w:p>
        </w:tc>
        <w:tc>
          <w:tcPr>
            <w:tcW w:w="0" w:type="auto"/>
            <w:shd w:val="clear" w:color="auto" w:fill="auto"/>
            <w:tcMar>
              <w:top w:w="40" w:type="dxa"/>
              <w:left w:w="40" w:type="dxa"/>
              <w:bottom w:w="40" w:type="dxa"/>
              <w:right w:w="40" w:type="dxa"/>
            </w:tcMar>
            <w:vAlign w:val="bottom"/>
          </w:tcPr>
          <w:p w14:paraId="4ACE2E2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Change to the Intel Inside</w:t>
            </w:r>
            <w:r>
              <w:rPr>
                <w:rFonts w:ascii="Arial" w:eastAsia="宋体" w:hAnsi="Arial" w:cs="Arial"/>
                <w:color w:val="333333"/>
                <w:sz w:val="12"/>
                <w:szCs w:val="12"/>
              </w:rPr>
              <w:t>®</w:t>
            </w:r>
            <w:r>
              <w:rPr>
                <w:rFonts w:ascii="Arial" w:eastAsia="宋体" w:hAnsi="Arial" w:cs="Arial"/>
                <w:color w:val="333333"/>
                <w:sz w:val="18"/>
                <w:szCs w:val="18"/>
              </w:rPr>
              <w:t> Program in 2017</w:t>
            </w:r>
          </w:p>
        </w:tc>
      </w:tr>
      <w:tr w:rsidR="006F587A" w14:paraId="4ACE2E33" w14:textId="77777777">
        <w:tc>
          <w:tcPr>
            <w:tcW w:w="0" w:type="auto"/>
            <w:shd w:val="clear" w:color="auto" w:fill="auto"/>
            <w:tcMar>
              <w:top w:w="40" w:type="dxa"/>
              <w:left w:w="40" w:type="dxa"/>
              <w:bottom w:w="40" w:type="dxa"/>
              <w:right w:w="40" w:type="dxa"/>
            </w:tcMar>
            <w:vAlign w:val="bottom"/>
          </w:tcPr>
          <w:p w14:paraId="4ACE2E31" w14:textId="77777777" w:rsidR="006F587A" w:rsidRDefault="007B2B61">
            <w:pPr>
              <w:jc w:val="center"/>
              <w:textAlignment w:val="bottom"/>
              <w:rPr>
                <w:rFonts w:ascii="Times New Roman" w:hAnsi="Times New Roman"/>
                <w:sz w:val="18"/>
                <w:szCs w:val="18"/>
              </w:rPr>
            </w:pPr>
            <w:r>
              <w:rPr>
                <w:rFonts w:ascii="Arial" w:eastAsia="宋体" w:hAnsi="Arial" w:cs="Arial"/>
                <w:b/>
                <w:bCs/>
                <w:color w:val="0094FF"/>
                <w:sz w:val="18"/>
                <w:szCs w:val="18"/>
              </w:rPr>
              <w:t>+</w:t>
            </w:r>
          </w:p>
        </w:tc>
        <w:tc>
          <w:tcPr>
            <w:tcW w:w="0" w:type="auto"/>
            <w:shd w:val="clear" w:color="auto" w:fill="auto"/>
            <w:tcMar>
              <w:top w:w="40" w:type="dxa"/>
              <w:left w:w="40" w:type="dxa"/>
              <w:bottom w:w="40" w:type="dxa"/>
              <w:right w:w="40" w:type="dxa"/>
            </w:tcMar>
            <w:vAlign w:val="bottom"/>
          </w:tcPr>
          <w:p w14:paraId="4ACE2E3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Olympics* sponsorship in 2018</w:t>
            </w:r>
          </w:p>
        </w:tc>
      </w:tr>
      <w:tr w:rsidR="006F587A" w14:paraId="4ACE2E36" w14:textId="77777777">
        <w:tc>
          <w:tcPr>
            <w:tcW w:w="0" w:type="auto"/>
            <w:shd w:val="clear" w:color="auto" w:fill="auto"/>
            <w:tcMar>
              <w:top w:w="40" w:type="dxa"/>
              <w:left w:w="40" w:type="dxa"/>
              <w:bottom w:w="40" w:type="dxa"/>
              <w:right w:w="40" w:type="dxa"/>
            </w:tcMar>
            <w:vAlign w:val="bottom"/>
          </w:tcPr>
          <w:p w14:paraId="4ACE2E34" w14:textId="77777777" w:rsidR="006F587A" w:rsidRDefault="007B2B61">
            <w:pPr>
              <w:jc w:val="center"/>
              <w:textAlignment w:val="bottom"/>
              <w:rPr>
                <w:rFonts w:ascii="Times New Roman" w:hAnsi="Times New Roman"/>
                <w:sz w:val="18"/>
                <w:szCs w:val="18"/>
              </w:rPr>
            </w:pPr>
            <w:r>
              <w:rPr>
                <w:rFonts w:ascii="Arial" w:eastAsia="宋体" w:hAnsi="Arial" w:cs="Arial"/>
                <w:b/>
                <w:bCs/>
                <w:color w:val="0094FF"/>
                <w:sz w:val="18"/>
                <w:szCs w:val="18"/>
              </w:rPr>
              <w:t>+</w:t>
            </w:r>
          </w:p>
        </w:tc>
        <w:tc>
          <w:tcPr>
            <w:tcW w:w="0" w:type="auto"/>
            <w:shd w:val="clear" w:color="auto" w:fill="auto"/>
            <w:tcMar>
              <w:top w:w="40" w:type="dxa"/>
              <w:left w:w="40" w:type="dxa"/>
              <w:bottom w:w="40" w:type="dxa"/>
              <w:right w:w="40" w:type="dxa"/>
            </w:tcMar>
            <w:vAlign w:val="bottom"/>
          </w:tcPr>
          <w:p w14:paraId="4ACE2E3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Profit-dependent compensation due to an increase in net income</w:t>
            </w:r>
          </w:p>
        </w:tc>
      </w:tr>
    </w:tbl>
    <w:p w14:paraId="4ACE2E37" w14:textId="77777777" w:rsidR="006F587A" w:rsidRDefault="006F587A">
      <w:pPr>
        <w:spacing w:line="288" w:lineRule="auto"/>
        <w:ind w:hanging="240"/>
        <w:rPr>
          <w:rFonts w:ascii="Times New Roman" w:hAnsi="Times New Roman"/>
          <w:sz w:val="18"/>
          <w:szCs w:val="18"/>
        </w:rPr>
      </w:pPr>
    </w:p>
    <w:p w14:paraId="4ACE2E38"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408"/>
        <w:gridCol w:w="2409"/>
        <w:gridCol w:w="3489"/>
      </w:tblGrid>
      <w:tr w:rsidR="006F587A" w14:paraId="4ACE2E3A" w14:textId="77777777">
        <w:tc>
          <w:tcPr>
            <w:tcW w:w="0" w:type="auto"/>
            <w:gridSpan w:val="3"/>
            <w:shd w:val="clear" w:color="auto" w:fill="auto"/>
            <w:vAlign w:val="center"/>
          </w:tcPr>
          <w:p w14:paraId="4ACE2E39" w14:textId="77777777" w:rsidR="006F587A" w:rsidRDefault="006F587A">
            <w:pPr>
              <w:rPr>
                <w:rFonts w:ascii="Times New Roman" w:hAnsi="Times New Roman"/>
                <w:sz w:val="20"/>
                <w:szCs w:val="20"/>
              </w:rPr>
            </w:pPr>
          </w:p>
        </w:tc>
      </w:tr>
      <w:tr w:rsidR="006F587A" w14:paraId="4ACE2E3E" w14:textId="77777777">
        <w:tc>
          <w:tcPr>
            <w:tcW w:w="1450" w:type="pct"/>
            <w:shd w:val="clear" w:color="auto" w:fill="auto"/>
            <w:vAlign w:val="center"/>
          </w:tcPr>
          <w:p w14:paraId="4ACE2E3B" w14:textId="77777777" w:rsidR="006F587A" w:rsidRDefault="006F587A">
            <w:pPr>
              <w:rPr>
                <w:rFonts w:ascii="Times New Roman" w:hAnsi="Times New Roman"/>
                <w:sz w:val="20"/>
                <w:szCs w:val="20"/>
              </w:rPr>
            </w:pPr>
          </w:p>
        </w:tc>
        <w:tc>
          <w:tcPr>
            <w:tcW w:w="1450" w:type="pct"/>
            <w:shd w:val="clear" w:color="auto" w:fill="auto"/>
            <w:vAlign w:val="center"/>
          </w:tcPr>
          <w:p w14:paraId="4ACE2E3C" w14:textId="77777777" w:rsidR="006F587A" w:rsidRDefault="006F587A">
            <w:pPr>
              <w:rPr>
                <w:rFonts w:ascii="Times New Roman" w:hAnsi="Times New Roman"/>
                <w:sz w:val="20"/>
                <w:szCs w:val="20"/>
              </w:rPr>
            </w:pPr>
          </w:p>
        </w:tc>
        <w:tc>
          <w:tcPr>
            <w:tcW w:w="2100" w:type="pct"/>
            <w:shd w:val="clear" w:color="auto" w:fill="auto"/>
            <w:vAlign w:val="center"/>
          </w:tcPr>
          <w:p w14:paraId="4ACE2E3D" w14:textId="77777777" w:rsidR="006F587A" w:rsidRDefault="006F587A">
            <w:pPr>
              <w:rPr>
                <w:rFonts w:ascii="Times New Roman" w:hAnsi="Times New Roman"/>
                <w:sz w:val="20"/>
                <w:szCs w:val="20"/>
              </w:rPr>
            </w:pPr>
          </w:p>
        </w:tc>
      </w:tr>
      <w:tr w:rsidR="006F587A" w14:paraId="4ACE2E42"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2E3F" w14:textId="77777777" w:rsidR="006F587A" w:rsidRDefault="007B2B61">
            <w:pPr>
              <w:textAlignment w:val="center"/>
              <w:rPr>
                <w:rFonts w:ascii="Times New Roman" w:hAnsi="Times New Roman"/>
                <w:sz w:val="18"/>
                <w:szCs w:val="18"/>
              </w:rPr>
            </w:pP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Viewer12_files/a001intellogo_coverfooter.jpg"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D52" wp14:editId="4ACE6D53">
                  <wp:extent cx="304800" cy="304800"/>
                  <wp:effectExtent l="0" t="0" r="0" b="0"/>
                  <wp:docPr id="189" name="图片 210"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210"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r>
              <w:rPr>
                <w:rFonts w:ascii="Arial" w:eastAsia="宋体" w:hAnsi="Arial" w:cs="Arial"/>
                <w:color w:val="333333"/>
                <w:sz w:val="18"/>
                <w:szCs w:val="18"/>
              </w:rPr>
              <w:t>  </w:t>
            </w:r>
            <w:r>
              <w:rPr>
                <w:rFonts w:ascii="Arial" w:eastAsia="宋体" w:hAnsi="Arial" w:cs="Arial"/>
                <w:color w:val="333333"/>
                <w:sz w:val="16"/>
                <w:szCs w:val="16"/>
              </w:rPr>
              <w:t>MD&amp;A</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E4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E41"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38</w:t>
            </w:r>
          </w:p>
        </w:tc>
      </w:tr>
    </w:tbl>
    <w:p w14:paraId="4ACE2E43" w14:textId="77777777" w:rsidR="006F587A" w:rsidRDefault="007B2B61">
      <w:r>
        <w:pict w14:anchorId="4ACE6D54">
          <v:rect id="_x0000_i1064" style="width:415.3pt;height:1.5pt" o:hralign="center" o:hrstd="t" o:hr="t" fillcolor="#a0a0a0" stroked="f"/>
        </w:pict>
      </w:r>
    </w:p>
    <w:p w14:paraId="4ACE2E44" w14:textId="77777777" w:rsidR="006F587A" w:rsidRDefault="007B2B61">
      <w:pPr>
        <w:spacing w:line="288" w:lineRule="auto"/>
        <w:jc w:val="right"/>
        <w:rPr>
          <w:rFonts w:ascii="Times New Roman" w:hAnsi="Times New Roman"/>
          <w:sz w:val="16"/>
          <w:szCs w:val="16"/>
        </w:rPr>
      </w:pPr>
      <w:hyperlink r:id="rId71" w:anchor="s9DB683E2CF52561EB8A73BE37F5BF9BE" w:history="1">
        <w:r>
          <w:rPr>
            <w:rStyle w:val="a5"/>
            <w:rFonts w:ascii="Arial" w:eastAsia="宋体" w:hAnsi="Arial" w:cs="Arial"/>
            <w:b/>
            <w:bCs/>
            <w:sz w:val="16"/>
            <w:szCs w:val="16"/>
          </w:rPr>
          <w:t>Table of Contents</w:t>
        </w:r>
      </w:hyperlink>
    </w:p>
    <w:p w14:paraId="4ACE2E45" w14:textId="77777777" w:rsidR="006F587A" w:rsidRDefault="006F587A">
      <w:pPr>
        <w:spacing w:line="288" w:lineRule="auto"/>
        <w:jc w:val="right"/>
        <w:rPr>
          <w:rFonts w:ascii="Times New Roman" w:hAnsi="Times New Roman"/>
          <w:sz w:val="16"/>
          <w:szCs w:val="16"/>
        </w:rPr>
      </w:pPr>
    </w:p>
    <w:p w14:paraId="4ACE2E46" w14:textId="77777777" w:rsidR="006F587A" w:rsidRDefault="006F587A">
      <w:pPr>
        <w:rPr>
          <w:rFonts w:ascii="Times New Roman" w:hAnsi="Times New Roman"/>
          <w:sz w:val="20"/>
          <w:szCs w:val="20"/>
        </w:rPr>
      </w:pPr>
    </w:p>
    <w:p w14:paraId="4ACE2E47" w14:textId="77777777" w:rsidR="006F587A" w:rsidRDefault="006F587A">
      <w:pPr>
        <w:spacing w:line="288" w:lineRule="auto"/>
        <w:rPr>
          <w:rFonts w:ascii="Times New Roman" w:hAnsi="Times New Roman"/>
          <w:sz w:val="18"/>
          <w:szCs w:val="18"/>
        </w:rPr>
      </w:pPr>
    </w:p>
    <w:p w14:paraId="4ACE2E48" w14:textId="77777777" w:rsidR="006F587A" w:rsidRDefault="007B2B61">
      <w:pPr>
        <w:spacing w:line="288" w:lineRule="auto"/>
        <w:rPr>
          <w:rFonts w:ascii="Times New Roman" w:hAnsi="Times New Roman"/>
          <w:sz w:val="28"/>
          <w:szCs w:val="28"/>
        </w:rPr>
      </w:pPr>
      <w:r>
        <w:rPr>
          <w:rFonts w:ascii="Arial" w:eastAsia="宋体" w:hAnsi="Arial" w:cs="Arial"/>
          <w:b/>
          <w:bCs/>
          <w:color w:val="0071C5"/>
          <w:sz w:val="28"/>
          <w:szCs w:val="28"/>
        </w:rPr>
        <w:t>GAINS (LOSSES) ON EQUITY INVESTMENTS AND INTEREST AND OTHER, NET</w:t>
      </w:r>
    </w:p>
    <w:tbl>
      <w:tblPr>
        <w:tblW w:w="5000" w:type="pct"/>
        <w:tblCellMar>
          <w:left w:w="0" w:type="dxa"/>
          <w:right w:w="0" w:type="dxa"/>
        </w:tblCellMar>
        <w:tblLook w:val="04A0" w:firstRow="1" w:lastRow="0" w:firstColumn="1" w:lastColumn="0" w:noHBand="0" w:noVBand="1"/>
      </w:tblPr>
      <w:tblGrid>
        <w:gridCol w:w="4974"/>
        <w:gridCol w:w="130"/>
        <w:gridCol w:w="142"/>
        <w:gridCol w:w="738"/>
        <w:gridCol w:w="100"/>
        <w:gridCol w:w="130"/>
        <w:gridCol w:w="142"/>
        <w:gridCol w:w="739"/>
        <w:gridCol w:w="100"/>
        <w:gridCol w:w="130"/>
        <w:gridCol w:w="142"/>
        <w:gridCol w:w="739"/>
        <w:gridCol w:w="100"/>
      </w:tblGrid>
      <w:tr w:rsidR="006F587A" w14:paraId="4ACE2E4A" w14:textId="77777777">
        <w:tc>
          <w:tcPr>
            <w:tcW w:w="0" w:type="auto"/>
            <w:gridSpan w:val="13"/>
            <w:shd w:val="clear" w:color="auto" w:fill="auto"/>
            <w:vAlign w:val="center"/>
          </w:tcPr>
          <w:p w14:paraId="4ACE2E49" w14:textId="77777777" w:rsidR="006F587A" w:rsidRDefault="006F587A">
            <w:pPr>
              <w:rPr>
                <w:rFonts w:ascii="Times New Roman" w:hAnsi="Times New Roman"/>
                <w:sz w:val="20"/>
                <w:szCs w:val="20"/>
              </w:rPr>
            </w:pPr>
          </w:p>
        </w:tc>
      </w:tr>
      <w:tr w:rsidR="006F587A" w14:paraId="4ACE2E58" w14:textId="77777777">
        <w:tc>
          <w:tcPr>
            <w:tcW w:w="3050" w:type="pct"/>
            <w:shd w:val="clear" w:color="auto" w:fill="auto"/>
            <w:vAlign w:val="center"/>
          </w:tcPr>
          <w:p w14:paraId="4ACE2E4B" w14:textId="77777777" w:rsidR="006F587A" w:rsidRDefault="006F587A">
            <w:pPr>
              <w:rPr>
                <w:rFonts w:ascii="Times New Roman" w:hAnsi="Times New Roman"/>
                <w:sz w:val="20"/>
                <w:szCs w:val="20"/>
              </w:rPr>
            </w:pPr>
          </w:p>
        </w:tc>
        <w:tc>
          <w:tcPr>
            <w:tcW w:w="50" w:type="pct"/>
            <w:shd w:val="clear" w:color="auto" w:fill="auto"/>
            <w:vAlign w:val="center"/>
          </w:tcPr>
          <w:p w14:paraId="4ACE2E4C" w14:textId="77777777" w:rsidR="006F587A" w:rsidRDefault="006F587A">
            <w:pPr>
              <w:rPr>
                <w:rFonts w:ascii="Times New Roman" w:hAnsi="Times New Roman"/>
                <w:sz w:val="20"/>
                <w:szCs w:val="20"/>
              </w:rPr>
            </w:pPr>
          </w:p>
        </w:tc>
        <w:tc>
          <w:tcPr>
            <w:tcW w:w="50" w:type="pct"/>
            <w:shd w:val="clear" w:color="auto" w:fill="auto"/>
            <w:vAlign w:val="center"/>
          </w:tcPr>
          <w:p w14:paraId="4ACE2E4D" w14:textId="77777777" w:rsidR="006F587A" w:rsidRDefault="006F587A">
            <w:pPr>
              <w:rPr>
                <w:rFonts w:ascii="Times New Roman" w:hAnsi="Times New Roman"/>
                <w:sz w:val="20"/>
                <w:szCs w:val="20"/>
              </w:rPr>
            </w:pPr>
          </w:p>
        </w:tc>
        <w:tc>
          <w:tcPr>
            <w:tcW w:w="500" w:type="pct"/>
            <w:shd w:val="clear" w:color="auto" w:fill="auto"/>
            <w:vAlign w:val="center"/>
          </w:tcPr>
          <w:p w14:paraId="4ACE2E4E" w14:textId="77777777" w:rsidR="006F587A" w:rsidRDefault="006F587A">
            <w:pPr>
              <w:rPr>
                <w:rFonts w:ascii="Times New Roman" w:hAnsi="Times New Roman"/>
                <w:sz w:val="20"/>
                <w:szCs w:val="20"/>
              </w:rPr>
            </w:pPr>
          </w:p>
        </w:tc>
        <w:tc>
          <w:tcPr>
            <w:tcW w:w="50" w:type="pct"/>
            <w:shd w:val="clear" w:color="auto" w:fill="auto"/>
            <w:vAlign w:val="center"/>
          </w:tcPr>
          <w:p w14:paraId="4ACE2E4F" w14:textId="77777777" w:rsidR="006F587A" w:rsidRDefault="006F587A">
            <w:pPr>
              <w:rPr>
                <w:rFonts w:ascii="Times New Roman" w:hAnsi="Times New Roman"/>
                <w:sz w:val="20"/>
                <w:szCs w:val="20"/>
              </w:rPr>
            </w:pPr>
          </w:p>
        </w:tc>
        <w:tc>
          <w:tcPr>
            <w:tcW w:w="50" w:type="pct"/>
            <w:shd w:val="clear" w:color="auto" w:fill="auto"/>
            <w:vAlign w:val="center"/>
          </w:tcPr>
          <w:p w14:paraId="4ACE2E50" w14:textId="77777777" w:rsidR="006F587A" w:rsidRDefault="006F587A">
            <w:pPr>
              <w:rPr>
                <w:rFonts w:ascii="Times New Roman" w:hAnsi="Times New Roman"/>
                <w:sz w:val="20"/>
                <w:szCs w:val="20"/>
              </w:rPr>
            </w:pPr>
          </w:p>
        </w:tc>
        <w:tc>
          <w:tcPr>
            <w:tcW w:w="50" w:type="pct"/>
            <w:shd w:val="clear" w:color="auto" w:fill="auto"/>
            <w:vAlign w:val="center"/>
          </w:tcPr>
          <w:p w14:paraId="4ACE2E51" w14:textId="77777777" w:rsidR="006F587A" w:rsidRDefault="006F587A">
            <w:pPr>
              <w:rPr>
                <w:rFonts w:ascii="Times New Roman" w:hAnsi="Times New Roman"/>
                <w:sz w:val="20"/>
                <w:szCs w:val="20"/>
              </w:rPr>
            </w:pPr>
          </w:p>
        </w:tc>
        <w:tc>
          <w:tcPr>
            <w:tcW w:w="500" w:type="pct"/>
            <w:shd w:val="clear" w:color="auto" w:fill="auto"/>
            <w:vAlign w:val="center"/>
          </w:tcPr>
          <w:p w14:paraId="4ACE2E52" w14:textId="77777777" w:rsidR="006F587A" w:rsidRDefault="006F587A">
            <w:pPr>
              <w:rPr>
                <w:rFonts w:ascii="Times New Roman" w:hAnsi="Times New Roman"/>
                <w:sz w:val="20"/>
                <w:szCs w:val="20"/>
              </w:rPr>
            </w:pPr>
          </w:p>
        </w:tc>
        <w:tc>
          <w:tcPr>
            <w:tcW w:w="50" w:type="pct"/>
            <w:shd w:val="clear" w:color="auto" w:fill="auto"/>
            <w:vAlign w:val="center"/>
          </w:tcPr>
          <w:p w14:paraId="4ACE2E53" w14:textId="77777777" w:rsidR="006F587A" w:rsidRDefault="006F587A">
            <w:pPr>
              <w:rPr>
                <w:rFonts w:ascii="Times New Roman" w:hAnsi="Times New Roman"/>
                <w:sz w:val="20"/>
                <w:szCs w:val="20"/>
              </w:rPr>
            </w:pPr>
          </w:p>
        </w:tc>
        <w:tc>
          <w:tcPr>
            <w:tcW w:w="50" w:type="pct"/>
            <w:shd w:val="clear" w:color="auto" w:fill="auto"/>
            <w:vAlign w:val="center"/>
          </w:tcPr>
          <w:p w14:paraId="4ACE2E54" w14:textId="77777777" w:rsidR="006F587A" w:rsidRDefault="006F587A">
            <w:pPr>
              <w:rPr>
                <w:rFonts w:ascii="Times New Roman" w:hAnsi="Times New Roman"/>
                <w:sz w:val="20"/>
                <w:szCs w:val="20"/>
              </w:rPr>
            </w:pPr>
          </w:p>
        </w:tc>
        <w:tc>
          <w:tcPr>
            <w:tcW w:w="50" w:type="pct"/>
            <w:shd w:val="clear" w:color="auto" w:fill="auto"/>
            <w:vAlign w:val="center"/>
          </w:tcPr>
          <w:p w14:paraId="4ACE2E55" w14:textId="77777777" w:rsidR="006F587A" w:rsidRDefault="006F587A">
            <w:pPr>
              <w:rPr>
                <w:rFonts w:ascii="Times New Roman" w:hAnsi="Times New Roman"/>
                <w:sz w:val="20"/>
                <w:szCs w:val="20"/>
              </w:rPr>
            </w:pPr>
          </w:p>
        </w:tc>
        <w:tc>
          <w:tcPr>
            <w:tcW w:w="500" w:type="pct"/>
            <w:shd w:val="clear" w:color="auto" w:fill="auto"/>
            <w:vAlign w:val="center"/>
          </w:tcPr>
          <w:p w14:paraId="4ACE2E56" w14:textId="77777777" w:rsidR="006F587A" w:rsidRDefault="006F587A">
            <w:pPr>
              <w:rPr>
                <w:rFonts w:ascii="Times New Roman" w:hAnsi="Times New Roman"/>
                <w:sz w:val="20"/>
                <w:szCs w:val="20"/>
              </w:rPr>
            </w:pPr>
          </w:p>
        </w:tc>
        <w:tc>
          <w:tcPr>
            <w:tcW w:w="50" w:type="pct"/>
            <w:shd w:val="clear" w:color="auto" w:fill="auto"/>
            <w:vAlign w:val="center"/>
          </w:tcPr>
          <w:p w14:paraId="4ACE2E57" w14:textId="77777777" w:rsidR="006F587A" w:rsidRDefault="006F587A">
            <w:pPr>
              <w:rPr>
                <w:rFonts w:ascii="Times New Roman" w:hAnsi="Times New Roman"/>
                <w:sz w:val="20"/>
                <w:szCs w:val="20"/>
              </w:rPr>
            </w:pPr>
          </w:p>
        </w:tc>
      </w:tr>
      <w:tr w:rsidR="006F587A" w14:paraId="4ACE2E60"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2E59"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Years Ended (In Millions)</w:t>
            </w:r>
          </w:p>
        </w:tc>
        <w:tc>
          <w:tcPr>
            <w:tcW w:w="0" w:type="auto"/>
            <w:shd w:val="clear" w:color="auto" w:fill="auto"/>
            <w:tcMar>
              <w:top w:w="40" w:type="dxa"/>
              <w:left w:w="40" w:type="dxa"/>
              <w:bottom w:w="40" w:type="dxa"/>
              <w:right w:w="40" w:type="dxa"/>
            </w:tcMar>
            <w:vAlign w:val="bottom"/>
          </w:tcPr>
          <w:p w14:paraId="4ACE2E5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2E5B"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28, </w:t>
            </w:r>
            <w:r>
              <w:rPr>
                <w:rFonts w:ascii="Arial" w:eastAsia="宋体" w:hAnsi="Arial" w:cs="Arial"/>
                <w:b/>
                <w:bCs/>
                <w:color w:val="333333"/>
                <w:sz w:val="18"/>
                <w:szCs w:val="18"/>
              </w:rPr>
              <w:br/>
              <w:t>2019</w:t>
            </w:r>
          </w:p>
        </w:tc>
        <w:tc>
          <w:tcPr>
            <w:tcW w:w="0" w:type="auto"/>
            <w:shd w:val="clear" w:color="auto" w:fill="auto"/>
            <w:tcMar>
              <w:top w:w="40" w:type="dxa"/>
              <w:left w:w="40" w:type="dxa"/>
              <w:bottom w:w="40" w:type="dxa"/>
              <w:right w:w="40" w:type="dxa"/>
            </w:tcMar>
            <w:vAlign w:val="bottom"/>
          </w:tcPr>
          <w:p w14:paraId="4ACE2E5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2E5D"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29, </w:t>
            </w:r>
            <w:r>
              <w:rPr>
                <w:rFonts w:ascii="Arial" w:eastAsia="宋体" w:hAnsi="Arial" w:cs="Arial"/>
                <w:b/>
                <w:bCs/>
                <w:color w:val="333333"/>
                <w:sz w:val="18"/>
                <w:szCs w:val="18"/>
              </w:rPr>
              <w:br/>
              <w:t>2018</w:t>
            </w:r>
          </w:p>
        </w:tc>
        <w:tc>
          <w:tcPr>
            <w:tcW w:w="0" w:type="auto"/>
            <w:shd w:val="clear" w:color="auto" w:fill="auto"/>
            <w:tcMar>
              <w:top w:w="40" w:type="dxa"/>
              <w:left w:w="40" w:type="dxa"/>
              <w:bottom w:w="40" w:type="dxa"/>
              <w:right w:w="40" w:type="dxa"/>
            </w:tcMar>
            <w:vAlign w:val="bottom"/>
          </w:tcPr>
          <w:p w14:paraId="4ACE2E5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2E5F"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30, </w:t>
            </w:r>
            <w:r>
              <w:rPr>
                <w:rFonts w:ascii="Arial" w:eastAsia="宋体" w:hAnsi="Arial" w:cs="Arial"/>
                <w:b/>
                <w:bCs/>
                <w:color w:val="333333"/>
                <w:sz w:val="18"/>
                <w:szCs w:val="18"/>
              </w:rPr>
              <w:br/>
              <w:t>2017</w:t>
            </w:r>
          </w:p>
        </w:tc>
      </w:tr>
      <w:tr w:rsidR="006F587A" w14:paraId="4ACE2E6E"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2E61" w14:textId="77777777" w:rsidR="006F587A" w:rsidRDefault="007B2B61">
            <w:pPr>
              <w:textAlignment w:val="center"/>
              <w:rPr>
                <w:rFonts w:ascii="Times New Roman" w:hAnsi="Times New Roman"/>
                <w:sz w:val="18"/>
                <w:szCs w:val="18"/>
              </w:rPr>
            </w:pPr>
            <w:r>
              <w:rPr>
                <w:rFonts w:ascii="Arial" w:eastAsia="宋体" w:hAnsi="Arial" w:cs="Arial"/>
                <w:color w:val="333333"/>
                <w:sz w:val="18"/>
                <w:szCs w:val="18"/>
              </w:rPr>
              <w:t>Ongoing mark-to-market adjustments on marketable equity securities</w:t>
            </w:r>
          </w:p>
        </w:tc>
        <w:tc>
          <w:tcPr>
            <w:tcW w:w="0" w:type="auto"/>
            <w:shd w:val="clear" w:color="auto" w:fill="auto"/>
            <w:tcMar>
              <w:top w:w="40" w:type="dxa"/>
              <w:left w:w="40" w:type="dxa"/>
              <w:bottom w:w="40" w:type="dxa"/>
              <w:right w:w="40" w:type="dxa"/>
            </w:tcMar>
            <w:vAlign w:val="bottom"/>
          </w:tcPr>
          <w:p w14:paraId="4ACE2E6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2E63"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tcBorders>
              <w:top w:val="single" w:sz="8" w:space="0" w:color="0071C5"/>
            </w:tcBorders>
            <w:shd w:val="clear" w:color="auto" w:fill="auto"/>
            <w:tcMar>
              <w:top w:w="40" w:type="dxa"/>
              <w:bottom w:w="40" w:type="dxa"/>
            </w:tcMar>
            <w:vAlign w:val="bottom"/>
          </w:tcPr>
          <w:p w14:paraId="4ACE2E64"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277</w:t>
            </w:r>
          </w:p>
        </w:tc>
        <w:tc>
          <w:tcPr>
            <w:tcW w:w="0" w:type="auto"/>
            <w:tcBorders>
              <w:top w:val="single" w:sz="8" w:space="0" w:color="0071C5"/>
            </w:tcBorders>
            <w:shd w:val="clear" w:color="auto" w:fill="auto"/>
            <w:vAlign w:val="bottom"/>
          </w:tcPr>
          <w:p w14:paraId="4ACE2E6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E6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2E6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tcMar>
            <w:vAlign w:val="bottom"/>
          </w:tcPr>
          <w:p w14:paraId="4ACE2E6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(129</w:t>
            </w:r>
          </w:p>
        </w:tc>
        <w:tc>
          <w:tcPr>
            <w:tcW w:w="0" w:type="auto"/>
            <w:tcBorders>
              <w:top w:val="single" w:sz="8" w:space="0" w:color="0071C5"/>
            </w:tcBorders>
            <w:shd w:val="clear" w:color="auto" w:fill="auto"/>
            <w:tcMar>
              <w:top w:w="40" w:type="dxa"/>
              <w:bottom w:w="40" w:type="dxa"/>
              <w:right w:w="40" w:type="dxa"/>
            </w:tcMar>
            <w:vAlign w:val="bottom"/>
          </w:tcPr>
          <w:p w14:paraId="4ACE2E6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2E6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2E6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tcMar>
            <w:vAlign w:val="bottom"/>
          </w:tcPr>
          <w:p w14:paraId="4ACE2E6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tcBorders>
              <w:top w:val="single" w:sz="8" w:space="0" w:color="0071C5"/>
            </w:tcBorders>
            <w:shd w:val="clear" w:color="auto" w:fill="auto"/>
            <w:vAlign w:val="bottom"/>
          </w:tcPr>
          <w:p w14:paraId="4ACE2E6D" w14:textId="77777777" w:rsidR="006F587A" w:rsidRDefault="006F587A">
            <w:pPr>
              <w:textAlignment w:val="bottom"/>
              <w:rPr>
                <w:rFonts w:ascii="Times New Roman" w:hAnsi="Times New Roman"/>
                <w:sz w:val="20"/>
                <w:szCs w:val="20"/>
              </w:rPr>
            </w:pPr>
          </w:p>
        </w:tc>
      </w:tr>
      <w:tr w:rsidR="006F587A" w14:paraId="4ACE2E79" w14:textId="77777777">
        <w:tc>
          <w:tcPr>
            <w:tcW w:w="0" w:type="auto"/>
            <w:shd w:val="clear" w:color="auto" w:fill="auto"/>
            <w:tcMar>
              <w:top w:w="40" w:type="dxa"/>
              <w:left w:w="40" w:type="dxa"/>
              <w:bottom w:w="40" w:type="dxa"/>
              <w:right w:w="40" w:type="dxa"/>
            </w:tcMar>
            <w:vAlign w:val="bottom"/>
          </w:tcPr>
          <w:p w14:paraId="4ACE2E6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Observable price adjustments on non-marketable equity securities </w:t>
            </w:r>
          </w:p>
        </w:tc>
        <w:tc>
          <w:tcPr>
            <w:tcW w:w="0" w:type="auto"/>
            <w:shd w:val="clear" w:color="auto" w:fill="auto"/>
            <w:tcMar>
              <w:top w:w="40" w:type="dxa"/>
              <w:left w:w="40" w:type="dxa"/>
              <w:bottom w:w="40" w:type="dxa"/>
              <w:right w:w="40" w:type="dxa"/>
            </w:tcMar>
            <w:vAlign w:val="bottom"/>
          </w:tcPr>
          <w:p w14:paraId="4ACE2E7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2E71"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293</w:t>
            </w:r>
          </w:p>
        </w:tc>
        <w:tc>
          <w:tcPr>
            <w:tcW w:w="0" w:type="auto"/>
            <w:shd w:val="clear" w:color="auto" w:fill="auto"/>
            <w:vAlign w:val="bottom"/>
          </w:tcPr>
          <w:p w14:paraId="4ACE2E7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E7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2E7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202</w:t>
            </w:r>
          </w:p>
        </w:tc>
        <w:tc>
          <w:tcPr>
            <w:tcW w:w="0" w:type="auto"/>
            <w:shd w:val="clear" w:color="auto" w:fill="auto"/>
            <w:vAlign w:val="bottom"/>
          </w:tcPr>
          <w:p w14:paraId="4ACE2E7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E7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2E7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2E78" w14:textId="77777777" w:rsidR="006F587A" w:rsidRDefault="006F587A">
            <w:pPr>
              <w:textAlignment w:val="bottom"/>
              <w:rPr>
                <w:rFonts w:ascii="Times New Roman" w:hAnsi="Times New Roman"/>
                <w:sz w:val="20"/>
                <w:szCs w:val="20"/>
              </w:rPr>
            </w:pPr>
          </w:p>
        </w:tc>
      </w:tr>
      <w:tr w:rsidR="006F587A" w14:paraId="4ACE2E84" w14:textId="77777777">
        <w:tc>
          <w:tcPr>
            <w:tcW w:w="0" w:type="auto"/>
            <w:shd w:val="clear" w:color="auto" w:fill="auto"/>
            <w:tcMar>
              <w:top w:w="40" w:type="dxa"/>
              <w:left w:w="40" w:type="dxa"/>
              <w:bottom w:w="40" w:type="dxa"/>
              <w:right w:w="40" w:type="dxa"/>
            </w:tcMar>
            <w:vAlign w:val="bottom"/>
          </w:tcPr>
          <w:p w14:paraId="4ACE2E7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Impairment charges</w:t>
            </w:r>
          </w:p>
        </w:tc>
        <w:tc>
          <w:tcPr>
            <w:tcW w:w="0" w:type="auto"/>
            <w:shd w:val="clear" w:color="auto" w:fill="auto"/>
            <w:tcMar>
              <w:top w:w="40" w:type="dxa"/>
              <w:left w:w="40" w:type="dxa"/>
              <w:bottom w:w="40" w:type="dxa"/>
              <w:right w:w="40" w:type="dxa"/>
            </w:tcMar>
            <w:vAlign w:val="bottom"/>
          </w:tcPr>
          <w:p w14:paraId="4ACE2E7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2E7C"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(122</w:t>
            </w:r>
          </w:p>
        </w:tc>
        <w:tc>
          <w:tcPr>
            <w:tcW w:w="0" w:type="auto"/>
            <w:shd w:val="clear" w:color="auto" w:fill="auto"/>
            <w:tcMar>
              <w:top w:w="40" w:type="dxa"/>
              <w:bottom w:w="40" w:type="dxa"/>
              <w:right w:w="40" w:type="dxa"/>
            </w:tcMar>
            <w:vAlign w:val="bottom"/>
          </w:tcPr>
          <w:p w14:paraId="4ACE2E7D"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2E7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2E7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(424</w:t>
            </w:r>
          </w:p>
        </w:tc>
        <w:tc>
          <w:tcPr>
            <w:tcW w:w="0" w:type="auto"/>
            <w:shd w:val="clear" w:color="auto" w:fill="auto"/>
            <w:tcMar>
              <w:top w:w="40" w:type="dxa"/>
              <w:bottom w:w="40" w:type="dxa"/>
              <w:right w:w="40" w:type="dxa"/>
            </w:tcMar>
            <w:vAlign w:val="bottom"/>
          </w:tcPr>
          <w:p w14:paraId="4ACE2E8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2E8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2E8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(833</w:t>
            </w:r>
          </w:p>
        </w:tc>
        <w:tc>
          <w:tcPr>
            <w:tcW w:w="0" w:type="auto"/>
            <w:shd w:val="clear" w:color="auto" w:fill="auto"/>
            <w:tcMar>
              <w:top w:w="40" w:type="dxa"/>
              <w:bottom w:w="40" w:type="dxa"/>
              <w:right w:w="40" w:type="dxa"/>
            </w:tcMar>
            <w:vAlign w:val="bottom"/>
          </w:tcPr>
          <w:p w14:paraId="4ACE2E8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2E8F" w14:textId="77777777">
        <w:tc>
          <w:tcPr>
            <w:tcW w:w="0" w:type="auto"/>
            <w:shd w:val="clear" w:color="auto" w:fill="auto"/>
            <w:tcMar>
              <w:top w:w="40" w:type="dxa"/>
              <w:left w:w="40" w:type="dxa"/>
              <w:bottom w:w="40" w:type="dxa"/>
              <w:right w:w="40" w:type="dxa"/>
            </w:tcMar>
            <w:vAlign w:val="bottom"/>
          </w:tcPr>
          <w:p w14:paraId="4ACE2E8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Sale of equity investments and other</w:t>
            </w:r>
            <w:r>
              <w:rPr>
                <w:rFonts w:ascii="Arial" w:eastAsia="宋体" w:hAnsi="Arial" w:cs="Arial"/>
                <w:color w:val="333333"/>
                <w:sz w:val="12"/>
                <w:szCs w:val="12"/>
              </w:rPr>
              <w:t> </w:t>
            </w:r>
          </w:p>
        </w:tc>
        <w:tc>
          <w:tcPr>
            <w:tcW w:w="0" w:type="auto"/>
            <w:shd w:val="clear" w:color="auto" w:fill="auto"/>
            <w:tcMar>
              <w:top w:w="40" w:type="dxa"/>
              <w:left w:w="40" w:type="dxa"/>
              <w:bottom w:w="40" w:type="dxa"/>
              <w:right w:w="40" w:type="dxa"/>
            </w:tcMar>
            <w:vAlign w:val="bottom"/>
          </w:tcPr>
          <w:p w14:paraId="4ACE2E8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2E87"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1,091</w:t>
            </w:r>
          </w:p>
        </w:tc>
        <w:tc>
          <w:tcPr>
            <w:tcW w:w="0" w:type="auto"/>
            <w:shd w:val="clear" w:color="auto" w:fill="auto"/>
            <w:vAlign w:val="bottom"/>
          </w:tcPr>
          <w:p w14:paraId="4ACE2E8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E8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2E8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226</w:t>
            </w:r>
          </w:p>
        </w:tc>
        <w:tc>
          <w:tcPr>
            <w:tcW w:w="0" w:type="auto"/>
            <w:shd w:val="clear" w:color="auto" w:fill="auto"/>
            <w:vAlign w:val="bottom"/>
          </w:tcPr>
          <w:p w14:paraId="4ACE2E8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E8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2E8D"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3,484</w:t>
            </w:r>
          </w:p>
        </w:tc>
        <w:tc>
          <w:tcPr>
            <w:tcW w:w="0" w:type="auto"/>
            <w:shd w:val="clear" w:color="auto" w:fill="auto"/>
            <w:vAlign w:val="bottom"/>
          </w:tcPr>
          <w:p w14:paraId="4ACE2E8E" w14:textId="77777777" w:rsidR="006F587A" w:rsidRDefault="006F587A">
            <w:pPr>
              <w:textAlignment w:val="bottom"/>
              <w:rPr>
                <w:rFonts w:ascii="Times New Roman" w:hAnsi="Times New Roman"/>
                <w:sz w:val="20"/>
                <w:szCs w:val="20"/>
              </w:rPr>
            </w:pPr>
          </w:p>
        </w:tc>
      </w:tr>
      <w:tr w:rsidR="006F587A" w14:paraId="4ACE2E9D" w14:textId="77777777">
        <w:tc>
          <w:tcPr>
            <w:tcW w:w="0" w:type="auto"/>
            <w:shd w:val="clear" w:color="auto" w:fill="auto"/>
            <w:tcMar>
              <w:top w:w="40" w:type="dxa"/>
              <w:left w:w="40" w:type="dxa"/>
              <w:bottom w:w="40" w:type="dxa"/>
              <w:right w:w="40" w:type="dxa"/>
            </w:tcMar>
            <w:vAlign w:val="bottom"/>
          </w:tcPr>
          <w:p w14:paraId="4ACE2E90"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Gains (losses) on equity investments, net</w:t>
            </w:r>
          </w:p>
        </w:tc>
        <w:tc>
          <w:tcPr>
            <w:tcW w:w="0" w:type="auto"/>
            <w:shd w:val="clear" w:color="auto" w:fill="auto"/>
            <w:tcMar>
              <w:top w:w="40" w:type="dxa"/>
              <w:left w:w="40" w:type="dxa"/>
              <w:bottom w:w="40" w:type="dxa"/>
              <w:right w:w="40" w:type="dxa"/>
            </w:tcMar>
            <w:vAlign w:val="bottom"/>
          </w:tcPr>
          <w:p w14:paraId="4ACE2E9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2E92"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2E93"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1,539</w:t>
            </w:r>
          </w:p>
        </w:tc>
        <w:tc>
          <w:tcPr>
            <w:tcW w:w="0" w:type="auto"/>
            <w:tcBorders>
              <w:top w:val="single" w:sz="8" w:space="0" w:color="333333"/>
              <w:bottom w:val="double" w:sz="6" w:space="0" w:color="333333"/>
            </w:tcBorders>
            <w:shd w:val="clear" w:color="auto" w:fill="auto"/>
            <w:vAlign w:val="bottom"/>
          </w:tcPr>
          <w:p w14:paraId="4ACE2E9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E9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2E96"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2E97"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(125</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4ACE2E98"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4ACE2E9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2E9A"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2E9B"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2,651</w:t>
            </w:r>
          </w:p>
        </w:tc>
        <w:tc>
          <w:tcPr>
            <w:tcW w:w="0" w:type="auto"/>
            <w:tcBorders>
              <w:top w:val="single" w:sz="8" w:space="0" w:color="333333"/>
              <w:bottom w:val="double" w:sz="6" w:space="0" w:color="333333"/>
            </w:tcBorders>
            <w:shd w:val="clear" w:color="auto" w:fill="auto"/>
            <w:vAlign w:val="bottom"/>
          </w:tcPr>
          <w:p w14:paraId="4ACE2E9C" w14:textId="77777777" w:rsidR="006F587A" w:rsidRDefault="006F587A">
            <w:pPr>
              <w:textAlignment w:val="bottom"/>
              <w:rPr>
                <w:rFonts w:ascii="Times New Roman" w:hAnsi="Times New Roman"/>
                <w:sz w:val="20"/>
                <w:szCs w:val="20"/>
              </w:rPr>
            </w:pPr>
          </w:p>
        </w:tc>
      </w:tr>
      <w:tr w:rsidR="006F587A" w14:paraId="4ACE2EA5" w14:textId="77777777">
        <w:tc>
          <w:tcPr>
            <w:tcW w:w="0" w:type="auto"/>
            <w:shd w:val="clear" w:color="auto" w:fill="auto"/>
            <w:tcMar>
              <w:top w:w="40" w:type="dxa"/>
              <w:left w:w="40" w:type="dxa"/>
              <w:bottom w:w="40" w:type="dxa"/>
              <w:right w:w="40" w:type="dxa"/>
            </w:tcMar>
            <w:vAlign w:val="bottom"/>
          </w:tcPr>
          <w:p w14:paraId="4ACE2E9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E9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2EA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EA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2EA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2EA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2EA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2EB3" w14:textId="77777777">
        <w:tc>
          <w:tcPr>
            <w:tcW w:w="0" w:type="auto"/>
            <w:shd w:val="clear" w:color="auto" w:fill="auto"/>
            <w:tcMar>
              <w:top w:w="40" w:type="dxa"/>
              <w:left w:w="40" w:type="dxa"/>
              <w:bottom w:w="40" w:type="dxa"/>
              <w:right w:w="40" w:type="dxa"/>
            </w:tcMar>
            <w:vAlign w:val="bottom"/>
          </w:tcPr>
          <w:p w14:paraId="4ACE2EA6"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Interest and other, net</w:t>
            </w:r>
          </w:p>
        </w:tc>
        <w:tc>
          <w:tcPr>
            <w:tcW w:w="0" w:type="auto"/>
            <w:shd w:val="clear" w:color="auto" w:fill="auto"/>
            <w:tcMar>
              <w:top w:w="40" w:type="dxa"/>
              <w:left w:w="40" w:type="dxa"/>
              <w:bottom w:w="40" w:type="dxa"/>
              <w:right w:w="40" w:type="dxa"/>
            </w:tcMar>
            <w:vAlign w:val="bottom"/>
          </w:tcPr>
          <w:p w14:paraId="4ACE2EA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EA8"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bottom w:w="40" w:type="dxa"/>
            </w:tcMar>
            <w:vAlign w:val="bottom"/>
          </w:tcPr>
          <w:p w14:paraId="4ACE2EA9"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484</w:t>
            </w:r>
          </w:p>
        </w:tc>
        <w:tc>
          <w:tcPr>
            <w:tcW w:w="0" w:type="auto"/>
            <w:shd w:val="clear" w:color="auto" w:fill="auto"/>
            <w:vAlign w:val="bottom"/>
          </w:tcPr>
          <w:p w14:paraId="4ACE2EA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EA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EAC"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bottom w:w="40" w:type="dxa"/>
            </w:tcMar>
            <w:vAlign w:val="bottom"/>
          </w:tcPr>
          <w:p w14:paraId="4ACE2EAD"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126</w:t>
            </w:r>
          </w:p>
        </w:tc>
        <w:tc>
          <w:tcPr>
            <w:tcW w:w="0" w:type="auto"/>
            <w:shd w:val="clear" w:color="auto" w:fill="auto"/>
            <w:vAlign w:val="bottom"/>
          </w:tcPr>
          <w:p w14:paraId="4ACE2EA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EA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EB0"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bottom w:w="40" w:type="dxa"/>
            </w:tcMar>
            <w:vAlign w:val="bottom"/>
          </w:tcPr>
          <w:p w14:paraId="4ACE2EB1"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(349</w:t>
            </w:r>
          </w:p>
        </w:tc>
        <w:tc>
          <w:tcPr>
            <w:tcW w:w="0" w:type="auto"/>
            <w:shd w:val="clear" w:color="auto" w:fill="auto"/>
            <w:tcMar>
              <w:top w:w="40" w:type="dxa"/>
              <w:bottom w:w="40" w:type="dxa"/>
              <w:right w:w="40" w:type="dxa"/>
            </w:tcMar>
            <w:vAlign w:val="bottom"/>
          </w:tcPr>
          <w:p w14:paraId="4ACE2EB2"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r>
    </w:tbl>
    <w:p w14:paraId="4ACE2EB4" w14:textId="77777777" w:rsidR="006F587A" w:rsidRDefault="007B2B61">
      <w:pPr>
        <w:spacing w:line="288" w:lineRule="auto"/>
        <w:rPr>
          <w:rFonts w:ascii="Times New Roman" w:hAnsi="Times New Roman"/>
        </w:rPr>
      </w:pPr>
      <w:r>
        <w:rPr>
          <w:rFonts w:ascii="Arial" w:eastAsia="宋体" w:hAnsi="Arial" w:cs="Arial"/>
          <w:b/>
          <w:bCs/>
          <w:color w:val="0071C5"/>
        </w:rPr>
        <w:t>GAINS (LOSSES) ON EQUITY INVESTMENTS, NET</w:t>
      </w:r>
    </w:p>
    <w:p w14:paraId="4ACE2EB5"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lastRenderedPageBreak/>
        <w:t xml:space="preserve">Ongoing mark-to-market net gains and losses reported in 2019 and 2018 were primarily driven by ASML Holding N.V. (ASML) and </w:t>
      </w:r>
      <w:r>
        <w:rPr>
          <w:rFonts w:ascii="Arial" w:eastAsia="宋体" w:hAnsi="Arial" w:cs="Arial"/>
          <w:color w:val="333333"/>
          <w:sz w:val="18"/>
          <w:szCs w:val="18"/>
        </w:rPr>
        <w:t>Cloudera Inc. (Cloudera). During 2019 we sold our equity investment in ASML.</w:t>
      </w:r>
    </w:p>
    <w:p w14:paraId="4ACE2EB6"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In 2019, we recognized $293 million in observable price adjustments primarily from one investment.</w:t>
      </w:r>
    </w:p>
    <w:p w14:paraId="4ACE2EB7"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During 2018, we recognized an impairment charge of $290 million in our equity me</w:t>
      </w:r>
      <w:r>
        <w:rPr>
          <w:rFonts w:ascii="Arial" w:eastAsia="宋体" w:hAnsi="Arial" w:cs="Arial"/>
          <w:color w:val="333333"/>
          <w:sz w:val="18"/>
          <w:szCs w:val="18"/>
        </w:rPr>
        <w:t xml:space="preserve">thod investment in IMFT. During 2017, we recognized impairment charges in our investments of Cloudera for $278 million and Unisoc for $308 million. </w:t>
      </w:r>
    </w:p>
    <w:p w14:paraId="4ACE2EB8"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Major drivers of sales of equity investments and other in 2019 were dividends of $632 million from McAfee a</w:t>
      </w:r>
      <w:r>
        <w:rPr>
          <w:rFonts w:ascii="Arial" w:eastAsia="宋体" w:hAnsi="Arial" w:cs="Arial"/>
          <w:color w:val="333333"/>
          <w:sz w:val="18"/>
          <w:szCs w:val="18"/>
        </w:rPr>
        <w:t>nd a gain of $107 million from our sale of our non-controlling interest in IMFT. In 2017, we recognized $3.4 billion in realized gains on sales of a portion of our interest in ASML.</w:t>
      </w:r>
    </w:p>
    <w:p w14:paraId="4ACE2EB9" w14:textId="77777777" w:rsidR="006F587A" w:rsidRDefault="007B2B61">
      <w:pPr>
        <w:spacing w:line="288" w:lineRule="auto"/>
        <w:rPr>
          <w:rFonts w:ascii="Times New Roman" w:hAnsi="Times New Roman"/>
        </w:rPr>
      </w:pPr>
      <w:r>
        <w:rPr>
          <w:rFonts w:ascii="Arial" w:eastAsia="宋体" w:hAnsi="Arial" w:cs="Arial"/>
          <w:b/>
          <w:bCs/>
          <w:color w:val="0071C5"/>
        </w:rPr>
        <w:t>INTEREST AND OTHER, NET</w:t>
      </w:r>
    </w:p>
    <w:p w14:paraId="4ACE2EBA"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We recognized a higher net gain in </w:t>
      </w:r>
      <w:r>
        <w:rPr>
          <w:rFonts w:ascii="Arial" w:eastAsia="宋体" w:hAnsi="Arial" w:cs="Arial"/>
          <w:color w:val="333333"/>
          <w:sz w:val="18"/>
          <w:szCs w:val="18"/>
        </w:rPr>
        <w:t>interest and other in 2019 compared to 2018, primarily due to lower loss on debt conversions and larger divestiture gains in 2019 compared to 2018.</w:t>
      </w:r>
    </w:p>
    <w:p w14:paraId="4ACE2EBB"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recognized a net gain in interest and other in 2018 compared to a net loss in 2017, primarily due to lowe</w:t>
      </w:r>
      <w:r>
        <w:rPr>
          <w:rFonts w:ascii="Arial" w:eastAsia="宋体" w:hAnsi="Arial" w:cs="Arial"/>
          <w:color w:val="333333"/>
          <w:sz w:val="18"/>
          <w:szCs w:val="18"/>
        </w:rPr>
        <w:t>r losses on debt conversions, higher assets under construction resulting in more capitalized interest, and larger divestiture gains in 2018 compared to 2017.</w:t>
      </w:r>
    </w:p>
    <w:p w14:paraId="4ACE2EBC"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408"/>
        <w:gridCol w:w="2409"/>
        <w:gridCol w:w="3489"/>
      </w:tblGrid>
      <w:tr w:rsidR="006F587A" w14:paraId="4ACE2EBE" w14:textId="77777777">
        <w:tc>
          <w:tcPr>
            <w:tcW w:w="0" w:type="auto"/>
            <w:gridSpan w:val="3"/>
            <w:shd w:val="clear" w:color="auto" w:fill="auto"/>
            <w:vAlign w:val="center"/>
          </w:tcPr>
          <w:p w14:paraId="4ACE2EBD" w14:textId="77777777" w:rsidR="006F587A" w:rsidRDefault="006F587A">
            <w:pPr>
              <w:rPr>
                <w:rFonts w:ascii="Times New Roman" w:hAnsi="Times New Roman"/>
                <w:sz w:val="20"/>
                <w:szCs w:val="20"/>
              </w:rPr>
            </w:pPr>
          </w:p>
        </w:tc>
      </w:tr>
      <w:tr w:rsidR="006F587A" w14:paraId="4ACE2EC2" w14:textId="77777777">
        <w:tc>
          <w:tcPr>
            <w:tcW w:w="1450" w:type="pct"/>
            <w:shd w:val="clear" w:color="auto" w:fill="auto"/>
            <w:vAlign w:val="center"/>
          </w:tcPr>
          <w:p w14:paraId="4ACE2EBF" w14:textId="77777777" w:rsidR="006F587A" w:rsidRDefault="006F587A">
            <w:pPr>
              <w:rPr>
                <w:rFonts w:ascii="Times New Roman" w:hAnsi="Times New Roman"/>
                <w:sz w:val="20"/>
                <w:szCs w:val="20"/>
              </w:rPr>
            </w:pPr>
          </w:p>
        </w:tc>
        <w:tc>
          <w:tcPr>
            <w:tcW w:w="1450" w:type="pct"/>
            <w:shd w:val="clear" w:color="auto" w:fill="auto"/>
            <w:vAlign w:val="center"/>
          </w:tcPr>
          <w:p w14:paraId="4ACE2EC0" w14:textId="77777777" w:rsidR="006F587A" w:rsidRDefault="006F587A">
            <w:pPr>
              <w:rPr>
                <w:rFonts w:ascii="Times New Roman" w:hAnsi="Times New Roman"/>
                <w:sz w:val="20"/>
                <w:szCs w:val="20"/>
              </w:rPr>
            </w:pPr>
          </w:p>
        </w:tc>
        <w:tc>
          <w:tcPr>
            <w:tcW w:w="2100" w:type="pct"/>
            <w:shd w:val="clear" w:color="auto" w:fill="auto"/>
            <w:vAlign w:val="center"/>
          </w:tcPr>
          <w:p w14:paraId="4ACE2EC1" w14:textId="77777777" w:rsidR="006F587A" w:rsidRDefault="006F587A">
            <w:pPr>
              <w:rPr>
                <w:rFonts w:ascii="Times New Roman" w:hAnsi="Times New Roman"/>
                <w:sz w:val="20"/>
                <w:szCs w:val="20"/>
              </w:rPr>
            </w:pPr>
          </w:p>
        </w:tc>
      </w:tr>
      <w:tr w:rsidR="006F587A" w14:paraId="4ACE2EC6"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2EC3" w14:textId="77777777" w:rsidR="006F587A" w:rsidRDefault="007B2B61">
            <w:pPr>
              <w:textAlignment w:val="center"/>
              <w:rPr>
                <w:rFonts w:ascii="Times New Roman" w:hAnsi="Times New Roman"/>
                <w:sz w:val="18"/>
                <w:szCs w:val="18"/>
              </w:rPr>
            </w:pP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/INTEL/./Inline XBRL Viewe</w:instrText>
            </w:r>
            <w:r>
              <w:rPr>
                <w:rFonts w:ascii="Times New Roman" w:eastAsia="宋体" w:hAnsi="Times New Roman"/>
                <w:sz w:val="18"/>
                <w:szCs w:val="18"/>
              </w:rPr>
              <w:instrText xml:space="preserve">r12_files/a001intellogo_coverfooter.jpg"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D55" wp14:editId="4ACE6D56">
                  <wp:extent cx="304800" cy="304800"/>
                  <wp:effectExtent l="0" t="0" r="0" b="0"/>
                  <wp:docPr id="184" name="图片 212"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212"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r>
              <w:rPr>
                <w:rFonts w:ascii="Arial" w:eastAsia="宋体" w:hAnsi="Arial" w:cs="Arial"/>
                <w:color w:val="333333"/>
                <w:sz w:val="18"/>
                <w:szCs w:val="18"/>
              </w:rPr>
              <w:t>  </w:t>
            </w:r>
            <w:r>
              <w:rPr>
                <w:rFonts w:ascii="Arial" w:eastAsia="宋体" w:hAnsi="Arial" w:cs="Arial"/>
                <w:color w:val="333333"/>
                <w:sz w:val="16"/>
                <w:szCs w:val="16"/>
              </w:rPr>
              <w:t>MD&amp;A</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EC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EC5"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39</w:t>
            </w:r>
          </w:p>
        </w:tc>
      </w:tr>
    </w:tbl>
    <w:p w14:paraId="4ACE2EC7" w14:textId="77777777" w:rsidR="006F587A" w:rsidRDefault="007B2B61">
      <w:r>
        <w:pict w14:anchorId="4ACE6D57">
          <v:rect id="_x0000_i1065" style="width:415.3pt;height:1.5pt" o:hralign="center" o:hrstd="t" o:hr="t" fillcolor="#a0a0a0" stroked="f"/>
        </w:pict>
      </w:r>
    </w:p>
    <w:p w14:paraId="4ACE2EC8" w14:textId="77777777" w:rsidR="006F587A" w:rsidRDefault="007B2B61">
      <w:pPr>
        <w:spacing w:line="288" w:lineRule="auto"/>
        <w:jc w:val="right"/>
        <w:rPr>
          <w:rFonts w:ascii="Times New Roman" w:hAnsi="Times New Roman"/>
          <w:sz w:val="16"/>
          <w:szCs w:val="16"/>
        </w:rPr>
      </w:pPr>
      <w:hyperlink r:id="rId72" w:anchor="s9DB683E2CF52561EB8A73BE37F5BF9BE" w:history="1">
        <w:r>
          <w:rPr>
            <w:rStyle w:val="a5"/>
            <w:rFonts w:ascii="Arial" w:eastAsia="宋体" w:hAnsi="Arial" w:cs="Arial"/>
            <w:b/>
            <w:bCs/>
            <w:sz w:val="16"/>
            <w:szCs w:val="16"/>
          </w:rPr>
          <w:t>Table of Contents</w:t>
        </w:r>
      </w:hyperlink>
    </w:p>
    <w:p w14:paraId="4ACE2EC9" w14:textId="77777777" w:rsidR="006F587A" w:rsidRDefault="006F587A">
      <w:pPr>
        <w:spacing w:line="288" w:lineRule="auto"/>
        <w:jc w:val="right"/>
        <w:rPr>
          <w:rFonts w:ascii="Times New Roman" w:hAnsi="Times New Roman"/>
          <w:sz w:val="16"/>
          <w:szCs w:val="16"/>
        </w:rPr>
      </w:pPr>
    </w:p>
    <w:p w14:paraId="4ACE2ECA" w14:textId="77777777" w:rsidR="006F587A" w:rsidRDefault="006F587A">
      <w:pPr>
        <w:rPr>
          <w:rFonts w:ascii="Times New Roman" w:hAnsi="Times New Roman"/>
          <w:sz w:val="20"/>
          <w:szCs w:val="20"/>
        </w:rPr>
      </w:pPr>
    </w:p>
    <w:p w14:paraId="4ACE2ECB" w14:textId="77777777" w:rsidR="006F587A" w:rsidRDefault="007B2B61">
      <w:pPr>
        <w:spacing w:line="288" w:lineRule="auto"/>
        <w:rPr>
          <w:rFonts w:ascii="Times New Roman" w:hAnsi="Times New Roman"/>
          <w:sz w:val="28"/>
          <w:szCs w:val="28"/>
        </w:rPr>
      </w:pPr>
      <w:r>
        <w:rPr>
          <w:rFonts w:ascii="Arial" w:eastAsia="宋体" w:hAnsi="Arial" w:cs="Arial"/>
          <w:b/>
          <w:bCs/>
          <w:color w:val="0071C5"/>
          <w:sz w:val="28"/>
          <w:szCs w:val="28"/>
        </w:rPr>
        <w:t>LIQUIDITY AND CAPITAL RESOURCES</w:t>
      </w:r>
    </w:p>
    <w:p w14:paraId="4ACE2ECC" w14:textId="77777777" w:rsidR="006F587A" w:rsidRDefault="007B2B61">
      <w:pPr>
        <w:spacing w:line="288" w:lineRule="auto"/>
        <w:rPr>
          <w:rFonts w:ascii="Times New Roman" w:hAnsi="Times New Roman"/>
          <w:sz w:val="20"/>
          <w:szCs w:val="20"/>
        </w:rPr>
      </w:pPr>
      <w:r>
        <w:rPr>
          <w:rFonts w:ascii="Arial" w:eastAsia="宋体" w:hAnsi="Arial" w:cs="Arial"/>
          <w:color w:val="333333"/>
          <w:sz w:val="18"/>
          <w:szCs w:val="18"/>
        </w:rPr>
        <w:t xml:space="preserve">We consider the following when assessing our liquidity and capital resources: </w:t>
      </w:r>
    </w:p>
    <w:tbl>
      <w:tblPr>
        <w:tblW w:w="5000" w:type="pct"/>
        <w:tblCellMar>
          <w:left w:w="0" w:type="dxa"/>
          <w:right w:w="0" w:type="dxa"/>
        </w:tblCellMar>
        <w:tblLook w:val="04A0" w:firstRow="1" w:lastRow="0" w:firstColumn="1" w:lastColumn="0" w:noHBand="0" w:noVBand="1"/>
      </w:tblPr>
      <w:tblGrid>
        <w:gridCol w:w="5997"/>
        <w:gridCol w:w="130"/>
        <w:gridCol w:w="141"/>
        <w:gridCol w:w="682"/>
        <w:gridCol w:w="201"/>
        <w:gridCol w:w="130"/>
        <w:gridCol w:w="141"/>
        <w:gridCol w:w="683"/>
        <w:gridCol w:w="201"/>
      </w:tblGrid>
      <w:tr w:rsidR="006F587A" w14:paraId="4ACE2ECE" w14:textId="77777777">
        <w:tc>
          <w:tcPr>
            <w:tcW w:w="0" w:type="auto"/>
            <w:gridSpan w:val="9"/>
            <w:shd w:val="clear" w:color="auto" w:fill="auto"/>
            <w:vAlign w:val="center"/>
          </w:tcPr>
          <w:p w14:paraId="4ACE2ECD" w14:textId="77777777" w:rsidR="006F587A" w:rsidRDefault="006F587A">
            <w:pPr>
              <w:rPr>
                <w:rFonts w:ascii="Times New Roman" w:hAnsi="Times New Roman"/>
                <w:sz w:val="20"/>
                <w:szCs w:val="20"/>
              </w:rPr>
            </w:pPr>
          </w:p>
        </w:tc>
      </w:tr>
      <w:tr w:rsidR="006F587A" w14:paraId="4ACE2ED8" w14:textId="77777777">
        <w:tc>
          <w:tcPr>
            <w:tcW w:w="3700" w:type="pct"/>
            <w:shd w:val="clear" w:color="auto" w:fill="auto"/>
            <w:vAlign w:val="center"/>
          </w:tcPr>
          <w:p w14:paraId="4ACE2ECF" w14:textId="77777777" w:rsidR="006F587A" w:rsidRDefault="006F587A">
            <w:pPr>
              <w:rPr>
                <w:rFonts w:ascii="Times New Roman" w:hAnsi="Times New Roman"/>
                <w:sz w:val="20"/>
                <w:szCs w:val="20"/>
              </w:rPr>
            </w:pPr>
          </w:p>
        </w:tc>
        <w:tc>
          <w:tcPr>
            <w:tcW w:w="50" w:type="pct"/>
            <w:shd w:val="clear" w:color="auto" w:fill="auto"/>
            <w:vAlign w:val="center"/>
          </w:tcPr>
          <w:p w14:paraId="4ACE2ED0" w14:textId="77777777" w:rsidR="006F587A" w:rsidRDefault="006F587A">
            <w:pPr>
              <w:rPr>
                <w:rFonts w:ascii="Times New Roman" w:hAnsi="Times New Roman"/>
                <w:sz w:val="20"/>
                <w:szCs w:val="20"/>
              </w:rPr>
            </w:pPr>
          </w:p>
        </w:tc>
        <w:tc>
          <w:tcPr>
            <w:tcW w:w="50" w:type="pct"/>
            <w:shd w:val="clear" w:color="auto" w:fill="auto"/>
            <w:vAlign w:val="center"/>
          </w:tcPr>
          <w:p w14:paraId="4ACE2ED1" w14:textId="77777777" w:rsidR="006F587A" w:rsidRDefault="006F587A">
            <w:pPr>
              <w:rPr>
                <w:rFonts w:ascii="Times New Roman" w:hAnsi="Times New Roman"/>
                <w:sz w:val="20"/>
                <w:szCs w:val="20"/>
              </w:rPr>
            </w:pPr>
          </w:p>
        </w:tc>
        <w:tc>
          <w:tcPr>
            <w:tcW w:w="500" w:type="pct"/>
            <w:shd w:val="clear" w:color="auto" w:fill="auto"/>
            <w:vAlign w:val="center"/>
          </w:tcPr>
          <w:p w14:paraId="4ACE2ED2" w14:textId="77777777" w:rsidR="006F587A" w:rsidRDefault="006F587A">
            <w:pPr>
              <w:rPr>
                <w:rFonts w:ascii="Times New Roman" w:hAnsi="Times New Roman"/>
                <w:sz w:val="20"/>
                <w:szCs w:val="20"/>
              </w:rPr>
            </w:pPr>
          </w:p>
        </w:tc>
        <w:tc>
          <w:tcPr>
            <w:tcW w:w="50" w:type="pct"/>
            <w:shd w:val="clear" w:color="auto" w:fill="auto"/>
            <w:vAlign w:val="center"/>
          </w:tcPr>
          <w:p w14:paraId="4ACE2ED3" w14:textId="77777777" w:rsidR="006F587A" w:rsidRDefault="006F587A">
            <w:pPr>
              <w:rPr>
                <w:rFonts w:ascii="Times New Roman" w:hAnsi="Times New Roman"/>
                <w:sz w:val="20"/>
                <w:szCs w:val="20"/>
              </w:rPr>
            </w:pPr>
          </w:p>
        </w:tc>
        <w:tc>
          <w:tcPr>
            <w:tcW w:w="50" w:type="pct"/>
            <w:shd w:val="clear" w:color="auto" w:fill="auto"/>
            <w:vAlign w:val="center"/>
          </w:tcPr>
          <w:p w14:paraId="4ACE2ED4" w14:textId="77777777" w:rsidR="006F587A" w:rsidRDefault="006F587A">
            <w:pPr>
              <w:rPr>
                <w:rFonts w:ascii="Times New Roman" w:hAnsi="Times New Roman"/>
                <w:sz w:val="20"/>
                <w:szCs w:val="20"/>
              </w:rPr>
            </w:pPr>
          </w:p>
        </w:tc>
        <w:tc>
          <w:tcPr>
            <w:tcW w:w="50" w:type="pct"/>
            <w:shd w:val="clear" w:color="auto" w:fill="auto"/>
            <w:vAlign w:val="center"/>
          </w:tcPr>
          <w:p w14:paraId="4ACE2ED5" w14:textId="77777777" w:rsidR="006F587A" w:rsidRDefault="006F587A">
            <w:pPr>
              <w:rPr>
                <w:rFonts w:ascii="Times New Roman" w:hAnsi="Times New Roman"/>
                <w:sz w:val="20"/>
                <w:szCs w:val="20"/>
              </w:rPr>
            </w:pPr>
          </w:p>
        </w:tc>
        <w:tc>
          <w:tcPr>
            <w:tcW w:w="500" w:type="pct"/>
            <w:shd w:val="clear" w:color="auto" w:fill="auto"/>
            <w:vAlign w:val="center"/>
          </w:tcPr>
          <w:p w14:paraId="4ACE2ED6" w14:textId="77777777" w:rsidR="006F587A" w:rsidRDefault="006F587A">
            <w:pPr>
              <w:rPr>
                <w:rFonts w:ascii="Times New Roman" w:hAnsi="Times New Roman"/>
                <w:sz w:val="20"/>
                <w:szCs w:val="20"/>
              </w:rPr>
            </w:pPr>
          </w:p>
        </w:tc>
        <w:tc>
          <w:tcPr>
            <w:tcW w:w="50" w:type="pct"/>
            <w:shd w:val="clear" w:color="auto" w:fill="auto"/>
            <w:vAlign w:val="center"/>
          </w:tcPr>
          <w:p w14:paraId="4ACE2ED7" w14:textId="77777777" w:rsidR="006F587A" w:rsidRDefault="006F587A">
            <w:pPr>
              <w:rPr>
                <w:rFonts w:ascii="Times New Roman" w:hAnsi="Times New Roman"/>
                <w:sz w:val="20"/>
                <w:szCs w:val="20"/>
              </w:rPr>
            </w:pPr>
          </w:p>
        </w:tc>
      </w:tr>
      <w:tr w:rsidR="006F587A" w14:paraId="4ACE2EDE"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2ED9"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(Dollars in Millions)</w:t>
            </w:r>
          </w:p>
        </w:tc>
        <w:tc>
          <w:tcPr>
            <w:tcW w:w="0" w:type="auto"/>
            <w:shd w:val="clear" w:color="auto" w:fill="auto"/>
            <w:tcMar>
              <w:top w:w="40" w:type="dxa"/>
              <w:left w:w="40" w:type="dxa"/>
              <w:bottom w:w="40" w:type="dxa"/>
              <w:right w:w="40" w:type="dxa"/>
            </w:tcMar>
            <w:vAlign w:val="bottom"/>
          </w:tcPr>
          <w:p w14:paraId="4ACE2ED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2EDB"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28, </w:t>
            </w:r>
            <w:r>
              <w:rPr>
                <w:rFonts w:ascii="Arial" w:eastAsia="宋体" w:hAnsi="Arial" w:cs="Arial"/>
                <w:b/>
                <w:bCs/>
                <w:color w:val="333333"/>
                <w:sz w:val="18"/>
                <w:szCs w:val="18"/>
              </w:rPr>
              <w:br/>
              <w:t>2019</w:t>
            </w:r>
          </w:p>
        </w:tc>
        <w:tc>
          <w:tcPr>
            <w:tcW w:w="0" w:type="auto"/>
            <w:shd w:val="clear" w:color="auto" w:fill="auto"/>
            <w:tcMar>
              <w:top w:w="40" w:type="dxa"/>
              <w:left w:w="40" w:type="dxa"/>
              <w:bottom w:w="40" w:type="dxa"/>
              <w:right w:w="40" w:type="dxa"/>
            </w:tcMar>
            <w:vAlign w:val="bottom"/>
          </w:tcPr>
          <w:p w14:paraId="4ACE2ED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2EDD"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29, </w:t>
            </w:r>
            <w:r>
              <w:rPr>
                <w:rFonts w:ascii="Arial" w:eastAsia="宋体" w:hAnsi="Arial" w:cs="Arial"/>
                <w:b/>
                <w:bCs/>
                <w:color w:val="333333"/>
                <w:sz w:val="18"/>
                <w:szCs w:val="18"/>
              </w:rPr>
              <w:br/>
              <w:t>2018</w:t>
            </w:r>
          </w:p>
        </w:tc>
      </w:tr>
      <w:tr w:rsidR="006F587A" w14:paraId="4ACE2EE8" w14:textId="77777777">
        <w:tc>
          <w:tcPr>
            <w:tcW w:w="0" w:type="auto"/>
            <w:shd w:val="clear" w:color="auto" w:fill="auto"/>
            <w:tcMar>
              <w:top w:w="40" w:type="dxa"/>
              <w:left w:w="40" w:type="dxa"/>
              <w:bottom w:w="40" w:type="dxa"/>
              <w:right w:w="40" w:type="dxa"/>
            </w:tcMar>
            <w:vAlign w:val="bottom"/>
          </w:tcPr>
          <w:p w14:paraId="4ACE2EDF"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Cash and cash equivalents, short-term investments, and trading assets</w:t>
            </w:r>
          </w:p>
        </w:tc>
        <w:tc>
          <w:tcPr>
            <w:tcW w:w="0" w:type="auto"/>
            <w:shd w:val="clear" w:color="auto" w:fill="auto"/>
            <w:tcMar>
              <w:top w:w="40" w:type="dxa"/>
              <w:left w:w="40" w:type="dxa"/>
              <w:bottom w:w="40" w:type="dxa"/>
              <w:right w:w="40" w:type="dxa"/>
            </w:tcMar>
            <w:vAlign w:val="bottom"/>
          </w:tcPr>
          <w:p w14:paraId="4ACE2EE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EE1"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2EE2"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13,123</w:t>
            </w:r>
          </w:p>
        </w:tc>
        <w:tc>
          <w:tcPr>
            <w:tcW w:w="0" w:type="auto"/>
            <w:shd w:val="clear" w:color="auto" w:fill="auto"/>
            <w:vAlign w:val="bottom"/>
          </w:tcPr>
          <w:p w14:paraId="4ACE2EE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EE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EE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2EE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11,650</w:t>
            </w:r>
          </w:p>
        </w:tc>
        <w:tc>
          <w:tcPr>
            <w:tcW w:w="0" w:type="auto"/>
            <w:shd w:val="clear" w:color="auto" w:fill="auto"/>
            <w:vAlign w:val="bottom"/>
          </w:tcPr>
          <w:p w14:paraId="4ACE2EE7" w14:textId="77777777" w:rsidR="006F587A" w:rsidRDefault="006F587A">
            <w:pPr>
              <w:textAlignment w:val="bottom"/>
              <w:rPr>
                <w:rFonts w:ascii="Times New Roman" w:hAnsi="Times New Roman"/>
                <w:sz w:val="20"/>
                <w:szCs w:val="20"/>
              </w:rPr>
            </w:pPr>
          </w:p>
        </w:tc>
      </w:tr>
      <w:tr w:rsidR="006F587A" w14:paraId="4ACE2EF2" w14:textId="77777777">
        <w:tc>
          <w:tcPr>
            <w:tcW w:w="0" w:type="auto"/>
            <w:shd w:val="clear" w:color="auto" w:fill="auto"/>
            <w:tcMar>
              <w:top w:w="40" w:type="dxa"/>
              <w:left w:w="40" w:type="dxa"/>
              <w:bottom w:w="40" w:type="dxa"/>
              <w:right w:w="40" w:type="dxa"/>
            </w:tcMar>
          </w:tcPr>
          <w:p w14:paraId="4ACE2EE9"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 xml:space="preserve">Other </w:t>
            </w:r>
            <w:r>
              <w:rPr>
                <w:rFonts w:ascii="Arial" w:eastAsia="宋体" w:hAnsi="Arial" w:cs="Arial"/>
                <w:color w:val="333333"/>
                <w:sz w:val="18"/>
                <w:szCs w:val="18"/>
              </w:rPr>
              <w:t>long-term investments</w:t>
            </w:r>
          </w:p>
        </w:tc>
        <w:tc>
          <w:tcPr>
            <w:tcW w:w="0" w:type="auto"/>
            <w:shd w:val="clear" w:color="auto" w:fill="auto"/>
            <w:tcMar>
              <w:top w:w="40" w:type="dxa"/>
              <w:left w:w="40" w:type="dxa"/>
              <w:bottom w:w="40" w:type="dxa"/>
              <w:right w:w="40" w:type="dxa"/>
            </w:tcMar>
            <w:vAlign w:val="bottom"/>
          </w:tcPr>
          <w:p w14:paraId="4ACE2EE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EEB"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2EEC"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3,276</w:t>
            </w:r>
          </w:p>
        </w:tc>
        <w:tc>
          <w:tcPr>
            <w:tcW w:w="0" w:type="auto"/>
            <w:shd w:val="clear" w:color="auto" w:fill="auto"/>
            <w:vAlign w:val="bottom"/>
          </w:tcPr>
          <w:p w14:paraId="4ACE2EE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EE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EE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2EF0"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3,388</w:t>
            </w:r>
          </w:p>
        </w:tc>
        <w:tc>
          <w:tcPr>
            <w:tcW w:w="0" w:type="auto"/>
            <w:shd w:val="clear" w:color="auto" w:fill="auto"/>
            <w:vAlign w:val="bottom"/>
          </w:tcPr>
          <w:p w14:paraId="4ACE2EF1" w14:textId="77777777" w:rsidR="006F587A" w:rsidRDefault="006F587A">
            <w:pPr>
              <w:textAlignment w:val="bottom"/>
              <w:rPr>
                <w:rFonts w:ascii="Times New Roman" w:hAnsi="Times New Roman"/>
                <w:sz w:val="20"/>
                <w:szCs w:val="20"/>
              </w:rPr>
            </w:pPr>
          </w:p>
        </w:tc>
      </w:tr>
      <w:tr w:rsidR="006F587A" w14:paraId="4ACE2EFC" w14:textId="77777777">
        <w:tc>
          <w:tcPr>
            <w:tcW w:w="0" w:type="auto"/>
            <w:shd w:val="clear" w:color="auto" w:fill="auto"/>
            <w:tcMar>
              <w:top w:w="40" w:type="dxa"/>
              <w:left w:w="40" w:type="dxa"/>
              <w:bottom w:w="40" w:type="dxa"/>
              <w:right w:w="40" w:type="dxa"/>
            </w:tcMar>
          </w:tcPr>
          <w:p w14:paraId="4ACE2EF3"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Loans receivable and other</w:t>
            </w:r>
          </w:p>
        </w:tc>
        <w:tc>
          <w:tcPr>
            <w:tcW w:w="0" w:type="auto"/>
            <w:shd w:val="clear" w:color="auto" w:fill="auto"/>
            <w:tcMar>
              <w:top w:w="40" w:type="dxa"/>
              <w:left w:w="40" w:type="dxa"/>
              <w:bottom w:w="40" w:type="dxa"/>
              <w:right w:w="40" w:type="dxa"/>
            </w:tcMar>
            <w:vAlign w:val="bottom"/>
          </w:tcPr>
          <w:p w14:paraId="4ACE2EF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EF5"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2EF6"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1,239</w:t>
            </w:r>
          </w:p>
        </w:tc>
        <w:tc>
          <w:tcPr>
            <w:tcW w:w="0" w:type="auto"/>
            <w:shd w:val="clear" w:color="auto" w:fill="auto"/>
            <w:vAlign w:val="bottom"/>
          </w:tcPr>
          <w:p w14:paraId="4ACE2EF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EF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EF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2EF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1,550</w:t>
            </w:r>
          </w:p>
        </w:tc>
        <w:tc>
          <w:tcPr>
            <w:tcW w:w="0" w:type="auto"/>
            <w:shd w:val="clear" w:color="auto" w:fill="auto"/>
            <w:vAlign w:val="bottom"/>
          </w:tcPr>
          <w:p w14:paraId="4ACE2EFB" w14:textId="77777777" w:rsidR="006F587A" w:rsidRDefault="006F587A">
            <w:pPr>
              <w:textAlignment w:val="bottom"/>
              <w:rPr>
                <w:rFonts w:ascii="Times New Roman" w:hAnsi="Times New Roman"/>
                <w:sz w:val="20"/>
                <w:szCs w:val="20"/>
              </w:rPr>
            </w:pPr>
          </w:p>
        </w:tc>
      </w:tr>
      <w:tr w:rsidR="006F587A" w14:paraId="4ACE2F06" w14:textId="77777777">
        <w:tc>
          <w:tcPr>
            <w:tcW w:w="0" w:type="auto"/>
            <w:shd w:val="clear" w:color="auto" w:fill="auto"/>
            <w:tcMar>
              <w:top w:w="40" w:type="dxa"/>
              <w:left w:w="40" w:type="dxa"/>
              <w:bottom w:w="40" w:type="dxa"/>
              <w:right w:w="40" w:type="dxa"/>
            </w:tcMar>
          </w:tcPr>
          <w:p w14:paraId="4ACE2EFD" w14:textId="77777777" w:rsidR="006F587A" w:rsidRDefault="007B2B61">
            <w:pPr>
              <w:ind w:hanging="240"/>
              <w:textAlignment w:val="top"/>
              <w:rPr>
                <w:rFonts w:ascii="Times New Roman" w:hAnsi="Times New Roman"/>
                <w:sz w:val="18"/>
                <w:szCs w:val="18"/>
              </w:rPr>
            </w:pPr>
            <w:r>
              <w:rPr>
                <w:rFonts w:ascii="Arial" w:eastAsia="宋体" w:hAnsi="Arial" w:cs="Arial"/>
                <w:color w:val="333333"/>
                <w:sz w:val="18"/>
                <w:szCs w:val="18"/>
              </w:rPr>
              <w:t>Reverse repurchase agreements with original maturities greater than three months</w:t>
            </w:r>
          </w:p>
        </w:tc>
        <w:tc>
          <w:tcPr>
            <w:tcW w:w="0" w:type="auto"/>
            <w:shd w:val="clear" w:color="auto" w:fill="auto"/>
            <w:tcMar>
              <w:top w:w="40" w:type="dxa"/>
              <w:left w:w="40" w:type="dxa"/>
              <w:bottom w:w="40" w:type="dxa"/>
              <w:right w:w="40" w:type="dxa"/>
            </w:tcMar>
            <w:vAlign w:val="bottom"/>
          </w:tcPr>
          <w:p w14:paraId="4ACE2EF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EFF"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2F00"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350</w:t>
            </w:r>
          </w:p>
        </w:tc>
        <w:tc>
          <w:tcPr>
            <w:tcW w:w="0" w:type="auto"/>
            <w:shd w:val="clear" w:color="auto" w:fill="auto"/>
            <w:vAlign w:val="bottom"/>
          </w:tcPr>
          <w:p w14:paraId="4ACE2F0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F0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F0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2F0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250</w:t>
            </w:r>
          </w:p>
        </w:tc>
        <w:tc>
          <w:tcPr>
            <w:tcW w:w="0" w:type="auto"/>
            <w:shd w:val="clear" w:color="auto" w:fill="auto"/>
            <w:vAlign w:val="bottom"/>
          </w:tcPr>
          <w:p w14:paraId="4ACE2F05" w14:textId="77777777" w:rsidR="006F587A" w:rsidRDefault="006F587A">
            <w:pPr>
              <w:textAlignment w:val="bottom"/>
              <w:rPr>
                <w:rFonts w:ascii="Times New Roman" w:hAnsi="Times New Roman"/>
                <w:sz w:val="20"/>
                <w:szCs w:val="20"/>
              </w:rPr>
            </w:pPr>
          </w:p>
        </w:tc>
      </w:tr>
      <w:tr w:rsidR="006F587A" w14:paraId="4ACE2F10" w14:textId="77777777">
        <w:tc>
          <w:tcPr>
            <w:tcW w:w="0" w:type="auto"/>
            <w:shd w:val="clear" w:color="auto" w:fill="auto"/>
            <w:tcMar>
              <w:top w:w="40" w:type="dxa"/>
              <w:left w:w="40" w:type="dxa"/>
              <w:bottom w:w="40" w:type="dxa"/>
              <w:right w:w="40" w:type="dxa"/>
            </w:tcMar>
          </w:tcPr>
          <w:p w14:paraId="4ACE2F07"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Total debt</w:t>
            </w:r>
          </w:p>
        </w:tc>
        <w:tc>
          <w:tcPr>
            <w:tcW w:w="0" w:type="auto"/>
            <w:shd w:val="clear" w:color="auto" w:fill="auto"/>
            <w:tcMar>
              <w:top w:w="40" w:type="dxa"/>
              <w:left w:w="40" w:type="dxa"/>
              <w:bottom w:w="40" w:type="dxa"/>
              <w:right w:w="40" w:type="dxa"/>
            </w:tcMar>
            <w:vAlign w:val="bottom"/>
          </w:tcPr>
          <w:p w14:paraId="4ACE2F0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F09"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2F0A"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29,001</w:t>
            </w:r>
          </w:p>
        </w:tc>
        <w:tc>
          <w:tcPr>
            <w:tcW w:w="0" w:type="auto"/>
            <w:shd w:val="clear" w:color="auto" w:fill="auto"/>
            <w:vAlign w:val="bottom"/>
          </w:tcPr>
          <w:p w14:paraId="4ACE2F0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F0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F0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2F0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26,359</w:t>
            </w:r>
          </w:p>
        </w:tc>
        <w:tc>
          <w:tcPr>
            <w:tcW w:w="0" w:type="auto"/>
            <w:shd w:val="clear" w:color="auto" w:fill="auto"/>
            <w:vAlign w:val="bottom"/>
          </w:tcPr>
          <w:p w14:paraId="4ACE2F0F" w14:textId="77777777" w:rsidR="006F587A" w:rsidRDefault="006F587A">
            <w:pPr>
              <w:textAlignment w:val="bottom"/>
              <w:rPr>
                <w:rFonts w:ascii="Times New Roman" w:hAnsi="Times New Roman"/>
                <w:sz w:val="20"/>
                <w:szCs w:val="20"/>
              </w:rPr>
            </w:pPr>
          </w:p>
        </w:tc>
      </w:tr>
      <w:tr w:rsidR="006F587A" w14:paraId="4ACE2F1A" w14:textId="77777777">
        <w:tc>
          <w:tcPr>
            <w:tcW w:w="0" w:type="auto"/>
            <w:shd w:val="clear" w:color="auto" w:fill="auto"/>
            <w:tcMar>
              <w:top w:w="40" w:type="dxa"/>
              <w:left w:w="40" w:type="dxa"/>
              <w:bottom w:w="40" w:type="dxa"/>
              <w:right w:w="40" w:type="dxa"/>
            </w:tcMar>
          </w:tcPr>
          <w:p w14:paraId="4ACE2F11"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Temporary equity</w:t>
            </w:r>
          </w:p>
        </w:tc>
        <w:tc>
          <w:tcPr>
            <w:tcW w:w="0" w:type="auto"/>
            <w:shd w:val="clear" w:color="auto" w:fill="auto"/>
            <w:tcMar>
              <w:top w:w="40" w:type="dxa"/>
              <w:left w:w="40" w:type="dxa"/>
              <w:bottom w:w="40" w:type="dxa"/>
              <w:right w:w="40" w:type="dxa"/>
            </w:tcMar>
            <w:vAlign w:val="bottom"/>
          </w:tcPr>
          <w:p w14:paraId="4ACE2F1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F13"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2F14"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155</w:t>
            </w:r>
          </w:p>
        </w:tc>
        <w:tc>
          <w:tcPr>
            <w:tcW w:w="0" w:type="auto"/>
            <w:shd w:val="clear" w:color="auto" w:fill="auto"/>
            <w:vAlign w:val="bottom"/>
          </w:tcPr>
          <w:p w14:paraId="4ACE2F1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F1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F1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2F1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419</w:t>
            </w:r>
          </w:p>
        </w:tc>
        <w:tc>
          <w:tcPr>
            <w:tcW w:w="0" w:type="auto"/>
            <w:shd w:val="clear" w:color="auto" w:fill="auto"/>
            <w:vAlign w:val="bottom"/>
          </w:tcPr>
          <w:p w14:paraId="4ACE2F19" w14:textId="77777777" w:rsidR="006F587A" w:rsidRDefault="006F587A">
            <w:pPr>
              <w:textAlignment w:val="bottom"/>
              <w:rPr>
                <w:rFonts w:ascii="Times New Roman" w:hAnsi="Times New Roman"/>
                <w:sz w:val="20"/>
                <w:szCs w:val="20"/>
              </w:rPr>
            </w:pPr>
          </w:p>
        </w:tc>
      </w:tr>
      <w:tr w:rsidR="006F587A" w14:paraId="4ACE2F22" w14:textId="77777777">
        <w:tc>
          <w:tcPr>
            <w:tcW w:w="0" w:type="auto"/>
            <w:shd w:val="clear" w:color="auto" w:fill="auto"/>
            <w:tcMar>
              <w:top w:w="40" w:type="dxa"/>
              <w:left w:w="40" w:type="dxa"/>
              <w:bottom w:w="40" w:type="dxa"/>
              <w:right w:w="40" w:type="dxa"/>
            </w:tcMar>
          </w:tcPr>
          <w:p w14:paraId="4ACE2F1B"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Debt as a percentage of permanent stockholders’ equity</w:t>
            </w:r>
          </w:p>
        </w:tc>
        <w:tc>
          <w:tcPr>
            <w:tcW w:w="0" w:type="auto"/>
            <w:shd w:val="clear" w:color="auto" w:fill="auto"/>
            <w:tcMar>
              <w:top w:w="40" w:type="dxa"/>
              <w:left w:w="40" w:type="dxa"/>
              <w:bottom w:w="40" w:type="dxa"/>
              <w:right w:w="40" w:type="dxa"/>
            </w:tcMar>
            <w:vAlign w:val="bottom"/>
          </w:tcPr>
          <w:p w14:paraId="4ACE2F1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2F1D"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37.4</w:t>
            </w:r>
          </w:p>
        </w:tc>
        <w:tc>
          <w:tcPr>
            <w:tcW w:w="0" w:type="auto"/>
            <w:shd w:val="clear" w:color="auto" w:fill="auto"/>
            <w:tcMar>
              <w:top w:w="40" w:type="dxa"/>
              <w:bottom w:w="40" w:type="dxa"/>
              <w:right w:w="40" w:type="dxa"/>
            </w:tcMar>
            <w:vAlign w:val="bottom"/>
          </w:tcPr>
          <w:p w14:paraId="4ACE2F1E"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2F1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2F20"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35.4</w:t>
            </w:r>
          </w:p>
        </w:tc>
        <w:tc>
          <w:tcPr>
            <w:tcW w:w="0" w:type="auto"/>
            <w:shd w:val="clear" w:color="auto" w:fill="auto"/>
            <w:tcMar>
              <w:top w:w="40" w:type="dxa"/>
              <w:bottom w:w="40" w:type="dxa"/>
              <w:right w:w="40" w:type="dxa"/>
            </w:tcMar>
            <w:vAlign w:val="bottom"/>
          </w:tcPr>
          <w:p w14:paraId="4ACE2F2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bl>
    <w:p w14:paraId="4ACE2F23"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Cash generated by operations is our primary source of liquidity. When assessing our sources of liquidity, we include investments as shown in the preceding table. We </w:t>
      </w:r>
      <w:r>
        <w:rPr>
          <w:rFonts w:ascii="Arial" w:eastAsia="宋体" w:hAnsi="Arial" w:cs="Arial"/>
          <w:color w:val="333333"/>
          <w:sz w:val="18"/>
          <w:szCs w:val="18"/>
        </w:rPr>
        <w:t>maintain a diverse investment portfolio that we continually analyze based on issuer, industry, and country. Substantially all of our investments in debt instruments and financing receivables are in investment-grade securities.</w:t>
      </w:r>
    </w:p>
    <w:p w14:paraId="4ACE2F24"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Other potential sources of li</w:t>
      </w:r>
      <w:r>
        <w:rPr>
          <w:rFonts w:ascii="Arial" w:eastAsia="宋体" w:hAnsi="Arial" w:cs="Arial"/>
          <w:color w:val="333333"/>
          <w:sz w:val="18"/>
          <w:szCs w:val="18"/>
        </w:rPr>
        <w:t>quidity include our commercial paper program and our automatic shelf registration statement on file with the SEC, pursuant to which we may offer an unspecified amount of debt, equity, and other securities. Under our commercial paper program, we have an ong</w:t>
      </w:r>
      <w:r>
        <w:rPr>
          <w:rFonts w:ascii="Arial" w:eastAsia="宋体" w:hAnsi="Arial" w:cs="Arial"/>
          <w:color w:val="333333"/>
          <w:sz w:val="18"/>
          <w:szCs w:val="18"/>
        </w:rPr>
        <w:t>oing authorization from our Board of Directors to borrow up to $10.0 billion. As of December 28, 2019, no commercial paper remained outstanding. During 2019, we issued a total of $2.8 billion aggregate principal amount of senior notes and received proceeds</w:t>
      </w:r>
      <w:r>
        <w:rPr>
          <w:rFonts w:ascii="Arial" w:eastAsia="宋体" w:hAnsi="Arial" w:cs="Arial"/>
          <w:color w:val="333333"/>
          <w:sz w:val="18"/>
          <w:szCs w:val="18"/>
        </w:rPr>
        <w:t xml:space="preserve"> of $648 million aggregate principal amount of bonds issued by the Industrial Development Authority of the City of Chandler, Arizona and the State of Oregon Business Development Commission. We also redeemed our $915 million, 4.70% senior notes due December</w:t>
      </w:r>
      <w:r>
        <w:rPr>
          <w:rFonts w:ascii="Arial" w:eastAsia="宋体" w:hAnsi="Arial" w:cs="Arial"/>
          <w:color w:val="333333"/>
          <w:sz w:val="18"/>
          <w:szCs w:val="18"/>
        </w:rPr>
        <w:t xml:space="preserve"> 2045. Additionally, we repaid $170 million of our 3.25% senior notes that matured in December 2019 and paid $1.5 billion in cash to satisfy conversion requests for a portion of our $2.0 billion 2009 Debentures. In November 2019, we issued a notice of rede</w:t>
      </w:r>
      <w:r>
        <w:rPr>
          <w:rFonts w:ascii="Arial" w:eastAsia="宋体" w:hAnsi="Arial" w:cs="Arial"/>
          <w:color w:val="333333"/>
          <w:sz w:val="18"/>
          <w:szCs w:val="18"/>
        </w:rPr>
        <w:t>mption for the remaining $372 million of 2009 Debentures with a redemption date of January 9, 2020.</w:t>
      </w:r>
    </w:p>
    <w:p w14:paraId="4ACE2F25"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lastRenderedPageBreak/>
        <w:t>We believe we have sufficient financial resources to meet our business requirements in the next 12 months, including capital expenditures for worldwide manu</w:t>
      </w:r>
      <w:r>
        <w:rPr>
          <w:rFonts w:ascii="Arial" w:eastAsia="宋体" w:hAnsi="Arial" w:cs="Arial"/>
          <w:color w:val="333333"/>
          <w:sz w:val="18"/>
          <w:szCs w:val="18"/>
        </w:rPr>
        <w:t>facturing and assembly and test; working capital requirements; and potential acquisitions, strategic investments, dividends, and common stock repurchases.</w:t>
      </w:r>
    </w:p>
    <w:tbl>
      <w:tblPr>
        <w:tblW w:w="5000" w:type="pct"/>
        <w:tblCellMar>
          <w:left w:w="0" w:type="dxa"/>
          <w:right w:w="0" w:type="dxa"/>
        </w:tblCellMar>
        <w:tblLook w:val="04A0" w:firstRow="1" w:lastRow="0" w:firstColumn="1" w:lastColumn="0" w:noHBand="0" w:noVBand="1"/>
      </w:tblPr>
      <w:tblGrid>
        <w:gridCol w:w="1886"/>
        <w:gridCol w:w="130"/>
        <w:gridCol w:w="6290"/>
      </w:tblGrid>
      <w:tr w:rsidR="006F587A" w14:paraId="4ACE2F27" w14:textId="77777777">
        <w:tc>
          <w:tcPr>
            <w:tcW w:w="0" w:type="auto"/>
            <w:gridSpan w:val="3"/>
            <w:shd w:val="clear" w:color="auto" w:fill="auto"/>
            <w:vAlign w:val="center"/>
          </w:tcPr>
          <w:p w14:paraId="4ACE2F26" w14:textId="77777777" w:rsidR="006F587A" w:rsidRDefault="006F587A">
            <w:pPr>
              <w:rPr>
                <w:rFonts w:ascii="Times New Roman" w:hAnsi="Times New Roman"/>
                <w:sz w:val="20"/>
                <w:szCs w:val="20"/>
              </w:rPr>
            </w:pPr>
          </w:p>
        </w:tc>
      </w:tr>
      <w:tr w:rsidR="006F587A" w14:paraId="4ACE2F2B" w14:textId="77777777">
        <w:tc>
          <w:tcPr>
            <w:tcW w:w="1150" w:type="pct"/>
            <w:shd w:val="clear" w:color="auto" w:fill="auto"/>
            <w:vAlign w:val="center"/>
          </w:tcPr>
          <w:p w14:paraId="4ACE2F28" w14:textId="77777777" w:rsidR="006F587A" w:rsidRDefault="006F587A">
            <w:pPr>
              <w:rPr>
                <w:rFonts w:ascii="Times New Roman" w:hAnsi="Times New Roman"/>
                <w:sz w:val="20"/>
                <w:szCs w:val="20"/>
              </w:rPr>
            </w:pPr>
          </w:p>
        </w:tc>
        <w:tc>
          <w:tcPr>
            <w:tcW w:w="50" w:type="pct"/>
            <w:shd w:val="clear" w:color="auto" w:fill="auto"/>
            <w:vAlign w:val="center"/>
          </w:tcPr>
          <w:p w14:paraId="4ACE2F29" w14:textId="77777777" w:rsidR="006F587A" w:rsidRDefault="006F587A">
            <w:pPr>
              <w:rPr>
                <w:rFonts w:ascii="Times New Roman" w:hAnsi="Times New Roman"/>
                <w:sz w:val="20"/>
                <w:szCs w:val="20"/>
              </w:rPr>
            </w:pPr>
          </w:p>
        </w:tc>
        <w:tc>
          <w:tcPr>
            <w:tcW w:w="3800" w:type="pct"/>
            <w:shd w:val="clear" w:color="auto" w:fill="auto"/>
            <w:vAlign w:val="center"/>
          </w:tcPr>
          <w:p w14:paraId="4ACE2F2A" w14:textId="77777777" w:rsidR="006F587A" w:rsidRDefault="006F587A">
            <w:pPr>
              <w:rPr>
                <w:rFonts w:ascii="Times New Roman" w:hAnsi="Times New Roman"/>
                <w:sz w:val="20"/>
                <w:szCs w:val="20"/>
              </w:rPr>
            </w:pPr>
          </w:p>
        </w:tc>
      </w:tr>
      <w:tr w:rsidR="006F587A" w14:paraId="4ACE2F32" w14:textId="77777777">
        <w:tc>
          <w:tcPr>
            <w:tcW w:w="0" w:type="auto"/>
            <w:shd w:val="clear" w:color="auto" w:fill="auto"/>
            <w:tcMar>
              <w:top w:w="40" w:type="dxa"/>
              <w:left w:w="40" w:type="dxa"/>
              <w:bottom w:w="40" w:type="dxa"/>
              <w:right w:w="40" w:type="dxa"/>
            </w:tcMar>
            <w:vAlign w:val="center"/>
          </w:tcPr>
          <w:p w14:paraId="4ACE2F2C" w14:textId="77777777" w:rsidR="006F587A" w:rsidRDefault="007B2B61">
            <w:pPr>
              <w:jc w:val="center"/>
              <w:textAlignment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Viewer12_files/a061sharoncircle.jpg"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D58" wp14:editId="4ACE6D59">
                  <wp:extent cx="304800" cy="304800"/>
                  <wp:effectExtent l="0" t="0" r="0" b="0"/>
                  <wp:docPr id="19" name="图片 214" descr="IMG_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4" descr="IMG_39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c>
          <w:tcPr>
            <w:tcW w:w="0" w:type="auto"/>
            <w:shd w:val="clear" w:color="auto" w:fill="auto"/>
            <w:tcMar>
              <w:top w:w="40" w:type="dxa"/>
              <w:left w:w="40" w:type="dxa"/>
              <w:bottom w:w="40" w:type="dxa"/>
              <w:right w:w="40" w:type="dxa"/>
            </w:tcMar>
            <w:vAlign w:val="bottom"/>
          </w:tcPr>
          <w:p w14:paraId="4ACE2F2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4ACE2F2E" w14:textId="77777777" w:rsidR="006F587A" w:rsidRDefault="007B2B61">
            <w:pPr>
              <w:textAlignment w:val="center"/>
              <w:rPr>
                <w:rFonts w:ascii="Times New Roman" w:hAnsi="Times New Roman"/>
                <w:sz w:val="18"/>
                <w:szCs w:val="18"/>
              </w:rPr>
            </w:pPr>
            <w:r>
              <w:rPr>
                <w:rFonts w:ascii="Arial" w:eastAsia="宋体" w:hAnsi="Arial" w:cs="Arial"/>
                <w:b/>
                <w:bCs/>
                <w:i/>
                <w:iCs/>
                <w:color w:val="333333"/>
                <w:sz w:val="18"/>
                <w:szCs w:val="18"/>
              </w:rPr>
              <w:t>"Our finance team plays a fundamental role in partnering with the business to ensure we have the capital an</w:t>
            </w:r>
            <w:r>
              <w:rPr>
                <w:rFonts w:ascii="Arial" w:eastAsia="宋体" w:hAnsi="Arial" w:cs="Arial"/>
                <w:b/>
                <w:bCs/>
                <w:i/>
                <w:iCs/>
                <w:color w:val="333333"/>
                <w:sz w:val="18"/>
                <w:szCs w:val="18"/>
              </w:rPr>
              <w:t>d financial resources available to fund our global operations and future growth initiatives."</w:t>
            </w:r>
          </w:p>
          <w:p w14:paraId="4ACE2F2F" w14:textId="77777777" w:rsidR="006F587A" w:rsidRDefault="006F587A">
            <w:pPr>
              <w:textAlignment w:val="center"/>
              <w:rPr>
                <w:rFonts w:ascii="Times New Roman" w:hAnsi="Times New Roman"/>
                <w:sz w:val="18"/>
                <w:szCs w:val="18"/>
              </w:rPr>
            </w:pPr>
          </w:p>
          <w:p w14:paraId="4ACE2F30" w14:textId="77777777" w:rsidR="006F587A" w:rsidRDefault="007B2B61">
            <w:pPr>
              <w:textAlignment w:val="center"/>
              <w:rPr>
                <w:rFonts w:ascii="Times New Roman" w:hAnsi="Times New Roman"/>
                <w:sz w:val="18"/>
                <w:szCs w:val="18"/>
              </w:rPr>
            </w:pPr>
            <w:r>
              <w:rPr>
                <w:rFonts w:ascii="Arial" w:eastAsia="宋体" w:hAnsi="Arial" w:cs="Arial"/>
                <w:b/>
                <w:bCs/>
                <w:color w:val="333333"/>
                <w:sz w:val="18"/>
                <w:szCs w:val="18"/>
              </w:rPr>
              <w:t>—Sharon Heck,</w:t>
            </w:r>
            <w:r>
              <w:rPr>
                <w:rFonts w:ascii="Arial" w:eastAsia="宋体" w:hAnsi="Arial" w:cs="Arial"/>
                <w:color w:val="333333"/>
                <w:sz w:val="18"/>
                <w:szCs w:val="18"/>
              </w:rPr>
              <w:t> Corporate Vice President, Treasurer, and Chief Tax Officer</w:t>
            </w:r>
          </w:p>
          <w:p w14:paraId="4ACE2F31" w14:textId="77777777" w:rsidR="006F587A" w:rsidRDefault="006F587A">
            <w:pPr>
              <w:textAlignment w:val="center"/>
              <w:rPr>
                <w:rFonts w:ascii="Times New Roman" w:hAnsi="Times New Roman"/>
                <w:sz w:val="18"/>
                <w:szCs w:val="18"/>
              </w:rPr>
            </w:pPr>
          </w:p>
        </w:tc>
      </w:tr>
    </w:tbl>
    <w:p w14:paraId="4ACE2F33"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408"/>
        <w:gridCol w:w="2409"/>
        <w:gridCol w:w="3489"/>
      </w:tblGrid>
      <w:tr w:rsidR="006F587A" w14:paraId="4ACE2F35" w14:textId="77777777">
        <w:tc>
          <w:tcPr>
            <w:tcW w:w="0" w:type="auto"/>
            <w:gridSpan w:val="3"/>
            <w:shd w:val="clear" w:color="auto" w:fill="auto"/>
            <w:vAlign w:val="center"/>
          </w:tcPr>
          <w:p w14:paraId="4ACE2F34" w14:textId="77777777" w:rsidR="006F587A" w:rsidRDefault="006F587A">
            <w:pPr>
              <w:rPr>
                <w:rFonts w:ascii="Times New Roman" w:hAnsi="Times New Roman"/>
                <w:sz w:val="20"/>
                <w:szCs w:val="20"/>
              </w:rPr>
            </w:pPr>
          </w:p>
        </w:tc>
      </w:tr>
      <w:tr w:rsidR="006F587A" w14:paraId="4ACE2F39" w14:textId="77777777">
        <w:tc>
          <w:tcPr>
            <w:tcW w:w="1450" w:type="pct"/>
            <w:shd w:val="clear" w:color="auto" w:fill="auto"/>
            <w:vAlign w:val="center"/>
          </w:tcPr>
          <w:p w14:paraId="4ACE2F36" w14:textId="77777777" w:rsidR="006F587A" w:rsidRDefault="006F587A">
            <w:pPr>
              <w:rPr>
                <w:rFonts w:ascii="Times New Roman" w:hAnsi="Times New Roman"/>
                <w:sz w:val="20"/>
                <w:szCs w:val="20"/>
              </w:rPr>
            </w:pPr>
          </w:p>
        </w:tc>
        <w:tc>
          <w:tcPr>
            <w:tcW w:w="1450" w:type="pct"/>
            <w:shd w:val="clear" w:color="auto" w:fill="auto"/>
            <w:vAlign w:val="center"/>
          </w:tcPr>
          <w:p w14:paraId="4ACE2F37" w14:textId="77777777" w:rsidR="006F587A" w:rsidRDefault="006F587A">
            <w:pPr>
              <w:rPr>
                <w:rFonts w:ascii="Times New Roman" w:hAnsi="Times New Roman"/>
                <w:sz w:val="20"/>
                <w:szCs w:val="20"/>
              </w:rPr>
            </w:pPr>
          </w:p>
        </w:tc>
        <w:tc>
          <w:tcPr>
            <w:tcW w:w="2100" w:type="pct"/>
            <w:shd w:val="clear" w:color="auto" w:fill="auto"/>
            <w:vAlign w:val="center"/>
          </w:tcPr>
          <w:p w14:paraId="4ACE2F38" w14:textId="77777777" w:rsidR="006F587A" w:rsidRDefault="006F587A">
            <w:pPr>
              <w:rPr>
                <w:rFonts w:ascii="Times New Roman" w:hAnsi="Times New Roman"/>
                <w:sz w:val="20"/>
                <w:szCs w:val="20"/>
              </w:rPr>
            </w:pPr>
          </w:p>
        </w:tc>
      </w:tr>
      <w:tr w:rsidR="006F587A" w14:paraId="4ACE2F3D"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2F3A" w14:textId="77777777" w:rsidR="006F587A" w:rsidRDefault="007B2B61">
            <w:pPr>
              <w:textAlignment w:val="center"/>
              <w:rPr>
                <w:rFonts w:ascii="Times New Roman" w:hAnsi="Times New Roman"/>
                <w:sz w:val="18"/>
                <w:szCs w:val="18"/>
              </w:rPr>
            </w:pP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Viewer12_files/a001intellogo_coverfooter.jpg"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D5A" wp14:editId="4ACE6D5B">
                  <wp:extent cx="304800" cy="304800"/>
                  <wp:effectExtent l="0" t="0" r="0" b="0"/>
                  <wp:docPr id="20" name="图片 215"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5"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r>
              <w:rPr>
                <w:rFonts w:ascii="Arial" w:eastAsia="宋体" w:hAnsi="Arial" w:cs="Arial"/>
                <w:color w:val="333333"/>
                <w:sz w:val="18"/>
                <w:szCs w:val="18"/>
              </w:rPr>
              <w:t>  </w:t>
            </w:r>
            <w:r>
              <w:rPr>
                <w:rFonts w:ascii="Arial" w:eastAsia="宋体" w:hAnsi="Arial" w:cs="Arial"/>
                <w:color w:val="333333"/>
                <w:sz w:val="16"/>
                <w:szCs w:val="16"/>
              </w:rPr>
              <w:t>MD&amp;A</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F3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F3C"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40</w:t>
            </w:r>
          </w:p>
        </w:tc>
      </w:tr>
    </w:tbl>
    <w:p w14:paraId="4ACE2F3E" w14:textId="77777777" w:rsidR="006F587A" w:rsidRDefault="007B2B61">
      <w:r>
        <w:pict w14:anchorId="4ACE6D5C">
          <v:rect id="_x0000_i1066" style="width:415.3pt;height:1.5pt" o:hralign="center" o:hrstd="t" o:hr="t" fillcolor="#a0a0a0" stroked="f"/>
        </w:pict>
      </w:r>
    </w:p>
    <w:p w14:paraId="4ACE2F3F" w14:textId="77777777" w:rsidR="006F587A" w:rsidRDefault="007B2B61">
      <w:pPr>
        <w:spacing w:line="288" w:lineRule="auto"/>
        <w:jc w:val="right"/>
        <w:rPr>
          <w:rFonts w:ascii="Times New Roman" w:hAnsi="Times New Roman"/>
          <w:sz w:val="16"/>
          <w:szCs w:val="16"/>
        </w:rPr>
      </w:pPr>
      <w:hyperlink r:id="rId73" w:anchor="s9DB683E2CF52561EB8A73BE37F5BF9BE" w:history="1">
        <w:r>
          <w:rPr>
            <w:rStyle w:val="a5"/>
            <w:rFonts w:ascii="Arial" w:eastAsia="宋体" w:hAnsi="Arial" w:cs="Arial"/>
            <w:b/>
            <w:bCs/>
            <w:sz w:val="16"/>
            <w:szCs w:val="16"/>
          </w:rPr>
          <w:t>Table of Contents</w:t>
        </w:r>
      </w:hyperlink>
    </w:p>
    <w:p w14:paraId="4ACE2F40" w14:textId="77777777" w:rsidR="006F587A" w:rsidRDefault="006F587A">
      <w:pPr>
        <w:spacing w:line="288" w:lineRule="auto"/>
        <w:jc w:val="right"/>
        <w:rPr>
          <w:rFonts w:ascii="Times New Roman" w:hAnsi="Times New Roman"/>
          <w:sz w:val="16"/>
          <w:szCs w:val="16"/>
        </w:rPr>
      </w:pPr>
    </w:p>
    <w:p w14:paraId="4ACE2F41" w14:textId="77777777" w:rsidR="006F587A" w:rsidRDefault="006F587A">
      <w:pPr>
        <w:rPr>
          <w:rFonts w:ascii="Times New Roman" w:hAnsi="Times New Roman"/>
          <w:sz w:val="20"/>
          <w:szCs w:val="20"/>
        </w:rPr>
      </w:pPr>
    </w:p>
    <w:tbl>
      <w:tblPr>
        <w:tblW w:w="14640" w:type="dxa"/>
        <w:tblCellMar>
          <w:left w:w="0" w:type="dxa"/>
          <w:right w:w="0" w:type="dxa"/>
        </w:tblCellMar>
        <w:tblLook w:val="04A0" w:firstRow="1" w:lastRow="0" w:firstColumn="1" w:lastColumn="0" w:noHBand="0" w:noVBand="1"/>
      </w:tblPr>
      <w:tblGrid>
        <w:gridCol w:w="14640"/>
      </w:tblGrid>
      <w:tr w:rsidR="006F587A" w14:paraId="4ACE2F43" w14:textId="77777777">
        <w:tc>
          <w:tcPr>
            <w:tcW w:w="0" w:type="auto"/>
            <w:shd w:val="clear" w:color="auto" w:fill="auto"/>
            <w:vAlign w:val="center"/>
          </w:tcPr>
          <w:p w14:paraId="4ACE2F42" w14:textId="77777777" w:rsidR="006F587A" w:rsidRDefault="006F587A">
            <w:pPr>
              <w:rPr>
                <w:rFonts w:ascii="Times New Roman" w:hAnsi="Times New Roman"/>
                <w:sz w:val="20"/>
                <w:szCs w:val="20"/>
              </w:rPr>
            </w:pPr>
          </w:p>
        </w:tc>
      </w:tr>
      <w:tr w:rsidR="006F587A" w14:paraId="4ACE2F45" w14:textId="77777777">
        <w:tc>
          <w:tcPr>
            <w:tcW w:w="14640" w:type="dxa"/>
            <w:shd w:val="clear" w:color="auto" w:fill="auto"/>
            <w:vAlign w:val="center"/>
          </w:tcPr>
          <w:p w14:paraId="4ACE2F44" w14:textId="77777777" w:rsidR="006F587A" w:rsidRDefault="006F587A">
            <w:pPr>
              <w:rPr>
                <w:rFonts w:ascii="Times New Roman" w:hAnsi="Times New Roman"/>
                <w:sz w:val="20"/>
                <w:szCs w:val="20"/>
              </w:rPr>
            </w:pPr>
          </w:p>
        </w:tc>
      </w:tr>
      <w:tr w:rsidR="006F587A" w14:paraId="4ACE2F48" w14:textId="77777777">
        <w:tc>
          <w:tcPr>
            <w:tcW w:w="0" w:type="auto"/>
            <w:tcBorders>
              <w:bottom w:val="single" w:sz="8" w:space="0" w:color="333333"/>
            </w:tcBorders>
            <w:shd w:val="clear" w:color="auto" w:fill="auto"/>
            <w:tcMar>
              <w:top w:w="40" w:type="dxa"/>
              <w:left w:w="40" w:type="dxa"/>
              <w:bottom w:w="40" w:type="dxa"/>
              <w:right w:w="40" w:type="dxa"/>
            </w:tcMar>
            <w:vAlign w:val="bottom"/>
          </w:tcPr>
          <w:p w14:paraId="4ACE2F46" w14:textId="77777777" w:rsidR="006F587A" w:rsidRDefault="007B2B61">
            <w:pPr>
              <w:jc w:val="center"/>
              <w:textAlignment w:val="bottom"/>
              <w:rPr>
                <w:rFonts w:ascii="Times New Roman" w:hAnsi="Times New Roman"/>
                <w:sz w:val="18"/>
                <w:szCs w:val="18"/>
              </w:rPr>
            </w:pPr>
            <w:r>
              <w:rPr>
                <w:rFonts w:ascii="Arial" w:eastAsia="宋体" w:hAnsi="Arial" w:cs="Arial"/>
                <w:b/>
                <w:bCs/>
                <w:color w:val="0071C5"/>
                <w:sz w:val="18"/>
                <w:szCs w:val="18"/>
              </w:rPr>
              <w:t>SOURCES AND USES OF CASH</w:t>
            </w:r>
          </w:p>
          <w:p w14:paraId="4ACE2F47" w14:textId="77777777" w:rsidR="006F587A" w:rsidRDefault="007B2B61">
            <w:pPr>
              <w:jc w:val="center"/>
              <w:textAlignment w:val="bottom"/>
              <w:rPr>
                <w:rFonts w:ascii="Times New Roman" w:hAnsi="Times New Roman"/>
                <w:sz w:val="16"/>
                <w:szCs w:val="16"/>
              </w:rPr>
            </w:pPr>
            <w:r>
              <w:rPr>
                <w:rFonts w:ascii="Arial" w:eastAsia="宋体" w:hAnsi="Arial" w:cs="Arial"/>
                <w:color w:val="0071C5"/>
                <w:sz w:val="16"/>
                <w:szCs w:val="16"/>
              </w:rPr>
              <w:t>(In Millions)</w:t>
            </w:r>
          </w:p>
        </w:tc>
      </w:tr>
    </w:tbl>
    <w:p w14:paraId="4ACE2F49" w14:textId="77777777" w:rsidR="006F587A" w:rsidRDefault="007B2B61">
      <w:pPr>
        <w:spacing w:line="288" w:lineRule="auto"/>
        <w:ind w:firstLine="360"/>
        <w:rPr>
          <w:rFonts w:ascii="Times New Roman" w:hAnsi="Times New Roman"/>
          <w:sz w:val="18"/>
          <w:szCs w:val="18"/>
        </w:rPr>
      </w:pPr>
      <w:r>
        <w:rPr>
          <w:rFonts w:ascii="Arial" w:eastAsia="宋体" w:hAnsi="Arial" w:cs="Arial"/>
          <w:color w:val="333333"/>
          <w:sz w:val="18"/>
          <w:szCs w:val="18"/>
        </w:rPr>
        <w:t>    </w:t>
      </w: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Viewer12_files/a062cashflowgraph11520.jpg"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D5D" wp14:editId="4ACE6D5E">
            <wp:extent cx="304800" cy="304800"/>
            <wp:effectExtent l="0" t="0" r="0" b="0"/>
            <wp:docPr id="185" name="图片 217" descr="IMG_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217" descr="IMG_39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p>
    <w:p w14:paraId="4ACE2F4A" w14:textId="77777777" w:rsidR="006F587A" w:rsidRDefault="007B2B61">
      <w:pPr>
        <w:spacing w:line="288" w:lineRule="auto"/>
        <w:rPr>
          <w:rFonts w:ascii="Times New Roman" w:hAnsi="Times New Roman"/>
          <w:sz w:val="20"/>
          <w:szCs w:val="20"/>
        </w:rPr>
      </w:pPr>
      <w:r>
        <w:rPr>
          <w:rFonts w:ascii="Arial" w:eastAsia="宋体" w:hAnsi="Arial" w:cs="Arial"/>
          <w:color w:val="333333"/>
          <w:sz w:val="18"/>
          <w:szCs w:val="18"/>
        </w:rPr>
        <w:t>In summary, our cash flows for each period were as follows:</w:t>
      </w:r>
    </w:p>
    <w:tbl>
      <w:tblPr>
        <w:tblW w:w="5000" w:type="pct"/>
        <w:tblCellMar>
          <w:left w:w="0" w:type="dxa"/>
          <w:right w:w="0" w:type="dxa"/>
        </w:tblCellMar>
        <w:tblLook w:val="04A0" w:firstRow="1" w:lastRow="0" w:firstColumn="1" w:lastColumn="0" w:noHBand="0" w:noVBand="1"/>
      </w:tblPr>
      <w:tblGrid>
        <w:gridCol w:w="4975"/>
        <w:gridCol w:w="130"/>
        <w:gridCol w:w="141"/>
        <w:gridCol w:w="739"/>
        <w:gridCol w:w="100"/>
        <w:gridCol w:w="130"/>
        <w:gridCol w:w="141"/>
        <w:gridCol w:w="739"/>
        <w:gridCol w:w="100"/>
        <w:gridCol w:w="130"/>
        <w:gridCol w:w="141"/>
        <w:gridCol w:w="740"/>
        <w:gridCol w:w="100"/>
      </w:tblGrid>
      <w:tr w:rsidR="006F587A" w14:paraId="4ACE2F4C" w14:textId="77777777">
        <w:tc>
          <w:tcPr>
            <w:tcW w:w="0" w:type="auto"/>
            <w:gridSpan w:val="13"/>
            <w:shd w:val="clear" w:color="auto" w:fill="auto"/>
            <w:vAlign w:val="center"/>
          </w:tcPr>
          <w:p w14:paraId="4ACE2F4B" w14:textId="77777777" w:rsidR="006F587A" w:rsidRDefault="006F587A">
            <w:pPr>
              <w:rPr>
                <w:rFonts w:ascii="Times New Roman" w:hAnsi="Times New Roman"/>
                <w:sz w:val="20"/>
                <w:szCs w:val="20"/>
              </w:rPr>
            </w:pPr>
          </w:p>
        </w:tc>
      </w:tr>
      <w:tr w:rsidR="006F587A" w14:paraId="4ACE2F5A" w14:textId="77777777">
        <w:tc>
          <w:tcPr>
            <w:tcW w:w="3050" w:type="pct"/>
            <w:shd w:val="clear" w:color="auto" w:fill="auto"/>
            <w:vAlign w:val="center"/>
          </w:tcPr>
          <w:p w14:paraId="4ACE2F4D" w14:textId="77777777" w:rsidR="006F587A" w:rsidRDefault="006F587A">
            <w:pPr>
              <w:rPr>
                <w:rFonts w:ascii="Times New Roman" w:hAnsi="Times New Roman"/>
                <w:sz w:val="20"/>
                <w:szCs w:val="20"/>
              </w:rPr>
            </w:pPr>
          </w:p>
        </w:tc>
        <w:tc>
          <w:tcPr>
            <w:tcW w:w="50" w:type="pct"/>
            <w:shd w:val="clear" w:color="auto" w:fill="auto"/>
            <w:vAlign w:val="center"/>
          </w:tcPr>
          <w:p w14:paraId="4ACE2F4E" w14:textId="77777777" w:rsidR="006F587A" w:rsidRDefault="006F587A">
            <w:pPr>
              <w:rPr>
                <w:rFonts w:ascii="Times New Roman" w:hAnsi="Times New Roman"/>
                <w:sz w:val="20"/>
                <w:szCs w:val="20"/>
              </w:rPr>
            </w:pPr>
          </w:p>
        </w:tc>
        <w:tc>
          <w:tcPr>
            <w:tcW w:w="50" w:type="pct"/>
            <w:shd w:val="clear" w:color="auto" w:fill="auto"/>
            <w:vAlign w:val="center"/>
          </w:tcPr>
          <w:p w14:paraId="4ACE2F4F" w14:textId="77777777" w:rsidR="006F587A" w:rsidRDefault="006F587A">
            <w:pPr>
              <w:rPr>
                <w:rFonts w:ascii="Times New Roman" w:hAnsi="Times New Roman"/>
                <w:sz w:val="20"/>
                <w:szCs w:val="20"/>
              </w:rPr>
            </w:pPr>
          </w:p>
        </w:tc>
        <w:tc>
          <w:tcPr>
            <w:tcW w:w="500" w:type="pct"/>
            <w:shd w:val="clear" w:color="auto" w:fill="auto"/>
            <w:vAlign w:val="center"/>
          </w:tcPr>
          <w:p w14:paraId="4ACE2F50" w14:textId="77777777" w:rsidR="006F587A" w:rsidRDefault="006F587A">
            <w:pPr>
              <w:rPr>
                <w:rFonts w:ascii="Times New Roman" w:hAnsi="Times New Roman"/>
                <w:sz w:val="20"/>
                <w:szCs w:val="20"/>
              </w:rPr>
            </w:pPr>
          </w:p>
        </w:tc>
        <w:tc>
          <w:tcPr>
            <w:tcW w:w="50" w:type="pct"/>
            <w:shd w:val="clear" w:color="auto" w:fill="auto"/>
            <w:vAlign w:val="center"/>
          </w:tcPr>
          <w:p w14:paraId="4ACE2F51" w14:textId="77777777" w:rsidR="006F587A" w:rsidRDefault="006F587A">
            <w:pPr>
              <w:rPr>
                <w:rFonts w:ascii="Times New Roman" w:hAnsi="Times New Roman"/>
                <w:sz w:val="20"/>
                <w:szCs w:val="20"/>
              </w:rPr>
            </w:pPr>
          </w:p>
        </w:tc>
        <w:tc>
          <w:tcPr>
            <w:tcW w:w="50" w:type="pct"/>
            <w:shd w:val="clear" w:color="auto" w:fill="auto"/>
            <w:vAlign w:val="center"/>
          </w:tcPr>
          <w:p w14:paraId="4ACE2F52" w14:textId="77777777" w:rsidR="006F587A" w:rsidRDefault="006F587A">
            <w:pPr>
              <w:rPr>
                <w:rFonts w:ascii="Times New Roman" w:hAnsi="Times New Roman"/>
                <w:sz w:val="20"/>
                <w:szCs w:val="20"/>
              </w:rPr>
            </w:pPr>
          </w:p>
        </w:tc>
        <w:tc>
          <w:tcPr>
            <w:tcW w:w="50" w:type="pct"/>
            <w:shd w:val="clear" w:color="auto" w:fill="auto"/>
            <w:vAlign w:val="center"/>
          </w:tcPr>
          <w:p w14:paraId="4ACE2F53" w14:textId="77777777" w:rsidR="006F587A" w:rsidRDefault="006F587A">
            <w:pPr>
              <w:rPr>
                <w:rFonts w:ascii="Times New Roman" w:hAnsi="Times New Roman"/>
                <w:sz w:val="20"/>
                <w:szCs w:val="20"/>
              </w:rPr>
            </w:pPr>
          </w:p>
        </w:tc>
        <w:tc>
          <w:tcPr>
            <w:tcW w:w="500" w:type="pct"/>
            <w:shd w:val="clear" w:color="auto" w:fill="auto"/>
            <w:vAlign w:val="center"/>
          </w:tcPr>
          <w:p w14:paraId="4ACE2F54" w14:textId="77777777" w:rsidR="006F587A" w:rsidRDefault="006F587A">
            <w:pPr>
              <w:rPr>
                <w:rFonts w:ascii="Times New Roman" w:hAnsi="Times New Roman"/>
                <w:sz w:val="20"/>
                <w:szCs w:val="20"/>
              </w:rPr>
            </w:pPr>
          </w:p>
        </w:tc>
        <w:tc>
          <w:tcPr>
            <w:tcW w:w="50" w:type="pct"/>
            <w:shd w:val="clear" w:color="auto" w:fill="auto"/>
            <w:vAlign w:val="center"/>
          </w:tcPr>
          <w:p w14:paraId="4ACE2F55" w14:textId="77777777" w:rsidR="006F587A" w:rsidRDefault="006F587A">
            <w:pPr>
              <w:rPr>
                <w:rFonts w:ascii="Times New Roman" w:hAnsi="Times New Roman"/>
                <w:sz w:val="20"/>
                <w:szCs w:val="20"/>
              </w:rPr>
            </w:pPr>
          </w:p>
        </w:tc>
        <w:tc>
          <w:tcPr>
            <w:tcW w:w="50" w:type="pct"/>
            <w:shd w:val="clear" w:color="auto" w:fill="auto"/>
            <w:vAlign w:val="center"/>
          </w:tcPr>
          <w:p w14:paraId="4ACE2F56" w14:textId="77777777" w:rsidR="006F587A" w:rsidRDefault="006F587A">
            <w:pPr>
              <w:rPr>
                <w:rFonts w:ascii="Times New Roman" w:hAnsi="Times New Roman"/>
                <w:sz w:val="20"/>
                <w:szCs w:val="20"/>
              </w:rPr>
            </w:pPr>
          </w:p>
        </w:tc>
        <w:tc>
          <w:tcPr>
            <w:tcW w:w="50" w:type="pct"/>
            <w:shd w:val="clear" w:color="auto" w:fill="auto"/>
            <w:vAlign w:val="center"/>
          </w:tcPr>
          <w:p w14:paraId="4ACE2F57" w14:textId="77777777" w:rsidR="006F587A" w:rsidRDefault="006F587A">
            <w:pPr>
              <w:rPr>
                <w:rFonts w:ascii="Times New Roman" w:hAnsi="Times New Roman"/>
                <w:sz w:val="20"/>
                <w:szCs w:val="20"/>
              </w:rPr>
            </w:pPr>
          </w:p>
        </w:tc>
        <w:tc>
          <w:tcPr>
            <w:tcW w:w="500" w:type="pct"/>
            <w:shd w:val="clear" w:color="auto" w:fill="auto"/>
            <w:vAlign w:val="center"/>
          </w:tcPr>
          <w:p w14:paraId="4ACE2F58" w14:textId="77777777" w:rsidR="006F587A" w:rsidRDefault="006F587A">
            <w:pPr>
              <w:rPr>
                <w:rFonts w:ascii="Times New Roman" w:hAnsi="Times New Roman"/>
                <w:sz w:val="20"/>
                <w:szCs w:val="20"/>
              </w:rPr>
            </w:pPr>
          </w:p>
        </w:tc>
        <w:tc>
          <w:tcPr>
            <w:tcW w:w="50" w:type="pct"/>
            <w:shd w:val="clear" w:color="auto" w:fill="auto"/>
            <w:vAlign w:val="center"/>
          </w:tcPr>
          <w:p w14:paraId="4ACE2F59" w14:textId="77777777" w:rsidR="006F587A" w:rsidRDefault="006F587A">
            <w:pPr>
              <w:rPr>
                <w:rFonts w:ascii="Times New Roman" w:hAnsi="Times New Roman"/>
                <w:sz w:val="20"/>
                <w:szCs w:val="20"/>
              </w:rPr>
            </w:pPr>
          </w:p>
        </w:tc>
      </w:tr>
      <w:tr w:rsidR="006F587A" w14:paraId="4ACE2F62"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2F5B"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 xml:space="preserve">Years Ended (In </w:t>
            </w:r>
            <w:r>
              <w:rPr>
                <w:rFonts w:ascii="Arial" w:eastAsia="宋体" w:hAnsi="Arial" w:cs="Arial"/>
                <w:b/>
                <w:bCs/>
                <w:color w:val="333333"/>
                <w:sz w:val="18"/>
                <w:szCs w:val="18"/>
              </w:rPr>
              <w:t>Millions)</w:t>
            </w:r>
          </w:p>
        </w:tc>
        <w:tc>
          <w:tcPr>
            <w:tcW w:w="0" w:type="auto"/>
            <w:shd w:val="clear" w:color="auto" w:fill="auto"/>
            <w:tcMar>
              <w:top w:w="40" w:type="dxa"/>
              <w:left w:w="40" w:type="dxa"/>
              <w:bottom w:w="40" w:type="dxa"/>
              <w:right w:w="40" w:type="dxa"/>
            </w:tcMar>
            <w:vAlign w:val="bottom"/>
          </w:tcPr>
          <w:p w14:paraId="4ACE2F5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2F5D"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28, </w:t>
            </w:r>
            <w:r>
              <w:rPr>
                <w:rFonts w:ascii="Arial" w:eastAsia="宋体" w:hAnsi="Arial" w:cs="Arial"/>
                <w:b/>
                <w:bCs/>
                <w:color w:val="333333"/>
                <w:sz w:val="18"/>
                <w:szCs w:val="18"/>
              </w:rPr>
              <w:br/>
              <w:t>2019</w:t>
            </w:r>
          </w:p>
        </w:tc>
        <w:tc>
          <w:tcPr>
            <w:tcW w:w="0" w:type="auto"/>
            <w:shd w:val="clear" w:color="auto" w:fill="auto"/>
            <w:tcMar>
              <w:top w:w="40" w:type="dxa"/>
              <w:left w:w="40" w:type="dxa"/>
              <w:bottom w:w="40" w:type="dxa"/>
              <w:right w:w="40" w:type="dxa"/>
            </w:tcMar>
            <w:vAlign w:val="bottom"/>
          </w:tcPr>
          <w:p w14:paraId="4ACE2F5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2F5F"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29, </w:t>
            </w:r>
            <w:r>
              <w:rPr>
                <w:rFonts w:ascii="Arial" w:eastAsia="宋体" w:hAnsi="Arial" w:cs="Arial"/>
                <w:b/>
                <w:bCs/>
                <w:color w:val="333333"/>
                <w:sz w:val="18"/>
                <w:szCs w:val="18"/>
              </w:rPr>
              <w:br/>
              <w:t>2018</w:t>
            </w:r>
          </w:p>
        </w:tc>
        <w:tc>
          <w:tcPr>
            <w:tcW w:w="0" w:type="auto"/>
            <w:shd w:val="clear" w:color="auto" w:fill="auto"/>
            <w:tcMar>
              <w:top w:w="40" w:type="dxa"/>
              <w:left w:w="40" w:type="dxa"/>
              <w:bottom w:w="40" w:type="dxa"/>
              <w:right w:w="40" w:type="dxa"/>
            </w:tcMar>
            <w:vAlign w:val="bottom"/>
          </w:tcPr>
          <w:p w14:paraId="4ACE2F6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2F61"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30, </w:t>
            </w:r>
            <w:r>
              <w:rPr>
                <w:rFonts w:ascii="Arial" w:eastAsia="宋体" w:hAnsi="Arial" w:cs="Arial"/>
                <w:b/>
                <w:bCs/>
                <w:color w:val="333333"/>
                <w:sz w:val="18"/>
                <w:szCs w:val="18"/>
              </w:rPr>
              <w:br/>
              <w:t>2017</w:t>
            </w:r>
          </w:p>
        </w:tc>
      </w:tr>
      <w:tr w:rsidR="006F587A" w14:paraId="4ACE2F70" w14:textId="77777777">
        <w:tc>
          <w:tcPr>
            <w:tcW w:w="0" w:type="auto"/>
            <w:shd w:val="clear" w:color="auto" w:fill="auto"/>
            <w:tcMar>
              <w:top w:w="40" w:type="dxa"/>
              <w:left w:w="40" w:type="dxa"/>
              <w:bottom w:w="40" w:type="dxa"/>
              <w:right w:w="40" w:type="dxa"/>
            </w:tcMar>
            <w:vAlign w:val="bottom"/>
          </w:tcPr>
          <w:p w14:paraId="4ACE2F6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Net cash provided by operating activities</w:t>
            </w:r>
          </w:p>
        </w:tc>
        <w:tc>
          <w:tcPr>
            <w:tcW w:w="0" w:type="auto"/>
            <w:shd w:val="clear" w:color="auto" w:fill="auto"/>
            <w:tcMar>
              <w:top w:w="40" w:type="dxa"/>
              <w:left w:w="40" w:type="dxa"/>
              <w:bottom w:w="40" w:type="dxa"/>
              <w:right w:w="40" w:type="dxa"/>
            </w:tcMar>
            <w:vAlign w:val="bottom"/>
          </w:tcPr>
          <w:p w14:paraId="4ACE2F6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F65"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2F66"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33,145</w:t>
            </w:r>
          </w:p>
        </w:tc>
        <w:tc>
          <w:tcPr>
            <w:tcW w:w="0" w:type="auto"/>
            <w:shd w:val="clear" w:color="auto" w:fill="auto"/>
            <w:vAlign w:val="bottom"/>
          </w:tcPr>
          <w:p w14:paraId="4ACE2F6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F6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F6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2F6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29,432</w:t>
            </w:r>
          </w:p>
        </w:tc>
        <w:tc>
          <w:tcPr>
            <w:tcW w:w="0" w:type="auto"/>
            <w:shd w:val="clear" w:color="auto" w:fill="auto"/>
            <w:vAlign w:val="bottom"/>
          </w:tcPr>
          <w:p w14:paraId="4ACE2F6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F6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F6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2F6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22,110</w:t>
            </w:r>
          </w:p>
        </w:tc>
        <w:tc>
          <w:tcPr>
            <w:tcW w:w="0" w:type="auto"/>
            <w:shd w:val="clear" w:color="auto" w:fill="auto"/>
            <w:vAlign w:val="bottom"/>
          </w:tcPr>
          <w:p w14:paraId="4ACE2F6F" w14:textId="77777777" w:rsidR="006F587A" w:rsidRDefault="006F587A">
            <w:pPr>
              <w:textAlignment w:val="bottom"/>
              <w:rPr>
                <w:rFonts w:ascii="Times New Roman" w:hAnsi="Times New Roman"/>
                <w:sz w:val="20"/>
                <w:szCs w:val="20"/>
              </w:rPr>
            </w:pPr>
          </w:p>
        </w:tc>
      </w:tr>
      <w:tr w:rsidR="006F587A" w14:paraId="4ACE2F7B" w14:textId="77777777">
        <w:tc>
          <w:tcPr>
            <w:tcW w:w="0" w:type="auto"/>
            <w:shd w:val="clear" w:color="auto" w:fill="auto"/>
            <w:tcMar>
              <w:top w:w="40" w:type="dxa"/>
              <w:left w:w="40" w:type="dxa"/>
              <w:bottom w:w="40" w:type="dxa"/>
              <w:right w:w="40" w:type="dxa"/>
            </w:tcMar>
          </w:tcPr>
          <w:p w14:paraId="4ACE2F71"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Net cash used for investing activities</w:t>
            </w:r>
          </w:p>
        </w:tc>
        <w:tc>
          <w:tcPr>
            <w:tcW w:w="0" w:type="auto"/>
            <w:shd w:val="clear" w:color="auto" w:fill="auto"/>
            <w:tcMar>
              <w:top w:w="40" w:type="dxa"/>
              <w:left w:w="40" w:type="dxa"/>
              <w:bottom w:w="40" w:type="dxa"/>
              <w:right w:w="40" w:type="dxa"/>
            </w:tcMar>
            <w:vAlign w:val="bottom"/>
          </w:tcPr>
          <w:p w14:paraId="4ACE2F7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2F7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(14,405</w:t>
            </w:r>
          </w:p>
        </w:tc>
        <w:tc>
          <w:tcPr>
            <w:tcW w:w="0" w:type="auto"/>
            <w:shd w:val="clear" w:color="auto" w:fill="auto"/>
            <w:tcMar>
              <w:top w:w="40" w:type="dxa"/>
              <w:bottom w:w="40" w:type="dxa"/>
              <w:right w:w="40" w:type="dxa"/>
            </w:tcMar>
            <w:vAlign w:val="bottom"/>
          </w:tcPr>
          <w:p w14:paraId="4ACE2F74"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2F7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2F7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(11,239</w:t>
            </w:r>
          </w:p>
        </w:tc>
        <w:tc>
          <w:tcPr>
            <w:tcW w:w="0" w:type="auto"/>
            <w:shd w:val="clear" w:color="auto" w:fill="auto"/>
            <w:tcMar>
              <w:top w:w="40" w:type="dxa"/>
              <w:bottom w:w="40" w:type="dxa"/>
              <w:right w:w="40" w:type="dxa"/>
            </w:tcMar>
            <w:vAlign w:val="bottom"/>
          </w:tcPr>
          <w:p w14:paraId="4ACE2F7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2F7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2F7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(15,762</w:t>
            </w:r>
          </w:p>
        </w:tc>
        <w:tc>
          <w:tcPr>
            <w:tcW w:w="0" w:type="auto"/>
            <w:shd w:val="clear" w:color="auto" w:fill="auto"/>
            <w:tcMar>
              <w:top w:w="40" w:type="dxa"/>
              <w:bottom w:w="40" w:type="dxa"/>
              <w:right w:w="40" w:type="dxa"/>
            </w:tcMar>
            <w:vAlign w:val="bottom"/>
          </w:tcPr>
          <w:p w14:paraId="4ACE2F7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2F86" w14:textId="77777777">
        <w:tc>
          <w:tcPr>
            <w:tcW w:w="0" w:type="auto"/>
            <w:shd w:val="clear" w:color="auto" w:fill="auto"/>
            <w:tcMar>
              <w:top w:w="40" w:type="dxa"/>
              <w:left w:w="40" w:type="dxa"/>
              <w:bottom w:w="40" w:type="dxa"/>
              <w:right w:w="40" w:type="dxa"/>
            </w:tcMar>
          </w:tcPr>
          <w:p w14:paraId="4ACE2F7C"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 xml:space="preserve">Net cash provided by (used for) </w:t>
            </w:r>
            <w:r>
              <w:rPr>
                <w:rFonts w:ascii="Arial" w:eastAsia="宋体" w:hAnsi="Arial" w:cs="Arial"/>
                <w:color w:val="333333"/>
                <w:sz w:val="18"/>
                <w:szCs w:val="18"/>
              </w:rPr>
              <w:t>financing activities</w:t>
            </w:r>
          </w:p>
        </w:tc>
        <w:tc>
          <w:tcPr>
            <w:tcW w:w="0" w:type="auto"/>
            <w:shd w:val="clear" w:color="auto" w:fill="auto"/>
            <w:tcMar>
              <w:top w:w="40" w:type="dxa"/>
              <w:left w:w="40" w:type="dxa"/>
              <w:bottom w:w="40" w:type="dxa"/>
              <w:right w:w="40" w:type="dxa"/>
            </w:tcMar>
            <w:vAlign w:val="bottom"/>
          </w:tcPr>
          <w:p w14:paraId="4ACE2F7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2F7E"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(17,565</w:t>
            </w:r>
          </w:p>
        </w:tc>
        <w:tc>
          <w:tcPr>
            <w:tcW w:w="0" w:type="auto"/>
            <w:shd w:val="clear" w:color="auto" w:fill="auto"/>
            <w:tcMar>
              <w:top w:w="40" w:type="dxa"/>
              <w:bottom w:w="40" w:type="dxa"/>
              <w:right w:w="40" w:type="dxa"/>
            </w:tcMar>
            <w:vAlign w:val="bottom"/>
          </w:tcPr>
          <w:p w14:paraId="4ACE2F7F"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2F8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2F81"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(18,607</w:t>
            </w:r>
          </w:p>
        </w:tc>
        <w:tc>
          <w:tcPr>
            <w:tcW w:w="0" w:type="auto"/>
            <w:shd w:val="clear" w:color="auto" w:fill="auto"/>
            <w:tcMar>
              <w:top w:w="40" w:type="dxa"/>
              <w:bottom w:w="40" w:type="dxa"/>
              <w:right w:w="40" w:type="dxa"/>
            </w:tcMar>
            <w:vAlign w:val="bottom"/>
          </w:tcPr>
          <w:p w14:paraId="4ACE2F8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2F8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2F8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(8,475</w:t>
            </w:r>
          </w:p>
        </w:tc>
        <w:tc>
          <w:tcPr>
            <w:tcW w:w="0" w:type="auto"/>
            <w:shd w:val="clear" w:color="auto" w:fill="auto"/>
            <w:tcMar>
              <w:top w:w="40" w:type="dxa"/>
              <w:bottom w:w="40" w:type="dxa"/>
              <w:right w:w="40" w:type="dxa"/>
            </w:tcMar>
            <w:vAlign w:val="bottom"/>
          </w:tcPr>
          <w:p w14:paraId="4ACE2F8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2F94" w14:textId="77777777">
        <w:tc>
          <w:tcPr>
            <w:tcW w:w="0" w:type="auto"/>
            <w:shd w:val="clear" w:color="auto" w:fill="auto"/>
            <w:tcMar>
              <w:top w:w="40" w:type="dxa"/>
              <w:left w:w="40" w:type="dxa"/>
              <w:bottom w:w="40" w:type="dxa"/>
              <w:right w:w="40" w:type="dxa"/>
            </w:tcMar>
          </w:tcPr>
          <w:p w14:paraId="4ACE2F87" w14:textId="77777777" w:rsidR="006F587A" w:rsidRDefault="007B2B61">
            <w:pPr>
              <w:textAlignment w:val="top"/>
              <w:rPr>
                <w:rFonts w:ascii="Times New Roman" w:hAnsi="Times New Roman"/>
                <w:sz w:val="18"/>
                <w:szCs w:val="18"/>
              </w:rPr>
            </w:pPr>
            <w:r>
              <w:rPr>
                <w:rFonts w:ascii="Arial" w:eastAsia="宋体" w:hAnsi="Arial" w:cs="Arial"/>
                <w:b/>
                <w:bCs/>
                <w:color w:val="333333"/>
                <w:sz w:val="18"/>
                <w:szCs w:val="18"/>
              </w:rPr>
              <w:t>Net increase (decrease) in cash and cash equivalents</w:t>
            </w:r>
          </w:p>
        </w:tc>
        <w:tc>
          <w:tcPr>
            <w:tcW w:w="0" w:type="auto"/>
            <w:shd w:val="clear" w:color="auto" w:fill="auto"/>
            <w:tcMar>
              <w:top w:w="40" w:type="dxa"/>
              <w:left w:w="40" w:type="dxa"/>
              <w:bottom w:w="40" w:type="dxa"/>
              <w:right w:w="40" w:type="dxa"/>
            </w:tcMar>
            <w:vAlign w:val="bottom"/>
          </w:tcPr>
          <w:p w14:paraId="4ACE2F8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2F89"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2F8A"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1,175</w:t>
            </w:r>
          </w:p>
        </w:tc>
        <w:tc>
          <w:tcPr>
            <w:tcW w:w="0" w:type="auto"/>
            <w:tcBorders>
              <w:top w:val="single" w:sz="8" w:space="0" w:color="333333"/>
              <w:bottom w:val="double" w:sz="6" w:space="0" w:color="333333"/>
            </w:tcBorders>
            <w:shd w:val="clear" w:color="auto" w:fill="auto"/>
            <w:vAlign w:val="bottom"/>
          </w:tcPr>
          <w:p w14:paraId="4ACE2F8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F8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2F8D"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2F8E"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(414</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4ACE2F8F"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4ACE2F9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2F91"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2F92"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(2,127</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4ACE2F93"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r>
    </w:tbl>
    <w:p w14:paraId="4ACE2F95"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408"/>
        <w:gridCol w:w="2409"/>
        <w:gridCol w:w="3489"/>
      </w:tblGrid>
      <w:tr w:rsidR="006F587A" w14:paraId="4ACE2F97" w14:textId="77777777">
        <w:tc>
          <w:tcPr>
            <w:tcW w:w="0" w:type="auto"/>
            <w:gridSpan w:val="3"/>
            <w:shd w:val="clear" w:color="auto" w:fill="auto"/>
            <w:vAlign w:val="center"/>
          </w:tcPr>
          <w:p w14:paraId="4ACE2F96" w14:textId="77777777" w:rsidR="006F587A" w:rsidRDefault="006F587A">
            <w:pPr>
              <w:rPr>
                <w:rFonts w:ascii="Times New Roman" w:hAnsi="Times New Roman"/>
                <w:sz w:val="20"/>
                <w:szCs w:val="20"/>
              </w:rPr>
            </w:pPr>
          </w:p>
        </w:tc>
      </w:tr>
      <w:tr w:rsidR="006F587A" w14:paraId="4ACE2F9B" w14:textId="77777777">
        <w:tc>
          <w:tcPr>
            <w:tcW w:w="1450" w:type="pct"/>
            <w:shd w:val="clear" w:color="auto" w:fill="auto"/>
            <w:vAlign w:val="center"/>
          </w:tcPr>
          <w:p w14:paraId="4ACE2F98" w14:textId="77777777" w:rsidR="006F587A" w:rsidRDefault="006F587A">
            <w:pPr>
              <w:rPr>
                <w:rFonts w:ascii="Times New Roman" w:hAnsi="Times New Roman"/>
                <w:sz w:val="20"/>
                <w:szCs w:val="20"/>
              </w:rPr>
            </w:pPr>
          </w:p>
        </w:tc>
        <w:tc>
          <w:tcPr>
            <w:tcW w:w="1450" w:type="pct"/>
            <w:shd w:val="clear" w:color="auto" w:fill="auto"/>
            <w:vAlign w:val="center"/>
          </w:tcPr>
          <w:p w14:paraId="4ACE2F99" w14:textId="77777777" w:rsidR="006F587A" w:rsidRDefault="006F587A">
            <w:pPr>
              <w:rPr>
                <w:rFonts w:ascii="Times New Roman" w:hAnsi="Times New Roman"/>
                <w:sz w:val="20"/>
                <w:szCs w:val="20"/>
              </w:rPr>
            </w:pPr>
          </w:p>
        </w:tc>
        <w:tc>
          <w:tcPr>
            <w:tcW w:w="2100" w:type="pct"/>
            <w:shd w:val="clear" w:color="auto" w:fill="auto"/>
            <w:vAlign w:val="center"/>
          </w:tcPr>
          <w:p w14:paraId="4ACE2F9A" w14:textId="77777777" w:rsidR="006F587A" w:rsidRDefault="006F587A">
            <w:pPr>
              <w:rPr>
                <w:rFonts w:ascii="Times New Roman" w:hAnsi="Times New Roman"/>
                <w:sz w:val="20"/>
                <w:szCs w:val="20"/>
              </w:rPr>
            </w:pPr>
          </w:p>
        </w:tc>
      </w:tr>
      <w:tr w:rsidR="006F587A" w14:paraId="4ACE2F9F"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2F9C" w14:textId="77777777" w:rsidR="006F587A" w:rsidRDefault="007B2B61">
            <w:pPr>
              <w:textAlignment w:val="center"/>
              <w:rPr>
                <w:rFonts w:ascii="Times New Roman" w:hAnsi="Times New Roman"/>
                <w:sz w:val="18"/>
                <w:szCs w:val="18"/>
              </w:rPr>
            </w:pP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Viewer12_files/a001intellogo_coverfooter.jpg"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D5F" wp14:editId="4ACE6D60">
                  <wp:extent cx="304800" cy="304800"/>
                  <wp:effectExtent l="0" t="0" r="0" b="0"/>
                  <wp:docPr id="216" name="图片 218"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218"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r>
              <w:rPr>
                <w:rFonts w:ascii="Arial" w:eastAsia="宋体" w:hAnsi="Arial" w:cs="Arial"/>
                <w:color w:val="333333"/>
                <w:sz w:val="18"/>
                <w:szCs w:val="18"/>
              </w:rPr>
              <w:t>  </w:t>
            </w:r>
            <w:r>
              <w:rPr>
                <w:rFonts w:ascii="Arial" w:eastAsia="宋体" w:hAnsi="Arial" w:cs="Arial"/>
                <w:color w:val="333333"/>
                <w:sz w:val="16"/>
                <w:szCs w:val="16"/>
              </w:rPr>
              <w:t>MD&amp;A</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F9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F9E"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41</w:t>
            </w:r>
          </w:p>
        </w:tc>
      </w:tr>
    </w:tbl>
    <w:p w14:paraId="4ACE2FA0" w14:textId="77777777" w:rsidR="006F587A" w:rsidRDefault="007B2B61">
      <w:r>
        <w:pict w14:anchorId="4ACE6D61">
          <v:rect id="_x0000_i1067" style="width:415.3pt;height:1.5pt" o:hralign="center" o:hrstd="t" o:hr="t" fillcolor="#a0a0a0" stroked="f"/>
        </w:pict>
      </w:r>
    </w:p>
    <w:p w14:paraId="4ACE2FA1" w14:textId="77777777" w:rsidR="006F587A" w:rsidRDefault="007B2B61">
      <w:pPr>
        <w:spacing w:line="288" w:lineRule="auto"/>
        <w:jc w:val="right"/>
        <w:rPr>
          <w:rFonts w:ascii="Times New Roman" w:hAnsi="Times New Roman"/>
          <w:sz w:val="16"/>
          <w:szCs w:val="16"/>
        </w:rPr>
      </w:pPr>
      <w:hyperlink r:id="rId74" w:anchor="s9DB683E2CF52561EB8A73BE37F5BF9BE" w:history="1">
        <w:r>
          <w:rPr>
            <w:rStyle w:val="a5"/>
            <w:rFonts w:ascii="Arial" w:eastAsia="宋体" w:hAnsi="Arial" w:cs="Arial"/>
            <w:b/>
            <w:bCs/>
            <w:sz w:val="16"/>
            <w:szCs w:val="16"/>
          </w:rPr>
          <w:t>Table of Contents</w:t>
        </w:r>
      </w:hyperlink>
    </w:p>
    <w:p w14:paraId="4ACE2FA2" w14:textId="77777777" w:rsidR="006F587A" w:rsidRDefault="006F587A">
      <w:pPr>
        <w:spacing w:line="288" w:lineRule="auto"/>
        <w:jc w:val="right"/>
        <w:rPr>
          <w:rFonts w:ascii="Times New Roman" w:hAnsi="Times New Roman"/>
          <w:sz w:val="16"/>
          <w:szCs w:val="16"/>
        </w:rPr>
      </w:pPr>
    </w:p>
    <w:p w14:paraId="4ACE2FA3" w14:textId="77777777" w:rsidR="006F587A" w:rsidRDefault="006F587A">
      <w:pPr>
        <w:rPr>
          <w:rFonts w:ascii="Times New Roman" w:hAnsi="Times New Roman"/>
          <w:sz w:val="20"/>
          <w:szCs w:val="20"/>
        </w:rPr>
      </w:pPr>
    </w:p>
    <w:p w14:paraId="4ACE2FA4" w14:textId="77777777" w:rsidR="006F587A" w:rsidRDefault="007B2B61">
      <w:pPr>
        <w:spacing w:line="288" w:lineRule="auto"/>
        <w:rPr>
          <w:rFonts w:ascii="Times New Roman" w:hAnsi="Times New Roman"/>
        </w:rPr>
      </w:pPr>
      <w:r>
        <w:rPr>
          <w:rFonts w:ascii="Arial" w:eastAsia="宋体" w:hAnsi="Arial" w:cs="Arial"/>
          <w:b/>
          <w:bCs/>
          <w:color w:val="0071C5"/>
        </w:rPr>
        <w:t>OPERATING ACTIVITIES</w:t>
      </w:r>
    </w:p>
    <w:p w14:paraId="4ACE2FA5"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Cash provided by operating activities is net </w:t>
      </w:r>
      <w:r>
        <w:rPr>
          <w:rFonts w:ascii="Arial" w:eastAsia="宋体" w:hAnsi="Arial" w:cs="Arial"/>
          <w:color w:val="333333"/>
          <w:sz w:val="18"/>
          <w:szCs w:val="18"/>
        </w:rPr>
        <w:t>income adjusted for certain non-cash items and changes in assets and liabilities.</w:t>
      </w:r>
    </w:p>
    <w:p w14:paraId="4ACE2FA6"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For 2019 compared to 2018, the $3.7 billion increase in cash provided by operating activities was primarily due to changes in working capital. Changes in working capital were</w:t>
      </w:r>
      <w:r>
        <w:rPr>
          <w:rFonts w:ascii="Arial" w:eastAsia="宋体" w:hAnsi="Arial" w:cs="Arial"/>
          <w:color w:val="333333"/>
          <w:sz w:val="18"/>
          <w:szCs w:val="18"/>
        </w:rPr>
        <w:t xml:space="preserve"> driven by taxes, other assets and liabilities, and accounts receivable, offset by customer utilization of prepaid supply agreement payments and inventory build.</w:t>
      </w:r>
    </w:p>
    <w:p w14:paraId="4ACE2FA7"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For 2018 compared to 2017, the $7.3 billion increase in cash provided by operating activities </w:t>
      </w:r>
      <w:r>
        <w:rPr>
          <w:rFonts w:ascii="Arial" w:eastAsia="宋体" w:hAnsi="Arial" w:cs="Arial"/>
          <w:color w:val="333333"/>
          <w:sz w:val="18"/>
          <w:szCs w:val="18"/>
        </w:rPr>
        <w:t xml:space="preserve">was primarily due to higher net income, offset by changes in working capital. Changes in working capital were driven by taxes and accounts receivables, offset by relatively flat inventory levels. Income taxes paid, net </w:t>
      </w:r>
      <w:r>
        <w:rPr>
          <w:rFonts w:ascii="Arial" w:eastAsia="宋体" w:hAnsi="Arial" w:cs="Arial"/>
          <w:color w:val="333333"/>
          <w:sz w:val="18"/>
          <w:szCs w:val="18"/>
        </w:rPr>
        <w:lastRenderedPageBreak/>
        <w:t>of refunds, in 2018 compared to 2017 </w:t>
      </w:r>
      <w:r>
        <w:rPr>
          <w:rFonts w:ascii="Arial" w:eastAsia="宋体" w:hAnsi="Arial" w:cs="Arial"/>
          <w:color w:val="333333"/>
          <w:sz w:val="18"/>
          <w:szCs w:val="18"/>
        </w:rPr>
        <w:t>were flat as the benefit of a lower U.S. corporate tax rate was offset by the payment related to the 2017 U.S. Tax Reform transition tax. We received $1.4 billion of customer deposits and prepaid supply agreements in 2018, net of customer utilization, comp</w:t>
      </w:r>
      <w:r>
        <w:rPr>
          <w:rFonts w:ascii="Arial" w:eastAsia="宋体" w:hAnsi="Arial" w:cs="Arial"/>
          <w:color w:val="333333"/>
          <w:sz w:val="18"/>
          <w:szCs w:val="18"/>
        </w:rPr>
        <w:t xml:space="preserve">ared to $1.1 billion in 2017. </w:t>
      </w:r>
    </w:p>
    <w:p w14:paraId="4ACE2FA8" w14:textId="77777777" w:rsidR="006F587A" w:rsidRDefault="007B2B61">
      <w:pPr>
        <w:spacing w:line="288" w:lineRule="auto"/>
        <w:rPr>
          <w:rFonts w:ascii="Times New Roman" w:hAnsi="Times New Roman"/>
        </w:rPr>
      </w:pPr>
      <w:r>
        <w:rPr>
          <w:rFonts w:ascii="Arial" w:eastAsia="宋体" w:hAnsi="Arial" w:cs="Arial"/>
          <w:b/>
          <w:bCs/>
          <w:color w:val="0071C5"/>
        </w:rPr>
        <w:t>INVESTING ACTIVITIES</w:t>
      </w:r>
    </w:p>
    <w:p w14:paraId="4ACE2FA9"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Investing cash flows consist primarily of capital expenditures; investment purchases, sales, maturities, and disposals; and proceeds from divestitures and cash used for acquisitions. Our capital expenditu</w:t>
      </w:r>
      <w:r>
        <w:rPr>
          <w:rFonts w:ascii="Arial" w:eastAsia="宋体" w:hAnsi="Arial" w:cs="Arial"/>
          <w:color w:val="333333"/>
          <w:sz w:val="18"/>
          <w:szCs w:val="18"/>
        </w:rPr>
        <w:t xml:space="preserve">res were $16.2 billion in 2019 ($15.2 billion in 2018 and $11.8 billion in 2017). </w:t>
      </w:r>
    </w:p>
    <w:p w14:paraId="4ACE2FAA"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The increase in cash used for investing activities in 2019 compared to 2018 was primarily due to net trading asset activity, acquisitions, and capital expenditures. The incr</w:t>
      </w:r>
      <w:r>
        <w:rPr>
          <w:rFonts w:ascii="Arial" w:eastAsia="宋体" w:hAnsi="Arial" w:cs="Arial"/>
          <w:color w:val="333333"/>
          <w:sz w:val="18"/>
          <w:szCs w:val="18"/>
        </w:rPr>
        <w:t>ease was partially offset by net available-for-sale debt investment activity.</w:t>
      </w:r>
    </w:p>
    <w:p w14:paraId="4ACE2FAB"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The decrease in cash used for investing activities in 2018 compared to 2017 was primarily due to lower cash paid on acquisitions and increased cash from net trading asset activit</w:t>
      </w:r>
      <w:r>
        <w:rPr>
          <w:rFonts w:ascii="Arial" w:eastAsia="宋体" w:hAnsi="Arial" w:cs="Arial"/>
          <w:color w:val="333333"/>
          <w:sz w:val="18"/>
          <w:szCs w:val="18"/>
        </w:rPr>
        <w:t>y. This was partially offset by increased capital expenditures, net available-for-sale debt investments activity, decreased proceeds from divestitures, and decreased sales of equity investments (substantially all from ASML sales).</w:t>
      </w:r>
    </w:p>
    <w:p w14:paraId="4ACE2FAC" w14:textId="77777777" w:rsidR="006F587A" w:rsidRDefault="007B2B61">
      <w:pPr>
        <w:spacing w:line="288" w:lineRule="auto"/>
        <w:rPr>
          <w:rFonts w:ascii="Times New Roman" w:hAnsi="Times New Roman"/>
        </w:rPr>
      </w:pPr>
      <w:r>
        <w:rPr>
          <w:rFonts w:ascii="Arial" w:eastAsia="宋体" w:hAnsi="Arial" w:cs="Arial"/>
          <w:b/>
          <w:bCs/>
          <w:color w:val="0071C5"/>
        </w:rPr>
        <w:t>FINANCING ACTIVITIES</w:t>
      </w:r>
    </w:p>
    <w:p w14:paraId="4ACE2FAD"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Fina</w:t>
      </w:r>
      <w:r>
        <w:rPr>
          <w:rFonts w:ascii="Arial" w:eastAsia="宋体" w:hAnsi="Arial" w:cs="Arial"/>
          <w:color w:val="333333"/>
          <w:sz w:val="18"/>
          <w:szCs w:val="18"/>
        </w:rPr>
        <w:t>ncing cash flows consist primarily of repurchases of common stock, payment of dividends to stockholders, issuance and repayment of short-term and long-term debt, and proceeds from the sale of shares of common stock through employee equity incentive plans.</w:t>
      </w:r>
    </w:p>
    <w:p w14:paraId="4ACE2FAE"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The decrease in cash used for financing activities in 2019 compared to 2018 was primarily due to increased long-term debt issuance, offset by increased repurchases of common stock. During 2019, we repurchased $13.6 billion of common stock under our authori</w:t>
      </w:r>
      <w:r>
        <w:rPr>
          <w:rFonts w:ascii="Arial" w:eastAsia="宋体" w:hAnsi="Arial" w:cs="Arial"/>
          <w:color w:val="333333"/>
          <w:sz w:val="18"/>
          <w:szCs w:val="18"/>
        </w:rPr>
        <w:t xml:space="preserve">zed common stock repurchase program, compared to $10.7 billion in 2018. In October 2019, the Board of Directors approved a $20.0 billion increase in our authorized stock repurchase program authorization, and we announced that we expect to repurchase $20.0 </w:t>
      </w:r>
      <w:r>
        <w:rPr>
          <w:rFonts w:ascii="Arial" w:eastAsia="宋体" w:hAnsi="Arial" w:cs="Arial"/>
          <w:color w:val="333333"/>
          <w:sz w:val="18"/>
          <w:szCs w:val="18"/>
        </w:rPr>
        <w:t>billion in stock over the next 15 to 18 months. As of December 28, 2019, $23.8 billion remained available for repurchasing common stock under the repurchase authorization limit. In general, we base our level of common stock repurchases on internal cash man</w:t>
      </w:r>
      <w:r>
        <w:rPr>
          <w:rFonts w:ascii="Arial" w:eastAsia="宋体" w:hAnsi="Arial" w:cs="Arial"/>
          <w:color w:val="333333"/>
          <w:sz w:val="18"/>
          <w:szCs w:val="18"/>
        </w:rPr>
        <w:t>agement decisions, and this level may fluctuate in the future. Our total dividend payments were $5.6 billion in 2019 compared to $5.5 billion in 2018. We have paid a cash dividend in each of the past 109 quarters. In Q1 2020, the Board of Directors declare</w:t>
      </w:r>
      <w:r>
        <w:rPr>
          <w:rFonts w:ascii="Arial" w:eastAsia="宋体" w:hAnsi="Arial" w:cs="Arial"/>
          <w:color w:val="333333"/>
          <w:sz w:val="18"/>
          <w:szCs w:val="18"/>
        </w:rPr>
        <w:t xml:space="preserve">d a quarterly cash dividend of $0.33 per share of common stock, payable on March 1, 2020 to stockholders of record on February 7, 2020. </w:t>
      </w:r>
    </w:p>
    <w:p w14:paraId="4ACE2FAF"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The increase in cash used for financing activities in 2018 compared to 2017 was primarily due to decreased long-term de</w:t>
      </w:r>
      <w:r>
        <w:rPr>
          <w:rFonts w:ascii="Arial" w:eastAsia="宋体" w:hAnsi="Arial" w:cs="Arial"/>
          <w:color w:val="333333"/>
          <w:sz w:val="18"/>
          <w:szCs w:val="18"/>
        </w:rPr>
        <w:t xml:space="preserve">bt issuance and increased repurchases of common stock. </w:t>
      </w:r>
    </w:p>
    <w:p w14:paraId="4ACE2FB0" w14:textId="77777777" w:rsidR="006F587A" w:rsidRDefault="006F587A">
      <w:pPr>
        <w:spacing w:line="288" w:lineRule="auto"/>
        <w:rPr>
          <w:rFonts w:ascii="Times New Roman" w:hAnsi="Times New Roman"/>
          <w:sz w:val="18"/>
          <w:szCs w:val="18"/>
        </w:rPr>
      </w:pPr>
    </w:p>
    <w:p w14:paraId="4ACE2FB1"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408"/>
        <w:gridCol w:w="2409"/>
        <w:gridCol w:w="3489"/>
      </w:tblGrid>
      <w:tr w:rsidR="006F587A" w14:paraId="4ACE2FB3" w14:textId="77777777">
        <w:tc>
          <w:tcPr>
            <w:tcW w:w="0" w:type="auto"/>
            <w:gridSpan w:val="3"/>
            <w:shd w:val="clear" w:color="auto" w:fill="auto"/>
            <w:vAlign w:val="center"/>
          </w:tcPr>
          <w:p w14:paraId="4ACE2FB2" w14:textId="77777777" w:rsidR="006F587A" w:rsidRDefault="006F587A">
            <w:pPr>
              <w:rPr>
                <w:rFonts w:ascii="Times New Roman" w:hAnsi="Times New Roman"/>
                <w:sz w:val="20"/>
                <w:szCs w:val="20"/>
              </w:rPr>
            </w:pPr>
          </w:p>
        </w:tc>
      </w:tr>
      <w:tr w:rsidR="006F587A" w14:paraId="4ACE2FB7" w14:textId="77777777">
        <w:tc>
          <w:tcPr>
            <w:tcW w:w="1450" w:type="pct"/>
            <w:shd w:val="clear" w:color="auto" w:fill="auto"/>
            <w:vAlign w:val="center"/>
          </w:tcPr>
          <w:p w14:paraId="4ACE2FB4" w14:textId="77777777" w:rsidR="006F587A" w:rsidRDefault="006F587A">
            <w:pPr>
              <w:rPr>
                <w:rFonts w:ascii="Times New Roman" w:hAnsi="Times New Roman"/>
                <w:sz w:val="20"/>
                <w:szCs w:val="20"/>
              </w:rPr>
            </w:pPr>
          </w:p>
        </w:tc>
        <w:tc>
          <w:tcPr>
            <w:tcW w:w="1450" w:type="pct"/>
            <w:shd w:val="clear" w:color="auto" w:fill="auto"/>
            <w:vAlign w:val="center"/>
          </w:tcPr>
          <w:p w14:paraId="4ACE2FB5" w14:textId="77777777" w:rsidR="006F587A" w:rsidRDefault="006F587A">
            <w:pPr>
              <w:rPr>
                <w:rFonts w:ascii="Times New Roman" w:hAnsi="Times New Roman"/>
                <w:sz w:val="20"/>
                <w:szCs w:val="20"/>
              </w:rPr>
            </w:pPr>
          </w:p>
        </w:tc>
        <w:tc>
          <w:tcPr>
            <w:tcW w:w="2100" w:type="pct"/>
            <w:shd w:val="clear" w:color="auto" w:fill="auto"/>
            <w:vAlign w:val="center"/>
          </w:tcPr>
          <w:p w14:paraId="4ACE2FB6" w14:textId="77777777" w:rsidR="006F587A" w:rsidRDefault="006F587A">
            <w:pPr>
              <w:rPr>
                <w:rFonts w:ascii="Times New Roman" w:hAnsi="Times New Roman"/>
                <w:sz w:val="20"/>
                <w:szCs w:val="20"/>
              </w:rPr>
            </w:pPr>
          </w:p>
        </w:tc>
      </w:tr>
      <w:tr w:rsidR="006F587A" w14:paraId="4ACE2FBB"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2FB8" w14:textId="77777777" w:rsidR="006F587A" w:rsidRDefault="007B2B61">
            <w:pPr>
              <w:textAlignment w:val="center"/>
              <w:rPr>
                <w:rFonts w:ascii="Times New Roman" w:hAnsi="Times New Roman"/>
                <w:sz w:val="18"/>
                <w:szCs w:val="18"/>
              </w:rPr>
            </w:pP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Viewer12_files/a001intellogo_coverfooter.jpg"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D62" wp14:editId="4ACE6D63">
                  <wp:extent cx="304800" cy="304800"/>
                  <wp:effectExtent l="0" t="0" r="0" b="0"/>
                  <wp:docPr id="217" name="图片 220"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220"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r>
              <w:rPr>
                <w:rFonts w:ascii="Arial" w:eastAsia="宋体" w:hAnsi="Arial" w:cs="Arial"/>
                <w:color w:val="333333"/>
                <w:sz w:val="18"/>
                <w:szCs w:val="18"/>
              </w:rPr>
              <w:t>  </w:t>
            </w:r>
            <w:r>
              <w:rPr>
                <w:rFonts w:ascii="Arial" w:eastAsia="宋体" w:hAnsi="Arial" w:cs="Arial"/>
                <w:color w:val="333333"/>
                <w:sz w:val="16"/>
                <w:szCs w:val="16"/>
              </w:rPr>
              <w:t>MD&amp;A</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FB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2FBA"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42</w:t>
            </w:r>
          </w:p>
        </w:tc>
      </w:tr>
    </w:tbl>
    <w:p w14:paraId="4ACE2FBC" w14:textId="77777777" w:rsidR="006F587A" w:rsidRDefault="007B2B61">
      <w:r>
        <w:pict w14:anchorId="4ACE6D64">
          <v:rect id="_x0000_i1068" style="width:415.3pt;height:1.5pt" o:hralign="center" o:hrstd="t" o:hr="t" fillcolor="#a0a0a0" stroked="f"/>
        </w:pict>
      </w:r>
    </w:p>
    <w:p w14:paraId="4ACE2FBD" w14:textId="77777777" w:rsidR="006F587A" w:rsidRDefault="007B2B61">
      <w:pPr>
        <w:spacing w:line="288" w:lineRule="auto"/>
        <w:jc w:val="right"/>
        <w:rPr>
          <w:rFonts w:ascii="Times New Roman" w:hAnsi="Times New Roman"/>
          <w:sz w:val="16"/>
          <w:szCs w:val="16"/>
        </w:rPr>
      </w:pPr>
      <w:hyperlink r:id="rId75" w:anchor="s9DB683E2CF52561EB8A73BE37F5BF9BE" w:history="1">
        <w:r>
          <w:rPr>
            <w:rStyle w:val="a5"/>
            <w:rFonts w:ascii="Arial" w:eastAsia="宋体" w:hAnsi="Arial" w:cs="Arial"/>
            <w:b/>
            <w:bCs/>
            <w:sz w:val="16"/>
            <w:szCs w:val="16"/>
          </w:rPr>
          <w:t>Table of Contents</w:t>
        </w:r>
      </w:hyperlink>
    </w:p>
    <w:p w14:paraId="4ACE2FBE" w14:textId="77777777" w:rsidR="006F587A" w:rsidRDefault="006F587A">
      <w:pPr>
        <w:spacing w:line="288" w:lineRule="auto"/>
        <w:jc w:val="right"/>
        <w:rPr>
          <w:rFonts w:ascii="Times New Roman" w:hAnsi="Times New Roman"/>
          <w:sz w:val="16"/>
          <w:szCs w:val="16"/>
        </w:rPr>
      </w:pPr>
    </w:p>
    <w:p w14:paraId="4ACE2FBF" w14:textId="77777777" w:rsidR="006F587A" w:rsidRDefault="006F587A">
      <w:pPr>
        <w:rPr>
          <w:rFonts w:ascii="Times New Roman" w:hAnsi="Times New Roman"/>
          <w:sz w:val="20"/>
          <w:szCs w:val="20"/>
        </w:rPr>
      </w:pPr>
    </w:p>
    <w:p w14:paraId="4ACE2FC0" w14:textId="77777777" w:rsidR="006F587A" w:rsidRDefault="007B2B61">
      <w:pPr>
        <w:spacing w:line="288" w:lineRule="auto"/>
        <w:rPr>
          <w:rFonts w:ascii="Times New Roman" w:hAnsi="Times New Roman"/>
          <w:sz w:val="28"/>
          <w:szCs w:val="28"/>
        </w:rPr>
      </w:pPr>
      <w:r>
        <w:rPr>
          <w:rFonts w:ascii="Arial" w:eastAsia="宋体" w:hAnsi="Arial" w:cs="Arial"/>
          <w:b/>
          <w:bCs/>
          <w:color w:val="0071C5"/>
          <w:sz w:val="28"/>
          <w:szCs w:val="28"/>
        </w:rPr>
        <w:t>CONTRACTUAL OBLIGATIONS</w:t>
      </w:r>
    </w:p>
    <w:p w14:paraId="4ACE2FC1" w14:textId="77777777" w:rsidR="006F587A" w:rsidRDefault="007B2B61">
      <w:pPr>
        <w:spacing w:line="288" w:lineRule="auto"/>
        <w:rPr>
          <w:rFonts w:ascii="Times New Roman" w:hAnsi="Times New Roman"/>
          <w:sz w:val="20"/>
          <w:szCs w:val="20"/>
        </w:rPr>
      </w:pPr>
      <w:r>
        <w:rPr>
          <w:rFonts w:ascii="Arial" w:eastAsia="宋体" w:hAnsi="Arial" w:cs="Arial"/>
          <w:color w:val="333333"/>
          <w:sz w:val="18"/>
          <w:szCs w:val="18"/>
        </w:rPr>
        <w:t>Significant contractual obligations as of December </w:t>
      </w:r>
      <w:r>
        <w:rPr>
          <w:rFonts w:ascii="Arial" w:eastAsia="宋体" w:hAnsi="Arial" w:cs="Arial"/>
          <w:color w:val="333333"/>
          <w:sz w:val="18"/>
          <w:szCs w:val="18"/>
        </w:rPr>
        <w:t>28, 2019 were as follows:</w:t>
      </w:r>
    </w:p>
    <w:tbl>
      <w:tblPr>
        <w:tblW w:w="5000" w:type="pct"/>
        <w:tblCellMar>
          <w:left w:w="0" w:type="dxa"/>
          <w:right w:w="0" w:type="dxa"/>
        </w:tblCellMar>
        <w:tblLook w:val="04A0" w:firstRow="1" w:lastRow="0" w:firstColumn="1" w:lastColumn="0" w:noHBand="0" w:noVBand="1"/>
      </w:tblPr>
      <w:tblGrid>
        <w:gridCol w:w="3690"/>
        <w:gridCol w:w="130"/>
        <w:gridCol w:w="141"/>
        <w:gridCol w:w="616"/>
        <w:gridCol w:w="35"/>
        <w:gridCol w:w="130"/>
        <w:gridCol w:w="141"/>
        <w:gridCol w:w="616"/>
        <w:gridCol w:w="35"/>
        <w:gridCol w:w="130"/>
        <w:gridCol w:w="141"/>
        <w:gridCol w:w="617"/>
        <w:gridCol w:w="36"/>
        <w:gridCol w:w="130"/>
        <w:gridCol w:w="141"/>
        <w:gridCol w:w="617"/>
        <w:gridCol w:w="36"/>
        <w:gridCol w:w="130"/>
        <w:gridCol w:w="141"/>
        <w:gridCol w:w="617"/>
        <w:gridCol w:w="36"/>
      </w:tblGrid>
      <w:tr w:rsidR="006F587A" w14:paraId="4ACE2FC3" w14:textId="77777777">
        <w:tc>
          <w:tcPr>
            <w:tcW w:w="0" w:type="auto"/>
            <w:gridSpan w:val="21"/>
            <w:shd w:val="clear" w:color="auto" w:fill="auto"/>
            <w:vAlign w:val="center"/>
          </w:tcPr>
          <w:p w14:paraId="4ACE2FC2" w14:textId="77777777" w:rsidR="006F587A" w:rsidRDefault="006F587A">
            <w:pPr>
              <w:rPr>
                <w:rFonts w:ascii="Times New Roman" w:hAnsi="Times New Roman"/>
                <w:sz w:val="20"/>
                <w:szCs w:val="20"/>
              </w:rPr>
            </w:pPr>
          </w:p>
        </w:tc>
      </w:tr>
      <w:tr w:rsidR="006F587A" w14:paraId="4ACE2FD9" w14:textId="77777777">
        <w:tc>
          <w:tcPr>
            <w:tcW w:w="2250" w:type="pct"/>
            <w:shd w:val="clear" w:color="auto" w:fill="auto"/>
            <w:vAlign w:val="center"/>
          </w:tcPr>
          <w:p w14:paraId="4ACE2FC4" w14:textId="77777777" w:rsidR="006F587A" w:rsidRDefault="006F587A">
            <w:pPr>
              <w:rPr>
                <w:rFonts w:ascii="Times New Roman" w:hAnsi="Times New Roman"/>
                <w:sz w:val="20"/>
                <w:szCs w:val="20"/>
              </w:rPr>
            </w:pPr>
          </w:p>
        </w:tc>
        <w:tc>
          <w:tcPr>
            <w:tcW w:w="50" w:type="pct"/>
            <w:shd w:val="clear" w:color="auto" w:fill="auto"/>
            <w:vAlign w:val="center"/>
          </w:tcPr>
          <w:p w14:paraId="4ACE2FC5" w14:textId="77777777" w:rsidR="006F587A" w:rsidRDefault="006F587A">
            <w:pPr>
              <w:rPr>
                <w:rFonts w:ascii="Times New Roman" w:hAnsi="Times New Roman"/>
                <w:sz w:val="20"/>
                <w:szCs w:val="20"/>
              </w:rPr>
            </w:pPr>
          </w:p>
        </w:tc>
        <w:tc>
          <w:tcPr>
            <w:tcW w:w="50" w:type="pct"/>
            <w:shd w:val="clear" w:color="auto" w:fill="auto"/>
            <w:vAlign w:val="center"/>
          </w:tcPr>
          <w:p w14:paraId="4ACE2FC6" w14:textId="77777777" w:rsidR="006F587A" w:rsidRDefault="006F587A">
            <w:pPr>
              <w:rPr>
                <w:rFonts w:ascii="Times New Roman" w:hAnsi="Times New Roman"/>
                <w:sz w:val="20"/>
                <w:szCs w:val="20"/>
              </w:rPr>
            </w:pPr>
          </w:p>
        </w:tc>
        <w:tc>
          <w:tcPr>
            <w:tcW w:w="400" w:type="pct"/>
            <w:shd w:val="clear" w:color="auto" w:fill="auto"/>
            <w:vAlign w:val="center"/>
          </w:tcPr>
          <w:p w14:paraId="4ACE2FC7" w14:textId="77777777" w:rsidR="006F587A" w:rsidRDefault="006F587A">
            <w:pPr>
              <w:rPr>
                <w:rFonts w:ascii="Times New Roman" w:hAnsi="Times New Roman"/>
                <w:sz w:val="20"/>
                <w:szCs w:val="20"/>
              </w:rPr>
            </w:pPr>
          </w:p>
        </w:tc>
        <w:tc>
          <w:tcPr>
            <w:tcW w:w="50" w:type="pct"/>
            <w:shd w:val="clear" w:color="auto" w:fill="auto"/>
            <w:vAlign w:val="center"/>
          </w:tcPr>
          <w:p w14:paraId="4ACE2FC8" w14:textId="77777777" w:rsidR="006F587A" w:rsidRDefault="006F587A">
            <w:pPr>
              <w:rPr>
                <w:rFonts w:ascii="Times New Roman" w:hAnsi="Times New Roman"/>
                <w:sz w:val="20"/>
                <w:szCs w:val="20"/>
              </w:rPr>
            </w:pPr>
          </w:p>
        </w:tc>
        <w:tc>
          <w:tcPr>
            <w:tcW w:w="50" w:type="pct"/>
            <w:shd w:val="clear" w:color="auto" w:fill="auto"/>
            <w:vAlign w:val="center"/>
          </w:tcPr>
          <w:p w14:paraId="4ACE2FC9" w14:textId="77777777" w:rsidR="006F587A" w:rsidRDefault="006F587A">
            <w:pPr>
              <w:rPr>
                <w:rFonts w:ascii="Times New Roman" w:hAnsi="Times New Roman"/>
                <w:sz w:val="20"/>
                <w:szCs w:val="20"/>
              </w:rPr>
            </w:pPr>
          </w:p>
        </w:tc>
        <w:tc>
          <w:tcPr>
            <w:tcW w:w="50" w:type="pct"/>
            <w:shd w:val="clear" w:color="auto" w:fill="auto"/>
            <w:vAlign w:val="center"/>
          </w:tcPr>
          <w:p w14:paraId="4ACE2FCA" w14:textId="77777777" w:rsidR="006F587A" w:rsidRDefault="006F587A">
            <w:pPr>
              <w:rPr>
                <w:rFonts w:ascii="Times New Roman" w:hAnsi="Times New Roman"/>
                <w:sz w:val="20"/>
                <w:szCs w:val="20"/>
              </w:rPr>
            </w:pPr>
          </w:p>
        </w:tc>
        <w:tc>
          <w:tcPr>
            <w:tcW w:w="400" w:type="pct"/>
            <w:shd w:val="clear" w:color="auto" w:fill="auto"/>
            <w:vAlign w:val="center"/>
          </w:tcPr>
          <w:p w14:paraId="4ACE2FCB" w14:textId="77777777" w:rsidR="006F587A" w:rsidRDefault="006F587A">
            <w:pPr>
              <w:rPr>
                <w:rFonts w:ascii="Times New Roman" w:hAnsi="Times New Roman"/>
                <w:sz w:val="20"/>
                <w:szCs w:val="20"/>
              </w:rPr>
            </w:pPr>
          </w:p>
        </w:tc>
        <w:tc>
          <w:tcPr>
            <w:tcW w:w="50" w:type="pct"/>
            <w:shd w:val="clear" w:color="auto" w:fill="auto"/>
            <w:vAlign w:val="center"/>
          </w:tcPr>
          <w:p w14:paraId="4ACE2FCC" w14:textId="77777777" w:rsidR="006F587A" w:rsidRDefault="006F587A">
            <w:pPr>
              <w:rPr>
                <w:rFonts w:ascii="Times New Roman" w:hAnsi="Times New Roman"/>
                <w:sz w:val="20"/>
                <w:szCs w:val="20"/>
              </w:rPr>
            </w:pPr>
          </w:p>
        </w:tc>
        <w:tc>
          <w:tcPr>
            <w:tcW w:w="50" w:type="pct"/>
            <w:shd w:val="clear" w:color="auto" w:fill="auto"/>
            <w:vAlign w:val="center"/>
          </w:tcPr>
          <w:p w14:paraId="4ACE2FCD" w14:textId="77777777" w:rsidR="006F587A" w:rsidRDefault="006F587A">
            <w:pPr>
              <w:rPr>
                <w:rFonts w:ascii="Times New Roman" w:hAnsi="Times New Roman"/>
                <w:sz w:val="20"/>
                <w:szCs w:val="20"/>
              </w:rPr>
            </w:pPr>
          </w:p>
        </w:tc>
        <w:tc>
          <w:tcPr>
            <w:tcW w:w="50" w:type="pct"/>
            <w:shd w:val="clear" w:color="auto" w:fill="auto"/>
            <w:vAlign w:val="center"/>
          </w:tcPr>
          <w:p w14:paraId="4ACE2FCE" w14:textId="77777777" w:rsidR="006F587A" w:rsidRDefault="006F587A">
            <w:pPr>
              <w:rPr>
                <w:rFonts w:ascii="Times New Roman" w:hAnsi="Times New Roman"/>
                <w:sz w:val="20"/>
                <w:szCs w:val="20"/>
              </w:rPr>
            </w:pPr>
          </w:p>
        </w:tc>
        <w:tc>
          <w:tcPr>
            <w:tcW w:w="400" w:type="pct"/>
            <w:shd w:val="clear" w:color="auto" w:fill="auto"/>
            <w:vAlign w:val="center"/>
          </w:tcPr>
          <w:p w14:paraId="4ACE2FCF" w14:textId="77777777" w:rsidR="006F587A" w:rsidRDefault="006F587A">
            <w:pPr>
              <w:rPr>
                <w:rFonts w:ascii="Times New Roman" w:hAnsi="Times New Roman"/>
                <w:sz w:val="20"/>
                <w:szCs w:val="20"/>
              </w:rPr>
            </w:pPr>
          </w:p>
        </w:tc>
        <w:tc>
          <w:tcPr>
            <w:tcW w:w="50" w:type="pct"/>
            <w:shd w:val="clear" w:color="auto" w:fill="auto"/>
            <w:vAlign w:val="center"/>
          </w:tcPr>
          <w:p w14:paraId="4ACE2FD0" w14:textId="77777777" w:rsidR="006F587A" w:rsidRDefault="006F587A">
            <w:pPr>
              <w:rPr>
                <w:rFonts w:ascii="Times New Roman" w:hAnsi="Times New Roman"/>
                <w:sz w:val="20"/>
                <w:szCs w:val="20"/>
              </w:rPr>
            </w:pPr>
          </w:p>
        </w:tc>
        <w:tc>
          <w:tcPr>
            <w:tcW w:w="50" w:type="pct"/>
            <w:shd w:val="clear" w:color="auto" w:fill="auto"/>
            <w:vAlign w:val="center"/>
          </w:tcPr>
          <w:p w14:paraId="4ACE2FD1" w14:textId="77777777" w:rsidR="006F587A" w:rsidRDefault="006F587A">
            <w:pPr>
              <w:rPr>
                <w:rFonts w:ascii="Times New Roman" w:hAnsi="Times New Roman"/>
                <w:sz w:val="20"/>
                <w:szCs w:val="20"/>
              </w:rPr>
            </w:pPr>
          </w:p>
        </w:tc>
        <w:tc>
          <w:tcPr>
            <w:tcW w:w="50" w:type="pct"/>
            <w:shd w:val="clear" w:color="auto" w:fill="auto"/>
            <w:vAlign w:val="center"/>
          </w:tcPr>
          <w:p w14:paraId="4ACE2FD2" w14:textId="77777777" w:rsidR="006F587A" w:rsidRDefault="006F587A">
            <w:pPr>
              <w:rPr>
                <w:rFonts w:ascii="Times New Roman" w:hAnsi="Times New Roman"/>
                <w:sz w:val="20"/>
                <w:szCs w:val="20"/>
              </w:rPr>
            </w:pPr>
          </w:p>
        </w:tc>
        <w:tc>
          <w:tcPr>
            <w:tcW w:w="400" w:type="pct"/>
            <w:shd w:val="clear" w:color="auto" w:fill="auto"/>
            <w:vAlign w:val="center"/>
          </w:tcPr>
          <w:p w14:paraId="4ACE2FD3" w14:textId="77777777" w:rsidR="006F587A" w:rsidRDefault="006F587A">
            <w:pPr>
              <w:rPr>
                <w:rFonts w:ascii="Times New Roman" w:hAnsi="Times New Roman"/>
                <w:sz w:val="20"/>
                <w:szCs w:val="20"/>
              </w:rPr>
            </w:pPr>
          </w:p>
        </w:tc>
        <w:tc>
          <w:tcPr>
            <w:tcW w:w="50" w:type="pct"/>
            <w:shd w:val="clear" w:color="auto" w:fill="auto"/>
            <w:vAlign w:val="center"/>
          </w:tcPr>
          <w:p w14:paraId="4ACE2FD4" w14:textId="77777777" w:rsidR="006F587A" w:rsidRDefault="006F587A">
            <w:pPr>
              <w:rPr>
                <w:rFonts w:ascii="Times New Roman" w:hAnsi="Times New Roman"/>
                <w:sz w:val="20"/>
                <w:szCs w:val="20"/>
              </w:rPr>
            </w:pPr>
          </w:p>
        </w:tc>
        <w:tc>
          <w:tcPr>
            <w:tcW w:w="50" w:type="pct"/>
            <w:shd w:val="clear" w:color="auto" w:fill="auto"/>
            <w:vAlign w:val="center"/>
          </w:tcPr>
          <w:p w14:paraId="4ACE2FD5" w14:textId="77777777" w:rsidR="006F587A" w:rsidRDefault="006F587A">
            <w:pPr>
              <w:rPr>
                <w:rFonts w:ascii="Times New Roman" w:hAnsi="Times New Roman"/>
                <w:sz w:val="20"/>
                <w:szCs w:val="20"/>
              </w:rPr>
            </w:pPr>
          </w:p>
        </w:tc>
        <w:tc>
          <w:tcPr>
            <w:tcW w:w="50" w:type="pct"/>
            <w:shd w:val="clear" w:color="auto" w:fill="auto"/>
            <w:vAlign w:val="center"/>
          </w:tcPr>
          <w:p w14:paraId="4ACE2FD6" w14:textId="77777777" w:rsidR="006F587A" w:rsidRDefault="006F587A">
            <w:pPr>
              <w:rPr>
                <w:rFonts w:ascii="Times New Roman" w:hAnsi="Times New Roman"/>
                <w:sz w:val="20"/>
                <w:szCs w:val="20"/>
              </w:rPr>
            </w:pPr>
          </w:p>
        </w:tc>
        <w:tc>
          <w:tcPr>
            <w:tcW w:w="400" w:type="pct"/>
            <w:shd w:val="clear" w:color="auto" w:fill="auto"/>
            <w:vAlign w:val="center"/>
          </w:tcPr>
          <w:p w14:paraId="4ACE2FD7" w14:textId="77777777" w:rsidR="006F587A" w:rsidRDefault="006F587A">
            <w:pPr>
              <w:rPr>
                <w:rFonts w:ascii="Times New Roman" w:hAnsi="Times New Roman"/>
                <w:sz w:val="20"/>
                <w:szCs w:val="20"/>
              </w:rPr>
            </w:pPr>
          </w:p>
        </w:tc>
        <w:tc>
          <w:tcPr>
            <w:tcW w:w="50" w:type="pct"/>
            <w:shd w:val="clear" w:color="auto" w:fill="auto"/>
            <w:vAlign w:val="center"/>
          </w:tcPr>
          <w:p w14:paraId="4ACE2FD8" w14:textId="77777777" w:rsidR="006F587A" w:rsidRDefault="006F587A">
            <w:pPr>
              <w:rPr>
                <w:rFonts w:ascii="Times New Roman" w:hAnsi="Times New Roman"/>
                <w:sz w:val="20"/>
                <w:szCs w:val="20"/>
              </w:rPr>
            </w:pPr>
          </w:p>
        </w:tc>
      </w:tr>
      <w:tr w:rsidR="006F587A" w14:paraId="4ACE2FDD" w14:textId="77777777">
        <w:tc>
          <w:tcPr>
            <w:tcW w:w="0" w:type="auto"/>
            <w:shd w:val="clear" w:color="auto" w:fill="auto"/>
            <w:tcMar>
              <w:top w:w="40" w:type="dxa"/>
              <w:left w:w="40" w:type="dxa"/>
              <w:bottom w:w="40" w:type="dxa"/>
              <w:right w:w="40" w:type="dxa"/>
            </w:tcMar>
            <w:vAlign w:val="bottom"/>
          </w:tcPr>
          <w:p w14:paraId="4ACE2FD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w:t>
            </w:r>
          </w:p>
        </w:tc>
        <w:tc>
          <w:tcPr>
            <w:tcW w:w="0" w:type="auto"/>
            <w:shd w:val="clear" w:color="auto" w:fill="auto"/>
            <w:tcMar>
              <w:top w:w="40" w:type="dxa"/>
              <w:left w:w="40" w:type="dxa"/>
              <w:bottom w:w="40" w:type="dxa"/>
              <w:right w:w="40" w:type="dxa"/>
            </w:tcMar>
            <w:vAlign w:val="bottom"/>
          </w:tcPr>
          <w:p w14:paraId="4ACE2FD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9"/>
            <w:tcBorders>
              <w:bottom w:val="single" w:sz="8" w:space="0" w:color="0071C5"/>
            </w:tcBorders>
            <w:shd w:val="clear" w:color="auto" w:fill="auto"/>
            <w:tcMar>
              <w:top w:w="40" w:type="dxa"/>
              <w:left w:w="40" w:type="dxa"/>
              <w:bottom w:w="40" w:type="dxa"/>
            </w:tcMar>
            <w:vAlign w:val="bottom"/>
          </w:tcPr>
          <w:p w14:paraId="4ACE2FDC"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Paymen</w:t>
            </w:r>
            <w:r>
              <w:rPr>
                <w:rFonts w:ascii="Arial" w:eastAsia="宋体" w:hAnsi="Arial" w:cs="Arial"/>
                <w:b/>
                <w:bCs/>
                <w:color w:val="333333"/>
                <w:sz w:val="18"/>
                <w:szCs w:val="18"/>
              </w:rPr>
              <w:t>ts Due by Period</w:t>
            </w:r>
          </w:p>
        </w:tc>
      </w:tr>
      <w:tr w:rsidR="006F587A" w14:paraId="4ACE2FEB"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2FDE"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4ACE2FD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2FE0"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Total</w:t>
            </w:r>
          </w:p>
        </w:tc>
        <w:tc>
          <w:tcPr>
            <w:tcW w:w="0" w:type="auto"/>
            <w:shd w:val="clear" w:color="auto" w:fill="auto"/>
            <w:tcMar>
              <w:top w:w="40" w:type="dxa"/>
              <w:left w:w="40" w:type="dxa"/>
              <w:bottom w:w="40" w:type="dxa"/>
              <w:right w:w="40" w:type="dxa"/>
            </w:tcMar>
            <w:vAlign w:val="bottom"/>
          </w:tcPr>
          <w:p w14:paraId="4ACE2FE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2FE2"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Less Than</w:t>
            </w:r>
          </w:p>
          <w:p w14:paraId="4ACE2FE3"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1 Year</w:t>
            </w:r>
          </w:p>
        </w:tc>
        <w:tc>
          <w:tcPr>
            <w:tcW w:w="0" w:type="auto"/>
            <w:shd w:val="clear" w:color="auto" w:fill="auto"/>
            <w:tcMar>
              <w:top w:w="40" w:type="dxa"/>
              <w:left w:w="40" w:type="dxa"/>
              <w:bottom w:w="40" w:type="dxa"/>
              <w:right w:w="40" w:type="dxa"/>
            </w:tcMar>
            <w:vAlign w:val="bottom"/>
          </w:tcPr>
          <w:p w14:paraId="4ACE2FE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2FE5"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1–3 Years</w:t>
            </w:r>
          </w:p>
        </w:tc>
        <w:tc>
          <w:tcPr>
            <w:tcW w:w="0" w:type="auto"/>
            <w:shd w:val="clear" w:color="auto" w:fill="auto"/>
            <w:tcMar>
              <w:top w:w="40" w:type="dxa"/>
              <w:left w:w="40" w:type="dxa"/>
              <w:bottom w:w="40" w:type="dxa"/>
              <w:right w:w="40" w:type="dxa"/>
            </w:tcMar>
            <w:vAlign w:val="bottom"/>
          </w:tcPr>
          <w:p w14:paraId="4ACE2FE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2FE7"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3–5 Years</w:t>
            </w:r>
          </w:p>
        </w:tc>
        <w:tc>
          <w:tcPr>
            <w:tcW w:w="0" w:type="auto"/>
            <w:shd w:val="clear" w:color="auto" w:fill="auto"/>
            <w:tcMar>
              <w:top w:w="40" w:type="dxa"/>
              <w:left w:w="40" w:type="dxa"/>
              <w:bottom w:w="40" w:type="dxa"/>
              <w:right w:w="40" w:type="dxa"/>
            </w:tcMar>
            <w:vAlign w:val="bottom"/>
          </w:tcPr>
          <w:p w14:paraId="4ACE2FE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2FE9"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More Than</w:t>
            </w:r>
          </w:p>
          <w:p w14:paraId="4ACE2FEA"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5 Years</w:t>
            </w:r>
          </w:p>
        </w:tc>
      </w:tr>
      <w:tr w:rsidR="006F587A" w14:paraId="4ACE3001" w14:textId="77777777">
        <w:tc>
          <w:tcPr>
            <w:tcW w:w="0" w:type="auto"/>
            <w:shd w:val="clear" w:color="auto" w:fill="auto"/>
            <w:tcMar>
              <w:top w:w="40" w:type="dxa"/>
              <w:left w:w="40" w:type="dxa"/>
              <w:bottom w:w="40" w:type="dxa"/>
              <w:right w:w="40" w:type="dxa"/>
            </w:tcMar>
          </w:tcPr>
          <w:p w14:paraId="4ACE2FEC"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Operating lease obligations</w:t>
            </w:r>
            <w:r>
              <w:rPr>
                <w:rFonts w:ascii="Arial" w:eastAsia="宋体" w:hAnsi="Arial" w:cs="Arial"/>
                <w:color w:val="333333"/>
                <w:sz w:val="12"/>
                <w:szCs w:val="12"/>
              </w:rPr>
              <w:t>1</w:t>
            </w:r>
          </w:p>
        </w:tc>
        <w:tc>
          <w:tcPr>
            <w:tcW w:w="0" w:type="auto"/>
            <w:shd w:val="clear" w:color="auto" w:fill="auto"/>
            <w:tcMar>
              <w:top w:w="40" w:type="dxa"/>
              <w:left w:w="40" w:type="dxa"/>
              <w:bottom w:w="40" w:type="dxa"/>
              <w:right w:w="40" w:type="dxa"/>
            </w:tcMar>
            <w:vAlign w:val="bottom"/>
          </w:tcPr>
          <w:p w14:paraId="4ACE2FE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FEE"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2FEF"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595</w:t>
            </w:r>
          </w:p>
        </w:tc>
        <w:tc>
          <w:tcPr>
            <w:tcW w:w="0" w:type="auto"/>
            <w:shd w:val="clear" w:color="auto" w:fill="auto"/>
            <w:vAlign w:val="bottom"/>
          </w:tcPr>
          <w:p w14:paraId="4ACE2FF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FF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FF2"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2FF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178</w:t>
            </w:r>
          </w:p>
        </w:tc>
        <w:tc>
          <w:tcPr>
            <w:tcW w:w="0" w:type="auto"/>
            <w:shd w:val="clear" w:color="auto" w:fill="auto"/>
            <w:vAlign w:val="bottom"/>
          </w:tcPr>
          <w:p w14:paraId="4ACE2FF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FF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FF6"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2FF7"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232</w:t>
            </w:r>
          </w:p>
        </w:tc>
        <w:tc>
          <w:tcPr>
            <w:tcW w:w="0" w:type="auto"/>
            <w:shd w:val="clear" w:color="auto" w:fill="auto"/>
            <w:vAlign w:val="bottom"/>
          </w:tcPr>
          <w:p w14:paraId="4ACE2FF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FF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FFA"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2FFB"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128</w:t>
            </w:r>
          </w:p>
        </w:tc>
        <w:tc>
          <w:tcPr>
            <w:tcW w:w="0" w:type="auto"/>
            <w:shd w:val="clear" w:color="auto" w:fill="auto"/>
            <w:vAlign w:val="bottom"/>
          </w:tcPr>
          <w:p w14:paraId="4ACE2FF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2FF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2FFE"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2FFF"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57</w:t>
            </w:r>
          </w:p>
        </w:tc>
        <w:tc>
          <w:tcPr>
            <w:tcW w:w="0" w:type="auto"/>
            <w:shd w:val="clear" w:color="auto" w:fill="auto"/>
            <w:vAlign w:val="bottom"/>
          </w:tcPr>
          <w:p w14:paraId="4ACE3000" w14:textId="77777777" w:rsidR="006F587A" w:rsidRDefault="006F587A">
            <w:pPr>
              <w:textAlignment w:val="bottom"/>
              <w:rPr>
                <w:rFonts w:ascii="Times New Roman" w:hAnsi="Times New Roman"/>
                <w:sz w:val="20"/>
                <w:szCs w:val="20"/>
              </w:rPr>
            </w:pPr>
          </w:p>
        </w:tc>
      </w:tr>
      <w:tr w:rsidR="006F587A" w14:paraId="4ACE3012" w14:textId="77777777">
        <w:tc>
          <w:tcPr>
            <w:tcW w:w="0" w:type="auto"/>
            <w:shd w:val="clear" w:color="auto" w:fill="auto"/>
            <w:tcMar>
              <w:top w:w="40" w:type="dxa"/>
              <w:left w:w="40" w:type="dxa"/>
              <w:bottom w:w="40" w:type="dxa"/>
              <w:right w:w="40" w:type="dxa"/>
            </w:tcMar>
            <w:vAlign w:val="bottom"/>
          </w:tcPr>
          <w:p w14:paraId="4ACE300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Capital purchase obligations</w:t>
            </w:r>
            <w:r>
              <w:rPr>
                <w:rFonts w:ascii="Arial" w:eastAsia="宋体" w:hAnsi="Arial" w:cs="Arial"/>
                <w:color w:val="333333"/>
                <w:sz w:val="12"/>
                <w:szCs w:val="12"/>
              </w:rPr>
              <w:t>2</w:t>
            </w:r>
          </w:p>
        </w:tc>
        <w:tc>
          <w:tcPr>
            <w:tcW w:w="0" w:type="auto"/>
            <w:shd w:val="clear" w:color="auto" w:fill="auto"/>
            <w:tcMar>
              <w:top w:w="40" w:type="dxa"/>
              <w:left w:w="40" w:type="dxa"/>
              <w:bottom w:w="40" w:type="dxa"/>
              <w:right w:w="40" w:type="dxa"/>
            </w:tcMar>
            <w:vAlign w:val="bottom"/>
          </w:tcPr>
          <w:p w14:paraId="4ACE300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004"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10,918</w:t>
            </w:r>
          </w:p>
        </w:tc>
        <w:tc>
          <w:tcPr>
            <w:tcW w:w="0" w:type="auto"/>
            <w:shd w:val="clear" w:color="auto" w:fill="auto"/>
            <w:vAlign w:val="bottom"/>
          </w:tcPr>
          <w:p w14:paraId="4ACE300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00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007"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9,300</w:t>
            </w:r>
          </w:p>
        </w:tc>
        <w:tc>
          <w:tcPr>
            <w:tcW w:w="0" w:type="auto"/>
            <w:shd w:val="clear" w:color="auto" w:fill="auto"/>
            <w:vAlign w:val="bottom"/>
          </w:tcPr>
          <w:p w14:paraId="4ACE300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00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00A"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1,595</w:t>
            </w:r>
          </w:p>
        </w:tc>
        <w:tc>
          <w:tcPr>
            <w:tcW w:w="0" w:type="auto"/>
            <w:shd w:val="clear" w:color="auto" w:fill="auto"/>
            <w:vAlign w:val="bottom"/>
          </w:tcPr>
          <w:p w14:paraId="4ACE300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00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00D"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14</w:t>
            </w:r>
          </w:p>
        </w:tc>
        <w:tc>
          <w:tcPr>
            <w:tcW w:w="0" w:type="auto"/>
            <w:shd w:val="clear" w:color="auto" w:fill="auto"/>
            <w:vAlign w:val="bottom"/>
          </w:tcPr>
          <w:p w14:paraId="4ACE300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00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010"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9</w:t>
            </w:r>
          </w:p>
        </w:tc>
        <w:tc>
          <w:tcPr>
            <w:tcW w:w="0" w:type="auto"/>
            <w:shd w:val="clear" w:color="auto" w:fill="auto"/>
            <w:vAlign w:val="bottom"/>
          </w:tcPr>
          <w:p w14:paraId="4ACE3011" w14:textId="77777777" w:rsidR="006F587A" w:rsidRDefault="006F587A">
            <w:pPr>
              <w:textAlignment w:val="bottom"/>
              <w:rPr>
                <w:rFonts w:ascii="Times New Roman" w:hAnsi="Times New Roman"/>
                <w:sz w:val="20"/>
                <w:szCs w:val="20"/>
              </w:rPr>
            </w:pPr>
          </w:p>
        </w:tc>
      </w:tr>
      <w:tr w:rsidR="006F587A" w14:paraId="4ACE3023" w14:textId="77777777">
        <w:tc>
          <w:tcPr>
            <w:tcW w:w="0" w:type="auto"/>
            <w:shd w:val="clear" w:color="auto" w:fill="auto"/>
            <w:tcMar>
              <w:top w:w="40" w:type="dxa"/>
              <w:left w:w="40" w:type="dxa"/>
              <w:bottom w:w="40" w:type="dxa"/>
              <w:right w:w="40" w:type="dxa"/>
            </w:tcMar>
            <w:vAlign w:val="bottom"/>
          </w:tcPr>
          <w:p w14:paraId="4ACE301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Other purchase obligations and </w:t>
            </w:r>
            <w:r>
              <w:rPr>
                <w:rFonts w:ascii="Arial" w:eastAsia="宋体" w:hAnsi="Arial" w:cs="Arial"/>
                <w:color w:val="333333"/>
                <w:sz w:val="18"/>
                <w:szCs w:val="18"/>
              </w:rPr>
              <w:lastRenderedPageBreak/>
              <w:t>commitments</w:t>
            </w:r>
            <w:r>
              <w:rPr>
                <w:rFonts w:ascii="Arial" w:eastAsia="宋体" w:hAnsi="Arial" w:cs="Arial"/>
                <w:color w:val="333333"/>
                <w:sz w:val="12"/>
                <w:szCs w:val="12"/>
              </w:rPr>
              <w:t>3</w:t>
            </w:r>
          </w:p>
        </w:tc>
        <w:tc>
          <w:tcPr>
            <w:tcW w:w="0" w:type="auto"/>
            <w:shd w:val="clear" w:color="auto" w:fill="auto"/>
            <w:tcMar>
              <w:top w:w="40" w:type="dxa"/>
              <w:left w:w="40" w:type="dxa"/>
              <w:bottom w:w="40" w:type="dxa"/>
              <w:right w:w="40" w:type="dxa"/>
            </w:tcMar>
            <w:vAlign w:val="bottom"/>
          </w:tcPr>
          <w:p w14:paraId="4ACE301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lastRenderedPageBreak/>
              <w:t> </w:t>
            </w:r>
          </w:p>
        </w:tc>
        <w:tc>
          <w:tcPr>
            <w:tcW w:w="0" w:type="auto"/>
            <w:gridSpan w:val="2"/>
            <w:shd w:val="clear" w:color="auto" w:fill="auto"/>
            <w:tcMar>
              <w:top w:w="40" w:type="dxa"/>
              <w:left w:w="40" w:type="dxa"/>
              <w:bottom w:w="40" w:type="dxa"/>
            </w:tcMar>
            <w:vAlign w:val="bottom"/>
          </w:tcPr>
          <w:p w14:paraId="4ACE3015"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2,757</w:t>
            </w:r>
          </w:p>
        </w:tc>
        <w:tc>
          <w:tcPr>
            <w:tcW w:w="0" w:type="auto"/>
            <w:shd w:val="clear" w:color="auto" w:fill="auto"/>
            <w:vAlign w:val="bottom"/>
          </w:tcPr>
          <w:p w14:paraId="4ACE301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01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018"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1,636</w:t>
            </w:r>
          </w:p>
        </w:tc>
        <w:tc>
          <w:tcPr>
            <w:tcW w:w="0" w:type="auto"/>
            <w:shd w:val="clear" w:color="auto" w:fill="auto"/>
            <w:vAlign w:val="bottom"/>
          </w:tcPr>
          <w:p w14:paraId="4ACE301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01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01B"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947</w:t>
            </w:r>
          </w:p>
        </w:tc>
        <w:tc>
          <w:tcPr>
            <w:tcW w:w="0" w:type="auto"/>
            <w:shd w:val="clear" w:color="auto" w:fill="auto"/>
            <w:vAlign w:val="bottom"/>
          </w:tcPr>
          <w:p w14:paraId="4ACE301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01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01E"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147</w:t>
            </w:r>
          </w:p>
        </w:tc>
        <w:tc>
          <w:tcPr>
            <w:tcW w:w="0" w:type="auto"/>
            <w:shd w:val="clear" w:color="auto" w:fill="auto"/>
            <w:vAlign w:val="bottom"/>
          </w:tcPr>
          <w:p w14:paraId="4ACE301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02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021"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27</w:t>
            </w:r>
          </w:p>
        </w:tc>
        <w:tc>
          <w:tcPr>
            <w:tcW w:w="0" w:type="auto"/>
            <w:shd w:val="clear" w:color="auto" w:fill="auto"/>
            <w:vAlign w:val="bottom"/>
          </w:tcPr>
          <w:p w14:paraId="4ACE3022" w14:textId="77777777" w:rsidR="006F587A" w:rsidRDefault="006F587A">
            <w:pPr>
              <w:textAlignment w:val="bottom"/>
              <w:rPr>
                <w:rFonts w:ascii="Times New Roman" w:hAnsi="Times New Roman"/>
                <w:sz w:val="20"/>
                <w:szCs w:val="20"/>
              </w:rPr>
            </w:pPr>
          </w:p>
        </w:tc>
      </w:tr>
      <w:tr w:rsidR="006F587A" w14:paraId="4ACE3034" w14:textId="77777777">
        <w:tc>
          <w:tcPr>
            <w:tcW w:w="0" w:type="auto"/>
            <w:shd w:val="clear" w:color="auto" w:fill="auto"/>
            <w:tcMar>
              <w:top w:w="40" w:type="dxa"/>
              <w:left w:w="40" w:type="dxa"/>
              <w:bottom w:w="40" w:type="dxa"/>
              <w:right w:w="40" w:type="dxa"/>
            </w:tcMar>
            <w:vAlign w:val="bottom"/>
          </w:tcPr>
          <w:p w14:paraId="4ACE302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Tax obligations</w:t>
            </w:r>
            <w:r>
              <w:rPr>
                <w:rFonts w:ascii="Arial" w:eastAsia="宋体" w:hAnsi="Arial" w:cs="Arial"/>
                <w:color w:val="333333"/>
                <w:sz w:val="12"/>
                <w:szCs w:val="12"/>
              </w:rPr>
              <w:t>4</w:t>
            </w:r>
          </w:p>
        </w:tc>
        <w:tc>
          <w:tcPr>
            <w:tcW w:w="0" w:type="auto"/>
            <w:shd w:val="clear" w:color="auto" w:fill="auto"/>
            <w:tcMar>
              <w:top w:w="40" w:type="dxa"/>
              <w:left w:w="40" w:type="dxa"/>
              <w:bottom w:w="40" w:type="dxa"/>
              <w:right w:w="40" w:type="dxa"/>
            </w:tcMar>
            <w:vAlign w:val="bottom"/>
          </w:tcPr>
          <w:p w14:paraId="4ACE302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026"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4,442</w:t>
            </w:r>
          </w:p>
        </w:tc>
        <w:tc>
          <w:tcPr>
            <w:tcW w:w="0" w:type="auto"/>
            <w:shd w:val="clear" w:color="auto" w:fill="auto"/>
            <w:vAlign w:val="bottom"/>
          </w:tcPr>
          <w:p w14:paraId="4ACE302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02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029"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10</w:t>
            </w:r>
          </w:p>
        </w:tc>
        <w:tc>
          <w:tcPr>
            <w:tcW w:w="0" w:type="auto"/>
            <w:shd w:val="clear" w:color="auto" w:fill="auto"/>
            <w:vAlign w:val="bottom"/>
          </w:tcPr>
          <w:p w14:paraId="4ACE302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02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02C"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746</w:t>
            </w:r>
          </w:p>
        </w:tc>
        <w:tc>
          <w:tcPr>
            <w:tcW w:w="0" w:type="auto"/>
            <w:shd w:val="clear" w:color="auto" w:fill="auto"/>
            <w:vAlign w:val="bottom"/>
          </w:tcPr>
          <w:p w14:paraId="4ACE302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02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02F"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1,853</w:t>
            </w:r>
          </w:p>
        </w:tc>
        <w:tc>
          <w:tcPr>
            <w:tcW w:w="0" w:type="auto"/>
            <w:shd w:val="clear" w:color="auto" w:fill="auto"/>
            <w:vAlign w:val="bottom"/>
          </w:tcPr>
          <w:p w14:paraId="4ACE303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03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032"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1,833</w:t>
            </w:r>
          </w:p>
        </w:tc>
        <w:tc>
          <w:tcPr>
            <w:tcW w:w="0" w:type="auto"/>
            <w:shd w:val="clear" w:color="auto" w:fill="auto"/>
            <w:vAlign w:val="bottom"/>
          </w:tcPr>
          <w:p w14:paraId="4ACE3033" w14:textId="77777777" w:rsidR="006F587A" w:rsidRDefault="006F587A">
            <w:pPr>
              <w:textAlignment w:val="bottom"/>
              <w:rPr>
                <w:rFonts w:ascii="Times New Roman" w:hAnsi="Times New Roman"/>
                <w:sz w:val="20"/>
                <w:szCs w:val="20"/>
              </w:rPr>
            </w:pPr>
          </w:p>
        </w:tc>
      </w:tr>
      <w:tr w:rsidR="006F587A" w14:paraId="4ACE3045" w14:textId="77777777">
        <w:tc>
          <w:tcPr>
            <w:tcW w:w="0" w:type="auto"/>
            <w:shd w:val="clear" w:color="auto" w:fill="auto"/>
            <w:tcMar>
              <w:top w:w="40" w:type="dxa"/>
              <w:left w:w="40" w:type="dxa"/>
              <w:bottom w:w="40" w:type="dxa"/>
              <w:right w:w="40" w:type="dxa"/>
            </w:tcMar>
            <w:vAlign w:val="bottom"/>
          </w:tcPr>
          <w:p w14:paraId="4ACE303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Long-term debt </w:t>
            </w:r>
            <w:r>
              <w:rPr>
                <w:rFonts w:ascii="Arial" w:eastAsia="宋体" w:hAnsi="Arial" w:cs="Arial"/>
                <w:color w:val="333333"/>
                <w:sz w:val="18"/>
                <w:szCs w:val="18"/>
              </w:rPr>
              <w:t>obligations</w:t>
            </w:r>
            <w:r>
              <w:rPr>
                <w:rFonts w:ascii="Arial" w:eastAsia="宋体" w:hAnsi="Arial" w:cs="Arial"/>
                <w:color w:val="333333"/>
                <w:sz w:val="12"/>
                <w:szCs w:val="12"/>
              </w:rPr>
              <w:t>5</w:t>
            </w:r>
          </w:p>
        </w:tc>
        <w:tc>
          <w:tcPr>
            <w:tcW w:w="0" w:type="auto"/>
            <w:shd w:val="clear" w:color="auto" w:fill="auto"/>
            <w:tcMar>
              <w:top w:w="40" w:type="dxa"/>
              <w:left w:w="40" w:type="dxa"/>
              <w:bottom w:w="40" w:type="dxa"/>
              <w:right w:w="40" w:type="dxa"/>
            </w:tcMar>
            <w:vAlign w:val="bottom"/>
          </w:tcPr>
          <w:p w14:paraId="4ACE303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037"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41,328</w:t>
            </w:r>
          </w:p>
        </w:tc>
        <w:tc>
          <w:tcPr>
            <w:tcW w:w="0" w:type="auto"/>
            <w:shd w:val="clear" w:color="auto" w:fill="auto"/>
            <w:vAlign w:val="bottom"/>
          </w:tcPr>
          <w:p w14:paraId="4ACE303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03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03A"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4,706</w:t>
            </w:r>
          </w:p>
        </w:tc>
        <w:tc>
          <w:tcPr>
            <w:tcW w:w="0" w:type="auto"/>
            <w:shd w:val="clear" w:color="auto" w:fill="auto"/>
            <w:vAlign w:val="bottom"/>
          </w:tcPr>
          <w:p w14:paraId="4ACE303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03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03D"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8,510</w:t>
            </w:r>
          </w:p>
        </w:tc>
        <w:tc>
          <w:tcPr>
            <w:tcW w:w="0" w:type="auto"/>
            <w:shd w:val="clear" w:color="auto" w:fill="auto"/>
            <w:vAlign w:val="bottom"/>
          </w:tcPr>
          <w:p w14:paraId="4ACE303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03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040"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3,508</w:t>
            </w:r>
          </w:p>
        </w:tc>
        <w:tc>
          <w:tcPr>
            <w:tcW w:w="0" w:type="auto"/>
            <w:shd w:val="clear" w:color="auto" w:fill="auto"/>
            <w:vAlign w:val="bottom"/>
          </w:tcPr>
          <w:p w14:paraId="4ACE304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04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04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24,604</w:t>
            </w:r>
          </w:p>
        </w:tc>
        <w:tc>
          <w:tcPr>
            <w:tcW w:w="0" w:type="auto"/>
            <w:shd w:val="clear" w:color="auto" w:fill="auto"/>
            <w:vAlign w:val="bottom"/>
          </w:tcPr>
          <w:p w14:paraId="4ACE3044" w14:textId="77777777" w:rsidR="006F587A" w:rsidRDefault="006F587A">
            <w:pPr>
              <w:textAlignment w:val="bottom"/>
              <w:rPr>
                <w:rFonts w:ascii="Times New Roman" w:hAnsi="Times New Roman"/>
                <w:sz w:val="20"/>
                <w:szCs w:val="20"/>
              </w:rPr>
            </w:pPr>
          </w:p>
        </w:tc>
      </w:tr>
      <w:tr w:rsidR="006F587A" w14:paraId="4ACE3056" w14:textId="77777777">
        <w:tc>
          <w:tcPr>
            <w:tcW w:w="0" w:type="auto"/>
            <w:shd w:val="clear" w:color="auto" w:fill="auto"/>
            <w:tcMar>
              <w:top w:w="40" w:type="dxa"/>
              <w:left w:w="40" w:type="dxa"/>
              <w:bottom w:w="40" w:type="dxa"/>
              <w:right w:w="40" w:type="dxa"/>
            </w:tcMar>
            <w:vAlign w:val="bottom"/>
          </w:tcPr>
          <w:p w14:paraId="4ACE304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Other long-term liabilities</w:t>
            </w:r>
            <w:r>
              <w:rPr>
                <w:rFonts w:ascii="Arial" w:eastAsia="宋体" w:hAnsi="Arial" w:cs="Arial"/>
                <w:color w:val="333333"/>
                <w:sz w:val="12"/>
                <w:szCs w:val="12"/>
              </w:rPr>
              <w:t>6</w:t>
            </w:r>
          </w:p>
        </w:tc>
        <w:tc>
          <w:tcPr>
            <w:tcW w:w="0" w:type="auto"/>
            <w:shd w:val="clear" w:color="auto" w:fill="auto"/>
            <w:tcMar>
              <w:top w:w="40" w:type="dxa"/>
              <w:left w:w="40" w:type="dxa"/>
              <w:bottom w:w="40" w:type="dxa"/>
              <w:right w:w="40" w:type="dxa"/>
            </w:tcMar>
            <w:vAlign w:val="bottom"/>
          </w:tcPr>
          <w:p w14:paraId="4ACE304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048"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1,692</w:t>
            </w:r>
          </w:p>
        </w:tc>
        <w:tc>
          <w:tcPr>
            <w:tcW w:w="0" w:type="auto"/>
            <w:shd w:val="clear" w:color="auto" w:fill="auto"/>
            <w:vAlign w:val="bottom"/>
          </w:tcPr>
          <w:p w14:paraId="4ACE304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04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04B"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898</w:t>
            </w:r>
          </w:p>
        </w:tc>
        <w:tc>
          <w:tcPr>
            <w:tcW w:w="0" w:type="auto"/>
            <w:shd w:val="clear" w:color="auto" w:fill="auto"/>
            <w:vAlign w:val="bottom"/>
          </w:tcPr>
          <w:p w14:paraId="4ACE304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04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04E"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640</w:t>
            </w:r>
          </w:p>
        </w:tc>
        <w:tc>
          <w:tcPr>
            <w:tcW w:w="0" w:type="auto"/>
            <w:shd w:val="clear" w:color="auto" w:fill="auto"/>
            <w:vAlign w:val="bottom"/>
          </w:tcPr>
          <w:p w14:paraId="4ACE304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05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051"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40</w:t>
            </w:r>
          </w:p>
        </w:tc>
        <w:tc>
          <w:tcPr>
            <w:tcW w:w="0" w:type="auto"/>
            <w:shd w:val="clear" w:color="auto" w:fill="auto"/>
            <w:vAlign w:val="bottom"/>
          </w:tcPr>
          <w:p w14:paraId="4ACE305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05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054"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114</w:t>
            </w:r>
          </w:p>
        </w:tc>
        <w:tc>
          <w:tcPr>
            <w:tcW w:w="0" w:type="auto"/>
            <w:shd w:val="clear" w:color="auto" w:fill="auto"/>
            <w:vAlign w:val="bottom"/>
          </w:tcPr>
          <w:p w14:paraId="4ACE3055" w14:textId="77777777" w:rsidR="006F587A" w:rsidRDefault="006F587A">
            <w:pPr>
              <w:textAlignment w:val="bottom"/>
              <w:rPr>
                <w:rFonts w:ascii="Times New Roman" w:hAnsi="Times New Roman"/>
                <w:sz w:val="20"/>
                <w:szCs w:val="20"/>
              </w:rPr>
            </w:pPr>
          </w:p>
        </w:tc>
      </w:tr>
      <w:tr w:rsidR="006F587A" w14:paraId="4ACE306C" w14:textId="77777777">
        <w:tc>
          <w:tcPr>
            <w:tcW w:w="0" w:type="auto"/>
            <w:shd w:val="clear" w:color="auto" w:fill="auto"/>
            <w:tcMar>
              <w:top w:w="40" w:type="dxa"/>
              <w:left w:w="40" w:type="dxa"/>
              <w:bottom w:w="40" w:type="dxa"/>
              <w:right w:w="40" w:type="dxa"/>
            </w:tcMar>
            <w:vAlign w:val="bottom"/>
          </w:tcPr>
          <w:p w14:paraId="4ACE3057"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Total</w:t>
            </w:r>
            <w:r>
              <w:rPr>
                <w:rFonts w:ascii="Arial" w:eastAsia="宋体" w:hAnsi="Arial" w:cs="Arial"/>
                <w:b/>
                <w:bCs/>
                <w:color w:val="333333"/>
                <w:sz w:val="12"/>
                <w:szCs w:val="12"/>
              </w:rPr>
              <w:t>7</w:t>
            </w:r>
          </w:p>
        </w:tc>
        <w:tc>
          <w:tcPr>
            <w:tcW w:w="0" w:type="auto"/>
            <w:shd w:val="clear" w:color="auto" w:fill="auto"/>
            <w:tcMar>
              <w:top w:w="40" w:type="dxa"/>
              <w:left w:w="40" w:type="dxa"/>
              <w:bottom w:w="40" w:type="dxa"/>
              <w:right w:w="40" w:type="dxa"/>
            </w:tcMar>
            <w:vAlign w:val="bottom"/>
          </w:tcPr>
          <w:p w14:paraId="4ACE305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3059"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305A"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61,732</w:t>
            </w:r>
          </w:p>
        </w:tc>
        <w:tc>
          <w:tcPr>
            <w:tcW w:w="0" w:type="auto"/>
            <w:tcBorders>
              <w:top w:val="single" w:sz="8" w:space="0" w:color="333333"/>
              <w:bottom w:val="double" w:sz="6" w:space="0" w:color="333333"/>
            </w:tcBorders>
            <w:shd w:val="clear" w:color="auto" w:fill="auto"/>
            <w:vAlign w:val="bottom"/>
          </w:tcPr>
          <w:p w14:paraId="4ACE305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05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305D"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305E"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16,728</w:t>
            </w:r>
          </w:p>
        </w:tc>
        <w:tc>
          <w:tcPr>
            <w:tcW w:w="0" w:type="auto"/>
            <w:tcBorders>
              <w:top w:val="single" w:sz="8" w:space="0" w:color="333333"/>
              <w:bottom w:val="double" w:sz="6" w:space="0" w:color="333333"/>
            </w:tcBorders>
            <w:shd w:val="clear" w:color="auto" w:fill="auto"/>
            <w:vAlign w:val="bottom"/>
          </w:tcPr>
          <w:p w14:paraId="4ACE305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06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3061"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3062"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12,670</w:t>
            </w:r>
          </w:p>
        </w:tc>
        <w:tc>
          <w:tcPr>
            <w:tcW w:w="0" w:type="auto"/>
            <w:tcBorders>
              <w:top w:val="single" w:sz="8" w:space="0" w:color="333333"/>
              <w:bottom w:val="double" w:sz="6" w:space="0" w:color="333333"/>
            </w:tcBorders>
            <w:shd w:val="clear" w:color="auto" w:fill="auto"/>
            <w:vAlign w:val="bottom"/>
          </w:tcPr>
          <w:p w14:paraId="4ACE306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06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3065"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3066"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5,690</w:t>
            </w:r>
          </w:p>
        </w:tc>
        <w:tc>
          <w:tcPr>
            <w:tcW w:w="0" w:type="auto"/>
            <w:tcBorders>
              <w:top w:val="single" w:sz="8" w:space="0" w:color="333333"/>
              <w:bottom w:val="double" w:sz="6" w:space="0" w:color="333333"/>
            </w:tcBorders>
            <w:shd w:val="clear" w:color="auto" w:fill="auto"/>
            <w:vAlign w:val="bottom"/>
          </w:tcPr>
          <w:p w14:paraId="4ACE306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06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3069"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306A"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26,644</w:t>
            </w:r>
          </w:p>
        </w:tc>
        <w:tc>
          <w:tcPr>
            <w:tcW w:w="0" w:type="auto"/>
            <w:tcBorders>
              <w:top w:val="single" w:sz="8" w:space="0" w:color="333333"/>
              <w:bottom w:val="double" w:sz="6" w:space="0" w:color="333333"/>
            </w:tcBorders>
            <w:shd w:val="clear" w:color="auto" w:fill="auto"/>
            <w:vAlign w:val="bottom"/>
          </w:tcPr>
          <w:p w14:paraId="4ACE306B" w14:textId="77777777" w:rsidR="006F587A" w:rsidRDefault="006F587A">
            <w:pPr>
              <w:textAlignment w:val="bottom"/>
              <w:rPr>
                <w:rFonts w:ascii="Times New Roman" w:hAnsi="Times New Roman"/>
                <w:sz w:val="20"/>
                <w:szCs w:val="20"/>
              </w:rPr>
            </w:pPr>
          </w:p>
        </w:tc>
      </w:tr>
    </w:tbl>
    <w:p w14:paraId="4ACE306D"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6F587A" w14:paraId="4ACE3070" w14:textId="77777777">
        <w:trPr>
          <w:tblCellSpacing w:w="0" w:type="dxa"/>
        </w:trPr>
        <w:tc>
          <w:tcPr>
            <w:tcW w:w="720" w:type="dxa"/>
            <w:shd w:val="clear" w:color="auto" w:fill="auto"/>
            <w:vAlign w:val="center"/>
          </w:tcPr>
          <w:p w14:paraId="4ACE306E" w14:textId="77777777" w:rsidR="006F587A" w:rsidRDefault="006F587A">
            <w:pPr>
              <w:rPr>
                <w:rFonts w:ascii="Times New Roman" w:hAnsi="Times New Roman"/>
                <w:sz w:val="20"/>
                <w:szCs w:val="20"/>
              </w:rPr>
            </w:pPr>
          </w:p>
        </w:tc>
        <w:tc>
          <w:tcPr>
            <w:tcW w:w="0" w:type="auto"/>
            <w:shd w:val="clear" w:color="auto" w:fill="auto"/>
            <w:vAlign w:val="center"/>
          </w:tcPr>
          <w:p w14:paraId="4ACE306F" w14:textId="77777777" w:rsidR="006F587A" w:rsidRDefault="006F587A">
            <w:pPr>
              <w:rPr>
                <w:rFonts w:ascii="Times New Roman" w:hAnsi="Times New Roman"/>
                <w:sz w:val="20"/>
                <w:szCs w:val="20"/>
              </w:rPr>
            </w:pPr>
          </w:p>
        </w:tc>
      </w:tr>
      <w:tr w:rsidR="006F587A" w14:paraId="4ACE3073" w14:textId="77777777">
        <w:trPr>
          <w:tblCellSpacing w:w="0" w:type="dxa"/>
        </w:trPr>
        <w:tc>
          <w:tcPr>
            <w:tcW w:w="0" w:type="auto"/>
            <w:shd w:val="clear" w:color="auto" w:fill="auto"/>
          </w:tcPr>
          <w:p w14:paraId="4ACE3071"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0"/>
                <w:szCs w:val="10"/>
              </w:rPr>
              <w:t>1</w:t>
            </w:r>
            <w:r>
              <w:rPr>
                <w:rFonts w:ascii="Arial" w:eastAsia="宋体" w:hAnsi="Arial" w:cs="Arial"/>
                <w:i/>
                <w:iCs/>
                <w:color w:val="333333"/>
                <w:sz w:val="16"/>
                <w:szCs w:val="16"/>
              </w:rPr>
              <w:t> </w:t>
            </w:r>
          </w:p>
        </w:tc>
        <w:tc>
          <w:tcPr>
            <w:tcW w:w="0" w:type="auto"/>
            <w:shd w:val="clear" w:color="auto" w:fill="auto"/>
          </w:tcPr>
          <w:p w14:paraId="4ACE3072"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6"/>
                <w:szCs w:val="16"/>
              </w:rPr>
              <w:t xml:space="preserve">Operating lease obligations represent the undiscounted lease payments under non-cancelable leases, but exclude non-lease components. </w:t>
            </w:r>
          </w:p>
        </w:tc>
      </w:tr>
    </w:tbl>
    <w:p w14:paraId="4ACE3074"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6F587A" w14:paraId="4ACE3077" w14:textId="77777777">
        <w:trPr>
          <w:tblCellSpacing w:w="0" w:type="dxa"/>
        </w:trPr>
        <w:tc>
          <w:tcPr>
            <w:tcW w:w="720" w:type="dxa"/>
            <w:shd w:val="clear" w:color="auto" w:fill="auto"/>
            <w:vAlign w:val="center"/>
          </w:tcPr>
          <w:p w14:paraId="4ACE3075" w14:textId="77777777" w:rsidR="006F587A" w:rsidRDefault="006F587A">
            <w:pPr>
              <w:rPr>
                <w:rFonts w:ascii="Times New Roman" w:hAnsi="Times New Roman"/>
                <w:sz w:val="20"/>
                <w:szCs w:val="20"/>
              </w:rPr>
            </w:pPr>
          </w:p>
        </w:tc>
        <w:tc>
          <w:tcPr>
            <w:tcW w:w="0" w:type="auto"/>
            <w:shd w:val="clear" w:color="auto" w:fill="auto"/>
            <w:vAlign w:val="center"/>
          </w:tcPr>
          <w:p w14:paraId="4ACE3076" w14:textId="77777777" w:rsidR="006F587A" w:rsidRDefault="006F587A">
            <w:pPr>
              <w:rPr>
                <w:rFonts w:ascii="Times New Roman" w:hAnsi="Times New Roman"/>
                <w:sz w:val="20"/>
                <w:szCs w:val="20"/>
              </w:rPr>
            </w:pPr>
          </w:p>
        </w:tc>
      </w:tr>
      <w:tr w:rsidR="006F587A" w14:paraId="4ACE307A" w14:textId="77777777">
        <w:trPr>
          <w:tblCellSpacing w:w="0" w:type="dxa"/>
        </w:trPr>
        <w:tc>
          <w:tcPr>
            <w:tcW w:w="0" w:type="auto"/>
            <w:shd w:val="clear" w:color="auto" w:fill="auto"/>
          </w:tcPr>
          <w:p w14:paraId="4ACE3078"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0"/>
                <w:szCs w:val="10"/>
              </w:rPr>
              <w:t>2</w:t>
            </w:r>
            <w:r>
              <w:rPr>
                <w:rFonts w:ascii="Arial" w:eastAsia="宋体" w:hAnsi="Arial" w:cs="Arial"/>
                <w:i/>
                <w:iCs/>
                <w:color w:val="333333"/>
                <w:sz w:val="16"/>
                <w:szCs w:val="16"/>
              </w:rPr>
              <w:t> </w:t>
            </w:r>
          </w:p>
        </w:tc>
        <w:tc>
          <w:tcPr>
            <w:tcW w:w="0" w:type="auto"/>
            <w:shd w:val="clear" w:color="auto" w:fill="auto"/>
          </w:tcPr>
          <w:p w14:paraId="4ACE3079"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6"/>
                <w:szCs w:val="16"/>
              </w:rPr>
              <w:t>Capital purchase obligations represent commitments for the construction or purchase of property, plant and equipme</w:t>
            </w:r>
            <w:r>
              <w:rPr>
                <w:rFonts w:ascii="Arial" w:eastAsia="宋体" w:hAnsi="Arial" w:cs="Arial"/>
                <w:i/>
                <w:iCs/>
                <w:color w:val="333333"/>
                <w:sz w:val="16"/>
                <w:szCs w:val="16"/>
              </w:rPr>
              <w:t>nt. They were not recorded as liabilities on our Consolidated Balance Sheets as of December 28, 2019, as we had not yet received the related goods nor taken title to the property.</w:t>
            </w:r>
          </w:p>
        </w:tc>
      </w:tr>
    </w:tbl>
    <w:p w14:paraId="4ACE307B"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6F587A" w14:paraId="4ACE307E" w14:textId="77777777">
        <w:trPr>
          <w:tblCellSpacing w:w="0" w:type="dxa"/>
        </w:trPr>
        <w:tc>
          <w:tcPr>
            <w:tcW w:w="720" w:type="dxa"/>
            <w:shd w:val="clear" w:color="auto" w:fill="auto"/>
            <w:vAlign w:val="center"/>
          </w:tcPr>
          <w:p w14:paraId="4ACE307C" w14:textId="77777777" w:rsidR="006F587A" w:rsidRDefault="006F587A">
            <w:pPr>
              <w:rPr>
                <w:rFonts w:ascii="Times New Roman" w:hAnsi="Times New Roman"/>
                <w:sz w:val="20"/>
                <w:szCs w:val="20"/>
              </w:rPr>
            </w:pPr>
          </w:p>
        </w:tc>
        <w:tc>
          <w:tcPr>
            <w:tcW w:w="0" w:type="auto"/>
            <w:shd w:val="clear" w:color="auto" w:fill="auto"/>
            <w:vAlign w:val="center"/>
          </w:tcPr>
          <w:p w14:paraId="4ACE307D" w14:textId="77777777" w:rsidR="006F587A" w:rsidRDefault="006F587A">
            <w:pPr>
              <w:rPr>
                <w:rFonts w:ascii="Times New Roman" w:hAnsi="Times New Roman"/>
                <w:sz w:val="20"/>
                <w:szCs w:val="20"/>
              </w:rPr>
            </w:pPr>
          </w:p>
        </w:tc>
      </w:tr>
      <w:tr w:rsidR="006F587A" w14:paraId="4ACE3081" w14:textId="77777777">
        <w:trPr>
          <w:tblCellSpacing w:w="0" w:type="dxa"/>
        </w:trPr>
        <w:tc>
          <w:tcPr>
            <w:tcW w:w="0" w:type="auto"/>
            <w:shd w:val="clear" w:color="auto" w:fill="auto"/>
          </w:tcPr>
          <w:p w14:paraId="4ACE307F"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0"/>
                <w:szCs w:val="10"/>
              </w:rPr>
              <w:t>3</w:t>
            </w:r>
            <w:r>
              <w:rPr>
                <w:rFonts w:ascii="Arial" w:eastAsia="宋体" w:hAnsi="Arial" w:cs="Arial"/>
                <w:i/>
                <w:iCs/>
                <w:color w:val="333333"/>
                <w:sz w:val="16"/>
                <w:szCs w:val="16"/>
              </w:rPr>
              <w:t> </w:t>
            </w:r>
          </w:p>
        </w:tc>
        <w:tc>
          <w:tcPr>
            <w:tcW w:w="0" w:type="auto"/>
            <w:shd w:val="clear" w:color="auto" w:fill="auto"/>
          </w:tcPr>
          <w:p w14:paraId="4ACE3080"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6"/>
                <w:szCs w:val="16"/>
              </w:rPr>
              <w:t xml:space="preserve">Other purchase obligations and commitments include payments due under various types of licenses and agreements to purchase goods or services. </w:t>
            </w:r>
          </w:p>
        </w:tc>
      </w:tr>
    </w:tbl>
    <w:p w14:paraId="4ACE3082"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6F587A" w14:paraId="4ACE3085" w14:textId="77777777">
        <w:trPr>
          <w:tblCellSpacing w:w="0" w:type="dxa"/>
        </w:trPr>
        <w:tc>
          <w:tcPr>
            <w:tcW w:w="720" w:type="dxa"/>
            <w:shd w:val="clear" w:color="auto" w:fill="auto"/>
            <w:vAlign w:val="center"/>
          </w:tcPr>
          <w:p w14:paraId="4ACE3083" w14:textId="77777777" w:rsidR="006F587A" w:rsidRDefault="006F587A">
            <w:pPr>
              <w:rPr>
                <w:rFonts w:ascii="Times New Roman" w:hAnsi="Times New Roman"/>
                <w:sz w:val="20"/>
                <w:szCs w:val="20"/>
              </w:rPr>
            </w:pPr>
          </w:p>
        </w:tc>
        <w:tc>
          <w:tcPr>
            <w:tcW w:w="0" w:type="auto"/>
            <w:shd w:val="clear" w:color="auto" w:fill="auto"/>
            <w:vAlign w:val="center"/>
          </w:tcPr>
          <w:p w14:paraId="4ACE3084" w14:textId="77777777" w:rsidR="006F587A" w:rsidRDefault="006F587A">
            <w:pPr>
              <w:rPr>
                <w:rFonts w:ascii="Times New Roman" w:hAnsi="Times New Roman"/>
                <w:sz w:val="20"/>
                <w:szCs w:val="20"/>
              </w:rPr>
            </w:pPr>
          </w:p>
        </w:tc>
      </w:tr>
      <w:tr w:rsidR="006F587A" w14:paraId="4ACE3088" w14:textId="77777777">
        <w:trPr>
          <w:tblCellSpacing w:w="0" w:type="dxa"/>
        </w:trPr>
        <w:tc>
          <w:tcPr>
            <w:tcW w:w="0" w:type="auto"/>
            <w:shd w:val="clear" w:color="auto" w:fill="auto"/>
          </w:tcPr>
          <w:p w14:paraId="4ACE3086"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0"/>
                <w:szCs w:val="10"/>
              </w:rPr>
              <w:t>4</w:t>
            </w:r>
            <w:r>
              <w:rPr>
                <w:rFonts w:ascii="Arial" w:eastAsia="宋体" w:hAnsi="Arial" w:cs="Arial"/>
                <w:i/>
                <w:iCs/>
                <w:color w:val="333333"/>
                <w:sz w:val="16"/>
                <w:szCs w:val="16"/>
              </w:rPr>
              <w:t> </w:t>
            </w:r>
          </w:p>
        </w:tc>
        <w:tc>
          <w:tcPr>
            <w:tcW w:w="0" w:type="auto"/>
            <w:shd w:val="clear" w:color="auto" w:fill="auto"/>
          </w:tcPr>
          <w:p w14:paraId="4ACE3087"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6"/>
                <w:szCs w:val="16"/>
              </w:rPr>
              <w:t>Tax obligations represent the future cash payments related to Tax Reform enacted in 2017 for the one-time</w:t>
            </w:r>
            <w:r>
              <w:rPr>
                <w:rFonts w:ascii="Arial" w:eastAsia="宋体" w:hAnsi="Arial" w:cs="Arial"/>
                <w:i/>
                <w:iCs/>
                <w:color w:val="333333"/>
                <w:sz w:val="16"/>
                <w:szCs w:val="16"/>
              </w:rPr>
              <w:t xml:space="preserve"> transition tax on our previously untaxed foreign earnings. For further information, see "Note 9: Income Taxes" within the Consolidated Financial Statements.</w:t>
            </w:r>
          </w:p>
        </w:tc>
      </w:tr>
    </w:tbl>
    <w:p w14:paraId="4ACE3089"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6F587A" w14:paraId="4ACE308C" w14:textId="77777777">
        <w:trPr>
          <w:tblCellSpacing w:w="0" w:type="dxa"/>
        </w:trPr>
        <w:tc>
          <w:tcPr>
            <w:tcW w:w="720" w:type="dxa"/>
            <w:shd w:val="clear" w:color="auto" w:fill="auto"/>
            <w:vAlign w:val="center"/>
          </w:tcPr>
          <w:p w14:paraId="4ACE308A" w14:textId="77777777" w:rsidR="006F587A" w:rsidRDefault="006F587A">
            <w:pPr>
              <w:rPr>
                <w:rFonts w:ascii="Times New Roman" w:hAnsi="Times New Roman"/>
                <w:sz w:val="20"/>
                <w:szCs w:val="20"/>
              </w:rPr>
            </w:pPr>
          </w:p>
        </w:tc>
        <w:tc>
          <w:tcPr>
            <w:tcW w:w="0" w:type="auto"/>
            <w:shd w:val="clear" w:color="auto" w:fill="auto"/>
            <w:vAlign w:val="center"/>
          </w:tcPr>
          <w:p w14:paraId="4ACE308B" w14:textId="77777777" w:rsidR="006F587A" w:rsidRDefault="006F587A">
            <w:pPr>
              <w:rPr>
                <w:rFonts w:ascii="Times New Roman" w:hAnsi="Times New Roman"/>
                <w:sz w:val="20"/>
                <w:szCs w:val="20"/>
              </w:rPr>
            </w:pPr>
          </w:p>
        </w:tc>
      </w:tr>
      <w:tr w:rsidR="006F587A" w14:paraId="4ACE308F" w14:textId="77777777">
        <w:trPr>
          <w:tblCellSpacing w:w="0" w:type="dxa"/>
        </w:trPr>
        <w:tc>
          <w:tcPr>
            <w:tcW w:w="0" w:type="auto"/>
            <w:shd w:val="clear" w:color="auto" w:fill="auto"/>
          </w:tcPr>
          <w:p w14:paraId="4ACE308D"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0"/>
                <w:szCs w:val="10"/>
              </w:rPr>
              <w:t>5</w:t>
            </w:r>
            <w:r>
              <w:rPr>
                <w:rFonts w:ascii="Arial" w:eastAsia="宋体" w:hAnsi="Arial" w:cs="Arial"/>
                <w:i/>
                <w:iCs/>
                <w:color w:val="333333"/>
                <w:sz w:val="16"/>
                <w:szCs w:val="16"/>
              </w:rPr>
              <w:t> </w:t>
            </w:r>
          </w:p>
        </w:tc>
        <w:tc>
          <w:tcPr>
            <w:tcW w:w="0" w:type="auto"/>
            <w:shd w:val="clear" w:color="auto" w:fill="auto"/>
          </w:tcPr>
          <w:p w14:paraId="4ACE308E"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6"/>
                <w:szCs w:val="16"/>
              </w:rPr>
              <w:t>Amounts represent principal payments for all debt obligations and interest payments for fixed-rate debt obligations. Interest payments on floating-rate debt obligations, as well as the impact of fixed-rate to floating-rate debt swaps, are excluded. Debt ob</w:t>
            </w:r>
            <w:r>
              <w:rPr>
                <w:rFonts w:ascii="Arial" w:eastAsia="宋体" w:hAnsi="Arial" w:cs="Arial"/>
                <w:i/>
                <w:iCs/>
                <w:color w:val="333333"/>
                <w:sz w:val="16"/>
                <w:szCs w:val="16"/>
              </w:rPr>
              <w:t xml:space="preserve">ligations are classified based on their stated maturity date, regardless of their classification on the Consolidated Balance Sheets. </w:t>
            </w:r>
          </w:p>
        </w:tc>
      </w:tr>
    </w:tbl>
    <w:p w14:paraId="4ACE3090"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6F587A" w14:paraId="4ACE3093" w14:textId="77777777">
        <w:trPr>
          <w:tblCellSpacing w:w="0" w:type="dxa"/>
        </w:trPr>
        <w:tc>
          <w:tcPr>
            <w:tcW w:w="720" w:type="dxa"/>
            <w:shd w:val="clear" w:color="auto" w:fill="auto"/>
            <w:vAlign w:val="center"/>
          </w:tcPr>
          <w:p w14:paraId="4ACE3091" w14:textId="77777777" w:rsidR="006F587A" w:rsidRDefault="006F587A">
            <w:pPr>
              <w:rPr>
                <w:rFonts w:ascii="Times New Roman" w:hAnsi="Times New Roman"/>
                <w:sz w:val="20"/>
                <w:szCs w:val="20"/>
              </w:rPr>
            </w:pPr>
          </w:p>
        </w:tc>
        <w:tc>
          <w:tcPr>
            <w:tcW w:w="0" w:type="auto"/>
            <w:shd w:val="clear" w:color="auto" w:fill="auto"/>
            <w:vAlign w:val="center"/>
          </w:tcPr>
          <w:p w14:paraId="4ACE3092" w14:textId="77777777" w:rsidR="006F587A" w:rsidRDefault="006F587A">
            <w:pPr>
              <w:rPr>
                <w:rFonts w:ascii="Times New Roman" w:hAnsi="Times New Roman"/>
                <w:sz w:val="20"/>
                <w:szCs w:val="20"/>
              </w:rPr>
            </w:pPr>
          </w:p>
        </w:tc>
      </w:tr>
      <w:tr w:rsidR="006F587A" w14:paraId="4ACE3096" w14:textId="77777777">
        <w:trPr>
          <w:tblCellSpacing w:w="0" w:type="dxa"/>
        </w:trPr>
        <w:tc>
          <w:tcPr>
            <w:tcW w:w="0" w:type="auto"/>
            <w:shd w:val="clear" w:color="auto" w:fill="auto"/>
          </w:tcPr>
          <w:p w14:paraId="4ACE3094"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0"/>
                <w:szCs w:val="10"/>
              </w:rPr>
              <w:t>6</w:t>
            </w:r>
            <w:r>
              <w:rPr>
                <w:rFonts w:ascii="Arial" w:eastAsia="宋体" w:hAnsi="Arial" w:cs="Arial"/>
                <w:i/>
                <w:iCs/>
                <w:color w:val="333333"/>
                <w:sz w:val="16"/>
                <w:szCs w:val="16"/>
              </w:rPr>
              <w:t> </w:t>
            </w:r>
          </w:p>
        </w:tc>
        <w:tc>
          <w:tcPr>
            <w:tcW w:w="0" w:type="auto"/>
            <w:shd w:val="clear" w:color="auto" w:fill="auto"/>
          </w:tcPr>
          <w:p w14:paraId="4ACE3095"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6"/>
                <w:szCs w:val="16"/>
              </w:rPr>
              <w:t xml:space="preserve">Amounts represent future cash payments to satisfy other long-term liabilities recorded on our </w:t>
            </w:r>
            <w:r>
              <w:rPr>
                <w:rFonts w:ascii="Arial" w:eastAsia="宋体" w:hAnsi="Arial" w:cs="Arial"/>
                <w:i/>
                <w:iCs/>
                <w:color w:val="333333"/>
                <w:sz w:val="16"/>
                <w:szCs w:val="16"/>
              </w:rPr>
              <w:t>Consolidated Balance Sheets, including the short-term portion of these long-term liabilities. Derivative instruments are excluded from the preceding table, because they do not represent the amounts that may ultimately be paid.</w:t>
            </w:r>
          </w:p>
        </w:tc>
      </w:tr>
    </w:tbl>
    <w:p w14:paraId="4ACE3097" w14:textId="77777777" w:rsidR="006F587A" w:rsidRDefault="006F587A">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6F587A" w14:paraId="4ACE309A" w14:textId="77777777">
        <w:trPr>
          <w:tblCellSpacing w:w="0" w:type="dxa"/>
        </w:trPr>
        <w:tc>
          <w:tcPr>
            <w:tcW w:w="720" w:type="dxa"/>
            <w:shd w:val="clear" w:color="auto" w:fill="auto"/>
            <w:vAlign w:val="center"/>
          </w:tcPr>
          <w:p w14:paraId="4ACE3098" w14:textId="77777777" w:rsidR="006F587A" w:rsidRDefault="006F587A">
            <w:pPr>
              <w:rPr>
                <w:rFonts w:ascii="Times New Roman" w:hAnsi="Times New Roman"/>
                <w:sz w:val="20"/>
                <w:szCs w:val="20"/>
              </w:rPr>
            </w:pPr>
          </w:p>
        </w:tc>
        <w:tc>
          <w:tcPr>
            <w:tcW w:w="0" w:type="auto"/>
            <w:shd w:val="clear" w:color="auto" w:fill="auto"/>
            <w:vAlign w:val="center"/>
          </w:tcPr>
          <w:p w14:paraId="4ACE3099" w14:textId="77777777" w:rsidR="006F587A" w:rsidRDefault="006F587A">
            <w:pPr>
              <w:rPr>
                <w:rFonts w:ascii="Times New Roman" w:hAnsi="Times New Roman"/>
                <w:sz w:val="20"/>
                <w:szCs w:val="20"/>
              </w:rPr>
            </w:pPr>
          </w:p>
        </w:tc>
      </w:tr>
      <w:tr w:rsidR="006F587A" w14:paraId="4ACE309D" w14:textId="77777777">
        <w:trPr>
          <w:tblCellSpacing w:w="0" w:type="dxa"/>
        </w:trPr>
        <w:tc>
          <w:tcPr>
            <w:tcW w:w="0" w:type="auto"/>
            <w:shd w:val="clear" w:color="auto" w:fill="auto"/>
          </w:tcPr>
          <w:p w14:paraId="4ACE309B"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0"/>
                <w:szCs w:val="10"/>
              </w:rPr>
              <w:t>7</w:t>
            </w:r>
            <w:r>
              <w:rPr>
                <w:rFonts w:ascii="Arial" w:eastAsia="宋体" w:hAnsi="Arial" w:cs="Arial"/>
                <w:i/>
                <w:iCs/>
                <w:color w:val="333333"/>
                <w:sz w:val="16"/>
                <w:szCs w:val="16"/>
              </w:rPr>
              <w:t> </w:t>
            </w:r>
          </w:p>
        </w:tc>
        <w:tc>
          <w:tcPr>
            <w:tcW w:w="0" w:type="auto"/>
            <w:shd w:val="clear" w:color="auto" w:fill="auto"/>
          </w:tcPr>
          <w:p w14:paraId="4ACE309C"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6"/>
                <w:szCs w:val="16"/>
              </w:rPr>
              <w:t>Total excludes contra</w:t>
            </w:r>
            <w:r>
              <w:rPr>
                <w:rFonts w:ascii="Arial" w:eastAsia="宋体" w:hAnsi="Arial" w:cs="Arial"/>
                <w:i/>
                <w:iCs/>
                <w:color w:val="333333"/>
                <w:sz w:val="16"/>
                <w:szCs w:val="16"/>
              </w:rPr>
              <w:t>ctual obligations already recorded on our Consolidated Balance Sheets as current liabilities, except for the short-term portions of long-term debt obligations and other long-term liabilities.</w:t>
            </w:r>
          </w:p>
        </w:tc>
      </w:tr>
    </w:tbl>
    <w:p w14:paraId="4ACE309E"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The expected timing of payments of the obligations in the </w:t>
      </w:r>
      <w:r>
        <w:rPr>
          <w:rFonts w:ascii="Arial" w:eastAsia="宋体" w:hAnsi="Arial" w:cs="Arial"/>
          <w:color w:val="333333"/>
          <w:sz w:val="18"/>
          <w:szCs w:val="18"/>
        </w:rPr>
        <w:t>preceding table is estimated based on current information. Timing of payments and actual amounts paid may be different, depending on the time of receipt of goods or services, or changes to agreed-upon amounts for some obligations.</w:t>
      </w:r>
    </w:p>
    <w:p w14:paraId="4ACE309F"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Contractual obligations f</w:t>
      </w:r>
      <w:r>
        <w:rPr>
          <w:rFonts w:ascii="Arial" w:eastAsia="宋体" w:hAnsi="Arial" w:cs="Arial"/>
          <w:color w:val="333333"/>
          <w:sz w:val="18"/>
          <w:szCs w:val="18"/>
        </w:rPr>
        <w:t>or purchases of goods or services included in "Other purchase obligations and commitments" in the preceding table include agreements that are enforceable and legally binding and that specify all significant terms, including fixed or minimum quantities to b</w:t>
      </w:r>
      <w:r>
        <w:rPr>
          <w:rFonts w:ascii="Arial" w:eastAsia="宋体" w:hAnsi="Arial" w:cs="Arial"/>
          <w:color w:val="333333"/>
          <w:sz w:val="18"/>
          <w:szCs w:val="18"/>
        </w:rPr>
        <w:t xml:space="preserve">e purchased; fixed, minimum, or variable price provisions; and the approximate timing of the transaction. For obligations with cancellation provisions, the amounts included in the preceding table were limited to the non-cancelable portion of the agreement </w:t>
      </w:r>
      <w:r>
        <w:rPr>
          <w:rFonts w:ascii="Arial" w:eastAsia="宋体" w:hAnsi="Arial" w:cs="Arial"/>
          <w:color w:val="333333"/>
          <w:sz w:val="18"/>
          <w:szCs w:val="18"/>
        </w:rPr>
        <w:t>terms or the minimum cancellation fee.</w:t>
      </w:r>
    </w:p>
    <w:p w14:paraId="4ACE30A0"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For the purchase of raw materials, we have entered into certain agreements that specify minimum prices and quantities based on a percentage of the total available market or based on a percentage of our future purchasi</w:t>
      </w:r>
      <w:r>
        <w:rPr>
          <w:rFonts w:ascii="Arial" w:eastAsia="宋体" w:hAnsi="Arial" w:cs="Arial"/>
          <w:color w:val="333333"/>
          <w:sz w:val="18"/>
          <w:szCs w:val="18"/>
        </w:rPr>
        <w:t xml:space="preserve">ng requirements. Due to the uncertainty of the future market and our future purchasing requirements, as well as the non-binding nature of these agreements, obligations under these agreements have been excluded from the preceding table. Our purchase orders </w:t>
      </w:r>
      <w:r>
        <w:rPr>
          <w:rFonts w:ascii="Arial" w:eastAsia="宋体" w:hAnsi="Arial" w:cs="Arial"/>
          <w:color w:val="333333"/>
          <w:sz w:val="18"/>
          <w:szCs w:val="18"/>
        </w:rPr>
        <w:t>for other products are based on our current manufacturing needs and are fulfilled by our vendors within short time horizons. In addition, some of our purchase orders represent authorizations to purchase rather than binding agreements.</w:t>
      </w:r>
    </w:p>
    <w:p w14:paraId="4ACE30A1"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Contractual obligatio</w:t>
      </w:r>
      <w:r>
        <w:rPr>
          <w:rFonts w:ascii="Arial" w:eastAsia="宋体" w:hAnsi="Arial" w:cs="Arial"/>
          <w:color w:val="333333"/>
          <w:sz w:val="18"/>
          <w:szCs w:val="18"/>
        </w:rPr>
        <w:t>ns that are contingent upon the achievement of certain milestones have been excluded from the preceding table. Approximately half of our milestone-based contracts are tooling related for the purchase of capital equipment. These arrangements are not conside</w:t>
      </w:r>
      <w:r>
        <w:rPr>
          <w:rFonts w:ascii="Arial" w:eastAsia="宋体" w:hAnsi="Arial" w:cs="Arial"/>
          <w:color w:val="333333"/>
          <w:sz w:val="18"/>
          <w:szCs w:val="18"/>
        </w:rPr>
        <w:t xml:space="preserve">red contractual </w:t>
      </w:r>
      <w:r>
        <w:rPr>
          <w:rFonts w:ascii="Arial" w:eastAsia="宋体" w:hAnsi="Arial" w:cs="Arial"/>
          <w:color w:val="333333"/>
          <w:sz w:val="18"/>
          <w:szCs w:val="18"/>
        </w:rPr>
        <w:lastRenderedPageBreak/>
        <w:t>obligations until the milestone is met by the counterparty.</w:t>
      </w:r>
      <w:r>
        <w:rPr>
          <w:rFonts w:ascii="Arial" w:eastAsia="宋体" w:hAnsi="Arial" w:cs="Arial"/>
          <w:b/>
          <w:bCs/>
          <w:color w:val="333333"/>
          <w:sz w:val="18"/>
          <w:szCs w:val="18"/>
        </w:rPr>
        <w:t xml:space="preserve"> </w:t>
      </w:r>
      <w:r>
        <w:rPr>
          <w:rFonts w:ascii="Arial" w:eastAsia="宋体" w:hAnsi="Arial" w:cs="Arial"/>
          <w:color w:val="333333"/>
          <w:sz w:val="18"/>
          <w:szCs w:val="18"/>
        </w:rPr>
        <w:t>As of December 28, 2019, assuming that all future milestones are met, the additional required payments would be approximately $498 million.</w:t>
      </w:r>
    </w:p>
    <w:p w14:paraId="4ACE30A2"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For the majority of RSUs </w:t>
      </w:r>
      <w:r>
        <w:rPr>
          <w:rFonts w:ascii="Arial" w:eastAsia="宋体" w:hAnsi="Arial" w:cs="Arial"/>
          <w:color w:val="333333"/>
          <w:sz w:val="18"/>
          <w:szCs w:val="18"/>
        </w:rPr>
        <w:t>granted, the number of shares of common stock issued on the date the RSUs vest is net of the minimum statutory withholding requirements that we pay in cash to the appropriate taxing authorities on behalf of our employees. The obligation to pay the relevant</w:t>
      </w:r>
      <w:r>
        <w:rPr>
          <w:rFonts w:ascii="Arial" w:eastAsia="宋体" w:hAnsi="Arial" w:cs="Arial"/>
          <w:color w:val="333333"/>
          <w:sz w:val="18"/>
          <w:szCs w:val="18"/>
        </w:rPr>
        <w:t xml:space="preserve"> taxing authority is excluded from the preceding table, as the amount is contingent upon continued employment. In addition, the amount of the obligation is unknown, as it is based in part on the market price of our common stock when the awards vest.</w:t>
      </w:r>
    </w:p>
    <w:p w14:paraId="4ACE30A3" w14:textId="77777777" w:rsidR="006F587A" w:rsidRDefault="007B2B61">
      <w:pPr>
        <w:spacing w:line="288" w:lineRule="auto"/>
        <w:rPr>
          <w:rFonts w:ascii="Times New Roman" w:hAnsi="Times New Roman"/>
          <w:sz w:val="28"/>
          <w:szCs w:val="28"/>
        </w:rPr>
      </w:pPr>
      <w:r>
        <w:rPr>
          <w:rFonts w:ascii="Arial" w:eastAsia="宋体" w:hAnsi="Arial" w:cs="Arial"/>
          <w:b/>
          <w:bCs/>
          <w:color w:val="0071C5"/>
          <w:sz w:val="28"/>
          <w:szCs w:val="28"/>
        </w:rPr>
        <w:t>QUANTI</w:t>
      </w:r>
      <w:r>
        <w:rPr>
          <w:rFonts w:ascii="Arial" w:eastAsia="宋体" w:hAnsi="Arial" w:cs="Arial"/>
          <w:b/>
          <w:bCs/>
          <w:color w:val="0071C5"/>
          <w:sz w:val="28"/>
          <w:szCs w:val="28"/>
        </w:rPr>
        <w:t>TATIVE AND QUALITATIVE DISCLOSURES ABOUT MARKET RISK</w:t>
      </w:r>
    </w:p>
    <w:p w14:paraId="4ACE30A4"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are affected by changes in currency exchange and interest rates, as well as equity and commodity prices. Our risk management programs are designed to reduce, but may not entirely eliminate, the impact</w:t>
      </w:r>
      <w:r>
        <w:rPr>
          <w:rFonts w:ascii="Arial" w:eastAsia="宋体" w:hAnsi="Arial" w:cs="Arial"/>
          <w:color w:val="333333"/>
          <w:sz w:val="18"/>
          <w:szCs w:val="18"/>
        </w:rPr>
        <w:t xml:space="preserve">s of these risks. All of the following potential changes are based on sensitivity analyses performed on our financial positions as of December 28, 2019 and December 29, 2018. Actual results may differ materially. </w:t>
      </w:r>
    </w:p>
    <w:p w14:paraId="4ACE30A5"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408"/>
        <w:gridCol w:w="2409"/>
        <w:gridCol w:w="3489"/>
      </w:tblGrid>
      <w:tr w:rsidR="006F587A" w14:paraId="4ACE30A7" w14:textId="77777777">
        <w:tc>
          <w:tcPr>
            <w:tcW w:w="0" w:type="auto"/>
            <w:gridSpan w:val="3"/>
            <w:shd w:val="clear" w:color="auto" w:fill="auto"/>
            <w:vAlign w:val="center"/>
          </w:tcPr>
          <w:p w14:paraId="4ACE30A6" w14:textId="77777777" w:rsidR="006F587A" w:rsidRDefault="006F587A">
            <w:pPr>
              <w:rPr>
                <w:rFonts w:ascii="Times New Roman" w:hAnsi="Times New Roman"/>
                <w:sz w:val="20"/>
                <w:szCs w:val="20"/>
              </w:rPr>
            </w:pPr>
          </w:p>
        </w:tc>
      </w:tr>
      <w:tr w:rsidR="006F587A" w14:paraId="4ACE30AB" w14:textId="77777777">
        <w:tc>
          <w:tcPr>
            <w:tcW w:w="1450" w:type="pct"/>
            <w:shd w:val="clear" w:color="auto" w:fill="auto"/>
            <w:vAlign w:val="center"/>
          </w:tcPr>
          <w:p w14:paraId="4ACE30A8" w14:textId="77777777" w:rsidR="006F587A" w:rsidRDefault="006F587A">
            <w:pPr>
              <w:rPr>
                <w:rFonts w:ascii="Times New Roman" w:hAnsi="Times New Roman"/>
                <w:sz w:val="20"/>
                <w:szCs w:val="20"/>
              </w:rPr>
            </w:pPr>
          </w:p>
        </w:tc>
        <w:tc>
          <w:tcPr>
            <w:tcW w:w="1450" w:type="pct"/>
            <w:shd w:val="clear" w:color="auto" w:fill="auto"/>
            <w:vAlign w:val="center"/>
          </w:tcPr>
          <w:p w14:paraId="4ACE30A9" w14:textId="77777777" w:rsidR="006F587A" w:rsidRDefault="006F587A">
            <w:pPr>
              <w:rPr>
                <w:rFonts w:ascii="Times New Roman" w:hAnsi="Times New Roman"/>
                <w:sz w:val="20"/>
                <w:szCs w:val="20"/>
              </w:rPr>
            </w:pPr>
          </w:p>
        </w:tc>
        <w:tc>
          <w:tcPr>
            <w:tcW w:w="2100" w:type="pct"/>
            <w:shd w:val="clear" w:color="auto" w:fill="auto"/>
            <w:vAlign w:val="center"/>
          </w:tcPr>
          <w:p w14:paraId="4ACE30AA" w14:textId="77777777" w:rsidR="006F587A" w:rsidRDefault="006F587A">
            <w:pPr>
              <w:rPr>
                <w:rFonts w:ascii="Times New Roman" w:hAnsi="Times New Roman"/>
                <w:sz w:val="20"/>
                <w:szCs w:val="20"/>
              </w:rPr>
            </w:pPr>
          </w:p>
        </w:tc>
      </w:tr>
      <w:tr w:rsidR="006F587A" w14:paraId="4ACE30AF"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30AC" w14:textId="77777777" w:rsidR="006F587A" w:rsidRDefault="007B2B61">
            <w:pPr>
              <w:textAlignment w:val="center"/>
              <w:rPr>
                <w:rFonts w:ascii="Times New Roman" w:hAnsi="Times New Roman"/>
                <w:sz w:val="18"/>
                <w:szCs w:val="18"/>
              </w:rPr>
            </w:pP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Viewer12_files/a001intellogo_coverfooter.jpg"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D65" wp14:editId="4ACE6D66">
                  <wp:extent cx="304800" cy="304800"/>
                  <wp:effectExtent l="0" t="0" r="0" b="0"/>
                  <wp:docPr id="173" name="图片 222"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222"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r>
              <w:rPr>
                <w:rFonts w:ascii="Arial" w:eastAsia="宋体" w:hAnsi="Arial" w:cs="Arial"/>
                <w:color w:val="333333"/>
                <w:sz w:val="18"/>
                <w:szCs w:val="18"/>
              </w:rPr>
              <w:t>  </w:t>
            </w:r>
            <w:r>
              <w:rPr>
                <w:rFonts w:ascii="Arial" w:eastAsia="宋体" w:hAnsi="Arial" w:cs="Arial"/>
                <w:color w:val="333333"/>
                <w:sz w:val="16"/>
                <w:szCs w:val="16"/>
              </w:rPr>
              <w:t>MD&amp;A</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0A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0AE"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43</w:t>
            </w:r>
          </w:p>
        </w:tc>
      </w:tr>
    </w:tbl>
    <w:p w14:paraId="4ACE30B0" w14:textId="77777777" w:rsidR="006F587A" w:rsidRDefault="007B2B61">
      <w:r>
        <w:pict w14:anchorId="4ACE6D67">
          <v:rect id="_x0000_i1069" style="width:415.3pt;height:1.5pt" o:hralign="center" o:hrstd="t" o:hr="t" fillcolor="#a0a0a0" stroked="f"/>
        </w:pict>
      </w:r>
    </w:p>
    <w:p w14:paraId="4ACE30B1" w14:textId="77777777" w:rsidR="006F587A" w:rsidRDefault="007B2B61">
      <w:pPr>
        <w:spacing w:line="288" w:lineRule="auto"/>
        <w:jc w:val="right"/>
        <w:rPr>
          <w:rFonts w:ascii="Times New Roman" w:hAnsi="Times New Roman"/>
          <w:sz w:val="16"/>
          <w:szCs w:val="16"/>
        </w:rPr>
      </w:pPr>
      <w:hyperlink r:id="rId76" w:anchor="s9DB683E2CF52561EB8A73BE37F5BF9BE" w:history="1">
        <w:r>
          <w:rPr>
            <w:rStyle w:val="a5"/>
            <w:rFonts w:ascii="Arial" w:eastAsia="宋体" w:hAnsi="Arial" w:cs="Arial"/>
            <w:b/>
            <w:bCs/>
            <w:sz w:val="16"/>
            <w:szCs w:val="16"/>
          </w:rPr>
          <w:t>Table of Contents</w:t>
        </w:r>
      </w:hyperlink>
    </w:p>
    <w:p w14:paraId="4ACE30B2" w14:textId="77777777" w:rsidR="006F587A" w:rsidRDefault="006F587A">
      <w:pPr>
        <w:spacing w:line="288" w:lineRule="auto"/>
        <w:jc w:val="right"/>
        <w:rPr>
          <w:rFonts w:ascii="Times New Roman" w:hAnsi="Times New Roman"/>
          <w:sz w:val="16"/>
          <w:szCs w:val="16"/>
        </w:rPr>
      </w:pPr>
    </w:p>
    <w:p w14:paraId="4ACE30B3" w14:textId="77777777" w:rsidR="006F587A" w:rsidRDefault="006F587A">
      <w:pPr>
        <w:rPr>
          <w:rFonts w:ascii="Times New Roman" w:hAnsi="Times New Roman"/>
          <w:sz w:val="20"/>
          <w:szCs w:val="20"/>
        </w:rPr>
      </w:pPr>
    </w:p>
    <w:p w14:paraId="4ACE30B4" w14:textId="77777777" w:rsidR="006F587A" w:rsidRDefault="007B2B61">
      <w:pPr>
        <w:spacing w:line="288" w:lineRule="auto"/>
        <w:rPr>
          <w:rFonts w:ascii="Times New Roman" w:hAnsi="Times New Roman"/>
        </w:rPr>
      </w:pPr>
      <w:r>
        <w:rPr>
          <w:rFonts w:ascii="Arial" w:eastAsia="宋体" w:hAnsi="Arial" w:cs="Arial"/>
          <w:b/>
          <w:bCs/>
          <w:color w:val="0071C5"/>
        </w:rPr>
        <w:t>CURRENCY EXCHANGE RATES</w:t>
      </w:r>
    </w:p>
    <w:p w14:paraId="4ACE30B5"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We are exposed to currency exchange risks of </w:t>
      </w:r>
      <w:r>
        <w:rPr>
          <w:rFonts w:ascii="Arial" w:eastAsia="宋体" w:hAnsi="Arial" w:cs="Arial"/>
          <w:color w:val="333333"/>
          <w:sz w:val="18"/>
          <w:szCs w:val="18"/>
        </w:rPr>
        <w:t>non-U.S.-dollar-denominated investments in debt instruments and loans receivable, and may economically hedge this risk with foreign currency contracts, such as currency forward contracts or currency interest rate swaps. Gains or losses on these non-U.S.-cu</w:t>
      </w:r>
      <w:r>
        <w:rPr>
          <w:rFonts w:ascii="Arial" w:eastAsia="宋体" w:hAnsi="Arial" w:cs="Arial"/>
          <w:color w:val="333333"/>
          <w:sz w:val="18"/>
          <w:szCs w:val="18"/>
        </w:rPr>
        <w:t xml:space="preserve">rrency investments are generally offset by corresponding losses or gains on the related hedging instruments. We are exposed to currency exchange risks from our non-U.S.-dollar-denominated debt indebtedness and may use foreign currency contracts designated </w:t>
      </w:r>
      <w:r>
        <w:rPr>
          <w:rFonts w:ascii="Arial" w:eastAsia="宋体" w:hAnsi="Arial" w:cs="Arial"/>
          <w:color w:val="333333"/>
          <w:sz w:val="18"/>
          <w:szCs w:val="18"/>
        </w:rPr>
        <w:t>as cash flow hedges to manage this risk.</w:t>
      </w:r>
    </w:p>
    <w:p w14:paraId="4ACE30B6"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Substantially all of our revenue is transacted in U.S. dollars. However, a significant portion of our operating expenditures and capital purchases are incurred in other currencies, primarily the euro, the Japanese y</w:t>
      </w:r>
      <w:r>
        <w:rPr>
          <w:rFonts w:ascii="Arial" w:eastAsia="宋体" w:hAnsi="Arial" w:cs="Arial"/>
          <w:color w:val="333333"/>
          <w:sz w:val="18"/>
          <w:szCs w:val="18"/>
        </w:rPr>
        <w:t>en, the Israeli shekel, and the Chinese yuan. We have established currency risk management programs to protect against currency exchange rate risks associated with non-U.S. dollar forecasted future cash flows and existing non-U.S. dollar monetary assets an</w:t>
      </w:r>
      <w:r>
        <w:rPr>
          <w:rFonts w:ascii="Arial" w:eastAsia="宋体" w:hAnsi="Arial" w:cs="Arial"/>
          <w:color w:val="333333"/>
          <w:sz w:val="18"/>
          <w:szCs w:val="18"/>
        </w:rPr>
        <w:t>d liabilities. We may also hedge currency risk arising from funding of foreign currency-denominated future investments. We may utilize foreign currency contracts, such as currency forwards or option contracts in these hedging programs. We considered the hi</w:t>
      </w:r>
      <w:r>
        <w:rPr>
          <w:rFonts w:ascii="Arial" w:eastAsia="宋体" w:hAnsi="Arial" w:cs="Arial"/>
          <w:color w:val="333333"/>
          <w:sz w:val="18"/>
          <w:szCs w:val="18"/>
        </w:rPr>
        <w:t>storical trends in currency exchange rates and determined that it was reasonably possible that a weighted average adverse change of 10% in currency exchange rates could be experienced in the near term. Such an adverse change, after taking into account bala</w:t>
      </w:r>
      <w:r>
        <w:rPr>
          <w:rFonts w:ascii="Arial" w:eastAsia="宋体" w:hAnsi="Arial" w:cs="Arial"/>
          <w:color w:val="333333"/>
          <w:sz w:val="18"/>
          <w:szCs w:val="18"/>
        </w:rPr>
        <w:t>nce sheet hedges only and offsetting recorded monetary asset and liability positions outstanding as of December 28, 2019 and December 29, 2018, would result in an adverse impact on income before taxes of less than $38 million and less than $46 million, res</w:t>
      </w:r>
      <w:r>
        <w:rPr>
          <w:rFonts w:ascii="Arial" w:eastAsia="宋体" w:hAnsi="Arial" w:cs="Arial"/>
          <w:color w:val="333333"/>
          <w:sz w:val="18"/>
          <w:szCs w:val="18"/>
        </w:rPr>
        <w:t>pectively.</w:t>
      </w:r>
    </w:p>
    <w:p w14:paraId="4ACE30B7" w14:textId="77777777" w:rsidR="006F587A" w:rsidRDefault="007B2B61">
      <w:pPr>
        <w:spacing w:line="288" w:lineRule="auto"/>
        <w:rPr>
          <w:rFonts w:ascii="Times New Roman" w:hAnsi="Times New Roman"/>
        </w:rPr>
      </w:pPr>
      <w:r>
        <w:rPr>
          <w:rFonts w:ascii="Arial" w:eastAsia="宋体" w:hAnsi="Arial" w:cs="Arial"/>
          <w:b/>
          <w:bCs/>
          <w:color w:val="0071C5"/>
        </w:rPr>
        <w:t>INTEREST RATES</w:t>
      </w:r>
    </w:p>
    <w:p w14:paraId="4ACE30B8"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We are exposed to interest rate risk related to our fixed-rate investment portfolio and outstanding debt. The primary objective of our investment policy is to preserve principal and the financial flexibility to fund our </w:t>
      </w:r>
      <w:r>
        <w:rPr>
          <w:rFonts w:ascii="Arial" w:eastAsia="宋体" w:hAnsi="Arial" w:cs="Arial"/>
          <w:color w:val="333333"/>
          <w:sz w:val="18"/>
          <w:szCs w:val="18"/>
        </w:rPr>
        <w:t>business while maximizing yields, which generally track the U.S. dollar three-month LIBOR. We generally enter into interest rate contracts to convert the returns on our fixed-rate debt investment with remaining maturities longer than six months into U.S. d</w:t>
      </w:r>
      <w:r>
        <w:rPr>
          <w:rFonts w:ascii="Arial" w:eastAsia="宋体" w:hAnsi="Arial" w:cs="Arial"/>
          <w:color w:val="333333"/>
          <w:sz w:val="18"/>
          <w:szCs w:val="18"/>
        </w:rPr>
        <w:t>ollar three-month LIBOR-based returns. We also enter into swaps to convert fixed-rate coupon payments into floating-rate coupon payments for our existing indebtedness. Gains or losses on these instruments are generally offset by corresponding losses or gai</w:t>
      </w:r>
      <w:r>
        <w:rPr>
          <w:rFonts w:ascii="Arial" w:eastAsia="宋体" w:hAnsi="Arial" w:cs="Arial"/>
          <w:color w:val="333333"/>
          <w:sz w:val="18"/>
          <w:szCs w:val="18"/>
        </w:rPr>
        <w:t>ns on the related hedging instruments.</w:t>
      </w:r>
    </w:p>
    <w:p w14:paraId="4ACE30B9"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lastRenderedPageBreak/>
        <w:t>A hypothetical increase in benchmark interest rates of up to 1.0%, after taking into account investment hedges, would have resulted in a decrease in the fair value of our investment portfolio of approximately $88 mill</w:t>
      </w:r>
      <w:r>
        <w:rPr>
          <w:rFonts w:ascii="Arial" w:eastAsia="宋体" w:hAnsi="Arial" w:cs="Arial"/>
          <w:color w:val="333333"/>
          <w:sz w:val="18"/>
          <w:szCs w:val="18"/>
        </w:rPr>
        <w:t>ion as of December 28, 2019 (a hypothetical decrease of 1.0% would have resulted in an increase of approximately $110 million as of December 29, 2018).</w:t>
      </w:r>
    </w:p>
    <w:p w14:paraId="4ACE30BA"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Taking into account floating-rate debt and fixed-rate debt that is swapped to floating-rate debt, a hypo</w:t>
      </w:r>
      <w:r>
        <w:rPr>
          <w:rFonts w:ascii="Arial" w:eastAsia="宋体" w:hAnsi="Arial" w:cs="Arial"/>
          <w:color w:val="333333"/>
          <w:sz w:val="18"/>
          <w:szCs w:val="18"/>
        </w:rPr>
        <w:t>thetical increase in interest rates of up to 1.0% would result in an increase in annual interest expense on our indebtedness of approximately $139 million from debt outstanding as of December 28, 2019 (an increase of approximately $215 million from debt ou</w:t>
      </w:r>
      <w:r>
        <w:rPr>
          <w:rFonts w:ascii="Arial" w:eastAsia="宋体" w:hAnsi="Arial" w:cs="Arial"/>
          <w:color w:val="333333"/>
          <w:sz w:val="18"/>
          <w:szCs w:val="18"/>
        </w:rPr>
        <w:t xml:space="preserve">tstanding as of December 29, 2018). </w:t>
      </w:r>
    </w:p>
    <w:p w14:paraId="4ACE30BB" w14:textId="77777777" w:rsidR="006F587A" w:rsidRDefault="007B2B61">
      <w:pPr>
        <w:spacing w:line="288" w:lineRule="auto"/>
        <w:rPr>
          <w:rFonts w:ascii="Times New Roman" w:hAnsi="Times New Roman"/>
        </w:rPr>
      </w:pPr>
      <w:r>
        <w:rPr>
          <w:rFonts w:ascii="Arial" w:eastAsia="宋体" w:hAnsi="Arial" w:cs="Arial"/>
          <w:b/>
          <w:bCs/>
          <w:color w:val="0071C5"/>
        </w:rPr>
        <w:t>EQUITY PRICES</w:t>
      </w:r>
    </w:p>
    <w:p w14:paraId="4ACE30BC"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Our investments include marketable equity securities and equity derivative instruments. We typically do not attempt to reduce or eliminate our equity market exposure through hedging activities at the incep</w:t>
      </w:r>
      <w:r>
        <w:rPr>
          <w:rFonts w:ascii="Arial" w:eastAsia="宋体" w:hAnsi="Arial" w:cs="Arial"/>
          <w:color w:val="333333"/>
          <w:sz w:val="18"/>
          <w:szCs w:val="18"/>
        </w:rPr>
        <w:t>tion of our investments. In the event we do decide to enter into hedge arrangements, before doing so we evaluate legal, market, and economic factors, as well as the expected timing of disposal, to determine whether hedging is appropriate. Our equity market</w:t>
      </w:r>
      <w:r>
        <w:rPr>
          <w:rFonts w:ascii="Arial" w:eastAsia="宋体" w:hAnsi="Arial" w:cs="Arial"/>
          <w:color w:val="333333"/>
          <w:sz w:val="18"/>
          <w:szCs w:val="18"/>
        </w:rPr>
        <w:t xml:space="preserve"> risk management program may include equity derivatives with or without hedge accounting designation that utilize warrants, equity options, or other equity derivatives. </w:t>
      </w:r>
    </w:p>
    <w:p w14:paraId="4ACE30BD"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also utilize total return swaps to offset changes in liabilities related to the equ</w:t>
      </w:r>
      <w:r>
        <w:rPr>
          <w:rFonts w:ascii="Arial" w:eastAsia="宋体" w:hAnsi="Arial" w:cs="Arial"/>
          <w:color w:val="333333"/>
          <w:sz w:val="18"/>
          <w:szCs w:val="18"/>
        </w:rPr>
        <w:t>ity market risks of certain deferred compensation arrangements. Gains or losses from changes in fair value of these total return swaps are generally offset by the losses or gains on the related liabilities.</w:t>
      </w:r>
    </w:p>
    <w:p w14:paraId="4ACE30BE"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As of December 28, 2019, the fair value of our ma</w:t>
      </w:r>
      <w:r>
        <w:rPr>
          <w:rFonts w:ascii="Arial" w:eastAsia="宋体" w:hAnsi="Arial" w:cs="Arial"/>
          <w:color w:val="333333"/>
          <w:sz w:val="18"/>
          <w:szCs w:val="18"/>
        </w:rPr>
        <w:t>rketable equity investments and our equity derivative instruments, including hedging positions, was $450 million ($1.4 billion as of December 29, 2018). A substantial majority of our marketable equity investments portfolio as of December 29, 2018 was conce</w:t>
      </w:r>
      <w:r>
        <w:rPr>
          <w:rFonts w:ascii="Arial" w:eastAsia="宋体" w:hAnsi="Arial" w:cs="Arial"/>
          <w:color w:val="333333"/>
          <w:sz w:val="18"/>
          <w:szCs w:val="18"/>
        </w:rPr>
        <w:t>ntrated in our investment in ASML of $1.1 billion. During 2019, we fully sold our investment in ASML. To determine reasonably possible decreases in the market value of our marketable equity investments, we have analyzed the historical market price sensitiv</w:t>
      </w:r>
      <w:r>
        <w:rPr>
          <w:rFonts w:ascii="Arial" w:eastAsia="宋体" w:hAnsi="Arial" w:cs="Arial"/>
          <w:color w:val="333333"/>
          <w:sz w:val="18"/>
          <w:szCs w:val="18"/>
        </w:rPr>
        <w:t>ity of our marketable equity investment portfolio. Assuming a decline of 40% in market prices, and after reflecting the impact of hedges and offsetting positions, the aggregate value of our marketable equity investments could decrease by approximately $180</w:t>
      </w:r>
      <w:r>
        <w:rPr>
          <w:rFonts w:ascii="Arial" w:eastAsia="宋体" w:hAnsi="Arial" w:cs="Arial"/>
          <w:color w:val="333333"/>
          <w:sz w:val="18"/>
          <w:szCs w:val="18"/>
        </w:rPr>
        <w:t xml:space="preserve"> million, based on the value as of December 28, 2019 (a decrease in value of approximately $576 million, based on the value as of December 29, 2018 using an assumed decline of 40%). Beginning in 2018, as explained in "Note 2: Accounting Policies" within th</w:t>
      </w:r>
      <w:r>
        <w:rPr>
          <w:rFonts w:ascii="Arial" w:eastAsia="宋体" w:hAnsi="Arial" w:cs="Arial"/>
          <w:color w:val="333333"/>
          <w:sz w:val="18"/>
          <w:szCs w:val="18"/>
        </w:rPr>
        <w:t>e Consolidated Financial Statements, changes in the fair value of our marketable equity securities will be measured and recorded at fair value with changes in fair value recorded through the income statement.</w:t>
      </w:r>
    </w:p>
    <w:p w14:paraId="4ACE30BF"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408"/>
        <w:gridCol w:w="2409"/>
        <w:gridCol w:w="3489"/>
      </w:tblGrid>
      <w:tr w:rsidR="006F587A" w14:paraId="4ACE30C1" w14:textId="77777777">
        <w:tc>
          <w:tcPr>
            <w:tcW w:w="0" w:type="auto"/>
            <w:gridSpan w:val="3"/>
            <w:shd w:val="clear" w:color="auto" w:fill="auto"/>
            <w:vAlign w:val="center"/>
          </w:tcPr>
          <w:p w14:paraId="4ACE30C0" w14:textId="77777777" w:rsidR="006F587A" w:rsidRDefault="006F587A">
            <w:pPr>
              <w:rPr>
                <w:rFonts w:ascii="Times New Roman" w:hAnsi="Times New Roman"/>
                <w:sz w:val="20"/>
                <w:szCs w:val="20"/>
              </w:rPr>
            </w:pPr>
          </w:p>
        </w:tc>
      </w:tr>
      <w:tr w:rsidR="006F587A" w14:paraId="4ACE30C5" w14:textId="77777777">
        <w:tc>
          <w:tcPr>
            <w:tcW w:w="1450" w:type="pct"/>
            <w:shd w:val="clear" w:color="auto" w:fill="auto"/>
            <w:vAlign w:val="center"/>
          </w:tcPr>
          <w:p w14:paraId="4ACE30C2" w14:textId="77777777" w:rsidR="006F587A" w:rsidRDefault="006F587A">
            <w:pPr>
              <w:rPr>
                <w:rFonts w:ascii="Times New Roman" w:hAnsi="Times New Roman"/>
                <w:sz w:val="20"/>
                <w:szCs w:val="20"/>
              </w:rPr>
            </w:pPr>
          </w:p>
        </w:tc>
        <w:tc>
          <w:tcPr>
            <w:tcW w:w="1450" w:type="pct"/>
            <w:shd w:val="clear" w:color="auto" w:fill="auto"/>
            <w:vAlign w:val="center"/>
          </w:tcPr>
          <w:p w14:paraId="4ACE30C3" w14:textId="77777777" w:rsidR="006F587A" w:rsidRDefault="006F587A">
            <w:pPr>
              <w:rPr>
                <w:rFonts w:ascii="Times New Roman" w:hAnsi="Times New Roman"/>
                <w:sz w:val="20"/>
                <w:szCs w:val="20"/>
              </w:rPr>
            </w:pPr>
          </w:p>
        </w:tc>
        <w:tc>
          <w:tcPr>
            <w:tcW w:w="2100" w:type="pct"/>
            <w:shd w:val="clear" w:color="auto" w:fill="auto"/>
            <w:vAlign w:val="center"/>
          </w:tcPr>
          <w:p w14:paraId="4ACE30C4" w14:textId="77777777" w:rsidR="006F587A" w:rsidRDefault="006F587A">
            <w:pPr>
              <w:rPr>
                <w:rFonts w:ascii="Times New Roman" w:hAnsi="Times New Roman"/>
                <w:sz w:val="20"/>
                <w:szCs w:val="20"/>
              </w:rPr>
            </w:pPr>
          </w:p>
        </w:tc>
      </w:tr>
      <w:tr w:rsidR="006F587A" w14:paraId="4ACE30C9"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30C6" w14:textId="77777777" w:rsidR="006F587A" w:rsidRDefault="007B2B61">
            <w:pPr>
              <w:textAlignment w:val="center"/>
              <w:rPr>
                <w:rFonts w:ascii="Times New Roman" w:hAnsi="Times New Roman"/>
                <w:sz w:val="18"/>
                <w:szCs w:val="18"/>
              </w:rPr>
            </w:pP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Viewer12_files/a001intellogo_coverfooter.jpg"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D68" wp14:editId="4ACE6D69">
                  <wp:extent cx="304800" cy="304800"/>
                  <wp:effectExtent l="0" t="0" r="0" b="0"/>
                  <wp:docPr id="155" name="图片 224"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224"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r>
              <w:rPr>
                <w:rFonts w:ascii="Arial" w:eastAsia="宋体" w:hAnsi="Arial" w:cs="Arial"/>
                <w:color w:val="333333"/>
                <w:sz w:val="18"/>
                <w:szCs w:val="18"/>
              </w:rPr>
              <w:t>  </w:t>
            </w:r>
            <w:r>
              <w:rPr>
                <w:rFonts w:ascii="Arial" w:eastAsia="宋体" w:hAnsi="Arial" w:cs="Arial"/>
                <w:color w:val="333333"/>
                <w:sz w:val="16"/>
                <w:szCs w:val="16"/>
              </w:rPr>
              <w:t>MD&amp;A</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0C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0C8"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44</w:t>
            </w:r>
          </w:p>
        </w:tc>
      </w:tr>
    </w:tbl>
    <w:p w14:paraId="4ACE30CA" w14:textId="77777777" w:rsidR="006F587A" w:rsidRDefault="007B2B61">
      <w:r>
        <w:pict w14:anchorId="4ACE6D6A">
          <v:rect id="_x0000_i1070" style="width:415.3pt;height:1.5pt" o:hralign="center" o:hrstd="t" o:hr="t" fillcolor="#a0a0a0" stroked="f"/>
        </w:pict>
      </w:r>
    </w:p>
    <w:p w14:paraId="4ACE30CB" w14:textId="77777777" w:rsidR="006F587A" w:rsidRDefault="007B2B61">
      <w:pPr>
        <w:spacing w:line="288" w:lineRule="auto"/>
        <w:jc w:val="right"/>
        <w:rPr>
          <w:rFonts w:ascii="Times New Roman" w:hAnsi="Times New Roman"/>
          <w:sz w:val="16"/>
          <w:szCs w:val="16"/>
        </w:rPr>
      </w:pPr>
      <w:hyperlink r:id="rId77" w:anchor="s9DB683E2CF52561EB8A73BE37F5BF9BE" w:history="1">
        <w:r>
          <w:rPr>
            <w:rStyle w:val="a5"/>
            <w:rFonts w:ascii="Arial" w:eastAsia="宋体" w:hAnsi="Arial" w:cs="Arial"/>
            <w:b/>
            <w:bCs/>
            <w:sz w:val="16"/>
            <w:szCs w:val="16"/>
          </w:rPr>
          <w:t>Table of Contents</w:t>
        </w:r>
      </w:hyperlink>
    </w:p>
    <w:p w14:paraId="4ACE30CC" w14:textId="77777777" w:rsidR="006F587A" w:rsidRDefault="006F587A">
      <w:pPr>
        <w:spacing w:line="288" w:lineRule="auto"/>
        <w:jc w:val="right"/>
        <w:rPr>
          <w:rFonts w:ascii="Times New Roman" w:hAnsi="Times New Roman"/>
          <w:sz w:val="16"/>
          <w:szCs w:val="16"/>
        </w:rPr>
      </w:pPr>
    </w:p>
    <w:p w14:paraId="4ACE30CD" w14:textId="77777777" w:rsidR="006F587A" w:rsidRDefault="006F587A">
      <w:pPr>
        <w:rPr>
          <w:rFonts w:ascii="Times New Roman" w:hAnsi="Times New Roman"/>
          <w:sz w:val="20"/>
          <w:szCs w:val="20"/>
        </w:rPr>
      </w:pPr>
    </w:p>
    <w:p w14:paraId="4ACE30CE"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Many of the same factors that could result in an adverse movement of </w:t>
      </w:r>
      <w:r>
        <w:rPr>
          <w:rFonts w:ascii="Arial" w:eastAsia="宋体" w:hAnsi="Arial" w:cs="Arial"/>
          <w:color w:val="333333"/>
          <w:sz w:val="18"/>
          <w:szCs w:val="18"/>
        </w:rPr>
        <w:t>equity market prices affect our non-marketable equity investments, although we cannot always quantify the impacts directly. Financial markets are volatile, which could negatively affect the prospects of the companies we invest in, their ability to raise ad</w:t>
      </w:r>
      <w:r>
        <w:rPr>
          <w:rFonts w:ascii="Arial" w:eastAsia="宋体" w:hAnsi="Arial" w:cs="Arial"/>
          <w:color w:val="333333"/>
          <w:sz w:val="18"/>
          <w:szCs w:val="18"/>
        </w:rPr>
        <w:t>ditional capital, and the likelihood of our ability to realize value in our investments through liquidity events such as initial public offerings, mergers, and private sales. These types of investments involve a great deal of risk, and there can be no assu</w:t>
      </w:r>
      <w:r>
        <w:rPr>
          <w:rFonts w:ascii="Arial" w:eastAsia="宋体" w:hAnsi="Arial" w:cs="Arial"/>
          <w:color w:val="333333"/>
          <w:sz w:val="18"/>
          <w:szCs w:val="18"/>
        </w:rPr>
        <w:t>rance that any specific company will grow or become successful; consequently, we could lose all or part of our investment. Our non-marketable equity securities had a carrying amount of $3.5 billion as of December 28, 2019 ($3.0 billion as of December 29, 2</w:t>
      </w:r>
      <w:r>
        <w:rPr>
          <w:rFonts w:ascii="Arial" w:eastAsia="宋体" w:hAnsi="Arial" w:cs="Arial"/>
          <w:color w:val="333333"/>
          <w:sz w:val="18"/>
          <w:szCs w:val="18"/>
        </w:rPr>
        <w:t>018) and included our investment in Unisoc of $658 million ($658 million for Unisoc as of December 29, 2018). The carrying amount of our equity method investments was $37 million as of December 28, 2019 ($1.6 billion as of December 29, 2018). Substantially</w:t>
      </w:r>
      <w:r>
        <w:rPr>
          <w:rFonts w:ascii="Arial" w:eastAsia="宋体" w:hAnsi="Arial" w:cs="Arial"/>
          <w:color w:val="333333"/>
          <w:sz w:val="18"/>
          <w:szCs w:val="18"/>
        </w:rPr>
        <w:t xml:space="preserve"> all of our equity method investments balance as of December 29, 2018 was concentrated in our investment in IMFT. During 2019, we sold our non-controlling interest in IMFT to Micron.</w:t>
      </w:r>
    </w:p>
    <w:p w14:paraId="4ACE30CF" w14:textId="77777777" w:rsidR="006F587A" w:rsidRDefault="007B2B61">
      <w:pPr>
        <w:spacing w:line="288" w:lineRule="auto"/>
        <w:rPr>
          <w:rFonts w:ascii="Times New Roman" w:hAnsi="Times New Roman"/>
        </w:rPr>
      </w:pPr>
      <w:r>
        <w:rPr>
          <w:rFonts w:ascii="Arial" w:eastAsia="宋体" w:hAnsi="Arial" w:cs="Arial"/>
          <w:b/>
          <w:bCs/>
          <w:color w:val="0071C5"/>
        </w:rPr>
        <w:t>COMMODITY PRICE RISK</w:t>
      </w:r>
    </w:p>
    <w:p w14:paraId="4ACE30D0"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lastRenderedPageBreak/>
        <w:t>Although we operate facilities that consume commodit</w:t>
      </w:r>
      <w:r>
        <w:rPr>
          <w:rFonts w:ascii="Arial" w:eastAsia="宋体" w:hAnsi="Arial" w:cs="Arial"/>
          <w:color w:val="333333"/>
          <w:sz w:val="18"/>
          <w:szCs w:val="18"/>
        </w:rPr>
        <w:t>ies, we are not directly affected by commodity price risk to a material degree. We have established forecasted transaction risk management programs to protect against fluctuations in commodity prices. We may use commodity derivatives contracts, such as com</w:t>
      </w:r>
      <w:r>
        <w:rPr>
          <w:rFonts w:ascii="Arial" w:eastAsia="宋体" w:hAnsi="Arial" w:cs="Arial"/>
          <w:color w:val="333333"/>
          <w:sz w:val="18"/>
          <w:szCs w:val="18"/>
        </w:rPr>
        <w:t xml:space="preserve">modity swaps, in these hedging programs. In addition, we have sourcing plans in place that are designed to mitigate the risk of a potential supplier concentration for our key commodities. </w:t>
      </w:r>
    </w:p>
    <w:p w14:paraId="4ACE30D1" w14:textId="77777777" w:rsidR="006F587A" w:rsidRDefault="006F587A">
      <w:pPr>
        <w:spacing w:line="288" w:lineRule="auto"/>
        <w:rPr>
          <w:rFonts w:ascii="Times New Roman" w:hAnsi="Times New Roman"/>
          <w:sz w:val="18"/>
          <w:szCs w:val="18"/>
        </w:rPr>
      </w:pPr>
    </w:p>
    <w:p w14:paraId="4ACE30D2" w14:textId="77777777" w:rsidR="006F587A" w:rsidRDefault="007B2B61">
      <w:pPr>
        <w:spacing w:line="288" w:lineRule="auto"/>
        <w:rPr>
          <w:rFonts w:ascii="Times New Roman" w:hAnsi="Times New Roman"/>
          <w:sz w:val="28"/>
          <w:szCs w:val="28"/>
        </w:rPr>
      </w:pPr>
      <w:r>
        <w:rPr>
          <w:rFonts w:ascii="Arial" w:eastAsia="宋体" w:hAnsi="Arial" w:cs="Arial"/>
          <w:b/>
          <w:bCs/>
          <w:color w:val="0071C5"/>
          <w:sz w:val="28"/>
          <w:szCs w:val="28"/>
        </w:rPr>
        <w:t>NON-GAAP FINANCIAL MEASURES</w:t>
      </w:r>
    </w:p>
    <w:p w14:paraId="4ACE30D3"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In addition to disclosing </w:t>
      </w:r>
      <w:r>
        <w:rPr>
          <w:rFonts w:ascii="Arial" w:eastAsia="宋体" w:hAnsi="Arial" w:cs="Arial"/>
          <w:color w:val="333333"/>
          <w:sz w:val="18"/>
          <w:szCs w:val="18"/>
        </w:rPr>
        <w:t xml:space="preserve">financial results in accordance with U.S. GAAP, this document contains references to the non-GAAP financial measures below. We believe these non-GAAP financial measures provide investors with useful supplemental information about the financial performance </w:t>
      </w:r>
      <w:r>
        <w:rPr>
          <w:rFonts w:ascii="Arial" w:eastAsia="宋体" w:hAnsi="Arial" w:cs="Arial"/>
          <w:color w:val="333333"/>
          <w:sz w:val="18"/>
          <w:szCs w:val="18"/>
        </w:rPr>
        <w:t>of our business, enable comparison of financial results between periods where certain items may vary independent of business performance, and allow for greater transparency with respect to key metrics used by management in operating our business and measur</w:t>
      </w:r>
      <w:r>
        <w:rPr>
          <w:rFonts w:ascii="Arial" w:eastAsia="宋体" w:hAnsi="Arial" w:cs="Arial"/>
          <w:color w:val="333333"/>
          <w:sz w:val="18"/>
          <w:szCs w:val="18"/>
        </w:rPr>
        <w:t>ing our performance.</w:t>
      </w:r>
      <w:r>
        <w:rPr>
          <w:rFonts w:ascii="Arial" w:eastAsia="宋体" w:hAnsi="Arial" w:cs="Arial"/>
          <w:color w:val="424242"/>
          <w:sz w:val="18"/>
          <w:szCs w:val="18"/>
        </w:rPr>
        <w:t xml:space="preserve"> </w:t>
      </w:r>
    </w:p>
    <w:p w14:paraId="4ACE30D4"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Our non-GAAP financial measures reflect adjustments based on one or more of the following items, as well as the related income tax effects where applicable. Income tax effects have been calculated using an appropriate tax rate for eac</w:t>
      </w:r>
      <w:r>
        <w:rPr>
          <w:rFonts w:ascii="Arial" w:eastAsia="宋体" w:hAnsi="Arial" w:cs="Arial"/>
          <w:color w:val="333333"/>
          <w:sz w:val="18"/>
          <w:szCs w:val="18"/>
        </w:rPr>
        <w:t>h adjustment. These non-GAAP financial measures should not be considered a substitute for, or superior to, financial measures calculated in accordance with U.S. GAAP, and the financial results calculated in accordance with U.S. GAAP and reconciliations fro</w:t>
      </w:r>
      <w:r>
        <w:rPr>
          <w:rFonts w:ascii="Arial" w:eastAsia="宋体" w:hAnsi="Arial" w:cs="Arial"/>
          <w:color w:val="333333"/>
          <w:sz w:val="18"/>
          <w:szCs w:val="18"/>
        </w:rPr>
        <w:t>m these results should be carefully evaluated.</w:t>
      </w:r>
      <w:r>
        <w:rPr>
          <w:rFonts w:ascii="Arial" w:eastAsia="宋体" w:hAnsi="Arial" w:cs="Arial"/>
          <w:b/>
          <w:bCs/>
          <w:color w:val="333333"/>
          <w:sz w:val="18"/>
          <w:szCs w:val="18"/>
        </w:rPr>
        <w:t xml:space="preserve"> </w:t>
      </w:r>
    </w:p>
    <w:p w14:paraId="4ACE30D5" w14:textId="77777777" w:rsidR="006F587A" w:rsidRDefault="007B2B61">
      <w:pPr>
        <w:spacing w:line="288" w:lineRule="auto"/>
        <w:rPr>
          <w:rFonts w:ascii="Times New Roman" w:hAnsi="Times New Roman"/>
        </w:rPr>
      </w:pPr>
      <w:r>
        <w:rPr>
          <w:rFonts w:ascii="Arial" w:eastAsia="宋体" w:hAnsi="Arial" w:cs="Arial"/>
          <w:b/>
          <w:bCs/>
          <w:color w:val="0071C5"/>
        </w:rPr>
        <w:t>ACQUISITION-RELATED ADJUSTMENTS</w:t>
      </w:r>
    </w:p>
    <w:p w14:paraId="4ACE30D6"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Acquisition-related adjustments exclude charges related to amortization of acquisition-related intangible assets, inventory valuation adjustments, and other acquisition-related</w:t>
      </w:r>
      <w:r>
        <w:rPr>
          <w:rFonts w:ascii="Arial" w:eastAsia="宋体" w:hAnsi="Arial" w:cs="Arial"/>
          <w:color w:val="333333"/>
          <w:sz w:val="18"/>
          <w:szCs w:val="18"/>
        </w:rPr>
        <w:t xml:space="preserve"> charges. </w:t>
      </w:r>
    </w:p>
    <w:p w14:paraId="4ACE30D7"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Amortization of acquisition-related intangible assets consists of amortization of intangible assets such as developed technology, brands, and customer relationships acquired in connection with business combinations. Cost of sales and operating e</w:t>
      </w:r>
      <w:r>
        <w:rPr>
          <w:rFonts w:ascii="Arial" w:eastAsia="宋体" w:hAnsi="Arial" w:cs="Arial"/>
          <w:color w:val="333333"/>
          <w:sz w:val="18"/>
          <w:szCs w:val="18"/>
        </w:rPr>
        <w:t>xpenses in our U.S. GAAP financial statements include amortization charges for intangible assets acquired primarily for the acquisitions of Mobileye in 2017 and Altera in 2016. These charges are inconsistent in size and are significantly impacted by the ti</w:t>
      </w:r>
      <w:r>
        <w:rPr>
          <w:rFonts w:ascii="Arial" w:eastAsia="宋体" w:hAnsi="Arial" w:cs="Arial"/>
          <w:color w:val="333333"/>
          <w:sz w:val="18"/>
          <w:szCs w:val="18"/>
        </w:rPr>
        <w:t xml:space="preserve">ming and valuation of our acquisitions. </w:t>
      </w:r>
    </w:p>
    <w:p w14:paraId="4ACE30D8" w14:textId="77777777" w:rsidR="006F587A" w:rsidRDefault="007B2B61">
      <w:pPr>
        <w:spacing w:line="288" w:lineRule="auto"/>
        <w:rPr>
          <w:rFonts w:ascii="Times New Roman" w:hAnsi="Times New Roman"/>
          <w:sz w:val="18"/>
          <w:szCs w:val="18"/>
        </w:rPr>
      </w:pPr>
      <w:r>
        <w:rPr>
          <w:rFonts w:ascii="Arial" w:eastAsia="宋体" w:hAnsi="Arial" w:cs="Arial"/>
          <w:color w:val="424242"/>
          <w:sz w:val="18"/>
          <w:szCs w:val="18"/>
        </w:rPr>
        <w:t>Business combination accounting principles require us to measure acquired inventory at fair value. The fair value of inventory reflects the acquired company’s cost of manufacturing plus a portion of the expected pro</w:t>
      </w:r>
      <w:r>
        <w:rPr>
          <w:rFonts w:ascii="Arial" w:eastAsia="宋体" w:hAnsi="Arial" w:cs="Arial"/>
          <w:color w:val="424242"/>
          <w:sz w:val="18"/>
          <w:szCs w:val="18"/>
        </w:rPr>
        <w:t>fit margin. The acquisition-related i</w:t>
      </w:r>
      <w:r>
        <w:rPr>
          <w:rFonts w:ascii="Arial" w:eastAsia="宋体" w:hAnsi="Arial" w:cs="Arial"/>
          <w:color w:val="333333"/>
          <w:sz w:val="18"/>
          <w:szCs w:val="18"/>
        </w:rPr>
        <w:t xml:space="preserve">nventory valuation adjustments </w:t>
      </w:r>
      <w:r>
        <w:rPr>
          <w:rFonts w:ascii="Arial" w:eastAsia="宋体" w:hAnsi="Arial" w:cs="Arial"/>
          <w:color w:val="424242"/>
          <w:sz w:val="18"/>
          <w:szCs w:val="18"/>
        </w:rPr>
        <w:t>exclude the expected profit margin component from cost of sales that was recorded under business combination accounting principles associated with our acquisition of Mobileye.</w:t>
      </w:r>
    </w:p>
    <w:p w14:paraId="4ACE30D9"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Other acquis</w:t>
      </w:r>
      <w:r>
        <w:rPr>
          <w:rFonts w:ascii="Arial" w:eastAsia="宋体" w:hAnsi="Arial" w:cs="Arial"/>
          <w:color w:val="333333"/>
          <w:sz w:val="18"/>
          <w:szCs w:val="18"/>
        </w:rPr>
        <w:t>ition-related charges primarily include bankers' fees, compensation-related costs, and valuation charges for stock-based compensation incurred in connection with the acquisition of Mobileye.</w:t>
      </w:r>
    </w:p>
    <w:p w14:paraId="4ACE30DA"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Our non-GAAP adjustments exclude these charges to facilitate a be</w:t>
      </w:r>
      <w:r>
        <w:rPr>
          <w:rFonts w:ascii="Arial" w:eastAsia="宋体" w:hAnsi="Arial" w:cs="Arial"/>
          <w:color w:val="333333"/>
          <w:sz w:val="18"/>
          <w:szCs w:val="18"/>
        </w:rPr>
        <w:t>tter evaluation of our current operating performance and comparison to our past operating performance, and provide investors with additional means to reflect costs of sales, gross margin and spending trends.</w:t>
      </w:r>
    </w:p>
    <w:p w14:paraId="4ACE30DB" w14:textId="77777777" w:rsidR="006F587A" w:rsidRDefault="007B2B61">
      <w:pPr>
        <w:spacing w:line="288" w:lineRule="auto"/>
        <w:rPr>
          <w:rFonts w:ascii="Times New Roman" w:hAnsi="Times New Roman"/>
        </w:rPr>
      </w:pPr>
      <w:r>
        <w:rPr>
          <w:rFonts w:ascii="Arial" w:eastAsia="宋体" w:hAnsi="Arial" w:cs="Arial"/>
          <w:b/>
          <w:bCs/>
          <w:color w:val="0071C5"/>
        </w:rPr>
        <w:t>RESTRUCTURING AND OTHER CHARGES</w:t>
      </w:r>
    </w:p>
    <w:p w14:paraId="4ACE30DC"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Restructuring ch</w:t>
      </w:r>
      <w:r>
        <w:rPr>
          <w:rFonts w:ascii="Arial" w:eastAsia="宋体" w:hAnsi="Arial" w:cs="Arial"/>
          <w:color w:val="333333"/>
          <w:sz w:val="18"/>
          <w:szCs w:val="18"/>
        </w:rPr>
        <w:t>arges are costs associated with a formal restructuring plan and are primarily related to employee severance and benefit arrangements. Other charges include asset impairments, pension charges, and costs associated with the exit of the 5G smartphone modem bu</w:t>
      </w:r>
      <w:r>
        <w:rPr>
          <w:rFonts w:ascii="Arial" w:eastAsia="宋体" w:hAnsi="Arial" w:cs="Arial"/>
          <w:color w:val="333333"/>
          <w:sz w:val="18"/>
          <w:szCs w:val="18"/>
        </w:rPr>
        <w:t>siness and the ISecG divestiture. We exclude restructuring and other charges, including any adjustments to charges recorded in prior periods, for purposes of calculating certain non-GAAP measures. These costs do not reflect our current operating performanc</w:t>
      </w:r>
      <w:r>
        <w:rPr>
          <w:rFonts w:ascii="Arial" w:eastAsia="宋体" w:hAnsi="Arial" w:cs="Arial"/>
          <w:color w:val="333333"/>
          <w:sz w:val="18"/>
          <w:szCs w:val="18"/>
        </w:rPr>
        <w:t>e. Consequently, our non-GAAP adjustments exclude these charges to facilitate an evaluation of our current operating performance and comparisons to our past operating performance.</w:t>
      </w:r>
    </w:p>
    <w:p w14:paraId="4ACE30DD" w14:textId="77777777" w:rsidR="006F587A" w:rsidRDefault="007B2B61">
      <w:pPr>
        <w:spacing w:line="288" w:lineRule="auto"/>
        <w:rPr>
          <w:rFonts w:ascii="Times New Roman" w:hAnsi="Times New Roman"/>
        </w:rPr>
      </w:pPr>
      <w:r>
        <w:rPr>
          <w:rFonts w:ascii="Arial" w:eastAsia="宋体" w:hAnsi="Arial" w:cs="Arial"/>
          <w:b/>
          <w:bCs/>
          <w:color w:val="0071C5"/>
        </w:rPr>
        <w:t>GAINS OR LOSSES FROM DIVESTITURE</w:t>
      </w:r>
    </w:p>
    <w:p w14:paraId="4ACE30DE"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divested our 5G smartphone modem busines</w:t>
      </w:r>
      <w:r>
        <w:rPr>
          <w:rFonts w:ascii="Arial" w:eastAsia="宋体" w:hAnsi="Arial" w:cs="Arial"/>
          <w:color w:val="333333"/>
          <w:sz w:val="18"/>
          <w:szCs w:val="18"/>
        </w:rPr>
        <w:t>s in 2019, Wind River in 2018, and ISecG in 2017. We exclude gains or losses and related tax impacts resulting from divestitures when calculating certain non-GAAP measures. These adjustments facilitate a better evaluation of our current operating performan</w:t>
      </w:r>
      <w:r>
        <w:rPr>
          <w:rFonts w:ascii="Arial" w:eastAsia="宋体" w:hAnsi="Arial" w:cs="Arial"/>
          <w:color w:val="333333"/>
          <w:sz w:val="18"/>
          <w:szCs w:val="18"/>
        </w:rPr>
        <w:t>ce and comparisons to our past operating performance.</w:t>
      </w:r>
    </w:p>
    <w:p w14:paraId="4ACE30DF"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408"/>
        <w:gridCol w:w="2409"/>
        <w:gridCol w:w="3489"/>
      </w:tblGrid>
      <w:tr w:rsidR="006F587A" w14:paraId="4ACE30E1" w14:textId="77777777">
        <w:tc>
          <w:tcPr>
            <w:tcW w:w="0" w:type="auto"/>
            <w:gridSpan w:val="3"/>
            <w:shd w:val="clear" w:color="auto" w:fill="auto"/>
            <w:vAlign w:val="center"/>
          </w:tcPr>
          <w:p w14:paraId="4ACE30E0" w14:textId="77777777" w:rsidR="006F587A" w:rsidRDefault="006F587A">
            <w:pPr>
              <w:rPr>
                <w:rFonts w:ascii="Times New Roman" w:hAnsi="Times New Roman"/>
                <w:sz w:val="20"/>
                <w:szCs w:val="20"/>
              </w:rPr>
            </w:pPr>
          </w:p>
        </w:tc>
      </w:tr>
      <w:tr w:rsidR="006F587A" w14:paraId="4ACE30E5" w14:textId="77777777">
        <w:tc>
          <w:tcPr>
            <w:tcW w:w="1450" w:type="pct"/>
            <w:shd w:val="clear" w:color="auto" w:fill="auto"/>
            <w:vAlign w:val="center"/>
          </w:tcPr>
          <w:p w14:paraId="4ACE30E2" w14:textId="77777777" w:rsidR="006F587A" w:rsidRDefault="006F587A">
            <w:pPr>
              <w:rPr>
                <w:rFonts w:ascii="Times New Roman" w:hAnsi="Times New Roman"/>
                <w:sz w:val="20"/>
                <w:szCs w:val="20"/>
              </w:rPr>
            </w:pPr>
          </w:p>
        </w:tc>
        <w:tc>
          <w:tcPr>
            <w:tcW w:w="1450" w:type="pct"/>
            <w:shd w:val="clear" w:color="auto" w:fill="auto"/>
            <w:vAlign w:val="center"/>
          </w:tcPr>
          <w:p w14:paraId="4ACE30E3" w14:textId="77777777" w:rsidR="006F587A" w:rsidRDefault="006F587A">
            <w:pPr>
              <w:rPr>
                <w:rFonts w:ascii="Times New Roman" w:hAnsi="Times New Roman"/>
                <w:sz w:val="20"/>
                <w:szCs w:val="20"/>
              </w:rPr>
            </w:pPr>
          </w:p>
        </w:tc>
        <w:tc>
          <w:tcPr>
            <w:tcW w:w="2100" w:type="pct"/>
            <w:shd w:val="clear" w:color="auto" w:fill="auto"/>
            <w:vAlign w:val="center"/>
          </w:tcPr>
          <w:p w14:paraId="4ACE30E4" w14:textId="77777777" w:rsidR="006F587A" w:rsidRDefault="006F587A">
            <w:pPr>
              <w:rPr>
                <w:rFonts w:ascii="Times New Roman" w:hAnsi="Times New Roman"/>
                <w:sz w:val="20"/>
                <w:szCs w:val="20"/>
              </w:rPr>
            </w:pPr>
          </w:p>
        </w:tc>
      </w:tr>
      <w:tr w:rsidR="006F587A" w14:paraId="4ACE30E9"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30E6" w14:textId="77777777" w:rsidR="006F587A" w:rsidRDefault="007B2B61">
            <w:pPr>
              <w:textAlignment w:val="center"/>
              <w:rPr>
                <w:rFonts w:ascii="Times New Roman" w:hAnsi="Times New Roman"/>
                <w:sz w:val="18"/>
                <w:szCs w:val="18"/>
              </w:rPr>
            </w:pP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Viewer12_files/a001intellogo_coverfooter.jpg"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4ACE6D6B" wp14:editId="4ACE6D6C">
                  <wp:extent cx="304800" cy="304800"/>
                  <wp:effectExtent l="0" t="0" r="0" b="0"/>
                  <wp:docPr id="190" name="图片 226"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226"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r>
              <w:rPr>
                <w:rFonts w:ascii="Arial" w:eastAsia="宋体" w:hAnsi="Arial" w:cs="Arial"/>
                <w:color w:val="333333"/>
                <w:sz w:val="18"/>
                <w:szCs w:val="18"/>
              </w:rPr>
              <w:t>  </w:t>
            </w:r>
            <w:r>
              <w:rPr>
                <w:rFonts w:ascii="Arial" w:eastAsia="宋体" w:hAnsi="Arial" w:cs="Arial"/>
                <w:color w:val="333333"/>
                <w:sz w:val="16"/>
                <w:szCs w:val="16"/>
              </w:rPr>
              <w:t>MD&amp;A</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0E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0E8"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45</w:t>
            </w:r>
          </w:p>
        </w:tc>
      </w:tr>
    </w:tbl>
    <w:p w14:paraId="4ACE30EA" w14:textId="77777777" w:rsidR="006F587A" w:rsidRDefault="007B2B61">
      <w:r>
        <w:pict w14:anchorId="4ACE6D6D">
          <v:rect id="_x0000_i1071" style="width:415.3pt;height:1.5pt" o:hralign="center" o:hrstd="t" o:hr="t" fillcolor="#a0a0a0" stroked="f"/>
        </w:pict>
      </w:r>
    </w:p>
    <w:p w14:paraId="4ACE30EB" w14:textId="77777777" w:rsidR="006F587A" w:rsidRDefault="007B2B61">
      <w:pPr>
        <w:spacing w:line="288" w:lineRule="auto"/>
        <w:jc w:val="right"/>
        <w:rPr>
          <w:rFonts w:ascii="Times New Roman" w:hAnsi="Times New Roman"/>
          <w:sz w:val="16"/>
          <w:szCs w:val="16"/>
        </w:rPr>
      </w:pPr>
      <w:hyperlink r:id="rId78" w:anchor="s9DB683E2CF52561EB8A73BE37F5BF9BE" w:history="1">
        <w:r>
          <w:rPr>
            <w:rStyle w:val="a5"/>
            <w:rFonts w:ascii="Arial" w:eastAsia="宋体" w:hAnsi="Arial" w:cs="Arial"/>
            <w:b/>
            <w:bCs/>
            <w:sz w:val="16"/>
            <w:szCs w:val="16"/>
          </w:rPr>
          <w:t>Table of Contents</w:t>
        </w:r>
      </w:hyperlink>
    </w:p>
    <w:p w14:paraId="4ACE30EC" w14:textId="77777777" w:rsidR="006F587A" w:rsidRDefault="006F587A">
      <w:pPr>
        <w:spacing w:line="288" w:lineRule="auto"/>
        <w:jc w:val="right"/>
        <w:rPr>
          <w:rFonts w:ascii="Times New Roman" w:hAnsi="Times New Roman"/>
          <w:sz w:val="16"/>
          <w:szCs w:val="16"/>
        </w:rPr>
      </w:pPr>
    </w:p>
    <w:p w14:paraId="4ACE30ED" w14:textId="77777777" w:rsidR="006F587A" w:rsidRDefault="006F587A">
      <w:pPr>
        <w:rPr>
          <w:rFonts w:ascii="Times New Roman" w:hAnsi="Times New Roman"/>
          <w:sz w:val="20"/>
          <w:szCs w:val="20"/>
        </w:rPr>
      </w:pPr>
    </w:p>
    <w:p w14:paraId="4ACE30EE" w14:textId="77777777" w:rsidR="006F587A" w:rsidRDefault="007B2B61">
      <w:pPr>
        <w:spacing w:line="288" w:lineRule="auto"/>
        <w:rPr>
          <w:rFonts w:ascii="Times New Roman" w:hAnsi="Times New Roman"/>
        </w:rPr>
      </w:pPr>
      <w:r>
        <w:rPr>
          <w:rFonts w:ascii="Arial" w:eastAsia="宋体" w:hAnsi="Arial" w:cs="Arial"/>
          <w:b/>
          <w:bCs/>
          <w:color w:val="0071C5"/>
        </w:rPr>
        <w:t>ONGOING MARK-TO-MARKET ON MARKETABLE EQUITY SECURITIES</w:t>
      </w:r>
    </w:p>
    <w:p w14:paraId="4ACE30EF"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When </w:t>
      </w:r>
      <w:r>
        <w:rPr>
          <w:rFonts w:ascii="Arial" w:eastAsia="宋体" w:hAnsi="Arial" w:cs="Arial"/>
          <w:color w:val="333333"/>
          <w:sz w:val="18"/>
          <w:szCs w:val="18"/>
        </w:rPr>
        <w:t>calculating certain non-GAAP measures, we exclude gains and losses resulting from ongoing mark-to-market adjustments of our marketable equity securities after the initial mark-to-market adjustment is recorded upon a security becoming marketable, as we do n</w:t>
      </w:r>
      <w:r>
        <w:rPr>
          <w:rFonts w:ascii="Arial" w:eastAsia="宋体" w:hAnsi="Arial" w:cs="Arial"/>
          <w:color w:val="333333"/>
          <w:sz w:val="18"/>
          <w:szCs w:val="18"/>
        </w:rPr>
        <w:t>ot believe this volatility correlates to our core operational performance. Consequently, our non-GAAP earnings per share figures exclude these impacts to facilitate an evaluation of our current performance and comparisons to our past operating performance.</w:t>
      </w:r>
    </w:p>
    <w:p w14:paraId="4ACE30F0" w14:textId="77777777" w:rsidR="006F587A" w:rsidRDefault="007B2B61">
      <w:pPr>
        <w:spacing w:line="288" w:lineRule="auto"/>
        <w:rPr>
          <w:rFonts w:ascii="Times New Roman" w:hAnsi="Times New Roman"/>
        </w:rPr>
      </w:pPr>
      <w:r>
        <w:rPr>
          <w:rFonts w:ascii="Arial" w:eastAsia="宋体" w:hAnsi="Arial" w:cs="Arial"/>
          <w:b/>
          <w:bCs/>
          <w:color w:val="0071C5"/>
        </w:rPr>
        <w:t>TAX REFORM ADJUSTMENT</w:t>
      </w:r>
    </w:p>
    <w:p w14:paraId="4ACE30F1"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recognized a higher income tax expense in Q4 2017 as a result of Tax Reform and made adjustments to the original estimate during 2018. We exclude the provisional tax estimate and adjustments when calculating certain non-GAAP measu</w:t>
      </w:r>
      <w:r>
        <w:rPr>
          <w:rFonts w:ascii="Arial" w:eastAsia="宋体" w:hAnsi="Arial" w:cs="Arial"/>
          <w:color w:val="333333"/>
          <w:sz w:val="18"/>
          <w:szCs w:val="18"/>
        </w:rPr>
        <w:t>res. These adjustments facilitate a better evaluation of our current operating performance and comparisons to past operating results.</w:t>
      </w:r>
    </w:p>
    <w:p w14:paraId="4ACE30F2" w14:textId="77777777" w:rsidR="006F587A" w:rsidRDefault="007B2B61">
      <w:pPr>
        <w:spacing w:line="288" w:lineRule="auto"/>
        <w:rPr>
          <w:rFonts w:ascii="Times New Roman" w:hAnsi="Times New Roman"/>
        </w:rPr>
      </w:pPr>
      <w:r>
        <w:rPr>
          <w:rFonts w:ascii="Arial" w:eastAsia="宋体" w:hAnsi="Arial" w:cs="Arial"/>
          <w:b/>
          <w:bCs/>
          <w:color w:val="0071C5"/>
        </w:rPr>
        <w:t>FREE CASH FLOW</w:t>
      </w:r>
    </w:p>
    <w:p w14:paraId="4ACE30F3"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reference a non-GAAP financial measure of free cash flow, which is used by management when assessing our</w:t>
      </w:r>
      <w:r>
        <w:rPr>
          <w:rFonts w:ascii="Arial" w:eastAsia="宋体" w:hAnsi="Arial" w:cs="Arial"/>
          <w:color w:val="333333"/>
          <w:sz w:val="18"/>
          <w:szCs w:val="18"/>
        </w:rPr>
        <w:t xml:space="preserve"> sources of liquidity, capital resources, and quality of earnings. This non-GAAP financial measure is helpful to investors in understanding our capital requirements and provides an additional means to reflect the cash flow trends of our business.</w:t>
      </w:r>
    </w:p>
    <w:p w14:paraId="4ACE30F4"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Following</w:t>
      </w:r>
      <w:r>
        <w:rPr>
          <w:rFonts w:ascii="Arial" w:eastAsia="宋体" w:hAnsi="Arial" w:cs="Arial"/>
          <w:color w:val="333333"/>
          <w:sz w:val="18"/>
          <w:szCs w:val="18"/>
        </w:rPr>
        <w:t xml:space="preserve"> are the reconciliations of our most comparable U. S. GAAP measures to our non-GAAP measures presented:</w:t>
      </w:r>
    </w:p>
    <w:tbl>
      <w:tblPr>
        <w:tblW w:w="5000" w:type="pct"/>
        <w:tblCellMar>
          <w:left w:w="0" w:type="dxa"/>
          <w:right w:w="0" w:type="dxa"/>
        </w:tblCellMar>
        <w:tblLook w:val="04A0" w:firstRow="1" w:lastRow="0" w:firstColumn="1" w:lastColumn="0" w:noHBand="0" w:noVBand="1"/>
      </w:tblPr>
      <w:tblGrid>
        <w:gridCol w:w="4884"/>
        <w:gridCol w:w="130"/>
        <w:gridCol w:w="141"/>
        <w:gridCol w:w="649"/>
        <w:gridCol w:w="201"/>
        <w:gridCol w:w="130"/>
        <w:gridCol w:w="141"/>
        <w:gridCol w:w="649"/>
        <w:gridCol w:w="260"/>
        <w:gridCol w:w="130"/>
        <w:gridCol w:w="141"/>
        <w:gridCol w:w="649"/>
        <w:gridCol w:w="201"/>
      </w:tblGrid>
      <w:tr w:rsidR="006F587A" w14:paraId="4ACE30F6" w14:textId="77777777">
        <w:tc>
          <w:tcPr>
            <w:tcW w:w="0" w:type="auto"/>
            <w:gridSpan w:val="13"/>
            <w:shd w:val="clear" w:color="auto" w:fill="auto"/>
            <w:vAlign w:val="center"/>
          </w:tcPr>
          <w:p w14:paraId="4ACE30F5" w14:textId="77777777" w:rsidR="006F587A" w:rsidRDefault="006F587A">
            <w:pPr>
              <w:rPr>
                <w:rFonts w:ascii="Times New Roman" w:hAnsi="Times New Roman"/>
                <w:sz w:val="20"/>
                <w:szCs w:val="20"/>
              </w:rPr>
            </w:pPr>
          </w:p>
        </w:tc>
      </w:tr>
      <w:tr w:rsidR="006F587A" w14:paraId="4ACE3104" w14:textId="77777777">
        <w:tc>
          <w:tcPr>
            <w:tcW w:w="3050" w:type="pct"/>
            <w:shd w:val="clear" w:color="auto" w:fill="auto"/>
            <w:vAlign w:val="center"/>
          </w:tcPr>
          <w:p w14:paraId="4ACE30F7" w14:textId="77777777" w:rsidR="006F587A" w:rsidRDefault="006F587A">
            <w:pPr>
              <w:rPr>
                <w:rFonts w:ascii="Times New Roman" w:hAnsi="Times New Roman"/>
                <w:sz w:val="20"/>
                <w:szCs w:val="20"/>
              </w:rPr>
            </w:pPr>
          </w:p>
        </w:tc>
        <w:tc>
          <w:tcPr>
            <w:tcW w:w="50" w:type="pct"/>
            <w:shd w:val="clear" w:color="auto" w:fill="auto"/>
            <w:vAlign w:val="center"/>
          </w:tcPr>
          <w:p w14:paraId="4ACE30F8" w14:textId="77777777" w:rsidR="006F587A" w:rsidRDefault="006F587A">
            <w:pPr>
              <w:rPr>
                <w:rFonts w:ascii="Times New Roman" w:hAnsi="Times New Roman"/>
                <w:sz w:val="20"/>
                <w:szCs w:val="20"/>
              </w:rPr>
            </w:pPr>
          </w:p>
        </w:tc>
        <w:tc>
          <w:tcPr>
            <w:tcW w:w="50" w:type="pct"/>
            <w:shd w:val="clear" w:color="auto" w:fill="auto"/>
            <w:vAlign w:val="center"/>
          </w:tcPr>
          <w:p w14:paraId="4ACE30F9" w14:textId="77777777" w:rsidR="006F587A" w:rsidRDefault="006F587A">
            <w:pPr>
              <w:rPr>
                <w:rFonts w:ascii="Times New Roman" w:hAnsi="Times New Roman"/>
                <w:sz w:val="20"/>
                <w:szCs w:val="20"/>
              </w:rPr>
            </w:pPr>
          </w:p>
        </w:tc>
        <w:tc>
          <w:tcPr>
            <w:tcW w:w="500" w:type="pct"/>
            <w:shd w:val="clear" w:color="auto" w:fill="auto"/>
            <w:vAlign w:val="center"/>
          </w:tcPr>
          <w:p w14:paraId="4ACE30FA" w14:textId="77777777" w:rsidR="006F587A" w:rsidRDefault="006F587A">
            <w:pPr>
              <w:rPr>
                <w:rFonts w:ascii="Times New Roman" w:hAnsi="Times New Roman"/>
                <w:sz w:val="20"/>
                <w:szCs w:val="20"/>
              </w:rPr>
            </w:pPr>
          </w:p>
        </w:tc>
        <w:tc>
          <w:tcPr>
            <w:tcW w:w="50" w:type="pct"/>
            <w:shd w:val="clear" w:color="auto" w:fill="auto"/>
            <w:vAlign w:val="center"/>
          </w:tcPr>
          <w:p w14:paraId="4ACE30FB" w14:textId="77777777" w:rsidR="006F587A" w:rsidRDefault="006F587A">
            <w:pPr>
              <w:rPr>
                <w:rFonts w:ascii="Times New Roman" w:hAnsi="Times New Roman"/>
                <w:sz w:val="20"/>
                <w:szCs w:val="20"/>
              </w:rPr>
            </w:pPr>
          </w:p>
        </w:tc>
        <w:tc>
          <w:tcPr>
            <w:tcW w:w="50" w:type="pct"/>
            <w:shd w:val="clear" w:color="auto" w:fill="auto"/>
            <w:vAlign w:val="center"/>
          </w:tcPr>
          <w:p w14:paraId="4ACE30FC" w14:textId="77777777" w:rsidR="006F587A" w:rsidRDefault="006F587A">
            <w:pPr>
              <w:rPr>
                <w:rFonts w:ascii="Times New Roman" w:hAnsi="Times New Roman"/>
                <w:sz w:val="20"/>
                <w:szCs w:val="20"/>
              </w:rPr>
            </w:pPr>
          </w:p>
        </w:tc>
        <w:tc>
          <w:tcPr>
            <w:tcW w:w="50" w:type="pct"/>
            <w:shd w:val="clear" w:color="auto" w:fill="auto"/>
            <w:vAlign w:val="center"/>
          </w:tcPr>
          <w:p w14:paraId="4ACE30FD" w14:textId="77777777" w:rsidR="006F587A" w:rsidRDefault="006F587A">
            <w:pPr>
              <w:rPr>
                <w:rFonts w:ascii="Times New Roman" w:hAnsi="Times New Roman"/>
                <w:sz w:val="20"/>
                <w:szCs w:val="20"/>
              </w:rPr>
            </w:pPr>
          </w:p>
        </w:tc>
        <w:tc>
          <w:tcPr>
            <w:tcW w:w="500" w:type="pct"/>
            <w:shd w:val="clear" w:color="auto" w:fill="auto"/>
            <w:vAlign w:val="center"/>
          </w:tcPr>
          <w:p w14:paraId="4ACE30FE" w14:textId="77777777" w:rsidR="006F587A" w:rsidRDefault="006F587A">
            <w:pPr>
              <w:rPr>
                <w:rFonts w:ascii="Times New Roman" w:hAnsi="Times New Roman"/>
                <w:sz w:val="20"/>
                <w:szCs w:val="20"/>
              </w:rPr>
            </w:pPr>
          </w:p>
        </w:tc>
        <w:tc>
          <w:tcPr>
            <w:tcW w:w="50" w:type="pct"/>
            <w:shd w:val="clear" w:color="auto" w:fill="auto"/>
            <w:vAlign w:val="center"/>
          </w:tcPr>
          <w:p w14:paraId="4ACE30FF" w14:textId="77777777" w:rsidR="006F587A" w:rsidRDefault="006F587A">
            <w:pPr>
              <w:rPr>
                <w:rFonts w:ascii="Times New Roman" w:hAnsi="Times New Roman"/>
                <w:sz w:val="20"/>
                <w:szCs w:val="20"/>
              </w:rPr>
            </w:pPr>
          </w:p>
        </w:tc>
        <w:tc>
          <w:tcPr>
            <w:tcW w:w="50" w:type="pct"/>
            <w:shd w:val="clear" w:color="auto" w:fill="auto"/>
            <w:vAlign w:val="center"/>
          </w:tcPr>
          <w:p w14:paraId="4ACE3100" w14:textId="77777777" w:rsidR="006F587A" w:rsidRDefault="006F587A">
            <w:pPr>
              <w:rPr>
                <w:rFonts w:ascii="Times New Roman" w:hAnsi="Times New Roman"/>
                <w:sz w:val="20"/>
                <w:szCs w:val="20"/>
              </w:rPr>
            </w:pPr>
          </w:p>
        </w:tc>
        <w:tc>
          <w:tcPr>
            <w:tcW w:w="50" w:type="pct"/>
            <w:shd w:val="clear" w:color="auto" w:fill="auto"/>
            <w:vAlign w:val="center"/>
          </w:tcPr>
          <w:p w14:paraId="4ACE3101" w14:textId="77777777" w:rsidR="006F587A" w:rsidRDefault="006F587A">
            <w:pPr>
              <w:rPr>
                <w:rFonts w:ascii="Times New Roman" w:hAnsi="Times New Roman"/>
                <w:sz w:val="20"/>
                <w:szCs w:val="20"/>
              </w:rPr>
            </w:pPr>
          </w:p>
        </w:tc>
        <w:tc>
          <w:tcPr>
            <w:tcW w:w="500" w:type="pct"/>
            <w:shd w:val="clear" w:color="auto" w:fill="auto"/>
            <w:vAlign w:val="center"/>
          </w:tcPr>
          <w:p w14:paraId="4ACE3102" w14:textId="77777777" w:rsidR="006F587A" w:rsidRDefault="006F587A">
            <w:pPr>
              <w:rPr>
                <w:rFonts w:ascii="Times New Roman" w:hAnsi="Times New Roman"/>
                <w:sz w:val="20"/>
                <w:szCs w:val="20"/>
              </w:rPr>
            </w:pPr>
          </w:p>
        </w:tc>
        <w:tc>
          <w:tcPr>
            <w:tcW w:w="50" w:type="pct"/>
            <w:shd w:val="clear" w:color="auto" w:fill="auto"/>
            <w:vAlign w:val="center"/>
          </w:tcPr>
          <w:p w14:paraId="4ACE3103" w14:textId="77777777" w:rsidR="006F587A" w:rsidRDefault="006F587A">
            <w:pPr>
              <w:rPr>
                <w:rFonts w:ascii="Times New Roman" w:hAnsi="Times New Roman"/>
                <w:sz w:val="20"/>
                <w:szCs w:val="20"/>
              </w:rPr>
            </w:pPr>
          </w:p>
        </w:tc>
      </w:tr>
      <w:tr w:rsidR="006F587A" w14:paraId="4ACE310C"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3105"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Years Ended (In Millions, Except Per Share Amounts)</w:t>
            </w:r>
          </w:p>
        </w:tc>
        <w:tc>
          <w:tcPr>
            <w:tcW w:w="0" w:type="auto"/>
            <w:shd w:val="clear" w:color="auto" w:fill="auto"/>
            <w:tcMar>
              <w:top w:w="40" w:type="dxa"/>
              <w:left w:w="40" w:type="dxa"/>
              <w:bottom w:w="40" w:type="dxa"/>
              <w:right w:w="40" w:type="dxa"/>
            </w:tcMar>
            <w:vAlign w:val="bottom"/>
          </w:tcPr>
          <w:p w14:paraId="4ACE310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3107"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28, </w:t>
            </w:r>
            <w:r>
              <w:rPr>
                <w:rFonts w:ascii="Arial" w:eastAsia="宋体" w:hAnsi="Arial" w:cs="Arial"/>
                <w:b/>
                <w:bCs/>
                <w:color w:val="333333"/>
                <w:sz w:val="18"/>
                <w:szCs w:val="18"/>
              </w:rPr>
              <w:br/>
              <w:t>2019</w:t>
            </w:r>
          </w:p>
        </w:tc>
        <w:tc>
          <w:tcPr>
            <w:tcW w:w="0" w:type="auto"/>
            <w:shd w:val="clear" w:color="auto" w:fill="auto"/>
            <w:tcMar>
              <w:top w:w="40" w:type="dxa"/>
              <w:left w:w="40" w:type="dxa"/>
              <w:bottom w:w="40" w:type="dxa"/>
              <w:right w:w="40" w:type="dxa"/>
            </w:tcMar>
            <w:vAlign w:val="bottom"/>
          </w:tcPr>
          <w:p w14:paraId="4ACE310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3109"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29, </w:t>
            </w:r>
            <w:r>
              <w:rPr>
                <w:rFonts w:ascii="Arial" w:eastAsia="宋体" w:hAnsi="Arial" w:cs="Arial"/>
                <w:b/>
                <w:bCs/>
                <w:color w:val="333333"/>
                <w:sz w:val="18"/>
                <w:szCs w:val="18"/>
              </w:rPr>
              <w:br/>
              <w:t>2018</w:t>
            </w:r>
          </w:p>
        </w:tc>
        <w:tc>
          <w:tcPr>
            <w:tcW w:w="0" w:type="auto"/>
            <w:shd w:val="clear" w:color="auto" w:fill="auto"/>
            <w:tcMar>
              <w:top w:w="40" w:type="dxa"/>
              <w:left w:w="40" w:type="dxa"/>
              <w:bottom w:w="40" w:type="dxa"/>
              <w:right w:w="40" w:type="dxa"/>
            </w:tcMar>
            <w:vAlign w:val="bottom"/>
          </w:tcPr>
          <w:p w14:paraId="4ACE310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310B"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30, </w:t>
            </w:r>
            <w:r>
              <w:rPr>
                <w:rFonts w:ascii="Arial" w:eastAsia="宋体" w:hAnsi="Arial" w:cs="Arial"/>
                <w:b/>
                <w:bCs/>
                <w:color w:val="333333"/>
                <w:sz w:val="18"/>
                <w:szCs w:val="18"/>
              </w:rPr>
              <w:br/>
              <w:t>2017</w:t>
            </w:r>
          </w:p>
        </w:tc>
      </w:tr>
      <w:tr w:rsidR="006F587A" w14:paraId="4ACE311A" w14:textId="77777777">
        <w:tc>
          <w:tcPr>
            <w:tcW w:w="0" w:type="auto"/>
            <w:shd w:val="clear" w:color="auto" w:fill="auto"/>
            <w:tcMar>
              <w:top w:w="40" w:type="dxa"/>
              <w:left w:w="40" w:type="dxa"/>
              <w:bottom w:w="40" w:type="dxa"/>
              <w:right w:w="40" w:type="dxa"/>
            </w:tcMar>
            <w:vAlign w:val="bottom"/>
          </w:tcPr>
          <w:p w14:paraId="4ACE310D"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Operating income</w:t>
            </w:r>
          </w:p>
        </w:tc>
        <w:tc>
          <w:tcPr>
            <w:tcW w:w="0" w:type="auto"/>
            <w:shd w:val="clear" w:color="auto" w:fill="auto"/>
            <w:tcMar>
              <w:top w:w="40" w:type="dxa"/>
              <w:left w:w="40" w:type="dxa"/>
              <w:bottom w:w="40" w:type="dxa"/>
              <w:right w:w="40" w:type="dxa"/>
            </w:tcMar>
            <w:vAlign w:val="bottom"/>
          </w:tcPr>
          <w:p w14:paraId="4ACE310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310F"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tcBorders>
              <w:top w:val="single" w:sz="8" w:space="0" w:color="0071C5"/>
            </w:tcBorders>
            <w:shd w:val="clear" w:color="auto" w:fill="auto"/>
            <w:tcMar>
              <w:top w:w="40" w:type="dxa"/>
              <w:bottom w:w="40" w:type="dxa"/>
            </w:tcMar>
            <w:vAlign w:val="bottom"/>
          </w:tcPr>
          <w:p w14:paraId="4ACE3110"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22,035</w:t>
            </w:r>
          </w:p>
        </w:tc>
        <w:tc>
          <w:tcPr>
            <w:tcW w:w="0" w:type="auto"/>
            <w:tcBorders>
              <w:top w:val="single" w:sz="8" w:space="0" w:color="0071C5"/>
            </w:tcBorders>
            <w:shd w:val="clear" w:color="auto" w:fill="auto"/>
            <w:vAlign w:val="bottom"/>
          </w:tcPr>
          <w:p w14:paraId="4ACE311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11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11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11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23,316</w:t>
            </w:r>
          </w:p>
        </w:tc>
        <w:tc>
          <w:tcPr>
            <w:tcW w:w="0" w:type="auto"/>
            <w:shd w:val="clear" w:color="auto" w:fill="auto"/>
            <w:vAlign w:val="bottom"/>
          </w:tcPr>
          <w:p w14:paraId="4ACE311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11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11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11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18,050</w:t>
            </w:r>
          </w:p>
        </w:tc>
        <w:tc>
          <w:tcPr>
            <w:tcW w:w="0" w:type="auto"/>
            <w:shd w:val="clear" w:color="auto" w:fill="auto"/>
            <w:vAlign w:val="bottom"/>
          </w:tcPr>
          <w:p w14:paraId="4ACE3119" w14:textId="77777777" w:rsidR="006F587A" w:rsidRDefault="006F587A">
            <w:pPr>
              <w:textAlignment w:val="bottom"/>
              <w:rPr>
                <w:rFonts w:ascii="Times New Roman" w:hAnsi="Times New Roman"/>
                <w:sz w:val="20"/>
                <w:szCs w:val="20"/>
              </w:rPr>
            </w:pPr>
          </w:p>
        </w:tc>
      </w:tr>
      <w:tr w:rsidR="006F587A" w14:paraId="4ACE3125" w14:textId="77777777">
        <w:tc>
          <w:tcPr>
            <w:tcW w:w="0" w:type="auto"/>
            <w:shd w:val="clear" w:color="auto" w:fill="auto"/>
            <w:tcMar>
              <w:top w:w="40" w:type="dxa"/>
              <w:left w:w="400" w:type="dxa"/>
              <w:bottom w:w="40" w:type="dxa"/>
              <w:right w:w="40" w:type="dxa"/>
            </w:tcMar>
            <w:vAlign w:val="bottom"/>
          </w:tcPr>
          <w:p w14:paraId="4ACE311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Acquisition-related adjustments</w:t>
            </w:r>
          </w:p>
        </w:tc>
        <w:tc>
          <w:tcPr>
            <w:tcW w:w="0" w:type="auto"/>
            <w:shd w:val="clear" w:color="auto" w:fill="auto"/>
            <w:tcMar>
              <w:top w:w="40" w:type="dxa"/>
              <w:left w:w="40" w:type="dxa"/>
              <w:bottom w:w="40" w:type="dxa"/>
              <w:right w:w="40" w:type="dxa"/>
            </w:tcMar>
            <w:vAlign w:val="bottom"/>
          </w:tcPr>
          <w:p w14:paraId="4ACE311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11D"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1,324</w:t>
            </w:r>
          </w:p>
        </w:tc>
        <w:tc>
          <w:tcPr>
            <w:tcW w:w="0" w:type="auto"/>
            <w:shd w:val="clear" w:color="auto" w:fill="auto"/>
            <w:vAlign w:val="bottom"/>
          </w:tcPr>
          <w:p w14:paraId="4ACE311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11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120"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1,305</w:t>
            </w:r>
          </w:p>
        </w:tc>
        <w:tc>
          <w:tcPr>
            <w:tcW w:w="0" w:type="auto"/>
            <w:shd w:val="clear" w:color="auto" w:fill="auto"/>
            <w:vAlign w:val="bottom"/>
          </w:tcPr>
          <w:p w14:paraId="4ACE312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12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123"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1,257</w:t>
            </w:r>
          </w:p>
        </w:tc>
        <w:tc>
          <w:tcPr>
            <w:tcW w:w="0" w:type="auto"/>
            <w:shd w:val="clear" w:color="auto" w:fill="auto"/>
            <w:vAlign w:val="bottom"/>
          </w:tcPr>
          <w:p w14:paraId="4ACE3124" w14:textId="77777777" w:rsidR="006F587A" w:rsidRDefault="006F587A">
            <w:pPr>
              <w:textAlignment w:val="bottom"/>
              <w:rPr>
                <w:rFonts w:ascii="Times New Roman" w:hAnsi="Times New Roman"/>
                <w:sz w:val="20"/>
                <w:szCs w:val="20"/>
              </w:rPr>
            </w:pPr>
          </w:p>
        </w:tc>
      </w:tr>
      <w:tr w:rsidR="006F587A" w14:paraId="4ACE3130" w14:textId="77777777">
        <w:tc>
          <w:tcPr>
            <w:tcW w:w="0" w:type="auto"/>
            <w:shd w:val="clear" w:color="auto" w:fill="auto"/>
            <w:tcMar>
              <w:top w:w="40" w:type="dxa"/>
              <w:left w:w="400" w:type="dxa"/>
              <w:bottom w:w="40" w:type="dxa"/>
              <w:right w:w="40" w:type="dxa"/>
            </w:tcMar>
            <w:vAlign w:val="bottom"/>
          </w:tcPr>
          <w:p w14:paraId="4ACE312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Restructuring and other charges</w:t>
            </w:r>
          </w:p>
        </w:tc>
        <w:tc>
          <w:tcPr>
            <w:tcW w:w="0" w:type="auto"/>
            <w:shd w:val="clear" w:color="auto" w:fill="auto"/>
            <w:tcMar>
              <w:top w:w="40" w:type="dxa"/>
              <w:left w:w="40" w:type="dxa"/>
              <w:bottom w:w="40" w:type="dxa"/>
              <w:right w:w="40" w:type="dxa"/>
            </w:tcMar>
            <w:vAlign w:val="bottom"/>
          </w:tcPr>
          <w:p w14:paraId="4ACE312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128"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393</w:t>
            </w:r>
          </w:p>
        </w:tc>
        <w:tc>
          <w:tcPr>
            <w:tcW w:w="0" w:type="auto"/>
            <w:shd w:val="clear" w:color="auto" w:fill="auto"/>
            <w:vAlign w:val="bottom"/>
          </w:tcPr>
          <w:p w14:paraId="4ACE312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12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12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(72</w:t>
            </w:r>
          </w:p>
        </w:tc>
        <w:tc>
          <w:tcPr>
            <w:tcW w:w="0" w:type="auto"/>
            <w:shd w:val="clear" w:color="auto" w:fill="auto"/>
            <w:tcMar>
              <w:top w:w="40" w:type="dxa"/>
              <w:bottom w:w="40" w:type="dxa"/>
              <w:right w:w="40" w:type="dxa"/>
            </w:tcMar>
            <w:vAlign w:val="bottom"/>
          </w:tcPr>
          <w:p w14:paraId="4ACE312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312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12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384</w:t>
            </w:r>
          </w:p>
        </w:tc>
        <w:tc>
          <w:tcPr>
            <w:tcW w:w="0" w:type="auto"/>
            <w:shd w:val="clear" w:color="auto" w:fill="auto"/>
            <w:vAlign w:val="bottom"/>
          </w:tcPr>
          <w:p w14:paraId="4ACE312F" w14:textId="77777777" w:rsidR="006F587A" w:rsidRDefault="006F587A">
            <w:pPr>
              <w:textAlignment w:val="bottom"/>
              <w:rPr>
                <w:rFonts w:ascii="Times New Roman" w:hAnsi="Times New Roman"/>
                <w:sz w:val="20"/>
                <w:szCs w:val="20"/>
              </w:rPr>
            </w:pPr>
          </w:p>
        </w:tc>
      </w:tr>
      <w:tr w:rsidR="006F587A" w14:paraId="4ACE313E" w14:textId="77777777">
        <w:tc>
          <w:tcPr>
            <w:tcW w:w="0" w:type="auto"/>
            <w:shd w:val="clear" w:color="auto" w:fill="auto"/>
            <w:tcMar>
              <w:top w:w="40" w:type="dxa"/>
              <w:left w:w="40" w:type="dxa"/>
              <w:bottom w:w="40" w:type="dxa"/>
              <w:right w:w="40" w:type="dxa"/>
            </w:tcMar>
            <w:vAlign w:val="bottom"/>
          </w:tcPr>
          <w:p w14:paraId="4ACE3131"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Non-GAAP operating income</w:t>
            </w:r>
          </w:p>
        </w:tc>
        <w:tc>
          <w:tcPr>
            <w:tcW w:w="0" w:type="auto"/>
            <w:shd w:val="clear" w:color="auto" w:fill="auto"/>
            <w:tcMar>
              <w:top w:w="40" w:type="dxa"/>
              <w:left w:w="40" w:type="dxa"/>
              <w:bottom w:w="40" w:type="dxa"/>
              <w:right w:w="40" w:type="dxa"/>
            </w:tcMar>
            <w:vAlign w:val="bottom"/>
          </w:tcPr>
          <w:p w14:paraId="4ACE313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3133"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3134"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23,752</w:t>
            </w:r>
          </w:p>
        </w:tc>
        <w:tc>
          <w:tcPr>
            <w:tcW w:w="0" w:type="auto"/>
            <w:tcBorders>
              <w:top w:val="single" w:sz="8" w:space="0" w:color="333333"/>
              <w:bottom w:val="double" w:sz="6" w:space="0" w:color="333333"/>
            </w:tcBorders>
            <w:shd w:val="clear" w:color="auto" w:fill="auto"/>
            <w:vAlign w:val="bottom"/>
          </w:tcPr>
          <w:p w14:paraId="4ACE313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13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3137"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3138"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24,549</w:t>
            </w:r>
          </w:p>
        </w:tc>
        <w:tc>
          <w:tcPr>
            <w:tcW w:w="0" w:type="auto"/>
            <w:tcBorders>
              <w:top w:val="single" w:sz="8" w:space="0" w:color="333333"/>
              <w:bottom w:val="double" w:sz="6" w:space="0" w:color="333333"/>
            </w:tcBorders>
            <w:shd w:val="clear" w:color="auto" w:fill="auto"/>
            <w:vAlign w:val="bottom"/>
          </w:tcPr>
          <w:p w14:paraId="4ACE313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13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313B"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313C"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19,691</w:t>
            </w:r>
          </w:p>
        </w:tc>
        <w:tc>
          <w:tcPr>
            <w:tcW w:w="0" w:type="auto"/>
            <w:tcBorders>
              <w:top w:val="single" w:sz="8" w:space="0" w:color="333333"/>
              <w:bottom w:val="double" w:sz="6" w:space="0" w:color="333333"/>
            </w:tcBorders>
            <w:shd w:val="clear" w:color="auto" w:fill="auto"/>
            <w:vAlign w:val="bottom"/>
          </w:tcPr>
          <w:p w14:paraId="4ACE313D" w14:textId="77777777" w:rsidR="006F587A" w:rsidRDefault="006F587A">
            <w:pPr>
              <w:textAlignment w:val="bottom"/>
              <w:rPr>
                <w:rFonts w:ascii="Times New Roman" w:hAnsi="Times New Roman"/>
                <w:sz w:val="20"/>
                <w:szCs w:val="20"/>
              </w:rPr>
            </w:pPr>
          </w:p>
        </w:tc>
      </w:tr>
      <w:tr w:rsidR="006F587A" w14:paraId="4ACE3146" w14:textId="77777777">
        <w:tc>
          <w:tcPr>
            <w:tcW w:w="0" w:type="auto"/>
            <w:shd w:val="clear" w:color="auto" w:fill="auto"/>
            <w:tcMar>
              <w:top w:w="40" w:type="dxa"/>
              <w:left w:w="40" w:type="dxa"/>
              <w:bottom w:w="40" w:type="dxa"/>
              <w:right w:w="40" w:type="dxa"/>
            </w:tcMar>
            <w:vAlign w:val="bottom"/>
          </w:tcPr>
          <w:p w14:paraId="4ACE313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14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14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14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14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14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14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3151" w14:textId="77777777">
        <w:tc>
          <w:tcPr>
            <w:tcW w:w="0" w:type="auto"/>
            <w:shd w:val="clear" w:color="auto" w:fill="auto"/>
            <w:tcMar>
              <w:top w:w="40" w:type="dxa"/>
              <w:left w:w="40" w:type="dxa"/>
              <w:bottom w:w="40" w:type="dxa"/>
              <w:right w:w="40" w:type="dxa"/>
            </w:tcMar>
            <w:vAlign w:val="bottom"/>
          </w:tcPr>
          <w:p w14:paraId="4ACE3147"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Operating margin</w:t>
            </w:r>
          </w:p>
        </w:tc>
        <w:tc>
          <w:tcPr>
            <w:tcW w:w="0" w:type="auto"/>
            <w:shd w:val="clear" w:color="auto" w:fill="auto"/>
            <w:tcMar>
              <w:top w:w="40" w:type="dxa"/>
              <w:left w:w="40" w:type="dxa"/>
              <w:bottom w:w="40" w:type="dxa"/>
              <w:right w:w="40" w:type="dxa"/>
            </w:tcMar>
            <w:vAlign w:val="bottom"/>
          </w:tcPr>
          <w:p w14:paraId="4ACE314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149"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30.6</w:t>
            </w:r>
          </w:p>
        </w:tc>
        <w:tc>
          <w:tcPr>
            <w:tcW w:w="0" w:type="auto"/>
            <w:shd w:val="clear" w:color="auto" w:fill="auto"/>
            <w:tcMar>
              <w:top w:w="40" w:type="dxa"/>
              <w:bottom w:w="40" w:type="dxa"/>
              <w:right w:w="40" w:type="dxa"/>
            </w:tcMar>
            <w:vAlign w:val="bottom"/>
          </w:tcPr>
          <w:p w14:paraId="4ACE314A"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314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14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32.9</w:t>
            </w:r>
          </w:p>
        </w:tc>
        <w:tc>
          <w:tcPr>
            <w:tcW w:w="0" w:type="auto"/>
            <w:shd w:val="clear" w:color="auto" w:fill="auto"/>
            <w:tcMar>
              <w:top w:w="40" w:type="dxa"/>
              <w:bottom w:w="40" w:type="dxa"/>
              <w:right w:w="40" w:type="dxa"/>
            </w:tcMar>
            <w:vAlign w:val="bottom"/>
          </w:tcPr>
          <w:p w14:paraId="4ACE314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w:t>
            </w:r>
          </w:p>
        </w:tc>
        <w:tc>
          <w:tcPr>
            <w:tcW w:w="0" w:type="auto"/>
            <w:shd w:val="clear" w:color="auto" w:fill="auto"/>
            <w:tcMar>
              <w:top w:w="40" w:type="dxa"/>
              <w:left w:w="40" w:type="dxa"/>
              <w:bottom w:w="40" w:type="dxa"/>
              <w:right w:w="40" w:type="dxa"/>
            </w:tcMar>
            <w:vAlign w:val="bottom"/>
          </w:tcPr>
          <w:p w14:paraId="4ACE314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14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28.8</w:t>
            </w:r>
          </w:p>
        </w:tc>
        <w:tc>
          <w:tcPr>
            <w:tcW w:w="0" w:type="auto"/>
            <w:shd w:val="clear" w:color="auto" w:fill="auto"/>
            <w:tcMar>
              <w:top w:w="40" w:type="dxa"/>
              <w:bottom w:w="40" w:type="dxa"/>
              <w:right w:w="40" w:type="dxa"/>
            </w:tcMar>
            <w:vAlign w:val="bottom"/>
          </w:tcPr>
          <w:p w14:paraId="4ACE315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315C" w14:textId="77777777">
        <w:tc>
          <w:tcPr>
            <w:tcW w:w="0" w:type="auto"/>
            <w:shd w:val="clear" w:color="auto" w:fill="auto"/>
            <w:tcMar>
              <w:top w:w="40" w:type="dxa"/>
              <w:left w:w="400" w:type="dxa"/>
              <w:bottom w:w="40" w:type="dxa"/>
              <w:right w:w="40" w:type="dxa"/>
            </w:tcMar>
            <w:vAlign w:val="bottom"/>
          </w:tcPr>
          <w:p w14:paraId="4ACE315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Acquisition-related adjustments</w:t>
            </w:r>
          </w:p>
        </w:tc>
        <w:tc>
          <w:tcPr>
            <w:tcW w:w="0" w:type="auto"/>
            <w:shd w:val="clear" w:color="auto" w:fill="auto"/>
            <w:tcMar>
              <w:top w:w="40" w:type="dxa"/>
              <w:left w:w="40" w:type="dxa"/>
              <w:bottom w:w="40" w:type="dxa"/>
              <w:right w:w="40" w:type="dxa"/>
            </w:tcMar>
            <w:vAlign w:val="bottom"/>
          </w:tcPr>
          <w:p w14:paraId="4ACE315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154"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1.8</w:t>
            </w:r>
          </w:p>
        </w:tc>
        <w:tc>
          <w:tcPr>
            <w:tcW w:w="0" w:type="auto"/>
            <w:shd w:val="clear" w:color="auto" w:fill="auto"/>
            <w:tcMar>
              <w:top w:w="40" w:type="dxa"/>
              <w:bottom w:w="40" w:type="dxa"/>
              <w:right w:w="40" w:type="dxa"/>
            </w:tcMar>
            <w:vAlign w:val="bottom"/>
          </w:tcPr>
          <w:p w14:paraId="4ACE3155"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315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15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1.8</w:t>
            </w:r>
          </w:p>
        </w:tc>
        <w:tc>
          <w:tcPr>
            <w:tcW w:w="0" w:type="auto"/>
            <w:shd w:val="clear" w:color="auto" w:fill="auto"/>
            <w:tcMar>
              <w:top w:w="40" w:type="dxa"/>
              <w:bottom w:w="40" w:type="dxa"/>
              <w:right w:w="40" w:type="dxa"/>
            </w:tcMar>
            <w:vAlign w:val="bottom"/>
          </w:tcPr>
          <w:p w14:paraId="4ACE315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w:t>
            </w:r>
          </w:p>
        </w:tc>
        <w:tc>
          <w:tcPr>
            <w:tcW w:w="0" w:type="auto"/>
            <w:shd w:val="clear" w:color="auto" w:fill="auto"/>
            <w:tcMar>
              <w:top w:w="40" w:type="dxa"/>
              <w:left w:w="40" w:type="dxa"/>
              <w:bottom w:w="40" w:type="dxa"/>
              <w:right w:w="40" w:type="dxa"/>
            </w:tcMar>
            <w:vAlign w:val="bottom"/>
          </w:tcPr>
          <w:p w14:paraId="4ACE315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15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2.0</w:t>
            </w:r>
          </w:p>
        </w:tc>
        <w:tc>
          <w:tcPr>
            <w:tcW w:w="0" w:type="auto"/>
            <w:shd w:val="clear" w:color="auto" w:fill="auto"/>
            <w:tcMar>
              <w:top w:w="40" w:type="dxa"/>
              <w:bottom w:w="40" w:type="dxa"/>
              <w:right w:w="40" w:type="dxa"/>
            </w:tcMar>
            <w:vAlign w:val="bottom"/>
          </w:tcPr>
          <w:p w14:paraId="4ACE315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3167" w14:textId="77777777">
        <w:tc>
          <w:tcPr>
            <w:tcW w:w="0" w:type="auto"/>
            <w:shd w:val="clear" w:color="auto" w:fill="auto"/>
            <w:tcMar>
              <w:top w:w="40" w:type="dxa"/>
              <w:left w:w="400" w:type="dxa"/>
              <w:bottom w:w="40" w:type="dxa"/>
              <w:right w:w="40" w:type="dxa"/>
            </w:tcMar>
            <w:vAlign w:val="bottom"/>
          </w:tcPr>
          <w:p w14:paraId="4ACE315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Restructuring and other charges</w:t>
            </w:r>
          </w:p>
        </w:tc>
        <w:tc>
          <w:tcPr>
            <w:tcW w:w="0" w:type="auto"/>
            <w:shd w:val="clear" w:color="auto" w:fill="auto"/>
            <w:tcMar>
              <w:top w:w="40" w:type="dxa"/>
              <w:left w:w="40" w:type="dxa"/>
              <w:bottom w:w="40" w:type="dxa"/>
              <w:right w:w="40" w:type="dxa"/>
            </w:tcMar>
            <w:vAlign w:val="bottom"/>
          </w:tcPr>
          <w:p w14:paraId="4ACE315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15F"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0.5</w:t>
            </w:r>
          </w:p>
        </w:tc>
        <w:tc>
          <w:tcPr>
            <w:tcW w:w="0" w:type="auto"/>
            <w:shd w:val="clear" w:color="auto" w:fill="auto"/>
            <w:tcMar>
              <w:top w:w="40" w:type="dxa"/>
              <w:bottom w:w="40" w:type="dxa"/>
              <w:right w:w="40" w:type="dxa"/>
            </w:tcMar>
            <w:vAlign w:val="bottom"/>
          </w:tcPr>
          <w:p w14:paraId="4ACE3160"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316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16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(0.1</w:t>
            </w:r>
          </w:p>
        </w:tc>
        <w:tc>
          <w:tcPr>
            <w:tcW w:w="0" w:type="auto"/>
            <w:shd w:val="clear" w:color="auto" w:fill="auto"/>
            <w:tcMar>
              <w:top w:w="40" w:type="dxa"/>
              <w:bottom w:w="40" w:type="dxa"/>
              <w:right w:w="40" w:type="dxa"/>
            </w:tcMar>
            <w:vAlign w:val="bottom"/>
          </w:tcPr>
          <w:p w14:paraId="4ACE316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316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165"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0.6</w:t>
            </w:r>
          </w:p>
        </w:tc>
        <w:tc>
          <w:tcPr>
            <w:tcW w:w="0" w:type="auto"/>
            <w:shd w:val="clear" w:color="auto" w:fill="auto"/>
            <w:tcMar>
              <w:top w:w="40" w:type="dxa"/>
              <w:bottom w:w="40" w:type="dxa"/>
              <w:right w:w="40" w:type="dxa"/>
            </w:tcMar>
            <w:vAlign w:val="bottom"/>
          </w:tcPr>
          <w:p w14:paraId="4ACE316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3172" w14:textId="77777777">
        <w:tc>
          <w:tcPr>
            <w:tcW w:w="0" w:type="auto"/>
            <w:shd w:val="clear" w:color="auto" w:fill="auto"/>
            <w:tcMar>
              <w:top w:w="40" w:type="dxa"/>
              <w:left w:w="40" w:type="dxa"/>
              <w:bottom w:w="40" w:type="dxa"/>
              <w:right w:w="40" w:type="dxa"/>
            </w:tcMar>
            <w:vAlign w:val="bottom"/>
          </w:tcPr>
          <w:p w14:paraId="4ACE3168"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Non-GAAP operating margin</w:t>
            </w:r>
          </w:p>
        </w:tc>
        <w:tc>
          <w:tcPr>
            <w:tcW w:w="0" w:type="auto"/>
            <w:shd w:val="clear" w:color="auto" w:fill="auto"/>
            <w:tcMar>
              <w:top w:w="40" w:type="dxa"/>
              <w:left w:w="40" w:type="dxa"/>
              <w:bottom w:w="40" w:type="dxa"/>
              <w:right w:w="40" w:type="dxa"/>
            </w:tcMar>
            <w:vAlign w:val="bottom"/>
          </w:tcPr>
          <w:p w14:paraId="4ACE316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double" w:sz="6" w:space="0" w:color="333333"/>
            </w:tcBorders>
            <w:shd w:val="clear" w:color="auto" w:fill="auto"/>
            <w:tcMar>
              <w:top w:w="40" w:type="dxa"/>
              <w:left w:w="40" w:type="dxa"/>
              <w:bottom w:w="40" w:type="dxa"/>
            </w:tcMar>
            <w:vAlign w:val="bottom"/>
          </w:tcPr>
          <w:p w14:paraId="4ACE316A"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33.0</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4ACE316B"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left w:w="40" w:type="dxa"/>
              <w:bottom w:w="40" w:type="dxa"/>
              <w:right w:w="40" w:type="dxa"/>
            </w:tcMar>
            <w:vAlign w:val="bottom"/>
          </w:tcPr>
          <w:p w14:paraId="4ACE316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double" w:sz="6" w:space="0" w:color="333333"/>
            </w:tcBorders>
            <w:shd w:val="clear" w:color="auto" w:fill="auto"/>
            <w:tcMar>
              <w:top w:w="40" w:type="dxa"/>
              <w:left w:w="40" w:type="dxa"/>
              <w:bottom w:w="40" w:type="dxa"/>
            </w:tcMar>
            <w:vAlign w:val="bottom"/>
          </w:tcPr>
          <w:p w14:paraId="4ACE316D"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34.7</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4ACE316E"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 %</w:t>
            </w:r>
          </w:p>
        </w:tc>
        <w:tc>
          <w:tcPr>
            <w:tcW w:w="0" w:type="auto"/>
            <w:shd w:val="clear" w:color="auto" w:fill="auto"/>
            <w:tcMar>
              <w:top w:w="40" w:type="dxa"/>
              <w:left w:w="40" w:type="dxa"/>
              <w:bottom w:w="40" w:type="dxa"/>
              <w:right w:w="40" w:type="dxa"/>
            </w:tcMar>
            <w:vAlign w:val="bottom"/>
          </w:tcPr>
          <w:p w14:paraId="4ACE316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double" w:sz="6" w:space="0" w:color="333333"/>
            </w:tcBorders>
            <w:shd w:val="clear" w:color="auto" w:fill="auto"/>
            <w:tcMar>
              <w:top w:w="40" w:type="dxa"/>
              <w:left w:w="40" w:type="dxa"/>
              <w:bottom w:w="40" w:type="dxa"/>
            </w:tcMar>
            <w:vAlign w:val="bottom"/>
          </w:tcPr>
          <w:p w14:paraId="4ACE3170"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31.4</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4ACE3171"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r>
      <w:tr w:rsidR="006F587A" w14:paraId="4ACE317A" w14:textId="77777777">
        <w:tc>
          <w:tcPr>
            <w:tcW w:w="0" w:type="auto"/>
            <w:shd w:val="clear" w:color="auto" w:fill="auto"/>
            <w:tcMar>
              <w:top w:w="40" w:type="dxa"/>
              <w:left w:w="40" w:type="dxa"/>
              <w:bottom w:w="40" w:type="dxa"/>
              <w:right w:w="40" w:type="dxa"/>
            </w:tcMar>
            <w:vAlign w:val="bottom"/>
          </w:tcPr>
          <w:p w14:paraId="4ACE317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17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17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17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17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17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17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3188" w14:textId="77777777">
        <w:tc>
          <w:tcPr>
            <w:tcW w:w="0" w:type="auto"/>
            <w:shd w:val="clear" w:color="auto" w:fill="auto"/>
            <w:tcMar>
              <w:top w:w="40" w:type="dxa"/>
              <w:left w:w="40" w:type="dxa"/>
              <w:bottom w:w="40" w:type="dxa"/>
              <w:right w:w="40" w:type="dxa"/>
            </w:tcMar>
            <w:vAlign w:val="bottom"/>
          </w:tcPr>
          <w:p w14:paraId="4ACE317B"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Net income</w:t>
            </w:r>
          </w:p>
        </w:tc>
        <w:tc>
          <w:tcPr>
            <w:tcW w:w="0" w:type="auto"/>
            <w:shd w:val="clear" w:color="auto" w:fill="auto"/>
            <w:tcMar>
              <w:top w:w="40" w:type="dxa"/>
              <w:left w:w="40" w:type="dxa"/>
              <w:bottom w:w="40" w:type="dxa"/>
              <w:right w:w="40" w:type="dxa"/>
            </w:tcMar>
            <w:vAlign w:val="bottom"/>
          </w:tcPr>
          <w:p w14:paraId="4ACE317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17D"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317E"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21,048</w:t>
            </w:r>
          </w:p>
        </w:tc>
        <w:tc>
          <w:tcPr>
            <w:tcW w:w="0" w:type="auto"/>
            <w:shd w:val="clear" w:color="auto" w:fill="auto"/>
            <w:vAlign w:val="bottom"/>
          </w:tcPr>
          <w:p w14:paraId="4ACE317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18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18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18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21,053</w:t>
            </w:r>
          </w:p>
        </w:tc>
        <w:tc>
          <w:tcPr>
            <w:tcW w:w="0" w:type="auto"/>
            <w:shd w:val="clear" w:color="auto" w:fill="auto"/>
            <w:vAlign w:val="bottom"/>
          </w:tcPr>
          <w:p w14:paraId="4ACE318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18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18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18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9,601</w:t>
            </w:r>
          </w:p>
        </w:tc>
        <w:tc>
          <w:tcPr>
            <w:tcW w:w="0" w:type="auto"/>
            <w:shd w:val="clear" w:color="auto" w:fill="auto"/>
            <w:vAlign w:val="bottom"/>
          </w:tcPr>
          <w:p w14:paraId="4ACE3187" w14:textId="77777777" w:rsidR="006F587A" w:rsidRDefault="006F587A">
            <w:pPr>
              <w:textAlignment w:val="bottom"/>
              <w:rPr>
                <w:rFonts w:ascii="Times New Roman" w:hAnsi="Times New Roman"/>
                <w:sz w:val="20"/>
                <w:szCs w:val="20"/>
              </w:rPr>
            </w:pPr>
          </w:p>
        </w:tc>
      </w:tr>
      <w:tr w:rsidR="006F587A" w14:paraId="4ACE3193" w14:textId="77777777">
        <w:tc>
          <w:tcPr>
            <w:tcW w:w="0" w:type="auto"/>
            <w:shd w:val="clear" w:color="auto" w:fill="auto"/>
            <w:tcMar>
              <w:top w:w="40" w:type="dxa"/>
              <w:left w:w="400" w:type="dxa"/>
              <w:bottom w:w="40" w:type="dxa"/>
              <w:right w:w="40" w:type="dxa"/>
            </w:tcMar>
            <w:vAlign w:val="bottom"/>
          </w:tcPr>
          <w:p w14:paraId="4ACE318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Acquisition-related adjustments</w:t>
            </w:r>
          </w:p>
        </w:tc>
        <w:tc>
          <w:tcPr>
            <w:tcW w:w="0" w:type="auto"/>
            <w:shd w:val="clear" w:color="auto" w:fill="auto"/>
            <w:tcMar>
              <w:top w:w="40" w:type="dxa"/>
              <w:left w:w="40" w:type="dxa"/>
              <w:bottom w:w="40" w:type="dxa"/>
              <w:right w:w="40" w:type="dxa"/>
            </w:tcMar>
            <w:vAlign w:val="bottom"/>
          </w:tcPr>
          <w:p w14:paraId="4ACE318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18B"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1,324</w:t>
            </w:r>
          </w:p>
        </w:tc>
        <w:tc>
          <w:tcPr>
            <w:tcW w:w="0" w:type="auto"/>
            <w:shd w:val="clear" w:color="auto" w:fill="auto"/>
            <w:vAlign w:val="bottom"/>
          </w:tcPr>
          <w:p w14:paraId="4ACE318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18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18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1,305</w:t>
            </w:r>
          </w:p>
        </w:tc>
        <w:tc>
          <w:tcPr>
            <w:tcW w:w="0" w:type="auto"/>
            <w:shd w:val="clear" w:color="auto" w:fill="auto"/>
            <w:vAlign w:val="bottom"/>
          </w:tcPr>
          <w:p w14:paraId="4ACE318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19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191"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1,257</w:t>
            </w:r>
          </w:p>
        </w:tc>
        <w:tc>
          <w:tcPr>
            <w:tcW w:w="0" w:type="auto"/>
            <w:shd w:val="clear" w:color="auto" w:fill="auto"/>
            <w:vAlign w:val="bottom"/>
          </w:tcPr>
          <w:p w14:paraId="4ACE3192" w14:textId="77777777" w:rsidR="006F587A" w:rsidRDefault="006F587A">
            <w:pPr>
              <w:textAlignment w:val="bottom"/>
              <w:rPr>
                <w:rFonts w:ascii="Times New Roman" w:hAnsi="Times New Roman"/>
                <w:sz w:val="20"/>
                <w:szCs w:val="20"/>
              </w:rPr>
            </w:pPr>
          </w:p>
        </w:tc>
      </w:tr>
      <w:tr w:rsidR="006F587A" w14:paraId="4ACE319E" w14:textId="77777777">
        <w:tc>
          <w:tcPr>
            <w:tcW w:w="0" w:type="auto"/>
            <w:shd w:val="clear" w:color="auto" w:fill="auto"/>
            <w:tcMar>
              <w:top w:w="40" w:type="dxa"/>
              <w:left w:w="400" w:type="dxa"/>
              <w:bottom w:w="40" w:type="dxa"/>
              <w:right w:w="40" w:type="dxa"/>
            </w:tcMar>
            <w:vAlign w:val="bottom"/>
          </w:tcPr>
          <w:p w14:paraId="4ACE319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Restructuring and other charges</w:t>
            </w:r>
          </w:p>
        </w:tc>
        <w:tc>
          <w:tcPr>
            <w:tcW w:w="0" w:type="auto"/>
            <w:shd w:val="clear" w:color="auto" w:fill="auto"/>
            <w:tcMar>
              <w:top w:w="40" w:type="dxa"/>
              <w:left w:w="40" w:type="dxa"/>
              <w:bottom w:w="40" w:type="dxa"/>
              <w:right w:w="40" w:type="dxa"/>
            </w:tcMar>
            <w:vAlign w:val="bottom"/>
          </w:tcPr>
          <w:p w14:paraId="4ACE319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196"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393</w:t>
            </w:r>
          </w:p>
        </w:tc>
        <w:tc>
          <w:tcPr>
            <w:tcW w:w="0" w:type="auto"/>
            <w:shd w:val="clear" w:color="auto" w:fill="auto"/>
            <w:vAlign w:val="bottom"/>
          </w:tcPr>
          <w:p w14:paraId="4ACE319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19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19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(72</w:t>
            </w:r>
          </w:p>
        </w:tc>
        <w:tc>
          <w:tcPr>
            <w:tcW w:w="0" w:type="auto"/>
            <w:shd w:val="clear" w:color="auto" w:fill="auto"/>
            <w:tcMar>
              <w:top w:w="40" w:type="dxa"/>
              <w:bottom w:w="40" w:type="dxa"/>
              <w:right w:w="40" w:type="dxa"/>
            </w:tcMar>
            <w:vAlign w:val="bottom"/>
          </w:tcPr>
          <w:p w14:paraId="4ACE319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319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19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384</w:t>
            </w:r>
          </w:p>
        </w:tc>
        <w:tc>
          <w:tcPr>
            <w:tcW w:w="0" w:type="auto"/>
            <w:shd w:val="clear" w:color="auto" w:fill="auto"/>
            <w:vAlign w:val="bottom"/>
          </w:tcPr>
          <w:p w14:paraId="4ACE319D" w14:textId="77777777" w:rsidR="006F587A" w:rsidRDefault="006F587A">
            <w:pPr>
              <w:textAlignment w:val="bottom"/>
              <w:rPr>
                <w:rFonts w:ascii="Times New Roman" w:hAnsi="Times New Roman"/>
                <w:sz w:val="20"/>
                <w:szCs w:val="20"/>
              </w:rPr>
            </w:pPr>
          </w:p>
        </w:tc>
      </w:tr>
      <w:tr w:rsidR="006F587A" w14:paraId="4ACE31A9" w14:textId="77777777">
        <w:tc>
          <w:tcPr>
            <w:tcW w:w="0" w:type="auto"/>
            <w:shd w:val="clear" w:color="auto" w:fill="auto"/>
            <w:tcMar>
              <w:top w:w="40" w:type="dxa"/>
              <w:left w:w="400" w:type="dxa"/>
              <w:bottom w:w="40" w:type="dxa"/>
              <w:right w:w="40" w:type="dxa"/>
            </w:tcMar>
            <w:vAlign w:val="bottom"/>
          </w:tcPr>
          <w:p w14:paraId="4ACE319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(Gains) losses from divestiture</w:t>
            </w:r>
          </w:p>
        </w:tc>
        <w:tc>
          <w:tcPr>
            <w:tcW w:w="0" w:type="auto"/>
            <w:shd w:val="clear" w:color="auto" w:fill="auto"/>
            <w:tcMar>
              <w:top w:w="40" w:type="dxa"/>
              <w:left w:w="40" w:type="dxa"/>
              <w:bottom w:w="40" w:type="dxa"/>
              <w:right w:w="40" w:type="dxa"/>
            </w:tcMar>
            <w:vAlign w:val="bottom"/>
          </w:tcPr>
          <w:p w14:paraId="4ACE31A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1A1"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(690</w:t>
            </w:r>
          </w:p>
        </w:tc>
        <w:tc>
          <w:tcPr>
            <w:tcW w:w="0" w:type="auto"/>
            <w:shd w:val="clear" w:color="auto" w:fill="auto"/>
            <w:tcMar>
              <w:top w:w="40" w:type="dxa"/>
              <w:bottom w:w="40" w:type="dxa"/>
              <w:right w:w="40" w:type="dxa"/>
            </w:tcMar>
            <w:vAlign w:val="bottom"/>
          </w:tcPr>
          <w:p w14:paraId="4ACE31A2"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31A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1A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(494</w:t>
            </w:r>
          </w:p>
        </w:tc>
        <w:tc>
          <w:tcPr>
            <w:tcW w:w="0" w:type="auto"/>
            <w:shd w:val="clear" w:color="auto" w:fill="auto"/>
            <w:tcMar>
              <w:top w:w="40" w:type="dxa"/>
              <w:bottom w:w="40" w:type="dxa"/>
              <w:right w:w="40" w:type="dxa"/>
            </w:tcMar>
            <w:vAlign w:val="bottom"/>
          </w:tcPr>
          <w:p w14:paraId="4ACE31A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31A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1A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(387</w:t>
            </w:r>
          </w:p>
        </w:tc>
        <w:tc>
          <w:tcPr>
            <w:tcW w:w="0" w:type="auto"/>
            <w:shd w:val="clear" w:color="auto" w:fill="auto"/>
            <w:tcMar>
              <w:top w:w="40" w:type="dxa"/>
              <w:bottom w:w="40" w:type="dxa"/>
              <w:right w:w="40" w:type="dxa"/>
            </w:tcMar>
            <w:vAlign w:val="bottom"/>
          </w:tcPr>
          <w:p w14:paraId="4ACE31A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31B4" w14:textId="77777777">
        <w:tc>
          <w:tcPr>
            <w:tcW w:w="0" w:type="auto"/>
            <w:shd w:val="clear" w:color="auto" w:fill="auto"/>
            <w:tcMar>
              <w:top w:w="40" w:type="dxa"/>
              <w:left w:w="400" w:type="dxa"/>
              <w:bottom w:w="40" w:type="dxa"/>
              <w:right w:w="40" w:type="dxa"/>
            </w:tcMar>
            <w:vAlign w:val="bottom"/>
          </w:tcPr>
          <w:p w14:paraId="4ACE31A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Ongoing mark-to-market on marketable equity securities </w:t>
            </w:r>
          </w:p>
        </w:tc>
        <w:tc>
          <w:tcPr>
            <w:tcW w:w="0" w:type="auto"/>
            <w:shd w:val="clear" w:color="auto" w:fill="auto"/>
            <w:tcMar>
              <w:top w:w="40" w:type="dxa"/>
              <w:left w:w="40" w:type="dxa"/>
              <w:bottom w:w="40" w:type="dxa"/>
              <w:right w:w="40" w:type="dxa"/>
            </w:tcMar>
            <w:vAlign w:val="bottom"/>
          </w:tcPr>
          <w:p w14:paraId="4ACE31A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1AC"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(277</w:t>
            </w:r>
          </w:p>
        </w:tc>
        <w:tc>
          <w:tcPr>
            <w:tcW w:w="0" w:type="auto"/>
            <w:shd w:val="clear" w:color="auto" w:fill="auto"/>
            <w:tcMar>
              <w:top w:w="40" w:type="dxa"/>
              <w:bottom w:w="40" w:type="dxa"/>
              <w:right w:w="40" w:type="dxa"/>
            </w:tcMar>
            <w:vAlign w:val="bottom"/>
          </w:tcPr>
          <w:p w14:paraId="4ACE31AD"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31A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1A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129</w:t>
            </w:r>
          </w:p>
        </w:tc>
        <w:tc>
          <w:tcPr>
            <w:tcW w:w="0" w:type="auto"/>
            <w:shd w:val="clear" w:color="auto" w:fill="auto"/>
            <w:vAlign w:val="bottom"/>
          </w:tcPr>
          <w:p w14:paraId="4ACE31B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1B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1B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31B3" w14:textId="77777777" w:rsidR="006F587A" w:rsidRDefault="006F587A">
            <w:pPr>
              <w:textAlignment w:val="bottom"/>
              <w:rPr>
                <w:rFonts w:ascii="Times New Roman" w:hAnsi="Times New Roman"/>
                <w:sz w:val="20"/>
                <w:szCs w:val="20"/>
              </w:rPr>
            </w:pPr>
          </w:p>
        </w:tc>
      </w:tr>
      <w:tr w:rsidR="006F587A" w14:paraId="4ACE31BF" w14:textId="77777777">
        <w:tc>
          <w:tcPr>
            <w:tcW w:w="0" w:type="auto"/>
            <w:shd w:val="clear" w:color="auto" w:fill="auto"/>
            <w:tcMar>
              <w:top w:w="40" w:type="dxa"/>
              <w:left w:w="400" w:type="dxa"/>
              <w:bottom w:w="40" w:type="dxa"/>
              <w:right w:w="40" w:type="dxa"/>
            </w:tcMar>
            <w:vAlign w:val="bottom"/>
          </w:tcPr>
          <w:p w14:paraId="4ACE31B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Tax Reform</w:t>
            </w:r>
          </w:p>
        </w:tc>
        <w:tc>
          <w:tcPr>
            <w:tcW w:w="0" w:type="auto"/>
            <w:shd w:val="clear" w:color="auto" w:fill="auto"/>
            <w:tcMar>
              <w:top w:w="40" w:type="dxa"/>
              <w:left w:w="40" w:type="dxa"/>
              <w:bottom w:w="40" w:type="dxa"/>
              <w:right w:w="40" w:type="dxa"/>
            </w:tcMar>
            <w:vAlign w:val="bottom"/>
          </w:tcPr>
          <w:p w14:paraId="4ACE31B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1B7"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31B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1B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1B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(294</w:t>
            </w:r>
          </w:p>
        </w:tc>
        <w:tc>
          <w:tcPr>
            <w:tcW w:w="0" w:type="auto"/>
            <w:shd w:val="clear" w:color="auto" w:fill="auto"/>
            <w:tcMar>
              <w:top w:w="40" w:type="dxa"/>
              <w:bottom w:w="40" w:type="dxa"/>
              <w:right w:w="40" w:type="dxa"/>
            </w:tcMar>
            <w:vAlign w:val="bottom"/>
          </w:tcPr>
          <w:p w14:paraId="4ACE31B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31B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1BD"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5,444</w:t>
            </w:r>
          </w:p>
        </w:tc>
        <w:tc>
          <w:tcPr>
            <w:tcW w:w="0" w:type="auto"/>
            <w:shd w:val="clear" w:color="auto" w:fill="auto"/>
            <w:vAlign w:val="bottom"/>
          </w:tcPr>
          <w:p w14:paraId="4ACE31BE" w14:textId="77777777" w:rsidR="006F587A" w:rsidRDefault="006F587A">
            <w:pPr>
              <w:textAlignment w:val="bottom"/>
              <w:rPr>
                <w:rFonts w:ascii="Times New Roman" w:hAnsi="Times New Roman"/>
                <w:sz w:val="20"/>
                <w:szCs w:val="20"/>
              </w:rPr>
            </w:pPr>
          </w:p>
        </w:tc>
      </w:tr>
      <w:tr w:rsidR="006F587A" w14:paraId="4ACE31CA" w14:textId="77777777">
        <w:tc>
          <w:tcPr>
            <w:tcW w:w="0" w:type="auto"/>
            <w:shd w:val="clear" w:color="auto" w:fill="auto"/>
            <w:tcMar>
              <w:top w:w="40" w:type="dxa"/>
              <w:left w:w="400" w:type="dxa"/>
              <w:bottom w:w="40" w:type="dxa"/>
              <w:right w:w="40" w:type="dxa"/>
            </w:tcMar>
            <w:vAlign w:val="bottom"/>
          </w:tcPr>
          <w:p w14:paraId="4ACE31C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Income tax effect</w:t>
            </w:r>
          </w:p>
        </w:tc>
        <w:tc>
          <w:tcPr>
            <w:tcW w:w="0" w:type="auto"/>
            <w:shd w:val="clear" w:color="auto" w:fill="auto"/>
            <w:tcMar>
              <w:top w:w="40" w:type="dxa"/>
              <w:left w:w="40" w:type="dxa"/>
              <w:bottom w:w="40" w:type="dxa"/>
              <w:right w:w="40" w:type="dxa"/>
            </w:tcMar>
            <w:vAlign w:val="bottom"/>
          </w:tcPr>
          <w:p w14:paraId="4ACE31C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1C2"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(14</w:t>
            </w:r>
          </w:p>
        </w:tc>
        <w:tc>
          <w:tcPr>
            <w:tcW w:w="0" w:type="auto"/>
            <w:shd w:val="clear" w:color="auto" w:fill="auto"/>
            <w:tcMar>
              <w:top w:w="40" w:type="dxa"/>
              <w:bottom w:w="40" w:type="dxa"/>
              <w:right w:w="40" w:type="dxa"/>
            </w:tcMar>
            <w:vAlign w:val="bottom"/>
          </w:tcPr>
          <w:p w14:paraId="4ACE31C3"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31C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1C5"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(102</w:t>
            </w:r>
          </w:p>
        </w:tc>
        <w:tc>
          <w:tcPr>
            <w:tcW w:w="0" w:type="auto"/>
            <w:shd w:val="clear" w:color="auto" w:fill="auto"/>
            <w:tcMar>
              <w:top w:w="40" w:type="dxa"/>
              <w:bottom w:w="40" w:type="dxa"/>
              <w:right w:w="40" w:type="dxa"/>
            </w:tcMar>
            <w:vAlign w:val="bottom"/>
          </w:tcPr>
          <w:p w14:paraId="4ACE31C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31C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1C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454</w:t>
            </w:r>
          </w:p>
        </w:tc>
        <w:tc>
          <w:tcPr>
            <w:tcW w:w="0" w:type="auto"/>
            <w:shd w:val="clear" w:color="auto" w:fill="auto"/>
            <w:vAlign w:val="bottom"/>
          </w:tcPr>
          <w:p w14:paraId="4ACE31C9" w14:textId="77777777" w:rsidR="006F587A" w:rsidRDefault="006F587A">
            <w:pPr>
              <w:textAlignment w:val="bottom"/>
              <w:rPr>
                <w:rFonts w:ascii="Times New Roman" w:hAnsi="Times New Roman"/>
                <w:sz w:val="20"/>
                <w:szCs w:val="20"/>
              </w:rPr>
            </w:pPr>
          </w:p>
        </w:tc>
      </w:tr>
      <w:tr w:rsidR="006F587A" w14:paraId="4ACE31D8" w14:textId="77777777">
        <w:tc>
          <w:tcPr>
            <w:tcW w:w="0" w:type="auto"/>
            <w:shd w:val="clear" w:color="auto" w:fill="auto"/>
            <w:tcMar>
              <w:top w:w="40" w:type="dxa"/>
              <w:left w:w="40" w:type="dxa"/>
              <w:bottom w:w="40" w:type="dxa"/>
              <w:right w:w="40" w:type="dxa"/>
            </w:tcMar>
            <w:vAlign w:val="bottom"/>
          </w:tcPr>
          <w:p w14:paraId="4ACE31CB"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Non-GAAP net income</w:t>
            </w:r>
          </w:p>
        </w:tc>
        <w:tc>
          <w:tcPr>
            <w:tcW w:w="0" w:type="auto"/>
            <w:shd w:val="clear" w:color="auto" w:fill="auto"/>
            <w:tcMar>
              <w:top w:w="40" w:type="dxa"/>
              <w:left w:w="40" w:type="dxa"/>
              <w:bottom w:w="40" w:type="dxa"/>
              <w:right w:w="40" w:type="dxa"/>
            </w:tcMar>
            <w:vAlign w:val="bottom"/>
          </w:tcPr>
          <w:p w14:paraId="4ACE31C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31CD"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31CE"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21,784</w:t>
            </w:r>
          </w:p>
        </w:tc>
        <w:tc>
          <w:tcPr>
            <w:tcW w:w="0" w:type="auto"/>
            <w:tcBorders>
              <w:top w:val="single" w:sz="8" w:space="0" w:color="333333"/>
              <w:bottom w:val="double" w:sz="6" w:space="0" w:color="333333"/>
            </w:tcBorders>
            <w:shd w:val="clear" w:color="auto" w:fill="auto"/>
            <w:vAlign w:val="bottom"/>
          </w:tcPr>
          <w:p w14:paraId="4ACE31C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1D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31D1"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31D2"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21,525</w:t>
            </w:r>
          </w:p>
        </w:tc>
        <w:tc>
          <w:tcPr>
            <w:tcW w:w="0" w:type="auto"/>
            <w:tcBorders>
              <w:top w:val="single" w:sz="8" w:space="0" w:color="333333"/>
              <w:bottom w:val="double" w:sz="6" w:space="0" w:color="333333"/>
            </w:tcBorders>
            <w:shd w:val="clear" w:color="auto" w:fill="auto"/>
            <w:vAlign w:val="bottom"/>
          </w:tcPr>
          <w:p w14:paraId="4ACE31D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1D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31D5"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31D6"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16,753</w:t>
            </w:r>
          </w:p>
        </w:tc>
        <w:tc>
          <w:tcPr>
            <w:tcW w:w="0" w:type="auto"/>
            <w:tcBorders>
              <w:top w:val="single" w:sz="8" w:space="0" w:color="333333"/>
              <w:bottom w:val="double" w:sz="6" w:space="0" w:color="333333"/>
            </w:tcBorders>
            <w:shd w:val="clear" w:color="auto" w:fill="auto"/>
            <w:vAlign w:val="bottom"/>
          </w:tcPr>
          <w:p w14:paraId="4ACE31D7" w14:textId="77777777" w:rsidR="006F587A" w:rsidRDefault="006F587A">
            <w:pPr>
              <w:textAlignment w:val="bottom"/>
              <w:rPr>
                <w:rFonts w:ascii="Times New Roman" w:hAnsi="Times New Roman"/>
                <w:sz w:val="20"/>
                <w:szCs w:val="20"/>
              </w:rPr>
            </w:pPr>
          </w:p>
        </w:tc>
      </w:tr>
      <w:tr w:rsidR="006F587A" w14:paraId="4ACE31E0" w14:textId="77777777">
        <w:tc>
          <w:tcPr>
            <w:tcW w:w="0" w:type="auto"/>
            <w:shd w:val="clear" w:color="auto" w:fill="auto"/>
            <w:tcMar>
              <w:top w:w="40" w:type="dxa"/>
              <w:left w:w="40" w:type="dxa"/>
              <w:bottom w:w="40" w:type="dxa"/>
              <w:right w:w="40" w:type="dxa"/>
            </w:tcMar>
            <w:vAlign w:val="bottom"/>
          </w:tcPr>
          <w:p w14:paraId="4ACE31D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1D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1D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1D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1D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1D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1D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31EE" w14:textId="77777777">
        <w:tc>
          <w:tcPr>
            <w:tcW w:w="0" w:type="auto"/>
            <w:shd w:val="clear" w:color="auto" w:fill="auto"/>
            <w:tcMar>
              <w:top w:w="40" w:type="dxa"/>
              <w:left w:w="40" w:type="dxa"/>
              <w:bottom w:w="40" w:type="dxa"/>
              <w:right w:w="40" w:type="dxa"/>
            </w:tcMar>
            <w:vAlign w:val="bottom"/>
          </w:tcPr>
          <w:p w14:paraId="4ACE31E1"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lastRenderedPageBreak/>
              <w:t xml:space="preserve">Earnings per </w:t>
            </w:r>
            <w:r>
              <w:rPr>
                <w:rFonts w:ascii="Arial" w:eastAsia="宋体" w:hAnsi="Arial" w:cs="Arial"/>
                <w:b/>
                <w:bCs/>
                <w:color w:val="333333"/>
                <w:sz w:val="18"/>
                <w:szCs w:val="18"/>
              </w:rPr>
              <w:t>share—Diluted</w:t>
            </w:r>
          </w:p>
        </w:tc>
        <w:tc>
          <w:tcPr>
            <w:tcW w:w="0" w:type="auto"/>
            <w:shd w:val="clear" w:color="auto" w:fill="auto"/>
            <w:tcMar>
              <w:top w:w="40" w:type="dxa"/>
              <w:left w:w="40" w:type="dxa"/>
              <w:bottom w:w="40" w:type="dxa"/>
              <w:right w:w="40" w:type="dxa"/>
            </w:tcMar>
            <w:vAlign w:val="bottom"/>
          </w:tcPr>
          <w:p w14:paraId="4ACE31E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1E3"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31E4"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4.71</w:t>
            </w:r>
          </w:p>
        </w:tc>
        <w:tc>
          <w:tcPr>
            <w:tcW w:w="0" w:type="auto"/>
            <w:shd w:val="clear" w:color="auto" w:fill="auto"/>
            <w:vAlign w:val="bottom"/>
          </w:tcPr>
          <w:p w14:paraId="4ACE31E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1E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1E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1E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4.48</w:t>
            </w:r>
          </w:p>
        </w:tc>
        <w:tc>
          <w:tcPr>
            <w:tcW w:w="0" w:type="auto"/>
            <w:shd w:val="clear" w:color="auto" w:fill="auto"/>
            <w:vAlign w:val="bottom"/>
          </w:tcPr>
          <w:p w14:paraId="4ACE31E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1E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1E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1E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1.99</w:t>
            </w:r>
          </w:p>
        </w:tc>
        <w:tc>
          <w:tcPr>
            <w:tcW w:w="0" w:type="auto"/>
            <w:shd w:val="clear" w:color="auto" w:fill="auto"/>
            <w:vAlign w:val="bottom"/>
          </w:tcPr>
          <w:p w14:paraId="4ACE31ED" w14:textId="77777777" w:rsidR="006F587A" w:rsidRDefault="006F587A">
            <w:pPr>
              <w:textAlignment w:val="bottom"/>
              <w:rPr>
                <w:rFonts w:ascii="Times New Roman" w:hAnsi="Times New Roman"/>
                <w:sz w:val="20"/>
                <w:szCs w:val="20"/>
              </w:rPr>
            </w:pPr>
          </w:p>
        </w:tc>
      </w:tr>
      <w:tr w:rsidR="006F587A" w14:paraId="4ACE31F9" w14:textId="77777777">
        <w:tc>
          <w:tcPr>
            <w:tcW w:w="0" w:type="auto"/>
            <w:shd w:val="clear" w:color="auto" w:fill="auto"/>
            <w:tcMar>
              <w:top w:w="40" w:type="dxa"/>
              <w:left w:w="400" w:type="dxa"/>
              <w:bottom w:w="40" w:type="dxa"/>
              <w:right w:w="40" w:type="dxa"/>
            </w:tcMar>
            <w:vAlign w:val="bottom"/>
          </w:tcPr>
          <w:p w14:paraId="4ACE31E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Acquisition-related adjustments</w:t>
            </w:r>
          </w:p>
        </w:tc>
        <w:tc>
          <w:tcPr>
            <w:tcW w:w="0" w:type="auto"/>
            <w:shd w:val="clear" w:color="auto" w:fill="auto"/>
            <w:tcMar>
              <w:top w:w="40" w:type="dxa"/>
              <w:left w:w="40" w:type="dxa"/>
              <w:bottom w:w="40" w:type="dxa"/>
              <w:right w:w="40" w:type="dxa"/>
            </w:tcMar>
            <w:vAlign w:val="bottom"/>
          </w:tcPr>
          <w:p w14:paraId="4ACE31F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1F1"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0.29</w:t>
            </w:r>
          </w:p>
        </w:tc>
        <w:tc>
          <w:tcPr>
            <w:tcW w:w="0" w:type="auto"/>
            <w:shd w:val="clear" w:color="auto" w:fill="auto"/>
            <w:vAlign w:val="bottom"/>
          </w:tcPr>
          <w:p w14:paraId="4ACE31F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1F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1F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0.28</w:t>
            </w:r>
          </w:p>
        </w:tc>
        <w:tc>
          <w:tcPr>
            <w:tcW w:w="0" w:type="auto"/>
            <w:shd w:val="clear" w:color="auto" w:fill="auto"/>
            <w:vAlign w:val="bottom"/>
          </w:tcPr>
          <w:p w14:paraId="4ACE31F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1F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1F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0.25</w:t>
            </w:r>
          </w:p>
        </w:tc>
        <w:tc>
          <w:tcPr>
            <w:tcW w:w="0" w:type="auto"/>
            <w:shd w:val="clear" w:color="auto" w:fill="auto"/>
            <w:vAlign w:val="bottom"/>
          </w:tcPr>
          <w:p w14:paraId="4ACE31F8" w14:textId="77777777" w:rsidR="006F587A" w:rsidRDefault="006F587A">
            <w:pPr>
              <w:textAlignment w:val="bottom"/>
              <w:rPr>
                <w:rFonts w:ascii="Times New Roman" w:hAnsi="Times New Roman"/>
                <w:sz w:val="20"/>
                <w:szCs w:val="20"/>
              </w:rPr>
            </w:pPr>
          </w:p>
        </w:tc>
      </w:tr>
      <w:tr w:rsidR="006F587A" w14:paraId="4ACE3204" w14:textId="77777777">
        <w:tc>
          <w:tcPr>
            <w:tcW w:w="0" w:type="auto"/>
            <w:shd w:val="clear" w:color="auto" w:fill="auto"/>
            <w:tcMar>
              <w:top w:w="40" w:type="dxa"/>
              <w:left w:w="400" w:type="dxa"/>
              <w:bottom w:w="40" w:type="dxa"/>
              <w:right w:w="40" w:type="dxa"/>
            </w:tcMar>
            <w:vAlign w:val="bottom"/>
          </w:tcPr>
          <w:p w14:paraId="4ACE31F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Restructuring and other charges</w:t>
            </w:r>
          </w:p>
        </w:tc>
        <w:tc>
          <w:tcPr>
            <w:tcW w:w="0" w:type="auto"/>
            <w:shd w:val="clear" w:color="auto" w:fill="auto"/>
            <w:tcMar>
              <w:top w:w="40" w:type="dxa"/>
              <w:left w:w="40" w:type="dxa"/>
              <w:bottom w:w="40" w:type="dxa"/>
              <w:right w:w="40" w:type="dxa"/>
            </w:tcMar>
            <w:vAlign w:val="bottom"/>
          </w:tcPr>
          <w:p w14:paraId="4ACE31F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1FC"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0.09</w:t>
            </w:r>
          </w:p>
        </w:tc>
        <w:tc>
          <w:tcPr>
            <w:tcW w:w="0" w:type="auto"/>
            <w:shd w:val="clear" w:color="auto" w:fill="auto"/>
            <w:vAlign w:val="bottom"/>
          </w:tcPr>
          <w:p w14:paraId="4ACE31F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1F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1F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(0.02</w:t>
            </w:r>
          </w:p>
        </w:tc>
        <w:tc>
          <w:tcPr>
            <w:tcW w:w="0" w:type="auto"/>
            <w:shd w:val="clear" w:color="auto" w:fill="auto"/>
            <w:tcMar>
              <w:top w:w="40" w:type="dxa"/>
              <w:bottom w:w="40" w:type="dxa"/>
              <w:right w:w="40" w:type="dxa"/>
            </w:tcMar>
            <w:vAlign w:val="bottom"/>
          </w:tcPr>
          <w:p w14:paraId="4ACE320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320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20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0.08</w:t>
            </w:r>
          </w:p>
        </w:tc>
        <w:tc>
          <w:tcPr>
            <w:tcW w:w="0" w:type="auto"/>
            <w:shd w:val="clear" w:color="auto" w:fill="auto"/>
            <w:vAlign w:val="bottom"/>
          </w:tcPr>
          <w:p w14:paraId="4ACE3203" w14:textId="77777777" w:rsidR="006F587A" w:rsidRDefault="006F587A">
            <w:pPr>
              <w:textAlignment w:val="bottom"/>
              <w:rPr>
                <w:rFonts w:ascii="Times New Roman" w:hAnsi="Times New Roman"/>
                <w:sz w:val="20"/>
                <w:szCs w:val="20"/>
              </w:rPr>
            </w:pPr>
          </w:p>
        </w:tc>
      </w:tr>
      <w:tr w:rsidR="006F587A" w14:paraId="4ACE320F" w14:textId="77777777">
        <w:tc>
          <w:tcPr>
            <w:tcW w:w="0" w:type="auto"/>
            <w:shd w:val="clear" w:color="auto" w:fill="auto"/>
            <w:tcMar>
              <w:top w:w="40" w:type="dxa"/>
              <w:left w:w="400" w:type="dxa"/>
              <w:bottom w:w="40" w:type="dxa"/>
              <w:right w:w="40" w:type="dxa"/>
            </w:tcMar>
            <w:vAlign w:val="bottom"/>
          </w:tcPr>
          <w:p w14:paraId="4ACE320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(Gains) losses from divestiture</w:t>
            </w:r>
          </w:p>
        </w:tc>
        <w:tc>
          <w:tcPr>
            <w:tcW w:w="0" w:type="auto"/>
            <w:shd w:val="clear" w:color="auto" w:fill="auto"/>
            <w:tcMar>
              <w:top w:w="40" w:type="dxa"/>
              <w:left w:w="40" w:type="dxa"/>
              <w:bottom w:w="40" w:type="dxa"/>
              <w:right w:w="40" w:type="dxa"/>
            </w:tcMar>
            <w:vAlign w:val="bottom"/>
          </w:tcPr>
          <w:p w14:paraId="4ACE320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207"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(0.16</w:t>
            </w:r>
          </w:p>
        </w:tc>
        <w:tc>
          <w:tcPr>
            <w:tcW w:w="0" w:type="auto"/>
            <w:shd w:val="clear" w:color="auto" w:fill="auto"/>
            <w:tcMar>
              <w:top w:w="40" w:type="dxa"/>
              <w:bottom w:w="40" w:type="dxa"/>
              <w:right w:w="40" w:type="dxa"/>
            </w:tcMar>
            <w:vAlign w:val="bottom"/>
          </w:tcPr>
          <w:p w14:paraId="4ACE3208"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320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20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(0.11</w:t>
            </w:r>
          </w:p>
        </w:tc>
        <w:tc>
          <w:tcPr>
            <w:tcW w:w="0" w:type="auto"/>
            <w:shd w:val="clear" w:color="auto" w:fill="auto"/>
            <w:tcMar>
              <w:top w:w="40" w:type="dxa"/>
              <w:bottom w:w="40" w:type="dxa"/>
              <w:right w:w="40" w:type="dxa"/>
            </w:tcMar>
            <w:vAlign w:val="bottom"/>
          </w:tcPr>
          <w:p w14:paraId="4ACE320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320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20D"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(0.08</w:t>
            </w:r>
          </w:p>
        </w:tc>
        <w:tc>
          <w:tcPr>
            <w:tcW w:w="0" w:type="auto"/>
            <w:shd w:val="clear" w:color="auto" w:fill="auto"/>
            <w:tcMar>
              <w:top w:w="40" w:type="dxa"/>
              <w:bottom w:w="40" w:type="dxa"/>
              <w:right w:w="40" w:type="dxa"/>
            </w:tcMar>
            <w:vAlign w:val="bottom"/>
          </w:tcPr>
          <w:p w14:paraId="4ACE320E"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321A" w14:textId="77777777">
        <w:tc>
          <w:tcPr>
            <w:tcW w:w="0" w:type="auto"/>
            <w:shd w:val="clear" w:color="auto" w:fill="auto"/>
            <w:tcMar>
              <w:top w:w="40" w:type="dxa"/>
              <w:left w:w="400" w:type="dxa"/>
              <w:bottom w:w="40" w:type="dxa"/>
              <w:right w:w="40" w:type="dxa"/>
            </w:tcMar>
            <w:vAlign w:val="bottom"/>
          </w:tcPr>
          <w:p w14:paraId="4ACE321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Ongoing mark-to-market on marketable equity securities </w:t>
            </w:r>
          </w:p>
        </w:tc>
        <w:tc>
          <w:tcPr>
            <w:tcW w:w="0" w:type="auto"/>
            <w:shd w:val="clear" w:color="auto" w:fill="auto"/>
            <w:tcMar>
              <w:top w:w="40" w:type="dxa"/>
              <w:left w:w="40" w:type="dxa"/>
              <w:bottom w:w="40" w:type="dxa"/>
              <w:right w:w="40" w:type="dxa"/>
            </w:tcMar>
            <w:vAlign w:val="bottom"/>
          </w:tcPr>
          <w:p w14:paraId="4ACE321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212"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(0.06</w:t>
            </w:r>
          </w:p>
        </w:tc>
        <w:tc>
          <w:tcPr>
            <w:tcW w:w="0" w:type="auto"/>
            <w:shd w:val="clear" w:color="auto" w:fill="auto"/>
            <w:tcMar>
              <w:top w:w="40" w:type="dxa"/>
              <w:bottom w:w="40" w:type="dxa"/>
              <w:right w:w="40" w:type="dxa"/>
            </w:tcMar>
            <w:vAlign w:val="bottom"/>
          </w:tcPr>
          <w:p w14:paraId="4ACE3213"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321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215"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0.03</w:t>
            </w:r>
          </w:p>
        </w:tc>
        <w:tc>
          <w:tcPr>
            <w:tcW w:w="0" w:type="auto"/>
            <w:shd w:val="clear" w:color="auto" w:fill="auto"/>
            <w:vAlign w:val="bottom"/>
          </w:tcPr>
          <w:p w14:paraId="4ACE321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21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21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3219" w14:textId="77777777" w:rsidR="006F587A" w:rsidRDefault="006F587A">
            <w:pPr>
              <w:textAlignment w:val="bottom"/>
              <w:rPr>
                <w:rFonts w:ascii="Times New Roman" w:hAnsi="Times New Roman"/>
                <w:sz w:val="20"/>
                <w:szCs w:val="20"/>
              </w:rPr>
            </w:pPr>
          </w:p>
        </w:tc>
      </w:tr>
      <w:tr w:rsidR="006F587A" w14:paraId="4ACE3225" w14:textId="77777777">
        <w:tc>
          <w:tcPr>
            <w:tcW w:w="0" w:type="auto"/>
            <w:shd w:val="clear" w:color="auto" w:fill="auto"/>
            <w:tcMar>
              <w:top w:w="40" w:type="dxa"/>
              <w:left w:w="400" w:type="dxa"/>
              <w:bottom w:w="40" w:type="dxa"/>
              <w:right w:w="40" w:type="dxa"/>
            </w:tcMar>
            <w:vAlign w:val="bottom"/>
          </w:tcPr>
          <w:p w14:paraId="4ACE321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Tax Reform</w:t>
            </w:r>
          </w:p>
        </w:tc>
        <w:tc>
          <w:tcPr>
            <w:tcW w:w="0" w:type="auto"/>
            <w:shd w:val="clear" w:color="auto" w:fill="auto"/>
            <w:tcMar>
              <w:top w:w="40" w:type="dxa"/>
              <w:left w:w="40" w:type="dxa"/>
              <w:bottom w:w="40" w:type="dxa"/>
              <w:right w:w="40" w:type="dxa"/>
            </w:tcMar>
            <w:vAlign w:val="bottom"/>
          </w:tcPr>
          <w:p w14:paraId="4ACE321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21D"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321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21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220"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(0.06</w:t>
            </w:r>
          </w:p>
        </w:tc>
        <w:tc>
          <w:tcPr>
            <w:tcW w:w="0" w:type="auto"/>
            <w:shd w:val="clear" w:color="auto" w:fill="auto"/>
            <w:tcMar>
              <w:top w:w="40" w:type="dxa"/>
              <w:bottom w:w="40" w:type="dxa"/>
              <w:right w:w="40" w:type="dxa"/>
            </w:tcMar>
            <w:vAlign w:val="bottom"/>
          </w:tcPr>
          <w:p w14:paraId="4ACE322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322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223"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1.13</w:t>
            </w:r>
          </w:p>
        </w:tc>
        <w:tc>
          <w:tcPr>
            <w:tcW w:w="0" w:type="auto"/>
            <w:shd w:val="clear" w:color="auto" w:fill="auto"/>
            <w:vAlign w:val="bottom"/>
          </w:tcPr>
          <w:p w14:paraId="4ACE3224" w14:textId="77777777" w:rsidR="006F587A" w:rsidRDefault="006F587A">
            <w:pPr>
              <w:textAlignment w:val="bottom"/>
              <w:rPr>
                <w:rFonts w:ascii="Times New Roman" w:hAnsi="Times New Roman"/>
                <w:sz w:val="20"/>
                <w:szCs w:val="20"/>
              </w:rPr>
            </w:pPr>
          </w:p>
        </w:tc>
      </w:tr>
      <w:tr w:rsidR="006F587A" w14:paraId="4ACE3230" w14:textId="77777777">
        <w:tc>
          <w:tcPr>
            <w:tcW w:w="0" w:type="auto"/>
            <w:shd w:val="clear" w:color="auto" w:fill="auto"/>
            <w:tcMar>
              <w:top w:w="40" w:type="dxa"/>
              <w:left w:w="400" w:type="dxa"/>
              <w:bottom w:w="40" w:type="dxa"/>
              <w:right w:w="40" w:type="dxa"/>
            </w:tcMar>
            <w:vAlign w:val="bottom"/>
          </w:tcPr>
          <w:p w14:paraId="4ACE322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Income tax effect</w:t>
            </w:r>
          </w:p>
        </w:tc>
        <w:tc>
          <w:tcPr>
            <w:tcW w:w="0" w:type="auto"/>
            <w:shd w:val="clear" w:color="auto" w:fill="auto"/>
            <w:tcMar>
              <w:top w:w="40" w:type="dxa"/>
              <w:left w:w="40" w:type="dxa"/>
              <w:bottom w:w="40" w:type="dxa"/>
              <w:right w:w="40" w:type="dxa"/>
            </w:tcMar>
            <w:vAlign w:val="bottom"/>
          </w:tcPr>
          <w:p w14:paraId="4ACE322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228"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322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22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22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(0.02</w:t>
            </w:r>
          </w:p>
        </w:tc>
        <w:tc>
          <w:tcPr>
            <w:tcW w:w="0" w:type="auto"/>
            <w:shd w:val="clear" w:color="auto" w:fill="auto"/>
            <w:tcMar>
              <w:top w:w="40" w:type="dxa"/>
              <w:bottom w:w="40" w:type="dxa"/>
              <w:right w:w="40" w:type="dxa"/>
            </w:tcMar>
            <w:vAlign w:val="bottom"/>
          </w:tcPr>
          <w:p w14:paraId="4ACE322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322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22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0.09</w:t>
            </w:r>
          </w:p>
        </w:tc>
        <w:tc>
          <w:tcPr>
            <w:tcW w:w="0" w:type="auto"/>
            <w:shd w:val="clear" w:color="auto" w:fill="auto"/>
            <w:vAlign w:val="bottom"/>
          </w:tcPr>
          <w:p w14:paraId="4ACE322F" w14:textId="77777777" w:rsidR="006F587A" w:rsidRDefault="006F587A">
            <w:pPr>
              <w:textAlignment w:val="bottom"/>
              <w:rPr>
                <w:rFonts w:ascii="Times New Roman" w:hAnsi="Times New Roman"/>
                <w:sz w:val="20"/>
                <w:szCs w:val="20"/>
              </w:rPr>
            </w:pPr>
          </w:p>
        </w:tc>
      </w:tr>
      <w:tr w:rsidR="006F587A" w14:paraId="4ACE323E" w14:textId="77777777">
        <w:tc>
          <w:tcPr>
            <w:tcW w:w="0" w:type="auto"/>
            <w:shd w:val="clear" w:color="auto" w:fill="auto"/>
            <w:tcMar>
              <w:top w:w="40" w:type="dxa"/>
              <w:left w:w="40" w:type="dxa"/>
              <w:bottom w:w="40" w:type="dxa"/>
              <w:right w:w="40" w:type="dxa"/>
            </w:tcMar>
            <w:vAlign w:val="bottom"/>
          </w:tcPr>
          <w:p w14:paraId="4ACE3231"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Non-GAAP earnings per share—Diluted</w:t>
            </w:r>
          </w:p>
        </w:tc>
        <w:tc>
          <w:tcPr>
            <w:tcW w:w="0" w:type="auto"/>
            <w:shd w:val="clear" w:color="auto" w:fill="auto"/>
            <w:tcMar>
              <w:top w:w="40" w:type="dxa"/>
              <w:left w:w="40" w:type="dxa"/>
              <w:bottom w:w="40" w:type="dxa"/>
              <w:right w:w="40" w:type="dxa"/>
            </w:tcMar>
            <w:vAlign w:val="bottom"/>
          </w:tcPr>
          <w:p w14:paraId="4ACE323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3233"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3234"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4.87</w:t>
            </w:r>
          </w:p>
        </w:tc>
        <w:tc>
          <w:tcPr>
            <w:tcW w:w="0" w:type="auto"/>
            <w:tcBorders>
              <w:top w:val="single" w:sz="8" w:space="0" w:color="333333"/>
              <w:bottom w:val="double" w:sz="6" w:space="0" w:color="333333"/>
            </w:tcBorders>
            <w:shd w:val="clear" w:color="auto" w:fill="auto"/>
            <w:vAlign w:val="bottom"/>
          </w:tcPr>
          <w:p w14:paraId="4ACE323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23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3237"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3238"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4.58</w:t>
            </w:r>
          </w:p>
        </w:tc>
        <w:tc>
          <w:tcPr>
            <w:tcW w:w="0" w:type="auto"/>
            <w:tcBorders>
              <w:top w:val="single" w:sz="8" w:space="0" w:color="333333"/>
              <w:bottom w:val="double" w:sz="6" w:space="0" w:color="333333"/>
            </w:tcBorders>
            <w:shd w:val="clear" w:color="auto" w:fill="auto"/>
            <w:vAlign w:val="bottom"/>
          </w:tcPr>
          <w:p w14:paraId="4ACE323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23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323B"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323C"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3.46</w:t>
            </w:r>
          </w:p>
        </w:tc>
        <w:tc>
          <w:tcPr>
            <w:tcW w:w="0" w:type="auto"/>
            <w:tcBorders>
              <w:top w:val="single" w:sz="8" w:space="0" w:color="333333"/>
              <w:bottom w:val="double" w:sz="6" w:space="0" w:color="333333"/>
            </w:tcBorders>
            <w:shd w:val="clear" w:color="auto" w:fill="auto"/>
            <w:vAlign w:val="bottom"/>
          </w:tcPr>
          <w:p w14:paraId="4ACE323D" w14:textId="77777777" w:rsidR="006F587A" w:rsidRDefault="006F587A">
            <w:pPr>
              <w:textAlignment w:val="bottom"/>
              <w:rPr>
                <w:rFonts w:ascii="Times New Roman" w:hAnsi="Times New Roman"/>
                <w:sz w:val="20"/>
                <w:szCs w:val="20"/>
              </w:rPr>
            </w:pPr>
          </w:p>
        </w:tc>
      </w:tr>
    </w:tbl>
    <w:p w14:paraId="4ACE323F" w14:textId="77777777" w:rsidR="006F587A" w:rsidRDefault="006F587A">
      <w:pPr>
        <w:spacing w:line="288" w:lineRule="auto"/>
        <w:rPr>
          <w:rFonts w:ascii="Times New Roman" w:hAnsi="Times New Roman"/>
          <w:sz w:val="18"/>
          <w:szCs w:val="18"/>
        </w:rPr>
      </w:pPr>
    </w:p>
    <w:tbl>
      <w:tblPr>
        <w:tblW w:w="5000" w:type="pct"/>
        <w:tblCellMar>
          <w:left w:w="0" w:type="dxa"/>
          <w:right w:w="0" w:type="dxa"/>
        </w:tblCellMar>
        <w:tblLook w:val="04A0" w:firstRow="1" w:lastRow="0" w:firstColumn="1" w:lastColumn="0" w:noHBand="0" w:noVBand="1"/>
      </w:tblPr>
      <w:tblGrid>
        <w:gridCol w:w="3220"/>
        <w:gridCol w:w="130"/>
        <w:gridCol w:w="141"/>
        <w:gridCol w:w="646"/>
        <w:gridCol w:w="100"/>
        <w:gridCol w:w="130"/>
        <w:gridCol w:w="141"/>
        <w:gridCol w:w="646"/>
        <w:gridCol w:w="100"/>
        <w:gridCol w:w="130"/>
        <w:gridCol w:w="141"/>
        <w:gridCol w:w="646"/>
        <w:gridCol w:w="100"/>
        <w:gridCol w:w="130"/>
        <w:gridCol w:w="141"/>
        <w:gridCol w:w="646"/>
        <w:gridCol w:w="100"/>
        <w:gridCol w:w="130"/>
        <w:gridCol w:w="141"/>
        <w:gridCol w:w="647"/>
        <w:gridCol w:w="100"/>
      </w:tblGrid>
      <w:tr w:rsidR="006F587A" w14:paraId="4ACE3241" w14:textId="77777777">
        <w:tc>
          <w:tcPr>
            <w:tcW w:w="0" w:type="auto"/>
            <w:gridSpan w:val="21"/>
            <w:shd w:val="clear" w:color="auto" w:fill="auto"/>
            <w:vAlign w:val="center"/>
          </w:tcPr>
          <w:p w14:paraId="4ACE3240" w14:textId="77777777" w:rsidR="006F587A" w:rsidRDefault="006F587A">
            <w:pPr>
              <w:rPr>
                <w:rFonts w:ascii="Times New Roman" w:hAnsi="Times New Roman"/>
                <w:sz w:val="20"/>
                <w:szCs w:val="20"/>
              </w:rPr>
            </w:pPr>
          </w:p>
        </w:tc>
      </w:tr>
      <w:tr w:rsidR="006F587A" w14:paraId="4ACE3257" w14:textId="77777777">
        <w:tc>
          <w:tcPr>
            <w:tcW w:w="2000" w:type="pct"/>
            <w:shd w:val="clear" w:color="auto" w:fill="auto"/>
            <w:vAlign w:val="center"/>
          </w:tcPr>
          <w:p w14:paraId="4ACE3242" w14:textId="77777777" w:rsidR="006F587A" w:rsidRDefault="006F587A">
            <w:pPr>
              <w:rPr>
                <w:rFonts w:ascii="Times New Roman" w:hAnsi="Times New Roman"/>
                <w:sz w:val="20"/>
                <w:szCs w:val="20"/>
              </w:rPr>
            </w:pPr>
          </w:p>
        </w:tc>
        <w:tc>
          <w:tcPr>
            <w:tcW w:w="50" w:type="pct"/>
            <w:shd w:val="clear" w:color="auto" w:fill="auto"/>
            <w:vAlign w:val="center"/>
          </w:tcPr>
          <w:p w14:paraId="4ACE3243" w14:textId="77777777" w:rsidR="006F587A" w:rsidRDefault="006F587A">
            <w:pPr>
              <w:rPr>
                <w:rFonts w:ascii="Times New Roman" w:hAnsi="Times New Roman"/>
                <w:sz w:val="20"/>
                <w:szCs w:val="20"/>
              </w:rPr>
            </w:pPr>
          </w:p>
        </w:tc>
        <w:tc>
          <w:tcPr>
            <w:tcW w:w="50" w:type="pct"/>
            <w:shd w:val="clear" w:color="auto" w:fill="auto"/>
            <w:vAlign w:val="center"/>
          </w:tcPr>
          <w:p w14:paraId="4ACE3244" w14:textId="77777777" w:rsidR="006F587A" w:rsidRDefault="006F587A">
            <w:pPr>
              <w:rPr>
                <w:rFonts w:ascii="Times New Roman" w:hAnsi="Times New Roman"/>
                <w:sz w:val="20"/>
                <w:szCs w:val="20"/>
              </w:rPr>
            </w:pPr>
          </w:p>
        </w:tc>
        <w:tc>
          <w:tcPr>
            <w:tcW w:w="450" w:type="pct"/>
            <w:shd w:val="clear" w:color="auto" w:fill="auto"/>
            <w:vAlign w:val="center"/>
          </w:tcPr>
          <w:p w14:paraId="4ACE3245" w14:textId="77777777" w:rsidR="006F587A" w:rsidRDefault="006F587A">
            <w:pPr>
              <w:rPr>
                <w:rFonts w:ascii="Times New Roman" w:hAnsi="Times New Roman"/>
                <w:sz w:val="20"/>
                <w:szCs w:val="20"/>
              </w:rPr>
            </w:pPr>
          </w:p>
        </w:tc>
        <w:tc>
          <w:tcPr>
            <w:tcW w:w="50" w:type="pct"/>
            <w:shd w:val="clear" w:color="auto" w:fill="auto"/>
            <w:vAlign w:val="center"/>
          </w:tcPr>
          <w:p w14:paraId="4ACE3246" w14:textId="77777777" w:rsidR="006F587A" w:rsidRDefault="006F587A">
            <w:pPr>
              <w:rPr>
                <w:rFonts w:ascii="Times New Roman" w:hAnsi="Times New Roman"/>
                <w:sz w:val="20"/>
                <w:szCs w:val="20"/>
              </w:rPr>
            </w:pPr>
          </w:p>
        </w:tc>
        <w:tc>
          <w:tcPr>
            <w:tcW w:w="50" w:type="pct"/>
            <w:shd w:val="clear" w:color="auto" w:fill="auto"/>
            <w:vAlign w:val="center"/>
          </w:tcPr>
          <w:p w14:paraId="4ACE3247" w14:textId="77777777" w:rsidR="006F587A" w:rsidRDefault="006F587A">
            <w:pPr>
              <w:rPr>
                <w:rFonts w:ascii="Times New Roman" w:hAnsi="Times New Roman"/>
                <w:sz w:val="20"/>
                <w:szCs w:val="20"/>
              </w:rPr>
            </w:pPr>
          </w:p>
        </w:tc>
        <w:tc>
          <w:tcPr>
            <w:tcW w:w="50" w:type="pct"/>
            <w:shd w:val="clear" w:color="auto" w:fill="auto"/>
            <w:vAlign w:val="center"/>
          </w:tcPr>
          <w:p w14:paraId="4ACE3248" w14:textId="77777777" w:rsidR="006F587A" w:rsidRDefault="006F587A">
            <w:pPr>
              <w:rPr>
                <w:rFonts w:ascii="Times New Roman" w:hAnsi="Times New Roman"/>
                <w:sz w:val="20"/>
                <w:szCs w:val="20"/>
              </w:rPr>
            </w:pPr>
          </w:p>
        </w:tc>
        <w:tc>
          <w:tcPr>
            <w:tcW w:w="450" w:type="pct"/>
            <w:shd w:val="clear" w:color="auto" w:fill="auto"/>
            <w:vAlign w:val="center"/>
          </w:tcPr>
          <w:p w14:paraId="4ACE3249" w14:textId="77777777" w:rsidR="006F587A" w:rsidRDefault="006F587A">
            <w:pPr>
              <w:rPr>
                <w:rFonts w:ascii="Times New Roman" w:hAnsi="Times New Roman"/>
                <w:sz w:val="20"/>
                <w:szCs w:val="20"/>
              </w:rPr>
            </w:pPr>
          </w:p>
        </w:tc>
        <w:tc>
          <w:tcPr>
            <w:tcW w:w="50" w:type="pct"/>
            <w:shd w:val="clear" w:color="auto" w:fill="auto"/>
            <w:vAlign w:val="center"/>
          </w:tcPr>
          <w:p w14:paraId="4ACE324A" w14:textId="77777777" w:rsidR="006F587A" w:rsidRDefault="006F587A">
            <w:pPr>
              <w:rPr>
                <w:rFonts w:ascii="Times New Roman" w:hAnsi="Times New Roman"/>
                <w:sz w:val="20"/>
                <w:szCs w:val="20"/>
              </w:rPr>
            </w:pPr>
          </w:p>
        </w:tc>
        <w:tc>
          <w:tcPr>
            <w:tcW w:w="50" w:type="pct"/>
            <w:shd w:val="clear" w:color="auto" w:fill="auto"/>
            <w:vAlign w:val="center"/>
          </w:tcPr>
          <w:p w14:paraId="4ACE324B" w14:textId="77777777" w:rsidR="006F587A" w:rsidRDefault="006F587A">
            <w:pPr>
              <w:rPr>
                <w:rFonts w:ascii="Times New Roman" w:hAnsi="Times New Roman"/>
                <w:sz w:val="20"/>
                <w:szCs w:val="20"/>
              </w:rPr>
            </w:pPr>
          </w:p>
        </w:tc>
        <w:tc>
          <w:tcPr>
            <w:tcW w:w="50" w:type="pct"/>
            <w:shd w:val="clear" w:color="auto" w:fill="auto"/>
            <w:vAlign w:val="center"/>
          </w:tcPr>
          <w:p w14:paraId="4ACE324C" w14:textId="77777777" w:rsidR="006F587A" w:rsidRDefault="006F587A">
            <w:pPr>
              <w:rPr>
                <w:rFonts w:ascii="Times New Roman" w:hAnsi="Times New Roman"/>
                <w:sz w:val="20"/>
                <w:szCs w:val="20"/>
              </w:rPr>
            </w:pPr>
          </w:p>
        </w:tc>
        <w:tc>
          <w:tcPr>
            <w:tcW w:w="450" w:type="pct"/>
            <w:shd w:val="clear" w:color="auto" w:fill="auto"/>
            <w:vAlign w:val="center"/>
          </w:tcPr>
          <w:p w14:paraId="4ACE324D" w14:textId="77777777" w:rsidR="006F587A" w:rsidRDefault="006F587A">
            <w:pPr>
              <w:rPr>
                <w:rFonts w:ascii="Times New Roman" w:hAnsi="Times New Roman"/>
                <w:sz w:val="20"/>
                <w:szCs w:val="20"/>
              </w:rPr>
            </w:pPr>
          </w:p>
        </w:tc>
        <w:tc>
          <w:tcPr>
            <w:tcW w:w="50" w:type="pct"/>
            <w:shd w:val="clear" w:color="auto" w:fill="auto"/>
            <w:vAlign w:val="center"/>
          </w:tcPr>
          <w:p w14:paraId="4ACE324E" w14:textId="77777777" w:rsidR="006F587A" w:rsidRDefault="006F587A">
            <w:pPr>
              <w:rPr>
                <w:rFonts w:ascii="Times New Roman" w:hAnsi="Times New Roman"/>
                <w:sz w:val="20"/>
                <w:szCs w:val="20"/>
              </w:rPr>
            </w:pPr>
          </w:p>
        </w:tc>
        <w:tc>
          <w:tcPr>
            <w:tcW w:w="50" w:type="pct"/>
            <w:shd w:val="clear" w:color="auto" w:fill="auto"/>
            <w:vAlign w:val="center"/>
          </w:tcPr>
          <w:p w14:paraId="4ACE324F" w14:textId="77777777" w:rsidR="006F587A" w:rsidRDefault="006F587A">
            <w:pPr>
              <w:rPr>
                <w:rFonts w:ascii="Times New Roman" w:hAnsi="Times New Roman"/>
                <w:sz w:val="20"/>
                <w:szCs w:val="20"/>
              </w:rPr>
            </w:pPr>
          </w:p>
        </w:tc>
        <w:tc>
          <w:tcPr>
            <w:tcW w:w="50" w:type="pct"/>
            <w:shd w:val="clear" w:color="auto" w:fill="auto"/>
            <w:vAlign w:val="center"/>
          </w:tcPr>
          <w:p w14:paraId="4ACE3250" w14:textId="77777777" w:rsidR="006F587A" w:rsidRDefault="006F587A">
            <w:pPr>
              <w:rPr>
                <w:rFonts w:ascii="Times New Roman" w:hAnsi="Times New Roman"/>
                <w:sz w:val="20"/>
                <w:szCs w:val="20"/>
              </w:rPr>
            </w:pPr>
          </w:p>
        </w:tc>
        <w:tc>
          <w:tcPr>
            <w:tcW w:w="450" w:type="pct"/>
            <w:shd w:val="clear" w:color="auto" w:fill="auto"/>
            <w:vAlign w:val="center"/>
          </w:tcPr>
          <w:p w14:paraId="4ACE3251" w14:textId="77777777" w:rsidR="006F587A" w:rsidRDefault="006F587A">
            <w:pPr>
              <w:rPr>
                <w:rFonts w:ascii="Times New Roman" w:hAnsi="Times New Roman"/>
                <w:sz w:val="20"/>
                <w:szCs w:val="20"/>
              </w:rPr>
            </w:pPr>
          </w:p>
        </w:tc>
        <w:tc>
          <w:tcPr>
            <w:tcW w:w="50" w:type="pct"/>
            <w:shd w:val="clear" w:color="auto" w:fill="auto"/>
            <w:vAlign w:val="center"/>
          </w:tcPr>
          <w:p w14:paraId="4ACE3252" w14:textId="77777777" w:rsidR="006F587A" w:rsidRDefault="006F587A">
            <w:pPr>
              <w:rPr>
                <w:rFonts w:ascii="Times New Roman" w:hAnsi="Times New Roman"/>
                <w:sz w:val="20"/>
                <w:szCs w:val="20"/>
              </w:rPr>
            </w:pPr>
          </w:p>
        </w:tc>
        <w:tc>
          <w:tcPr>
            <w:tcW w:w="50" w:type="pct"/>
            <w:shd w:val="clear" w:color="auto" w:fill="auto"/>
            <w:vAlign w:val="center"/>
          </w:tcPr>
          <w:p w14:paraId="4ACE3253" w14:textId="77777777" w:rsidR="006F587A" w:rsidRDefault="006F587A">
            <w:pPr>
              <w:rPr>
                <w:rFonts w:ascii="Times New Roman" w:hAnsi="Times New Roman"/>
                <w:sz w:val="20"/>
                <w:szCs w:val="20"/>
              </w:rPr>
            </w:pPr>
          </w:p>
        </w:tc>
        <w:tc>
          <w:tcPr>
            <w:tcW w:w="50" w:type="pct"/>
            <w:shd w:val="clear" w:color="auto" w:fill="auto"/>
            <w:vAlign w:val="center"/>
          </w:tcPr>
          <w:p w14:paraId="4ACE3254" w14:textId="77777777" w:rsidR="006F587A" w:rsidRDefault="006F587A">
            <w:pPr>
              <w:rPr>
                <w:rFonts w:ascii="Times New Roman" w:hAnsi="Times New Roman"/>
                <w:sz w:val="20"/>
                <w:szCs w:val="20"/>
              </w:rPr>
            </w:pPr>
          </w:p>
        </w:tc>
        <w:tc>
          <w:tcPr>
            <w:tcW w:w="450" w:type="pct"/>
            <w:shd w:val="clear" w:color="auto" w:fill="auto"/>
            <w:vAlign w:val="center"/>
          </w:tcPr>
          <w:p w14:paraId="4ACE3255" w14:textId="77777777" w:rsidR="006F587A" w:rsidRDefault="006F587A">
            <w:pPr>
              <w:rPr>
                <w:rFonts w:ascii="Times New Roman" w:hAnsi="Times New Roman"/>
                <w:sz w:val="20"/>
                <w:szCs w:val="20"/>
              </w:rPr>
            </w:pPr>
          </w:p>
        </w:tc>
        <w:tc>
          <w:tcPr>
            <w:tcW w:w="50" w:type="pct"/>
            <w:shd w:val="clear" w:color="auto" w:fill="auto"/>
            <w:vAlign w:val="center"/>
          </w:tcPr>
          <w:p w14:paraId="4ACE3256" w14:textId="77777777" w:rsidR="006F587A" w:rsidRDefault="006F587A">
            <w:pPr>
              <w:rPr>
                <w:rFonts w:ascii="Times New Roman" w:hAnsi="Times New Roman"/>
                <w:sz w:val="20"/>
                <w:szCs w:val="20"/>
              </w:rPr>
            </w:pPr>
          </w:p>
        </w:tc>
      </w:tr>
      <w:tr w:rsidR="006F587A" w14:paraId="4ACE3263"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3258"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 xml:space="preserve">Years </w:t>
            </w:r>
            <w:r>
              <w:rPr>
                <w:rFonts w:ascii="Arial" w:eastAsia="宋体" w:hAnsi="Arial" w:cs="Arial"/>
                <w:b/>
                <w:bCs/>
                <w:color w:val="333333"/>
                <w:sz w:val="18"/>
                <w:szCs w:val="18"/>
              </w:rPr>
              <w:t>Ended (In Millions)</w:t>
            </w:r>
          </w:p>
        </w:tc>
        <w:tc>
          <w:tcPr>
            <w:tcW w:w="0" w:type="auto"/>
            <w:shd w:val="clear" w:color="auto" w:fill="auto"/>
            <w:tcMar>
              <w:top w:w="40" w:type="dxa"/>
              <w:left w:w="40" w:type="dxa"/>
              <w:bottom w:w="40" w:type="dxa"/>
              <w:right w:w="40" w:type="dxa"/>
            </w:tcMar>
            <w:vAlign w:val="bottom"/>
          </w:tcPr>
          <w:p w14:paraId="4ACE325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325A"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28, </w:t>
            </w:r>
            <w:r>
              <w:rPr>
                <w:rFonts w:ascii="Arial" w:eastAsia="宋体" w:hAnsi="Arial" w:cs="Arial"/>
                <w:b/>
                <w:bCs/>
                <w:color w:val="333333"/>
                <w:sz w:val="18"/>
                <w:szCs w:val="18"/>
              </w:rPr>
              <w:br/>
              <w:t>2019</w:t>
            </w:r>
          </w:p>
        </w:tc>
        <w:tc>
          <w:tcPr>
            <w:tcW w:w="0" w:type="auto"/>
            <w:shd w:val="clear" w:color="auto" w:fill="auto"/>
            <w:tcMar>
              <w:top w:w="40" w:type="dxa"/>
              <w:left w:w="40" w:type="dxa"/>
              <w:bottom w:w="40" w:type="dxa"/>
              <w:right w:w="40" w:type="dxa"/>
            </w:tcMar>
            <w:vAlign w:val="bottom"/>
          </w:tcPr>
          <w:p w14:paraId="4ACE325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325C"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29, </w:t>
            </w:r>
            <w:r>
              <w:rPr>
                <w:rFonts w:ascii="Arial" w:eastAsia="宋体" w:hAnsi="Arial" w:cs="Arial"/>
                <w:b/>
                <w:bCs/>
                <w:color w:val="333333"/>
                <w:sz w:val="18"/>
                <w:szCs w:val="18"/>
              </w:rPr>
              <w:br/>
              <w:t>2018</w:t>
            </w:r>
          </w:p>
        </w:tc>
        <w:tc>
          <w:tcPr>
            <w:tcW w:w="0" w:type="auto"/>
            <w:shd w:val="clear" w:color="auto" w:fill="auto"/>
            <w:tcMar>
              <w:top w:w="40" w:type="dxa"/>
              <w:left w:w="40" w:type="dxa"/>
              <w:bottom w:w="40" w:type="dxa"/>
              <w:right w:w="40" w:type="dxa"/>
            </w:tcMar>
            <w:vAlign w:val="bottom"/>
          </w:tcPr>
          <w:p w14:paraId="4ACE325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325E"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30, </w:t>
            </w:r>
            <w:r>
              <w:rPr>
                <w:rFonts w:ascii="Arial" w:eastAsia="宋体" w:hAnsi="Arial" w:cs="Arial"/>
                <w:b/>
                <w:bCs/>
                <w:color w:val="333333"/>
                <w:sz w:val="18"/>
                <w:szCs w:val="18"/>
              </w:rPr>
              <w:br/>
              <w:t>2017</w:t>
            </w:r>
          </w:p>
        </w:tc>
        <w:tc>
          <w:tcPr>
            <w:tcW w:w="0" w:type="auto"/>
            <w:shd w:val="clear" w:color="auto" w:fill="auto"/>
            <w:tcMar>
              <w:top w:w="40" w:type="dxa"/>
              <w:left w:w="40" w:type="dxa"/>
              <w:bottom w:w="40" w:type="dxa"/>
              <w:right w:w="40" w:type="dxa"/>
            </w:tcMar>
            <w:vAlign w:val="bottom"/>
          </w:tcPr>
          <w:p w14:paraId="4ACE325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3260"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31, </w:t>
            </w:r>
            <w:r>
              <w:rPr>
                <w:rFonts w:ascii="Arial" w:eastAsia="宋体" w:hAnsi="Arial" w:cs="Arial"/>
                <w:b/>
                <w:bCs/>
                <w:color w:val="333333"/>
                <w:sz w:val="18"/>
                <w:szCs w:val="18"/>
              </w:rPr>
              <w:br/>
              <w:t>2016</w:t>
            </w:r>
          </w:p>
        </w:tc>
        <w:tc>
          <w:tcPr>
            <w:tcW w:w="0" w:type="auto"/>
            <w:shd w:val="clear" w:color="auto" w:fill="auto"/>
            <w:tcMar>
              <w:top w:w="40" w:type="dxa"/>
              <w:left w:w="40" w:type="dxa"/>
              <w:bottom w:w="40" w:type="dxa"/>
              <w:right w:w="40" w:type="dxa"/>
            </w:tcMar>
            <w:vAlign w:val="bottom"/>
          </w:tcPr>
          <w:p w14:paraId="4ACE326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3262"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26, </w:t>
            </w:r>
            <w:r>
              <w:rPr>
                <w:rFonts w:ascii="Arial" w:eastAsia="宋体" w:hAnsi="Arial" w:cs="Arial"/>
                <w:b/>
                <w:bCs/>
                <w:color w:val="333333"/>
                <w:sz w:val="18"/>
                <w:szCs w:val="18"/>
              </w:rPr>
              <w:br/>
              <w:t>2015</w:t>
            </w:r>
          </w:p>
        </w:tc>
      </w:tr>
      <w:tr w:rsidR="006F587A" w14:paraId="4ACE3279" w14:textId="77777777">
        <w:tc>
          <w:tcPr>
            <w:tcW w:w="0" w:type="auto"/>
            <w:tcBorders>
              <w:top w:val="single" w:sz="8" w:space="0" w:color="0071C5"/>
            </w:tcBorders>
            <w:shd w:val="clear" w:color="auto" w:fill="auto"/>
            <w:tcMar>
              <w:top w:w="40" w:type="dxa"/>
              <w:left w:w="40" w:type="dxa"/>
              <w:bottom w:w="40" w:type="dxa"/>
              <w:right w:w="40" w:type="dxa"/>
            </w:tcMar>
            <w:vAlign w:val="bottom"/>
          </w:tcPr>
          <w:p w14:paraId="4ACE3264"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Net cash provided by operating activities</w:t>
            </w:r>
          </w:p>
        </w:tc>
        <w:tc>
          <w:tcPr>
            <w:tcW w:w="0" w:type="auto"/>
            <w:shd w:val="clear" w:color="auto" w:fill="auto"/>
            <w:tcMar>
              <w:top w:w="40" w:type="dxa"/>
              <w:left w:w="40" w:type="dxa"/>
              <w:bottom w:w="40" w:type="dxa"/>
              <w:right w:w="40" w:type="dxa"/>
            </w:tcMar>
            <w:vAlign w:val="bottom"/>
          </w:tcPr>
          <w:p w14:paraId="4ACE326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266"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3267"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33,145</w:t>
            </w:r>
          </w:p>
        </w:tc>
        <w:tc>
          <w:tcPr>
            <w:tcW w:w="0" w:type="auto"/>
            <w:shd w:val="clear" w:color="auto" w:fill="auto"/>
            <w:vAlign w:val="bottom"/>
          </w:tcPr>
          <w:p w14:paraId="4ACE326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26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326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tcMar>
            <w:vAlign w:val="bottom"/>
          </w:tcPr>
          <w:p w14:paraId="4ACE326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29,432</w:t>
            </w:r>
          </w:p>
        </w:tc>
        <w:tc>
          <w:tcPr>
            <w:tcW w:w="0" w:type="auto"/>
            <w:tcBorders>
              <w:top w:val="single" w:sz="8" w:space="0" w:color="0071C5"/>
            </w:tcBorders>
            <w:shd w:val="clear" w:color="auto" w:fill="auto"/>
            <w:vAlign w:val="bottom"/>
          </w:tcPr>
          <w:p w14:paraId="4ACE326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26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26E"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26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22,110</w:t>
            </w:r>
          </w:p>
        </w:tc>
        <w:tc>
          <w:tcPr>
            <w:tcW w:w="0" w:type="auto"/>
            <w:shd w:val="clear" w:color="auto" w:fill="auto"/>
            <w:vAlign w:val="bottom"/>
          </w:tcPr>
          <w:p w14:paraId="4ACE327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27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27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273"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21,808</w:t>
            </w:r>
          </w:p>
        </w:tc>
        <w:tc>
          <w:tcPr>
            <w:tcW w:w="0" w:type="auto"/>
            <w:shd w:val="clear" w:color="auto" w:fill="auto"/>
            <w:vAlign w:val="bottom"/>
          </w:tcPr>
          <w:p w14:paraId="4ACE327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27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27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27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19,018</w:t>
            </w:r>
          </w:p>
        </w:tc>
        <w:tc>
          <w:tcPr>
            <w:tcW w:w="0" w:type="auto"/>
            <w:shd w:val="clear" w:color="auto" w:fill="auto"/>
            <w:vAlign w:val="bottom"/>
          </w:tcPr>
          <w:p w14:paraId="4ACE3278" w14:textId="77777777" w:rsidR="006F587A" w:rsidRDefault="006F587A">
            <w:pPr>
              <w:textAlignment w:val="bottom"/>
              <w:rPr>
                <w:rFonts w:ascii="Times New Roman" w:hAnsi="Times New Roman"/>
                <w:sz w:val="20"/>
                <w:szCs w:val="20"/>
              </w:rPr>
            </w:pPr>
          </w:p>
        </w:tc>
      </w:tr>
      <w:tr w:rsidR="006F587A" w14:paraId="4ACE328A" w14:textId="77777777">
        <w:tc>
          <w:tcPr>
            <w:tcW w:w="0" w:type="auto"/>
            <w:shd w:val="clear" w:color="auto" w:fill="auto"/>
            <w:tcMar>
              <w:top w:w="40" w:type="dxa"/>
              <w:left w:w="400" w:type="dxa"/>
              <w:bottom w:w="40" w:type="dxa"/>
              <w:right w:w="40" w:type="dxa"/>
            </w:tcMar>
            <w:vAlign w:val="bottom"/>
          </w:tcPr>
          <w:p w14:paraId="4ACE327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Additions to property, plant and equipment</w:t>
            </w:r>
          </w:p>
        </w:tc>
        <w:tc>
          <w:tcPr>
            <w:tcW w:w="0" w:type="auto"/>
            <w:shd w:val="clear" w:color="auto" w:fill="auto"/>
            <w:tcMar>
              <w:top w:w="40" w:type="dxa"/>
              <w:left w:w="40" w:type="dxa"/>
              <w:bottom w:w="40" w:type="dxa"/>
              <w:right w:w="40" w:type="dxa"/>
            </w:tcMar>
            <w:vAlign w:val="bottom"/>
          </w:tcPr>
          <w:p w14:paraId="4ACE327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27C"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(16,213</w:t>
            </w:r>
          </w:p>
        </w:tc>
        <w:tc>
          <w:tcPr>
            <w:tcW w:w="0" w:type="auto"/>
            <w:shd w:val="clear" w:color="auto" w:fill="auto"/>
            <w:tcMar>
              <w:top w:w="40" w:type="dxa"/>
              <w:bottom w:w="40" w:type="dxa"/>
              <w:right w:w="40" w:type="dxa"/>
            </w:tcMar>
            <w:vAlign w:val="bottom"/>
          </w:tcPr>
          <w:p w14:paraId="4ACE327D"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327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27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(15,181</w:t>
            </w:r>
          </w:p>
        </w:tc>
        <w:tc>
          <w:tcPr>
            <w:tcW w:w="0" w:type="auto"/>
            <w:shd w:val="clear" w:color="auto" w:fill="auto"/>
            <w:tcMar>
              <w:top w:w="40" w:type="dxa"/>
              <w:bottom w:w="40" w:type="dxa"/>
              <w:right w:w="40" w:type="dxa"/>
            </w:tcMar>
            <w:vAlign w:val="bottom"/>
          </w:tcPr>
          <w:p w14:paraId="4ACE328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328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28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(11,778</w:t>
            </w:r>
          </w:p>
        </w:tc>
        <w:tc>
          <w:tcPr>
            <w:tcW w:w="0" w:type="auto"/>
            <w:shd w:val="clear" w:color="auto" w:fill="auto"/>
            <w:tcMar>
              <w:top w:w="40" w:type="dxa"/>
              <w:bottom w:w="40" w:type="dxa"/>
              <w:right w:w="40" w:type="dxa"/>
            </w:tcMar>
            <w:vAlign w:val="bottom"/>
          </w:tcPr>
          <w:p w14:paraId="4ACE328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328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285"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(9,625</w:t>
            </w:r>
          </w:p>
        </w:tc>
        <w:tc>
          <w:tcPr>
            <w:tcW w:w="0" w:type="auto"/>
            <w:shd w:val="clear" w:color="auto" w:fill="auto"/>
            <w:tcMar>
              <w:top w:w="40" w:type="dxa"/>
              <w:bottom w:w="40" w:type="dxa"/>
              <w:right w:w="40" w:type="dxa"/>
            </w:tcMar>
            <w:vAlign w:val="bottom"/>
          </w:tcPr>
          <w:p w14:paraId="4ACE328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328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28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(7,326</w:t>
            </w:r>
          </w:p>
        </w:tc>
        <w:tc>
          <w:tcPr>
            <w:tcW w:w="0" w:type="auto"/>
            <w:shd w:val="clear" w:color="auto" w:fill="auto"/>
            <w:tcMar>
              <w:top w:w="40" w:type="dxa"/>
              <w:bottom w:w="40" w:type="dxa"/>
              <w:right w:w="40" w:type="dxa"/>
            </w:tcMar>
            <w:vAlign w:val="bottom"/>
          </w:tcPr>
          <w:p w14:paraId="4ACE328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32A0" w14:textId="77777777">
        <w:tc>
          <w:tcPr>
            <w:tcW w:w="0" w:type="auto"/>
            <w:shd w:val="clear" w:color="auto" w:fill="auto"/>
            <w:tcMar>
              <w:top w:w="40" w:type="dxa"/>
              <w:left w:w="40" w:type="dxa"/>
              <w:bottom w:w="40" w:type="dxa"/>
              <w:right w:w="40" w:type="dxa"/>
            </w:tcMar>
            <w:vAlign w:val="bottom"/>
          </w:tcPr>
          <w:p w14:paraId="4ACE328B"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Free cash flow</w:t>
            </w:r>
          </w:p>
        </w:tc>
        <w:tc>
          <w:tcPr>
            <w:tcW w:w="0" w:type="auto"/>
            <w:shd w:val="clear" w:color="auto" w:fill="auto"/>
            <w:tcMar>
              <w:top w:w="40" w:type="dxa"/>
              <w:left w:w="40" w:type="dxa"/>
              <w:bottom w:w="40" w:type="dxa"/>
              <w:right w:w="40" w:type="dxa"/>
            </w:tcMar>
            <w:vAlign w:val="bottom"/>
          </w:tcPr>
          <w:p w14:paraId="4ACE328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328D"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328E"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16,932</w:t>
            </w:r>
          </w:p>
        </w:tc>
        <w:tc>
          <w:tcPr>
            <w:tcW w:w="0" w:type="auto"/>
            <w:tcBorders>
              <w:top w:val="single" w:sz="8" w:space="0" w:color="333333"/>
              <w:bottom w:val="double" w:sz="6" w:space="0" w:color="333333"/>
            </w:tcBorders>
            <w:shd w:val="clear" w:color="auto" w:fill="auto"/>
            <w:vAlign w:val="bottom"/>
          </w:tcPr>
          <w:p w14:paraId="4ACE328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29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3291"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3292"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14,251</w:t>
            </w:r>
          </w:p>
        </w:tc>
        <w:tc>
          <w:tcPr>
            <w:tcW w:w="0" w:type="auto"/>
            <w:tcBorders>
              <w:top w:val="single" w:sz="8" w:space="0" w:color="333333"/>
              <w:bottom w:val="double" w:sz="6" w:space="0" w:color="333333"/>
            </w:tcBorders>
            <w:shd w:val="clear" w:color="auto" w:fill="auto"/>
            <w:vAlign w:val="bottom"/>
          </w:tcPr>
          <w:p w14:paraId="4ACE329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29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3295"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3296"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10,332</w:t>
            </w:r>
          </w:p>
        </w:tc>
        <w:tc>
          <w:tcPr>
            <w:tcW w:w="0" w:type="auto"/>
            <w:tcBorders>
              <w:top w:val="single" w:sz="8" w:space="0" w:color="333333"/>
              <w:bottom w:val="double" w:sz="6" w:space="0" w:color="333333"/>
            </w:tcBorders>
            <w:shd w:val="clear" w:color="auto" w:fill="auto"/>
            <w:vAlign w:val="bottom"/>
          </w:tcPr>
          <w:p w14:paraId="4ACE329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29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3299"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329A"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12,183</w:t>
            </w:r>
          </w:p>
        </w:tc>
        <w:tc>
          <w:tcPr>
            <w:tcW w:w="0" w:type="auto"/>
            <w:tcBorders>
              <w:top w:val="single" w:sz="8" w:space="0" w:color="333333"/>
              <w:bottom w:val="double" w:sz="6" w:space="0" w:color="333333"/>
            </w:tcBorders>
            <w:shd w:val="clear" w:color="auto" w:fill="auto"/>
            <w:vAlign w:val="bottom"/>
          </w:tcPr>
          <w:p w14:paraId="4ACE329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29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329D"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329E"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11,692</w:t>
            </w:r>
          </w:p>
        </w:tc>
        <w:tc>
          <w:tcPr>
            <w:tcW w:w="0" w:type="auto"/>
            <w:tcBorders>
              <w:top w:val="single" w:sz="8" w:space="0" w:color="333333"/>
              <w:bottom w:val="double" w:sz="6" w:space="0" w:color="333333"/>
            </w:tcBorders>
            <w:shd w:val="clear" w:color="auto" w:fill="auto"/>
            <w:vAlign w:val="bottom"/>
          </w:tcPr>
          <w:p w14:paraId="4ACE329F" w14:textId="77777777" w:rsidR="006F587A" w:rsidRDefault="006F587A">
            <w:pPr>
              <w:textAlignment w:val="bottom"/>
              <w:rPr>
                <w:rFonts w:ascii="Times New Roman" w:hAnsi="Times New Roman"/>
                <w:sz w:val="20"/>
                <w:szCs w:val="20"/>
              </w:rPr>
            </w:pPr>
          </w:p>
        </w:tc>
      </w:tr>
      <w:tr w:rsidR="006F587A" w14:paraId="4ACE32AC" w14:textId="77777777">
        <w:tc>
          <w:tcPr>
            <w:tcW w:w="0" w:type="auto"/>
            <w:shd w:val="clear" w:color="auto" w:fill="auto"/>
            <w:tcMar>
              <w:top w:w="40" w:type="dxa"/>
              <w:left w:w="40" w:type="dxa"/>
              <w:bottom w:w="40" w:type="dxa"/>
              <w:right w:w="40" w:type="dxa"/>
            </w:tcMar>
            <w:vAlign w:val="bottom"/>
          </w:tcPr>
          <w:p w14:paraId="4ACE32A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2A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2A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2A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2A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2A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2A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2A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2A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2A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2A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32C2" w14:textId="77777777">
        <w:tc>
          <w:tcPr>
            <w:tcW w:w="0" w:type="auto"/>
            <w:shd w:val="clear" w:color="auto" w:fill="auto"/>
            <w:tcMar>
              <w:top w:w="40" w:type="dxa"/>
              <w:left w:w="40" w:type="dxa"/>
              <w:bottom w:w="40" w:type="dxa"/>
              <w:right w:w="40" w:type="dxa"/>
            </w:tcMar>
            <w:vAlign w:val="bottom"/>
          </w:tcPr>
          <w:p w14:paraId="4ACE32AD"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Net cash used for investing activities</w:t>
            </w:r>
          </w:p>
        </w:tc>
        <w:tc>
          <w:tcPr>
            <w:tcW w:w="0" w:type="auto"/>
            <w:shd w:val="clear" w:color="auto" w:fill="auto"/>
            <w:tcMar>
              <w:top w:w="40" w:type="dxa"/>
              <w:left w:w="40" w:type="dxa"/>
              <w:bottom w:w="40" w:type="dxa"/>
              <w:right w:w="40" w:type="dxa"/>
            </w:tcMar>
            <w:vAlign w:val="bottom"/>
          </w:tcPr>
          <w:p w14:paraId="4ACE32A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2AF"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bottom w:w="40" w:type="dxa"/>
            </w:tcMar>
            <w:vAlign w:val="bottom"/>
          </w:tcPr>
          <w:p w14:paraId="4ACE32B0"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(14,405</w:t>
            </w:r>
          </w:p>
        </w:tc>
        <w:tc>
          <w:tcPr>
            <w:tcW w:w="0" w:type="auto"/>
            <w:shd w:val="clear" w:color="auto" w:fill="auto"/>
            <w:tcMar>
              <w:top w:w="40" w:type="dxa"/>
              <w:bottom w:w="40" w:type="dxa"/>
              <w:right w:w="40" w:type="dxa"/>
            </w:tcMar>
            <w:vAlign w:val="bottom"/>
          </w:tcPr>
          <w:p w14:paraId="4ACE32B1"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left w:w="40" w:type="dxa"/>
              <w:bottom w:w="40" w:type="dxa"/>
              <w:right w:w="40" w:type="dxa"/>
            </w:tcMar>
            <w:vAlign w:val="bottom"/>
          </w:tcPr>
          <w:p w14:paraId="4ACE32B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2B3"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bottom w:w="40" w:type="dxa"/>
            </w:tcMar>
            <w:vAlign w:val="bottom"/>
          </w:tcPr>
          <w:p w14:paraId="4ACE32B4"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(11,239</w:t>
            </w:r>
          </w:p>
        </w:tc>
        <w:tc>
          <w:tcPr>
            <w:tcW w:w="0" w:type="auto"/>
            <w:shd w:val="clear" w:color="auto" w:fill="auto"/>
            <w:tcMar>
              <w:top w:w="40" w:type="dxa"/>
              <w:bottom w:w="40" w:type="dxa"/>
              <w:right w:w="40" w:type="dxa"/>
            </w:tcMar>
            <w:vAlign w:val="bottom"/>
          </w:tcPr>
          <w:p w14:paraId="4ACE32B5"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4ACE32B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2B7"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bottom w:w="40" w:type="dxa"/>
            </w:tcMar>
            <w:vAlign w:val="bottom"/>
          </w:tcPr>
          <w:p w14:paraId="4ACE32B8"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(15,762</w:t>
            </w:r>
          </w:p>
        </w:tc>
        <w:tc>
          <w:tcPr>
            <w:tcW w:w="0" w:type="auto"/>
            <w:shd w:val="clear" w:color="auto" w:fill="auto"/>
            <w:tcMar>
              <w:top w:w="40" w:type="dxa"/>
              <w:bottom w:w="40" w:type="dxa"/>
              <w:right w:w="40" w:type="dxa"/>
            </w:tcMar>
            <w:vAlign w:val="bottom"/>
          </w:tcPr>
          <w:p w14:paraId="4ACE32B9"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4ACE32B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2BB"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bottom w:w="40" w:type="dxa"/>
            </w:tcMar>
            <w:vAlign w:val="bottom"/>
          </w:tcPr>
          <w:p w14:paraId="4ACE32BC"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(25,817</w:t>
            </w:r>
          </w:p>
        </w:tc>
        <w:tc>
          <w:tcPr>
            <w:tcW w:w="0" w:type="auto"/>
            <w:shd w:val="clear" w:color="auto" w:fill="auto"/>
            <w:tcMar>
              <w:top w:w="40" w:type="dxa"/>
              <w:bottom w:w="40" w:type="dxa"/>
              <w:right w:w="40" w:type="dxa"/>
            </w:tcMar>
            <w:vAlign w:val="bottom"/>
          </w:tcPr>
          <w:p w14:paraId="4ACE32BD"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4ACE32B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2BF"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bottom w:w="40" w:type="dxa"/>
            </w:tcMar>
            <w:vAlign w:val="bottom"/>
          </w:tcPr>
          <w:p w14:paraId="4ACE32C0"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(8,183</w:t>
            </w:r>
          </w:p>
        </w:tc>
        <w:tc>
          <w:tcPr>
            <w:tcW w:w="0" w:type="auto"/>
            <w:shd w:val="clear" w:color="auto" w:fill="auto"/>
            <w:tcMar>
              <w:top w:w="40" w:type="dxa"/>
              <w:bottom w:w="40" w:type="dxa"/>
              <w:right w:w="40" w:type="dxa"/>
            </w:tcMar>
            <w:vAlign w:val="bottom"/>
          </w:tcPr>
          <w:p w14:paraId="4ACE32C1"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r>
      <w:tr w:rsidR="006F587A" w14:paraId="4ACE32D8" w14:textId="77777777">
        <w:tc>
          <w:tcPr>
            <w:tcW w:w="0" w:type="auto"/>
            <w:shd w:val="clear" w:color="auto" w:fill="auto"/>
            <w:tcMar>
              <w:top w:w="40" w:type="dxa"/>
              <w:left w:w="40" w:type="dxa"/>
              <w:bottom w:w="40" w:type="dxa"/>
              <w:right w:w="40" w:type="dxa"/>
            </w:tcMar>
            <w:vAlign w:val="bottom"/>
          </w:tcPr>
          <w:p w14:paraId="4ACE32C3"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Net cash provided by (used for) financing activities</w:t>
            </w:r>
          </w:p>
        </w:tc>
        <w:tc>
          <w:tcPr>
            <w:tcW w:w="0" w:type="auto"/>
            <w:shd w:val="clear" w:color="auto" w:fill="auto"/>
            <w:tcMar>
              <w:top w:w="40" w:type="dxa"/>
              <w:left w:w="40" w:type="dxa"/>
              <w:bottom w:w="40" w:type="dxa"/>
              <w:right w:w="40" w:type="dxa"/>
            </w:tcMar>
            <w:vAlign w:val="bottom"/>
          </w:tcPr>
          <w:p w14:paraId="4ACE32C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2C5"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bottom w:w="40" w:type="dxa"/>
            </w:tcMar>
            <w:vAlign w:val="bottom"/>
          </w:tcPr>
          <w:p w14:paraId="4ACE32C6"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(17,565</w:t>
            </w:r>
          </w:p>
        </w:tc>
        <w:tc>
          <w:tcPr>
            <w:tcW w:w="0" w:type="auto"/>
            <w:shd w:val="clear" w:color="auto" w:fill="auto"/>
            <w:tcMar>
              <w:top w:w="40" w:type="dxa"/>
              <w:bottom w:w="40" w:type="dxa"/>
              <w:right w:w="40" w:type="dxa"/>
            </w:tcMar>
            <w:vAlign w:val="bottom"/>
          </w:tcPr>
          <w:p w14:paraId="4ACE32C7"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left w:w="40" w:type="dxa"/>
              <w:bottom w:w="40" w:type="dxa"/>
              <w:right w:w="40" w:type="dxa"/>
            </w:tcMar>
            <w:vAlign w:val="bottom"/>
          </w:tcPr>
          <w:p w14:paraId="4ACE32C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2C9"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bottom w:w="40" w:type="dxa"/>
            </w:tcMar>
            <w:vAlign w:val="bottom"/>
          </w:tcPr>
          <w:p w14:paraId="4ACE32CA"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(18,607</w:t>
            </w:r>
          </w:p>
        </w:tc>
        <w:tc>
          <w:tcPr>
            <w:tcW w:w="0" w:type="auto"/>
            <w:shd w:val="clear" w:color="auto" w:fill="auto"/>
            <w:tcMar>
              <w:top w:w="40" w:type="dxa"/>
              <w:bottom w:w="40" w:type="dxa"/>
              <w:right w:w="40" w:type="dxa"/>
            </w:tcMar>
            <w:vAlign w:val="bottom"/>
          </w:tcPr>
          <w:p w14:paraId="4ACE32CB"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4ACE32C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2CD"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bottom w:w="40" w:type="dxa"/>
            </w:tcMar>
            <w:vAlign w:val="bottom"/>
          </w:tcPr>
          <w:p w14:paraId="4ACE32CE"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(8,475</w:t>
            </w:r>
          </w:p>
        </w:tc>
        <w:tc>
          <w:tcPr>
            <w:tcW w:w="0" w:type="auto"/>
            <w:shd w:val="clear" w:color="auto" w:fill="auto"/>
            <w:tcMar>
              <w:top w:w="40" w:type="dxa"/>
              <w:bottom w:w="40" w:type="dxa"/>
              <w:right w:w="40" w:type="dxa"/>
            </w:tcMar>
            <w:vAlign w:val="bottom"/>
          </w:tcPr>
          <w:p w14:paraId="4ACE32CF"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4ACE32D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2D1"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bottom w:w="40" w:type="dxa"/>
            </w:tcMar>
            <w:vAlign w:val="bottom"/>
          </w:tcPr>
          <w:p w14:paraId="4ACE32D2"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(5,739</w:t>
            </w:r>
          </w:p>
        </w:tc>
        <w:tc>
          <w:tcPr>
            <w:tcW w:w="0" w:type="auto"/>
            <w:shd w:val="clear" w:color="auto" w:fill="auto"/>
            <w:tcMar>
              <w:top w:w="40" w:type="dxa"/>
              <w:bottom w:w="40" w:type="dxa"/>
              <w:right w:w="40" w:type="dxa"/>
            </w:tcMar>
            <w:vAlign w:val="bottom"/>
          </w:tcPr>
          <w:p w14:paraId="4ACE32D3"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4ACE32D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2D5"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bottom w:w="40" w:type="dxa"/>
            </w:tcMar>
            <w:vAlign w:val="bottom"/>
          </w:tcPr>
          <w:p w14:paraId="4ACE32D6"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1,912</w:t>
            </w:r>
          </w:p>
        </w:tc>
        <w:tc>
          <w:tcPr>
            <w:tcW w:w="0" w:type="auto"/>
            <w:shd w:val="clear" w:color="auto" w:fill="auto"/>
            <w:vAlign w:val="bottom"/>
          </w:tcPr>
          <w:p w14:paraId="4ACE32D7" w14:textId="77777777" w:rsidR="006F587A" w:rsidRDefault="006F587A">
            <w:pPr>
              <w:textAlignment w:val="bottom"/>
              <w:rPr>
                <w:rFonts w:ascii="Times New Roman" w:hAnsi="Times New Roman"/>
                <w:sz w:val="20"/>
                <w:szCs w:val="20"/>
              </w:rPr>
            </w:pPr>
          </w:p>
        </w:tc>
      </w:tr>
    </w:tbl>
    <w:p w14:paraId="4ACE32D9" w14:textId="77777777" w:rsidR="006F587A" w:rsidRDefault="006F587A">
      <w:pPr>
        <w:spacing w:line="288" w:lineRule="auto"/>
        <w:rPr>
          <w:rFonts w:ascii="Times New Roman" w:hAnsi="Times New Roman"/>
          <w:sz w:val="18"/>
          <w:szCs w:val="18"/>
        </w:rPr>
      </w:pPr>
    </w:p>
    <w:p w14:paraId="4ACE32DA"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243"/>
        <w:gridCol w:w="2658"/>
        <w:gridCol w:w="3405"/>
      </w:tblGrid>
      <w:tr w:rsidR="006F587A" w14:paraId="4ACE32DC" w14:textId="77777777">
        <w:tc>
          <w:tcPr>
            <w:tcW w:w="0" w:type="auto"/>
            <w:gridSpan w:val="3"/>
            <w:shd w:val="clear" w:color="auto" w:fill="auto"/>
            <w:vAlign w:val="center"/>
          </w:tcPr>
          <w:p w14:paraId="4ACE32DB" w14:textId="77777777" w:rsidR="006F587A" w:rsidRDefault="006F587A">
            <w:pPr>
              <w:rPr>
                <w:rFonts w:ascii="Times New Roman" w:hAnsi="Times New Roman"/>
                <w:sz w:val="20"/>
                <w:szCs w:val="20"/>
              </w:rPr>
            </w:pPr>
          </w:p>
        </w:tc>
      </w:tr>
      <w:tr w:rsidR="006F587A" w14:paraId="4ACE32E0" w14:textId="77777777">
        <w:tc>
          <w:tcPr>
            <w:tcW w:w="1350" w:type="pct"/>
            <w:shd w:val="clear" w:color="auto" w:fill="auto"/>
            <w:vAlign w:val="center"/>
          </w:tcPr>
          <w:p w14:paraId="4ACE32DD" w14:textId="77777777" w:rsidR="006F587A" w:rsidRDefault="006F587A">
            <w:pPr>
              <w:rPr>
                <w:rFonts w:ascii="Times New Roman" w:hAnsi="Times New Roman"/>
                <w:sz w:val="20"/>
                <w:szCs w:val="20"/>
              </w:rPr>
            </w:pPr>
          </w:p>
        </w:tc>
        <w:tc>
          <w:tcPr>
            <w:tcW w:w="1600" w:type="pct"/>
            <w:shd w:val="clear" w:color="auto" w:fill="auto"/>
            <w:vAlign w:val="center"/>
          </w:tcPr>
          <w:p w14:paraId="4ACE32DE" w14:textId="77777777" w:rsidR="006F587A" w:rsidRDefault="006F587A">
            <w:pPr>
              <w:rPr>
                <w:rFonts w:ascii="Times New Roman" w:hAnsi="Times New Roman"/>
                <w:sz w:val="20"/>
                <w:szCs w:val="20"/>
              </w:rPr>
            </w:pPr>
          </w:p>
        </w:tc>
        <w:tc>
          <w:tcPr>
            <w:tcW w:w="2050" w:type="pct"/>
            <w:shd w:val="clear" w:color="auto" w:fill="auto"/>
            <w:vAlign w:val="center"/>
          </w:tcPr>
          <w:p w14:paraId="4ACE32DF" w14:textId="77777777" w:rsidR="006F587A" w:rsidRDefault="006F587A">
            <w:pPr>
              <w:rPr>
                <w:rFonts w:ascii="Times New Roman" w:hAnsi="Times New Roman"/>
                <w:sz w:val="20"/>
                <w:szCs w:val="20"/>
              </w:rPr>
            </w:pPr>
          </w:p>
        </w:tc>
      </w:tr>
      <w:tr w:rsidR="006F587A" w14:paraId="4ACE32E4"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32E1" w14:textId="77777777" w:rsidR="006F587A" w:rsidRDefault="007B2B61">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6E" wp14:editId="4ACE6D6F">
                  <wp:extent cx="304800" cy="304800"/>
                  <wp:effectExtent l="0" t="0" r="0" b="0"/>
                  <wp:docPr id="163" name="图片 228"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228"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OTHER KEY INFORMATION</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2E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2E3"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46</w:t>
            </w:r>
          </w:p>
        </w:tc>
      </w:tr>
    </w:tbl>
    <w:p w14:paraId="4ACE32E5" w14:textId="77777777" w:rsidR="006F587A" w:rsidRDefault="007B2B61">
      <w:r>
        <w:pict w14:anchorId="4ACE6D70">
          <v:rect id="_x0000_i1072" style="width:415.3pt;height:1.5pt" o:hralign="center" o:hrstd="t" o:hr="t" fillcolor="#a0a0a0" stroked="f"/>
        </w:pict>
      </w:r>
    </w:p>
    <w:p w14:paraId="4ACE32E6" w14:textId="77777777" w:rsidR="006F587A" w:rsidRDefault="007B2B61">
      <w:pPr>
        <w:spacing w:line="288" w:lineRule="auto"/>
        <w:jc w:val="right"/>
        <w:rPr>
          <w:rFonts w:ascii="Times New Roman" w:hAnsi="Times New Roman"/>
          <w:sz w:val="16"/>
          <w:szCs w:val="16"/>
        </w:rPr>
      </w:pPr>
      <w:hyperlink r:id="rId79" w:anchor="s9DB683E2CF52561EB8A73BE37F5BF9BE" w:history="1">
        <w:r>
          <w:rPr>
            <w:rStyle w:val="a5"/>
            <w:rFonts w:ascii="Arial" w:eastAsia="宋体" w:hAnsi="Arial" w:cs="Arial"/>
            <w:b/>
            <w:bCs/>
            <w:sz w:val="16"/>
            <w:szCs w:val="16"/>
          </w:rPr>
          <w:t>Table of Contents</w:t>
        </w:r>
      </w:hyperlink>
    </w:p>
    <w:p w14:paraId="4ACE32E7" w14:textId="77777777" w:rsidR="006F587A" w:rsidRDefault="006F587A">
      <w:pPr>
        <w:spacing w:line="288" w:lineRule="auto"/>
        <w:jc w:val="right"/>
        <w:rPr>
          <w:rFonts w:ascii="Times New Roman" w:hAnsi="Times New Roman"/>
          <w:sz w:val="16"/>
          <w:szCs w:val="16"/>
        </w:rPr>
      </w:pPr>
    </w:p>
    <w:p w14:paraId="4ACE32E8"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6F587A" w14:paraId="4ACE32EA" w14:textId="77777777">
        <w:tc>
          <w:tcPr>
            <w:tcW w:w="0" w:type="auto"/>
            <w:shd w:val="clear" w:color="auto" w:fill="auto"/>
            <w:vAlign w:val="center"/>
          </w:tcPr>
          <w:p w14:paraId="4ACE32E9" w14:textId="77777777" w:rsidR="006F587A" w:rsidRDefault="006F587A">
            <w:pPr>
              <w:rPr>
                <w:rFonts w:ascii="Times New Roman" w:hAnsi="Times New Roman"/>
                <w:sz w:val="20"/>
                <w:szCs w:val="20"/>
              </w:rPr>
            </w:pPr>
          </w:p>
        </w:tc>
      </w:tr>
      <w:tr w:rsidR="006F587A" w14:paraId="4ACE32EC" w14:textId="77777777">
        <w:tc>
          <w:tcPr>
            <w:tcW w:w="5000" w:type="pct"/>
            <w:shd w:val="clear" w:color="auto" w:fill="auto"/>
            <w:vAlign w:val="center"/>
          </w:tcPr>
          <w:p w14:paraId="4ACE32EB" w14:textId="77777777" w:rsidR="006F587A" w:rsidRDefault="006F587A">
            <w:pPr>
              <w:rPr>
                <w:rFonts w:ascii="Times New Roman" w:hAnsi="Times New Roman"/>
                <w:sz w:val="20"/>
                <w:szCs w:val="20"/>
              </w:rPr>
            </w:pPr>
          </w:p>
        </w:tc>
      </w:tr>
      <w:tr w:rsidR="006F587A" w14:paraId="4ACE32EE" w14:textId="77777777">
        <w:tc>
          <w:tcPr>
            <w:tcW w:w="0" w:type="auto"/>
            <w:shd w:val="clear" w:color="auto" w:fill="003C71"/>
            <w:tcMar>
              <w:top w:w="40" w:type="dxa"/>
              <w:left w:w="880" w:type="dxa"/>
              <w:bottom w:w="40" w:type="dxa"/>
              <w:right w:w="40" w:type="dxa"/>
            </w:tcMar>
            <w:vAlign w:val="bottom"/>
          </w:tcPr>
          <w:p w14:paraId="4ACE32ED" w14:textId="77777777" w:rsidR="006F587A" w:rsidRDefault="007B2B61">
            <w:pPr>
              <w:textAlignment w:val="bottom"/>
              <w:rPr>
                <w:rFonts w:ascii="Times New Roman" w:hAnsi="Times New Roman"/>
                <w:sz w:val="36"/>
                <w:szCs w:val="36"/>
              </w:rPr>
            </w:pPr>
            <w:r>
              <w:rPr>
                <w:rFonts w:ascii="Arial" w:eastAsia="宋体" w:hAnsi="Arial" w:cs="Arial"/>
                <w:b/>
                <w:bCs/>
                <w:color w:val="FFFFFF"/>
                <w:sz w:val="36"/>
                <w:szCs w:val="36"/>
              </w:rPr>
              <w:t>OTHER KEY INFORMATION</w:t>
            </w:r>
          </w:p>
        </w:tc>
      </w:tr>
    </w:tbl>
    <w:p w14:paraId="4ACE32EF" w14:textId="77777777" w:rsidR="006F587A" w:rsidRDefault="007B2B61">
      <w:pPr>
        <w:spacing w:line="288" w:lineRule="auto"/>
        <w:rPr>
          <w:rFonts w:ascii="Times New Roman" w:hAnsi="Times New Roman"/>
          <w:sz w:val="28"/>
          <w:szCs w:val="28"/>
        </w:rPr>
      </w:pPr>
      <w:r>
        <w:rPr>
          <w:rFonts w:ascii="Arial" w:eastAsia="宋体" w:hAnsi="Arial" w:cs="Arial"/>
          <w:b/>
          <w:bCs/>
          <w:color w:val="0071C5"/>
          <w:sz w:val="28"/>
          <w:szCs w:val="28"/>
        </w:rPr>
        <w:t>SELECTED FINANCIAL DATA</w:t>
      </w:r>
    </w:p>
    <w:tbl>
      <w:tblPr>
        <w:tblW w:w="4995" w:type="pct"/>
        <w:tblCellMar>
          <w:left w:w="0" w:type="dxa"/>
          <w:right w:w="0" w:type="dxa"/>
        </w:tblCellMar>
        <w:tblLook w:val="04A0" w:firstRow="1" w:lastRow="0" w:firstColumn="1" w:lastColumn="0" w:noHBand="0" w:noVBand="1"/>
      </w:tblPr>
      <w:tblGrid>
        <w:gridCol w:w="2683"/>
        <w:gridCol w:w="130"/>
        <w:gridCol w:w="141"/>
        <w:gridCol w:w="651"/>
        <w:gridCol w:w="201"/>
        <w:gridCol w:w="130"/>
        <w:gridCol w:w="141"/>
        <w:gridCol w:w="651"/>
        <w:gridCol w:w="201"/>
        <w:gridCol w:w="130"/>
        <w:gridCol w:w="141"/>
        <w:gridCol w:w="651"/>
        <w:gridCol w:w="201"/>
        <w:gridCol w:w="130"/>
        <w:gridCol w:w="141"/>
        <w:gridCol w:w="651"/>
        <w:gridCol w:w="201"/>
        <w:gridCol w:w="130"/>
        <w:gridCol w:w="141"/>
        <w:gridCol w:w="651"/>
        <w:gridCol w:w="201"/>
      </w:tblGrid>
      <w:tr w:rsidR="006F587A" w14:paraId="4ACE32F1" w14:textId="77777777">
        <w:tc>
          <w:tcPr>
            <w:tcW w:w="0" w:type="auto"/>
            <w:gridSpan w:val="21"/>
            <w:shd w:val="clear" w:color="auto" w:fill="auto"/>
            <w:vAlign w:val="center"/>
          </w:tcPr>
          <w:p w14:paraId="4ACE32F0" w14:textId="77777777" w:rsidR="006F587A" w:rsidRDefault="006F587A">
            <w:pPr>
              <w:rPr>
                <w:rFonts w:ascii="Times New Roman" w:hAnsi="Times New Roman"/>
                <w:sz w:val="20"/>
                <w:szCs w:val="20"/>
              </w:rPr>
            </w:pPr>
          </w:p>
        </w:tc>
      </w:tr>
      <w:tr w:rsidR="006F587A" w14:paraId="4ACE3307" w14:textId="77777777">
        <w:tc>
          <w:tcPr>
            <w:tcW w:w="1750" w:type="pct"/>
            <w:shd w:val="clear" w:color="auto" w:fill="auto"/>
            <w:vAlign w:val="center"/>
          </w:tcPr>
          <w:p w14:paraId="4ACE32F2" w14:textId="77777777" w:rsidR="006F587A" w:rsidRDefault="006F587A">
            <w:pPr>
              <w:rPr>
                <w:rFonts w:ascii="Times New Roman" w:hAnsi="Times New Roman"/>
                <w:sz w:val="20"/>
                <w:szCs w:val="20"/>
              </w:rPr>
            </w:pPr>
          </w:p>
        </w:tc>
        <w:tc>
          <w:tcPr>
            <w:tcW w:w="50" w:type="pct"/>
            <w:shd w:val="clear" w:color="auto" w:fill="auto"/>
            <w:vAlign w:val="center"/>
          </w:tcPr>
          <w:p w14:paraId="4ACE32F3" w14:textId="77777777" w:rsidR="006F587A" w:rsidRDefault="006F587A">
            <w:pPr>
              <w:rPr>
                <w:rFonts w:ascii="Times New Roman" w:hAnsi="Times New Roman"/>
                <w:sz w:val="20"/>
                <w:szCs w:val="20"/>
              </w:rPr>
            </w:pPr>
          </w:p>
        </w:tc>
        <w:tc>
          <w:tcPr>
            <w:tcW w:w="50" w:type="pct"/>
            <w:shd w:val="clear" w:color="auto" w:fill="auto"/>
            <w:vAlign w:val="center"/>
          </w:tcPr>
          <w:p w14:paraId="4ACE32F4" w14:textId="77777777" w:rsidR="006F587A" w:rsidRDefault="006F587A">
            <w:pPr>
              <w:rPr>
                <w:rFonts w:ascii="Times New Roman" w:hAnsi="Times New Roman"/>
                <w:sz w:val="20"/>
                <w:szCs w:val="20"/>
              </w:rPr>
            </w:pPr>
          </w:p>
        </w:tc>
        <w:tc>
          <w:tcPr>
            <w:tcW w:w="500" w:type="pct"/>
            <w:shd w:val="clear" w:color="auto" w:fill="auto"/>
            <w:vAlign w:val="center"/>
          </w:tcPr>
          <w:p w14:paraId="4ACE32F5" w14:textId="77777777" w:rsidR="006F587A" w:rsidRDefault="006F587A">
            <w:pPr>
              <w:rPr>
                <w:rFonts w:ascii="Times New Roman" w:hAnsi="Times New Roman"/>
                <w:sz w:val="20"/>
                <w:szCs w:val="20"/>
              </w:rPr>
            </w:pPr>
          </w:p>
        </w:tc>
        <w:tc>
          <w:tcPr>
            <w:tcW w:w="50" w:type="pct"/>
            <w:shd w:val="clear" w:color="auto" w:fill="auto"/>
            <w:vAlign w:val="center"/>
          </w:tcPr>
          <w:p w14:paraId="4ACE32F6" w14:textId="77777777" w:rsidR="006F587A" w:rsidRDefault="006F587A">
            <w:pPr>
              <w:rPr>
                <w:rFonts w:ascii="Times New Roman" w:hAnsi="Times New Roman"/>
                <w:sz w:val="20"/>
                <w:szCs w:val="20"/>
              </w:rPr>
            </w:pPr>
          </w:p>
        </w:tc>
        <w:tc>
          <w:tcPr>
            <w:tcW w:w="50" w:type="pct"/>
            <w:shd w:val="clear" w:color="auto" w:fill="auto"/>
            <w:vAlign w:val="center"/>
          </w:tcPr>
          <w:p w14:paraId="4ACE32F7" w14:textId="77777777" w:rsidR="006F587A" w:rsidRDefault="006F587A">
            <w:pPr>
              <w:rPr>
                <w:rFonts w:ascii="Times New Roman" w:hAnsi="Times New Roman"/>
                <w:sz w:val="20"/>
                <w:szCs w:val="20"/>
              </w:rPr>
            </w:pPr>
          </w:p>
        </w:tc>
        <w:tc>
          <w:tcPr>
            <w:tcW w:w="50" w:type="pct"/>
            <w:shd w:val="clear" w:color="auto" w:fill="auto"/>
            <w:vAlign w:val="center"/>
          </w:tcPr>
          <w:p w14:paraId="4ACE32F8" w14:textId="77777777" w:rsidR="006F587A" w:rsidRDefault="006F587A">
            <w:pPr>
              <w:rPr>
                <w:rFonts w:ascii="Times New Roman" w:hAnsi="Times New Roman"/>
                <w:sz w:val="20"/>
                <w:szCs w:val="20"/>
              </w:rPr>
            </w:pPr>
          </w:p>
        </w:tc>
        <w:tc>
          <w:tcPr>
            <w:tcW w:w="500" w:type="pct"/>
            <w:shd w:val="clear" w:color="auto" w:fill="auto"/>
            <w:vAlign w:val="center"/>
          </w:tcPr>
          <w:p w14:paraId="4ACE32F9" w14:textId="77777777" w:rsidR="006F587A" w:rsidRDefault="006F587A">
            <w:pPr>
              <w:rPr>
                <w:rFonts w:ascii="Times New Roman" w:hAnsi="Times New Roman"/>
                <w:sz w:val="20"/>
                <w:szCs w:val="20"/>
              </w:rPr>
            </w:pPr>
          </w:p>
        </w:tc>
        <w:tc>
          <w:tcPr>
            <w:tcW w:w="50" w:type="pct"/>
            <w:shd w:val="clear" w:color="auto" w:fill="auto"/>
            <w:vAlign w:val="center"/>
          </w:tcPr>
          <w:p w14:paraId="4ACE32FA" w14:textId="77777777" w:rsidR="006F587A" w:rsidRDefault="006F587A">
            <w:pPr>
              <w:rPr>
                <w:rFonts w:ascii="Times New Roman" w:hAnsi="Times New Roman"/>
                <w:sz w:val="20"/>
                <w:szCs w:val="20"/>
              </w:rPr>
            </w:pPr>
          </w:p>
        </w:tc>
        <w:tc>
          <w:tcPr>
            <w:tcW w:w="50" w:type="pct"/>
            <w:shd w:val="clear" w:color="auto" w:fill="auto"/>
            <w:vAlign w:val="center"/>
          </w:tcPr>
          <w:p w14:paraId="4ACE32FB" w14:textId="77777777" w:rsidR="006F587A" w:rsidRDefault="006F587A">
            <w:pPr>
              <w:rPr>
                <w:rFonts w:ascii="Times New Roman" w:hAnsi="Times New Roman"/>
                <w:sz w:val="20"/>
                <w:szCs w:val="20"/>
              </w:rPr>
            </w:pPr>
          </w:p>
        </w:tc>
        <w:tc>
          <w:tcPr>
            <w:tcW w:w="50" w:type="pct"/>
            <w:shd w:val="clear" w:color="auto" w:fill="auto"/>
            <w:vAlign w:val="center"/>
          </w:tcPr>
          <w:p w14:paraId="4ACE32FC" w14:textId="77777777" w:rsidR="006F587A" w:rsidRDefault="006F587A">
            <w:pPr>
              <w:rPr>
                <w:rFonts w:ascii="Times New Roman" w:hAnsi="Times New Roman"/>
                <w:sz w:val="20"/>
                <w:szCs w:val="20"/>
              </w:rPr>
            </w:pPr>
          </w:p>
        </w:tc>
        <w:tc>
          <w:tcPr>
            <w:tcW w:w="500" w:type="pct"/>
            <w:shd w:val="clear" w:color="auto" w:fill="auto"/>
            <w:vAlign w:val="center"/>
          </w:tcPr>
          <w:p w14:paraId="4ACE32FD" w14:textId="77777777" w:rsidR="006F587A" w:rsidRDefault="006F587A">
            <w:pPr>
              <w:rPr>
                <w:rFonts w:ascii="Times New Roman" w:hAnsi="Times New Roman"/>
                <w:sz w:val="20"/>
                <w:szCs w:val="20"/>
              </w:rPr>
            </w:pPr>
          </w:p>
        </w:tc>
        <w:tc>
          <w:tcPr>
            <w:tcW w:w="50" w:type="pct"/>
            <w:shd w:val="clear" w:color="auto" w:fill="auto"/>
            <w:vAlign w:val="center"/>
          </w:tcPr>
          <w:p w14:paraId="4ACE32FE" w14:textId="77777777" w:rsidR="006F587A" w:rsidRDefault="006F587A">
            <w:pPr>
              <w:rPr>
                <w:rFonts w:ascii="Times New Roman" w:hAnsi="Times New Roman"/>
                <w:sz w:val="20"/>
                <w:szCs w:val="20"/>
              </w:rPr>
            </w:pPr>
          </w:p>
        </w:tc>
        <w:tc>
          <w:tcPr>
            <w:tcW w:w="50" w:type="pct"/>
            <w:shd w:val="clear" w:color="auto" w:fill="auto"/>
            <w:vAlign w:val="center"/>
          </w:tcPr>
          <w:p w14:paraId="4ACE32FF" w14:textId="77777777" w:rsidR="006F587A" w:rsidRDefault="006F587A">
            <w:pPr>
              <w:rPr>
                <w:rFonts w:ascii="Times New Roman" w:hAnsi="Times New Roman"/>
                <w:sz w:val="20"/>
                <w:szCs w:val="20"/>
              </w:rPr>
            </w:pPr>
          </w:p>
        </w:tc>
        <w:tc>
          <w:tcPr>
            <w:tcW w:w="50" w:type="pct"/>
            <w:shd w:val="clear" w:color="auto" w:fill="auto"/>
            <w:vAlign w:val="center"/>
          </w:tcPr>
          <w:p w14:paraId="4ACE3300" w14:textId="77777777" w:rsidR="006F587A" w:rsidRDefault="006F587A">
            <w:pPr>
              <w:rPr>
                <w:rFonts w:ascii="Times New Roman" w:hAnsi="Times New Roman"/>
                <w:sz w:val="20"/>
                <w:szCs w:val="20"/>
              </w:rPr>
            </w:pPr>
          </w:p>
        </w:tc>
        <w:tc>
          <w:tcPr>
            <w:tcW w:w="500" w:type="pct"/>
            <w:shd w:val="clear" w:color="auto" w:fill="auto"/>
            <w:vAlign w:val="center"/>
          </w:tcPr>
          <w:p w14:paraId="4ACE3301" w14:textId="77777777" w:rsidR="006F587A" w:rsidRDefault="006F587A">
            <w:pPr>
              <w:rPr>
                <w:rFonts w:ascii="Times New Roman" w:hAnsi="Times New Roman"/>
                <w:sz w:val="20"/>
                <w:szCs w:val="20"/>
              </w:rPr>
            </w:pPr>
          </w:p>
        </w:tc>
        <w:tc>
          <w:tcPr>
            <w:tcW w:w="50" w:type="pct"/>
            <w:shd w:val="clear" w:color="auto" w:fill="auto"/>
            <w:vAlign w:val="center"/>
          </w:tcPr>
          <w:p w14:paraId="4ACE3302" w14:textId="77777777" w:rsidR="006F587A" w:rsidRDefault="006F587A">
            <w:pPr>
              <w:rPr>
                <w:rFonts w:ascii="Times New Roman" w:hAnsi="Times New Roman"/>
                <w:sz w:val="20"/>
                <w:szCs w:val="20"/>
              </w:rPr>
            </w:pPr>
          </w:p>
        </w:tc>
        <w:tc>
          <w:tcPr>
            <w:tcW w:w="50" w:type="pct"/>
            <w:shd w:val="clear" w:color="auto" w:fill="auto"/>
            <w:vAlign w:val="center"/>
          </w:tcPr>
          <w:p w14:paraId="4ACE3303" w14:textId="77777777" w:rsidR="006F587A" w:rsidRDefault="006F587A">
            <w:pPr>
              <w:rPr>
                <w:rFonts w:ascii="Times New Roman" w:hAnsi="Times New Roman"/>
                <w:sz w:val="20"/>
                <w:szCs w:val="20"/>
              </w:rPr>
            </w:pPr>
          </w:p>
        </w:tc>
        <w:tc>
          <w:tcPr>
            <w:tcW w:w="50" w:type="pct"/>
            <w:shd w:val="clear" w:color="auto" w:fill="auto"/>
            <w:vAlign w:val="center"/>
          </w:tcPr>
          <w:p w14:paraId="4ACE3304" w14:textId="77777777" w:rsidR="006F587A" w:rsidRDefault="006F587A">
            <w:pPr>
              <w:rPr>
                <w:rFonts w:ascii="Times New Roman" w:hAnsi="Times New Roman"/>
                <w:sz w:val="20"/>
                <w:szCs w:val="20"/>
              </w:rPr>
            </w:pPr>
          </w:p>
        </w:tc>
        <w:tc>
          <w:tcPr>
            <w:tcW w:w="500" w:type="pct"/>
            <w:shd w:val="clear" w:color="auto" w:fill="auto"/>
            <w:vAlign w:val="center"/>
          </w:tcPr>
          <w:p w14:paraId="4ACE3305" w14:textId="77777777" w:rsidR="006F587A" w:rsidRDefault="006F587A">
            <w:pPr>
              <w:rPr>
                <w:rFonts w:ascii="Times New Roman" w:hAnsi="Times New Roman"/>
                <w:sz w:val="20"/>
                <w:szCs w:val="20"/>
              </w:rPr>
            </w:pPr>
          </w:p>
        </w:tc>
        <w:tc>
          <w:tcPr>
            <w:tcW w:w="50" w:type="pct"/>
            <w:shd w:val="clear" w:color="auto" w:fill="auto"/>
            <w:vAlign w:val="center"/>
          </w:tcPr>
          <w:p w14:paraId="4ACE3306" w14:textId="77777777" w:rsidR="006F587A" w:rsidRDefault="006F587A">
            <w:pPr>
              <w:rPr>
                <w:rFonts w:ascii="Times New Roman" w:hAnsi="Times New Roman"/>
                <w:sz w:val="20"/>
                <w:szCs w:val="20"/>
              </w:rPr>
            </w:pPr>
          </w:p>
        </w:tc>
      </w:tr>
      <w:tr w:rsidR="006F587A" w14:paraId="4ACE3313"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3308"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Years Ended</w:t>
            </w:r>
            <w:r>
              <w:rPr>
                <w:rFonts w:ascii="Arial" w:eastAsia="宋体" w:hAnsi="Arial" w:cs="Arial"/>
                <w:b/>
                <w:bCs/>
                <w:color w:val="333333"/>
                <w:sz w:val="18"/>
                <w:szCs w:val="18"/>
              </w:rPr>
              <w:t xml:space="preserve"> </w:t>
            </w:r>
            <w:r>
              <w:rPr>
                <w:rFonts w:ascii="Arial" w:eastAsia="宋体" w:hAnsi="Arial" w:cs="Arial"/>
                <w:b/>
                <w:bCs/>
                <w:color w:val="333333"/>
                <w:sz w:val="18"/>
                <w:szCs w:val="18"/>
              </w:rPr>
              <w:br/>
              <w:t>(Dollars in Millions, Except Per Share Amounts)</w:t>
            </w:r>
          </w:p>
        </w:tc>
        <w:tc>
          <w:tcPr>
            <w:tcW w:w="0" w:type="auto"/>
            <w:shd w:val="clear" w:color="auto" w:fill="auto"/>
            <w:tcMar>
              <w:top w:w="40" w:type="dxa"/>
              <w:left w:w="40" w:type="dxa"/>
              <w:bottom w:w="40" w:type="dxa"/>
              <w:right w:w="40" w:type="dxa"/>
            </w:tcMar>
            <w:vAlign w:val="bottom"/>
          </w:tcPr>
          <w:p w14:paraId="4ACE330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330A"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28, </w:t>
            </w:r>
            <w:r>
              <w:rPr>
                <w:rFonts w:ascii="Arial" w:eastAsia="宋体" w:hAnsi="Arial" w:cs="Arial"/>
                <w:b/>
                <w:bCs/>
                <w:color w:val="333333"/>
                <w:sz w:val="18"/>
                <w:szCs w:val="18"/>
              </w:rPr>
              <w:br/>
              <w:t>2019</w:t>
            </w:r>
          </w:p>
        </w:tc>
        <w:tc>
          <w:tcPr>
            <w:tcW w:w="0" w:type="auto"/>
            <w:shd w:val="clear" w:color="auto" w:fill="auto"/>
            <w:tcMar>
              <w:top w:w="40" w:type="dxa"/>
              <w:left w:w="40" w:type="dxa"/>
              <w:bottom w:w="40" w:type="dxa"/>
              <w:right w:w="40" w:type="dxa"/>
            </w:tcMar>
            <w:vAlign w:val="bottom"/>
          </w:tcPr>
          <w:p w14:paraId="4ACE330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330C"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29, </w:t>
            </w:r>
            <w:r>
              <w:rPr>
                <w:rFonts w:ascii="Arial" w:eastAsia="宋体" w:hAnsi="Arial" w:cs="Arial"/>
                <w:b/>
                <w:bCs/>
                <w:color w:val="333333"/>
                <w:sz w:val="18"/>
                <w:szCs w:val="18"/>
              </w:rPr>
              <w:br/>
              <w:t>2018</w:t>
            </w:r>
          </w:p>
        </w:tc>
        <w:tc>
          <w:tcPr>
            <w:tcW w:w="0" w:type="auto"/>
            <w:shd w:val="clear" w:color="auto" w:fill="auto"/>
            <w:tcMar>
              <w:top w:w="40" w:type="dxa"/>
              <w:left w:w="40" w:type="dxa"/>
              <w:bottom w:w="40" w:type="dxa"/>
              <w:right w:w="40" w:type="dxa"/>
            </w:tcMar>
            <w:vAlign w:val="bottom"/>
          </w:tcPr>
          <w:p w14:paraId="4ACE330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330E"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30, </w:t>
            </w:r>
            <w:r>
              <w:rPr>
                <w:rFonts w:ascii="Arial" w:eastAsia="宋体" w:hAnsi="Arial" w:cs="Arial"/>
                <w:b/>
                <w:bCs/>
                <w:color w:val="333333"/>
                <w:sz w:val="18"/>
                <w:szCs w:val="18"/>
              </w:rPr>
              <w:br/>
              <w:t>2017</w:t>
            </w:r>
          </w:p>
        </w:tc>
        <w:tc>
          <w:tcPr>
            <w:tcW w:w="0" w:type="auto"/>
            <w:shd w:val="clear" w:color="auto" w:fill="auto"/>
            <w:tcMar>
              <w:top w:w="40" w:type="dxa"/>
              <w:left w:w="40" w:type="dxa"/>
              <w:bottom w:w="40" w:type="dxa"/>
              <w:right w:w="40" w:type="dxa"/>
            </w:tcMar>
            <w:vAlign w:val="bottom"/>
          </w:tcPr>
          <w:p w14:paraId="4ACE330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3310"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31, </w:t>
            </w:r>
            <w:r>
              <w:rPr>
                <w:rFonts w:ascii="Arial" w:eastAsia="宋体" w:hAnsi="Arial" w:cs="Arial"/>
                <w:b/>
                <w:bCs/>
                <w:color w:val="333333"/>
                <w:sz w:val="18"/>
                <w:szCs w:val="18"/>
              </w:rPr>
              <w:br/>
              <w:t>2016</w:t>
            </w:r>
          </w:p>
        </w:tc>
        <w:tc>
          <w:tcPr>
            <w:tcW w:w="0" w:type="auto"/>
            <w:shd w:val="clear" w:color="auto" w:fill="auto"/>
            <w:tcMar>
              <w:top w:w="40" w:type="dxa"/>
              <w:left w:w="40" w:type="dxa"/>
              <w:bottom w:w="40" w:type="dxa"/>
              <w:right w:w="40" w:type="dxa"/>
            </w:tcMar>
            <w:vAlign w:val="bottom"/>
          </w:tcPr>
          <w:p w14:paraId="4ACE331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3312"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26, </w:t>
            </w:r>
            <w:r>
              <w:rPr>
                <w:rFonts w:ascii="Arial" w:eastAsia="宋体" w:hAnsi="Arial" w:cs="Arial"/>
                <w:b/>
                <w:bCs/>
                <w:color w:val="333333"/>
                <w:sz w:val="18"/>
                <w:szCs w:val="18"/>
              </w:rPr>
              <w:br/>
              <w:t>2015</w:t>
            </w:r>
          </w:p>
        </w:tc>
      </w:tr>
      <w:tr w:rsidR="006F587A" w14:paraId="4ACE3329" w14:textId="77777777">
        <w:tc>
          <w:tcPr>
            <w:tcW w:w="0" w:type="auto"/>
            <w:shd w:val="clear" w:color="auto" w:fill="auto"/>
            <w:tcMar>
              <w:top w:w="40" w:type="dxa"/>
              <w:left w:w="40" w:type="dxa"/>
              <w:bottom w:w="40" w:type="dxa"/>
              <w:right w:w="40" w:type="dxa"/>
            </w:tcMar>
            <w:vAlign w:val="bottom"/>
          </w:tcPr>
          <w:p w14:paraId="4ACE331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Net revenue</w:t>
            </w:r>
          </w:p>
        </w:tc>
        <w:tc>
          <w:tcPr>
            <w:tcW w:w="0" w:type="auto"/>
            <w:shd w:val="clear" w:color="auto" w:fill="auto"/>
            <w:tcMar>
              <w:top w:w="40" w:type="dxa"/>
              <w:left w:w="40" w:type="dxa"/>
              <w:bottom w:w="40" w:type="dxa"/>
              <w:right w:w="40" w:type="dxa"/>
            </w:tcMar>
            <w:vAlign w:val="bottom"/>
          </w:tcPr>
          <w:p w14:paraId="4ACE331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316"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3317"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71,965</w:t>
            </w:r>
          </w:p>
        </w:tc>
        <w:tc>
          <w:tcPr>
            <w:tcW w:w="0" w:type="auto"/>
            <w:shd w:val="clear" w:color="auto" w:fill="auto"/>
            <w:vAlign w:val="bottom"/>
          </w:tcPr>
          <w:p w14:paraId="4ACE331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31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31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31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70,848</w:t>
            </w:r>
          </w:p>
        </w:tc>
        <w:tc>
          <w:tcPr>
            <w:tcW w:w="0" w:type="auto"/>
            <w:shd w:val="clear" w:color="auto" w:fill="auto"/>
            <w:vAlign w:val="bottom"/>
          </w:tcPr>
          <w:p w14:paraId="4ACE331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31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31E"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31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62,761</w:t>
            </w:r>
          </w:p>
        </w:tc>
        <w:tc>
          <w:tcPr>
            <w:tcW w:w="0" w:type="auto"/>
            <w:shd w:val="clear" w:color="auto" w:fill="auto"/>
            <w:vAlign w:val="bottom"/>
          </w:tcPr>
          <w:p w14:paraId="4ACE332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32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32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323"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59,387</w:t>
            </w:r>
          </w:p>
        </w:tc>
        <w:tc>
          <w:tcPr>
            <w:tcW w:w="0" w:type="auto"/>
            <w:shd w:val="clear" w:color="auto" w:fill="auto"/>
            <w:vAlign w:val="bottom"/>
          </w:tcPr>
          <w:p w14:paraId="4ACE332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32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32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32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55,355</w:t>
            </w:r>
          </w:p>
        </w:tc>
        <w:tc>
          <w:tcPr>
            <w:tcW w:w="0" w:type="auto"/>
            <w:shd w:val="clear" w:color="auto" w:fill="auto"/>
            <w:vAlign w:val="bottom"/>
          </w:tcPr>
          <w:p w14:paraId="4ACE3328" w14:textId="77777777" w:rsidR="006F587A" w:rsidRDefault="006F587A">
            <w:pPr>
              <w:textAlignment w:val="bottom"/>
              <w:rPr>
                <w:rFonts w:ascii="Times New Roman" w:hAnsi="Times New Roman"/>
                <w:sz w:val="20"/>
                <w:szCs w:val="20"/>
              </w:rPr>
            </w:pPr>
          </w:p>
        </w:tc>
      </w:tr>
      <w:tr w:rsidR="006F587A" w14:paraId="4ACE333F" w14:textId="77777777">
        <w:tc>
          <w:tcPr>
            <w:tcW w:w="0" w:type="auto"/>
            <w:shd w:val="clear" w:color="auto" w:fill="auto"/>
            <w:tcMar>
              <w:top w:w="40" w:type="dxa"/>
              <w:left w:w="40" w:type="dxa"/>
              <w:bottom w:w="40" w:type="dxa"/>
              <w:right w:w="40" w:type="dxa"/>
            </w:tcMar>
            <w:vAlign w:val="bottom"/>
          </w:tcPr>
          <w:p w14:paraId="4ACE332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Gross margin</w:t>
            </w:r>
            <w:r>
              <w:rPr>
                <w:rFonts w:ascii="Arial" w:eastAsia="宋体" w:hAnsi="Arial" w:cs="Arial"/>
                <w:color w:val="333333"/>
                <w:sz w:val="12"/>
                <w:szCs w:val="12"/>
              </w:rPr>
              <w:t>1</w:t>
            </w:r>
          </w:p>
        </w:tc>
        <w:tc>
          <w:tcPr>
            <w:tcW w:w="0" w:type="auto"/>
            <w:shd w:val="clear" w:color="auto" w:fill="auto"/>
            <w:tcMar>
              <w:top w:w="40" w:type="dxa"/>
              <w:left w:w="40" w:type="dxa"/>
              <w:bottom w:w="40" w:type="dxa"/>
              <w:right w:w="40" w:type="dxa"/>
            </w:tcMar>
            <w:vAlign w:val="bottom"/>
          </w:tcPr>
          <w:p w14:paraId="4ACE332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32C"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332D"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42,140</w:t>
            </w:r>
          </w:p>
        </w:tc>
        <w:tc>
          <w:tcPr>
            <w:tcW w:w="0" w:type="auto"/>
            <w:shd w:val="clear" w:color="auto" w:fill="auto"/>
            <w:vAlign w:val="bottom"/>
          </w:tcPr>
          <w:p w14:paraId="4ACE332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32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33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331"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43,737</w:t>
            </w:r>
          </w:p>
        </w:tc>
        <w:tc>
          <w:tcPr>
            <w:tcW w:w="0" w:type="auto"/>
            <w:shd w:val="clear" w:color="auto" w:fill="auto"/>
            <w:vAlign w:val="bottom"/>
          </w:tcPr>
          <w:p w14:paraId="4ACE333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33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33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335"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39,098</w:t>
            </w:r>
          </w:p>
        </w:tc>
        <w:tc>
          <w:tcPr>
            <w:tcW w:w="0" w:type="auto"/>
            <w:shd w:val="clear" w:color="auto" w:fill="auto"/>
            <w:vAlign w:val="bottom"/>
          </w:tcPr>
          <w:p w14:paraId="4ACE333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33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33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33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36,233</w:t>
            </w:r>
          </w:p>
        </w:tc>
        <w:tc>
          <w:tcPr>
            <w:tcW w:w="0" w:type="auto"/>
            <w:shd w:val="clear" w:color="auto" w:fill="auto"/>
            <w:vAlign w:val="bottom"/>
          </w:tcPr>
          <w:p w14:paraId="4ACE333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33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33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33D"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34,679</w:t>
            </w:r>
          </w:p>
        </w:tc>
        <w:tc>
          <w:tcPr>
            <w:tcW w:w="0" w:type="auto"/>
            <w:shd w:val="clear" w:color="auto" w:fill="auto"/>
            <w:vAlign w:val="bottom"/>
          </w:tcPr>
          <w:p w14:paraId="4ACE333E" w14:textId="77777777" w:rsidR="006F587A" w:rsidRDefault="006F587A">
            <w:pPr>
              <w:textAlignment w:val="bottom"/>
              <w:rPr>
                <w:rFonts w:ascii="Times New Roman" w:hAnsi="Times New Roman"/>
                <w:sz w:val="20"/>
                <w:szCs w:val="20"/>
              </w:rPr>
            </w:pPr>
          </w:p>
        </w:tc>
      </w:tr>
      <w:tr w:rsidR="006F587A" w14:paraId="4ACE3350" w14:textId="77777777">
        <w:tc>
          <w:tcPr>
            <w:tcW w:w="0" w:type="auto"/>
            <w:shd w:val="clear" w:color="auto" w:fill="auto"/>
            <w:tcMar>
              <w:top w:w="40" w:type="dxa"/>
              <w:left w:w="40" w:type="dxa"/>
              <w:bottom w:w="40" w:type="dxa"/>
              <w:right w:w="40" w:type="dxa"/>
            </w:tcMar>
            <w:vAlign w:val="bottom"/>
          </w:tcPr>
          <w:p w14:paraId="4ACE334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Gross margin percentage</w:t>
            </w:r>
            <w:r>
              <w:rPr>
                <w:rFonts w:ascii="Arial" w:eastAsia="宋体" w:hAnsi="Arial" w:cs="Arial"/>
                <w:color w:val="333333"/>
                <w:sz w:val="12"/>
                <w:szCs w:val="12"/>
              </w:rPr>
              <w:t>1</w:t>
            </w:r>
          </w:p>
        </w:tc>
        <w:tc>
          <w:tcPr>
            <w:tcW w:w="0" w:type="auto"/>
            <w:shd w:val="clear" w:color="auto" w:fill="auto"/>
            <w:tcMar>
              <w:top w:w="40" w:type="dxa"/>
              <w:left w:w="40" w:type="dxa"/>
              <w:bottom w:w="40" w:type="dxa"/>
              <w:right w:w="40" w:type="dxa"/>
            </w:tcMar>
            <w:vAlign w:val="bottom"/>
          </w:tcPr>
          <w:p w14:paraId="4ACE334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342"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58.6</w:t>
            </w:r>
          </w:p>
        </w:tc>
        <w:tc>
          <w:tcPr>
            <w:tcW w:w="0" w:type="auto"/>
            <w:shd w:val="clear" w:color="auto" w:fill="auto"/>
            <w:tcMar>
              <w:top w:w="40" w:type="dxa"/>
              <w:bottom w:w="40" w:type="dxa"/>
              <w:right w:w="40" w:type="dxa"/>
            </w:tcMar>
            <w:vAlign w:val="bottom"/>
          </w:tcPr>
          <w:p w14:paraId="4ACE3343"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334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345"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61.7</w:t>
            </w:r>
          </w:p>
        </w:tc>
        <w:tc>
          <w:tcPr>
            <w:tcW w:w="0" w:type="auto"/>
            <w:shd w:val="clear" w:color="auto" w:fill="auto"/>
            <w:tcMar>
              <w:top w:w="40" w:type="dxa"/>
              <w:bottom w:w="40" w:type="dxa"/>
              <w:right w:w="40" w:type="dxa"/>
            </w:tcMar>
            <w:vAlign w:val="bottom"/>
          </w:tcPr>
          <w:p w14:paraId="4ACE334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334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34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62.3</w:t>
            </w:r>
          </w:p>
        </w:tc>
        <w:tc>
          <w:tcPr>
            <w:tcW w:w="0" w:type="auto"/>
            <w:shd w:val="clear" w:color="auto" w:fill="auto"/>
            <w:tcMar>
              <w:top w:w="40" w:type="dxa"/>
              <w:bottom w:w="40" w:type="dxa"/>
              <w:right w:w="40" w:type="dxa"/>
            </w:tcMar>
            <w:vAlign w:val="bottom"/>
          </w:tcPr>
          <w:p w14:paraId="4ACE334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334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34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61.0</w:t>
            </w:r>
          </w:p>
        </w:tc>
        <w:tc>
          <w:tcPr>
            <w:tcW w:w="0" w:type="auto"/>
            <w:shd w:val="clear" w:color="auto" w:fill="auto"/>
            <w:tcMar>
              <w:top w:w="40" w:type="dxa"/>
              <w:bottom w:w="40" w:type="dxa"/>
              <w:right w:w="40" w:type="dxa"/>
            </w:tcMar>
            <w:vAlign w:val="bottom"/>
          </w:tcPr>
          <w:p w14:paraId="4ACE334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334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34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62.6</w:t>
            </w:r>
          </w:p>
        </w:tc>
        <w:tc>
          <w:tcPr>
            <w:tcW w:w="0" w:type="auto"/>
            <w:shd w:val="clear" w:color="auto" w:fill="auto"/>
            <w:tcMar>
              <w:top w:w="40" w:type="dxa"/>
              <w:bottom w:w="40" w:type="dxa"/>
              <w:right w:w="40" w:type="dxa"/>
            </w:tcMar>
            <w:vAlign w:val="bottom"/>
          </w:tcPr>
          <w:p w14:paraId="4ACE334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3366" w14:textId="77777777">
        <w:tc>
          <w:tcPr>
            <w:tcW w:w="0" w:type="auto"/>
            <w:shd w:val="clear" w:color="auto" w:fill="auto"/>
            <w:tcMar>
              <w:top w:w="40" w:type="dxa"/>
              <w:left w:w="40" w:type="dxa"/>
              <w:bottom w:w="40" w:type="dxa"/>
              <w:right w:w="40" w:type="dxa"/>
            </w:tcMar>
            <w:vAlign w:val="bottom"/>
          </w:tcPr>
          <w:p w14:paraId="4ACE335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Research and development</w:t>
            </w:r>
            <w:r>
              <w:rPr>
                <w:rFonts w:ascii="Arial" w:eastAsia="宋体" w:hAnsi="Arial" w:cs="Arial"/>
                <w:color w:val="333333"/>
                <w:sz w:val="12"/>
                <w:szCs w:val="12"/>
              </w:rPr>
              <w:t>1</w:t>
            </w:r>
          </w:p>
        </w:tc>
        <w:tc>
          <w:tcPr>
            <w:tcW w:w="0" w:type="auto"/>
            <w:shd w:val="clear" w:color="auto" w:fill="auto"/>
            <w:tcMar>
              <w:top w:w="40" w:type="dxa"/>
              <w:left w:w="40" w:type="dxa"/>
              <w:bottom w:w="40" w:type="dxa"/>
              <w:right w:w="40" w:type="dxa"/>
            </w:tcMar>
            <w:vAlign w:val="bottom"/>
          </w:tcPr>
          <w:p w14:paraId="4ACE335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353"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3354"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13,362</w:t>
            </w:r>
          </w:p>
        </w:tc>
        <w:tc>
          <w:tcPr>
            <w:tcW w:w="0" w:type="auto"/>
            <w:shd w:val="clear" w:color="auto" w:fill="auto"/>
            <w:vAlign w:val="bottom"/>
          </w:tcPr>
          <w:p w14:paraId="4ACE335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35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35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35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13,543</w:t>
            </w:r>
          </w:p>
        </w:tc>
        <w:tc>
          <w:tcPr>
            <w:tcW w:w="0" w:type="auto"/>
            <w:shd w:val="clear" w:color="auto" w:fill="auto"/>
            <w:vAlign w:val="bottom"/>
          </w:tcPr>
          <w:p w14:paraId="4ACE335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35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35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35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13,035</w:t>
            </w:r>
          </w:p>
        </w:tc>
        <w:tc>
          <w:tcPr>
            <w:tcW w:w="0" w:type="auto"/>
            <w:shd w:val="clear" w:color="auto" w:fill="auto"/>
            <w:vAlign w:val="bottom"/>
          </w:tcPr>
          <w:p w14:paraId="4ACE335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35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35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360"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12,685</w:t>
            </w:r>
          </w:p>
        </w:tc>
        <w:tc>
          <w:tcPr>
            <w:tcW w:w="0" w:type="auto"/>
            <w:shd w:val="clear" w:color="auto" w:fill="auto"/>
            <w:vAlign w:val="bottom"/>
          </w:tcPr>
          <w:p w14:paraId="4ACE336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36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36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36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12,128</w:t>
            </w:r>
          </w:p>
        </w:tc>
        <w:tc>
          <w:tcPr>
            <w:tcW w:w="0" w:type="auto"/>
            <w:shd w:val="clear" w:color="auto" w:fill="auto"/>
            <w:vAlign w:val="bottom"/>
          </w:tcPr>
          <w:p w14:paraId="4ACE3365" w14:textId="77777777" w:rsidR="006F587A" w:rsidRDefault="006F587A">
            <w:pPr>
              <w:textAlignment w:val="bottom"/>
              <w:rPr>
                <w:rFonts w:ascii="Times New Roman" w:hAnsi="Times New Roman"/>
                <w:sz w:val="20"/>
                <w:szCs w:val="20"/>
              </w:rPr>
            </w:pPr>
          </w:p>
        </w:tc>
      </w:tr>
      <w:tr w:rsidR="006F587A" w14:paraId="4ACE337C" w14:textId="77777777">
        <w:tc>
          <w:tcPr>
            <w:tcW w:w="0" w:type="auto"/>
            <w:shd w:val="clear" w:color="auto" w:fill="auto"/>
            <w:tcMar>
              <w:top w:w="40" w:type="dxa"/>
              <w:left w:w="40" w:type="dxa"/>
              <w:bottom w:w="40" w:type="dxa"/>
              <w:right w:w="40" w:type="dxa"/>
            </w:tcMar>
            <w:vAlign w:val="bottom"/>
          </w:tcPr>
          <w:p w14:paraId="4ACE3367"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Marketing, general and administrative</w:t>
            </w:r>
            <w:r>
              <w:rPr>
                <w:rFonts w:ascii="Arial" w:eastAsia="宋体" w:hAnsi="Arial" w:cs="Arial"/>
                <w:color w:val="333333"/>
                <w:sz w:val="12"/>
                <w:szCs w:val="12"/>
              </w:rPr>
              <w:t>1</w:t>
            </w:r>
          </w:p>
        </w:tc>
        <w:tc>
          <w:tcPr>
            <w:tcW w:w="0" w:type="auto"/>
            <w:shd w:val="clear" w:color="auto" w:fill="auto"/>
            <w:tcMar>
              <w:top w:w="40" w:type="dxa"/>
              <w:left w:w="40" w:type="dxa"/>
              <w:bottom w:w="40" w:type="dxa"/>
              <w:right w:w="40" w:type="dxa"/>
            </w:tcMar>
            <w:vAlign w:val="bottom"/>
          </w:tcPr>
          <w:p w14:paraId="4ACE336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369"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336A"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6,150</w:t>
            </w:r>
          </w:p>
        </w:tc>
        <w:tc>
          <w:tcPr>
            <w:tcW w:w="0" w:type="auto"/>
            <w:shd w:val="clear" w:color="auto" w:fill="auto"/>
            <w:vAlign w:val="bottom"/>
          </w:tcPr>
          <w:p w14:paraId="4ACE336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36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36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36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6,750</w:t>
            </w:r>
          </w:p>
        </w:tc>
        <w:tc>
          <w:tcPr>
            <w:tcW w:w="0" w:type="auto"/>
            <w:shd w:val="clear" w:color="auto" w:fill="auto"/>
            <w:vAlign w:val="bottom"/>
          </w:tcPr>
          <w:p w14:paraId="4ACE336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37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37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37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7,452</w:t>
            </w:r>
          </w:p>
        </w:tc>
        <w:tc>
          <w:tcPr>
            <w:tcW w:w="0" w:type="auto"/>
            <w:shd w:val="clear" w:color="auto" w:fill="auto"/>
            <w:vAlign w:val="bottom"/>
          </w:tcPr>
          <w:p w14:paraId="4ACE337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37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37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37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8,377</w:t>
            </w:r>
          </w:p>
        </w:tc>
        <w:tc>
          <w:tcPr>
            <w:tcW w:w="0" w:type="auto"/>
            <w:shd w:val="clear" w:color="auto" w:fill="auto"/>
            <w:vAlign w:val="bottom"/>
          </w:tcPr>
          <w:p w14:paraId="4ACE337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37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37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37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7,930</w:t>
            </w:r>
          </w:p>
        </w:tc>
        <w:tc>
          <w:tcPr>
            <w:tcW w:w="0" w:type="auto"/>
            <w:shd w:val="clear" w:color="auto" w:fill="auto"/>
            <w:vAlign w:val="bottom"/>
          </w:tcPr>
          <w:p w14:paraId="4ACE337B" w14:textId="77777777" w:rsidR="006F587A" w:rsidRDefault="006F587A">
            <w:pPr>
              <w:textAlignment w:val="bottom"/>
              <w:rPr>
                <w:rFonts w:ascii="Times New Roman" w:hAnsi="Times New Roman"/>
                <w:sz w:val="20"/>
                <w:szCs w:val="20"/>
              </w:rPr>
            </w:pPr>
          </w:p>
        </w:tc>
      </w:tr>
      <w:tr w:rsidR="006F587A" w14:paraId="4ACE338D" w14:textId="77777777">
        <w:tc>
          <w:tcPr>
            <w:tcW w:w="0" w:type="auto"/>
            <w:shd w:val="clear" w:color="auto" w:fill="auto"/>
            <w:tcMar>
              <w:top w:w="40" w:type="dxa"/>
              <w:left w:w="40" w:type="dxa"/>
              <w:bottom w:w="40" w:type="dxa"/>
              <w:right w:w="40" w:type="dxa"/>
            </w:tcMar>
            <w:vAlign w:val="bottom"/>
          </w:tcPr>
          <w:p w14:paraId="4ACE337D"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 xml:space="preserve">R&amp;D and MG&amp;A as a percentage of </w:t>
            </w:r>
            <w:r>
              <w:rPr>
                <w:rFonts w:ascii="Arial" w:eastAsia="宋体" w:hAnsi="Arial" w:cs="Arial"/>
                <w:color w:val="333333"/>
                <w:sz w:val="18"/>
                <w:szCs w:val="18"/>
              </w:rPr>
              <w:lastRenderedPageBreak/>
              <w:t>revenue</w:t>
            </w:r>
            <w:r>
              <w:rPr>
                <w:rFonts w:ascii="Arial" w:eastAsia="宋体" w:hAnsi="Arial" w:cs="Arial"/>
                <w:color w:val="333333"/>
                <w:sz w:val="12"/>
                <w:szCs w:val="12"/>
              </w:rPr>
              <w:t>1</w:t>
            </w:r>
          </w:p>
        </w:tc>
        <w:tc>
          <w:tcPr>
            <w:tcW w:w="0" w:type="auto"/>
            <w:shd w:val="clear" w:color="auto" w:fill="auto"/>
            <w:tcMar>
              <w:top w:w="40" w:type="dxa"/>
              <w:left w:w="40" w:type="dxa"/>
              <w:bottom w:w="40" w:type="dxa"/>
              <w:right w:w="40" w:type="dxa"/>
            </w:tcMar>
            <w:vAlign w:val="bottom"/>
          </w:tcPr>
          <w:p w14:paraId="4ACE337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lastRenderedPageBreak/>
              <w:t> </w:t>
            </w:r>
          </w:p>
        </w:tc>
        <w:tc>
          <w:tcPr>
            <w:tcW w:w="0" w:type="auto"/>
            <w:gridSpan w:val="2"/>
            <w:shd w:val="clear" w:color="auto" w:fill="auto"/>
            <w:tcMar>
              <w:top w:w="40" w:type="dxa"/>
              <w:left w:w="40" w:type="dxa"/>
              <w:bottom w:w="40" w:type="dxa"/>
            </w:tcMar>
            <w:vAlign w:val="bottom"/>
          </w:tcPr>
          <w:p w14:paraId="4ACE337F"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27.1</w:t>
            </w:r>
          </w:p>
        </w:tc>
        <w:tc>
          <w:tcPr>
            <w:tcW w:w="0" w:type="auto"/>
            <w:shd w:val="clear" w:color="auto" w:fill="auto"/>
            <w:tcMar>
              <w:top w:w="40" w:type="dxa"/>
              <w:bottom w:w="40" w:type="dxa"/>
              <w:right w:w="40" w:type="dxa"/>
            </w:tcMar>
            <w:vAlign w:val="bottom"/>
          </w:tcPr>
          <w:p w14:paraId="4ACE3380"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338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38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28.6</w:t>
            </w:r>
          </w:p>
        </w:tc>
        <w:tc>
          <w:tcPr>
            <w:tcW w:w="0" w:type="auto"/>
            <w:shd w:val="clear" w:color="auto" w:fill="auto"/>
            <w:tcMar>
              <w:top w:w="40" w:type="dxa"/>
              <w:bottom w:w="40" w:type="dxa"/>
              <w:right w:w="40" w:type="dxa"/>
            </w:tcMar>
            <w:vAlign w:val="bottom"/>
          </w:tcPr>
          <w:p w14:paraId="4ACE338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338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385"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32.6</w:t>
            </w:r>
          </w:p>
        </w:tc>
        <w:tc>
          <w:tcPr>
            <w:tcW w:w="0" w:type="auto"/>
            <w:shd w:val="clear" w:color="auto" w:fill="auto"/>
            <w:tcMar>
              <w:top w:w="40" w:type="dxa"/>
              <w:bottom w:w="40" w:type="dxa"/>
              <w:right w:w="40" w:type="dxa"/>
            </w:tcMar>
            <w:vAlign w:val="bottom"/>
          </w:tcPr>
          <w:p w14:paraId="4ACE338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338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38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35.5</w:t>
            </w:r>
          </w:p>
        </w:tc>
        <w:tc>
          <w:tcPr>
            <w:tcW w:w="0" w:type="auto"/>
            <w:shd w:val="clear" w:color="auto" w:fill="auto"/>
            <w:tcMar>
              <w:top w:w="40" w:type="dxa"/>
              <w:bottom w:w="40" w:type="dxa"/>
              <w:right w:w="40" w:type="dxa"/>
            </w:tcMar>
            <w:vAlign w:val="bottom"/>
          </w:tcPr>
          <w:p w14:paraId="4ACE338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338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38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36.2</w:t>
            </w:r>
          </w:p>
        </w:tc>
        <w:tc>
          <w:tcPr>
            <w:tcW w:w="0" w:type="auto"/>
            <w:shd w:val="clear" w:color="auto" w:fill="auto"/>
            <w:tcMar>
              <w:top w:w="40" w:type="dxa"/>
              <w:bottom w:w="40" w:type="dxa"/>
              <w:right w:w="40" w:type="dxa"/>
            </w:tcMar>
            <w:vAlign w:val="bottom"/>
          </w:tcPr>
          <w:p w14:paraId="4ACE338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33A3" w14:textId="77777777">
        <w:tc>
          <w:tcPr>
            <w:tcW w:w="0" w:type="auto"/>
            <w:shd w:val="clear" w:color="auto" w:fill="auto"/>
            <w:tcMar>
              <w:top w:w="40" w:type="dxa"/>
              <w:left w:w="40" w:type="dxa"/>
              <w:bottom w:w="40" w:type="dxa"/>
              <w:right w:w="40" w:type="dxa"/>
            </w:tcMar>
            <w:vAlign w:val="bottom"/>
          </w:tcPr>
          <w:p w14:paraId="4ACE338E"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Operating income</w:t>
            </w:r>
            <w:r>
              <w:rPr>
                <w:rFonts w:ascii="Arial" w:eastAsia="宋体" w:hAnsi="Arial" w:cs="Arial"/>
                <w:color w:val="333333"/>
                <w:sz w:val="12"/>
                <w:szCs w:val="12"/>
              </w:rPr>
              <w:t>1</w:t>
            </w:r>
          </w:p>
        </w:tc>
        <w:tc>
          <w:tcPr>
            <w:tcW w:w="0" w:type="auto"/>
            <w:shd w:val="clear" w:color="auto" w:fill="auto"/>
            <w:tcMar>
              <w:top w:w="40" w:type="dxa"/>
              <w:left w:w="40" w:type="dxa"/>
              <w:bottom w:w="40" w:type="dxa"/>
              <w:right w:w="40" w:type="dxa"/>
            </w:tcMar>
            <w:vAlign w:val="bottom"/>
          </w:tcPr>
          <w:p w14:paraId="4ACE338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390"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3391"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22,035</w:t>
            </w:r>
          </w:p>
        </w:tc>
        <w:tc>
          <w:tcPr>
            <w:tcW w:w="0" w:type="auto"/>
            <w:shd w:val="clear" w:color="auto" w:fill="auto"/>
            <w:vAlign w:val="bottom"/>
          </w:tcPr>
          <w:p w14:paraId="4ACE339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39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39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395"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23,316</w:t>
            </w:r>
          </w:p>
        </w:tc>
        <w:tc>
          <w:tcPr>
            <w:tcW w:w="0" w:type="auto"/>
            <w:shd w:val="clear" w:color="auto" w:fill="auto"/>
            <w:vAlign w:val="bottom"/>
          </w:tcPr>
          <w:p w14:paraId="4ACE339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39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39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39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18,050</w:t>
            </w:r>
          </w:p>
        </w:tc>
        <w:tc>
          <w:tcPr>
            <w:tcW w:w="0" w:type="auto"/>
            <w:shd w:val="clear" w:color="auto" w:fill="auto"/>
            <w:vAlign w:val="bottom"/>
          </w:tcPr>
          <w:p w14:paraId="4ACE339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39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39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39D"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13,133</w:t>
            </w:r>
          </w:p>
        </w:tc>
        <w:tc>
          <w:tcPr>
            <w:tcW w:w="0" w:type="auto"/>
            <w:shd w:val="clear" w:color="auto" w:fill="auto"/>
            <w:vAlign w:val="bottom"/>
          </w:tcPr>
          <w:p w14:paraId="4ACE339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39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3A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3A1"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14,002</w:t>
            </w:r>
          </w:p>
        </w:tc>
        <w:tc>
          <w:tcPr>
            <w:tcW w:w="0" w:type="auto"/>
            <w:shd w:val="clear" w:color="auto" w:fill="auto"/>
            <w:vAlign w:val="bottom"/>
          </w:tcPr>
          <w:p w14:paraId="4ACE33A2" w14:textId="77777777" w:rsidR="006F587A" w:rsidRDefault="006F587A">
            <w:pPr>
              <w:textAlignment w:val="bottom"/>
              <w:rPr>
                <w:rFonts w:ascii="Times New Roman" w:hAnsi="Times New Roman"/>
                <w:sz w:val="20"/>
                <w:szCs w:val="20"/>
              </w:rPr>
            </w:pPr>
          </w:p>
        </w:tc>
      </w:tr>
      <w:tr w:rsidR="006F587A" w14:paraId="4ACE33B9" w14:textId="77777777">
        <w:tc>
          <w:tcPr>
            <w:tcW w:w="0" w:type="auto"/>
            <w:shd w:val="clear" w:color="auto" w:fill="auto"/>
            <w:tcMar>
              <w:top w:w="40" w:type="dxa"/>
              <w:left w:w="40" w:type="dxa"/>
              <w:bottom w:w="40" w:type="dxa"/>
              <w:right w:w="40" w:type="dxa"/>
            </w:tcMar>
            <w:vAlign w:val="bottom"/>
          </w:tcPr>
          <w:p w14:paraId="4ACE33A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Net income</w:t>
            </w:r>
            <w:r>
              <w:rPr>
                <w:rFonts w:ascii="Arial" w:eastAsia="宋体" w:hAnsi="Arial" w:cs="Arial"/>
                <w:color w:val="333333"/>
                <w:sz w:val="12"/>
                <w:szCs w:val="12"/>
              </w:rPr>
              <w:t>2</w:t>
            </w:r>
          </w:p>
        </w:tc>
        <w:tc>
          <w:tcPr>
            <w:tcW w:w="0" w:type="auto"/>
            <w:shd w:val="clear" w:color="auto" w:fill="auto"/>
            <w:tcMar>
              <w:top w:w="40" w:type="dxa"/>
              <w:left w:w="40" w:type="dxa"/>
              <w:bottom w:w="40" w:type="dxa"/>
              <w:right w:w="40" w:type="dxa"/>
            </w:tcMar>
            <w:vAlign w:val="bottom"/>
          </w:tcPr>
          <w:p w14:paraId="4ACE33A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3A6"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33A7"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21,048</w:t>
            </w:r>
          </w:p>
        </w:tc>
        <w:tc>
          <w:tcPr>
            <w:tcW w:w="0" w:type="auto"/>
            <w:shd w:val="clear" w:color="auto" w:fill="auto"/>
            <w:vAlign w:val="bottom"/>
          </w:tcPr>
          <w:p w14:paraId="4ACE33A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3A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3A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3A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21,053</w:t>
            </w:r>
          </w:p>
        </w:tc>
        <w:tc>
          <w:tcPr>
            <w:tcW w:w="0" w:type="auto"/>
            <w:shd w:val="clear" w:color="auto" w:fill="auto"/>
            <w:vAlign w:val="bottom"/>
          </w:tcPr>
          <w:p w14:paraId="4ACE33A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3A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3AE"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3A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9,601</w:t>
            </w:r>
          </w:p>
        </w:tc>
        <w:tc>
          <w:tcPr>
            <w:tcW w:w="0" w:type="auto"/>
            <w:shd w:val="clear" w:color="auto" w:fill="auto"/>
            <w:vAlign w:val="bottom"/>
          </w:tcPr>
          <w:p w14:paraId="4ACE33B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3B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3B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3B3"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10,316</w:t>
            </w:r>
          </w:p>
        </w:tc>
        <w:tc>
          <w:tcPr>
            <w:tcW w:w="0" w:type="auto"/>
            <w:shd w:val="clear" w:color="auto" w:fill="auto"/>
            <w:vAlign w:val="bottom"/>
          </w:tcPr>
          <w:p w14:paraId="4ACE33B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3B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3B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3B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11,420</w:t>
            </w:r>
          </w:p>
        </w:tc>
        <w:tc>
          <w:tcPr>
            <w:tcW w:w="0" w:type="auto"/>
            <w:shd w:val="clear" w:color="auto" w:fill="auto"/>
            <w:vAlign w:val="bottom"/>
          </w:tcPr>
          <w:p w14:paraId="4ACE33B8" w14:textId="77777777" w:rsidR="006F587A" w:rsidRDefault="006F587A">
            <w:pPr>
              <w:textAlignment w:val="bottom"/>
              <w:rPr>
                <w:rFonts w:ascii="Times New Roman" w:hAnsi="Times New Roman"/>
                <w:sz w:val="20"/>
                <w:szCs w:val="20"/>
              </w:rPr>
            </w:pPr>
          </w:p>
        </w:tc>
      </w:tr>
      <w:tr w:rsidR="006F587A" w14:paraId="4ACE33CA" w14:textId="77777777">
        <w:tc>
          <w:tcPr>
            <w:tcW w:w="0" w:type="auto"/>
            <w:shd w:val="clear" w:color="auto" w:fill="auto"/>
            <w:tcMar>
              <w:top w:w="40" w:type="dxa"/>
              <w:left w:w="40" w:type="dxa"/>
              <w:bottom w:w="40" w:type="dxa"/>
              <w:right w:w="40" w:type="dxa"/>
            </w:tcMar>
            <w:vAlign w:val="bottom"/>
          </w:tcPr>
          <w:p w14:paraId="4ACE33B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Effective tax rate</w:t>
            </w:r>
            <w:r>
              <w:rPr>
                <w:rFonts w:ascii="Arial" w:eastAsia="宋体" w:hAnsi="Arial" w:cs="Arial"/>
                <w:color w:val="333333"/>
                <w:sz w:val="12"/>
                <w:szCs w:val="12"/>
              </w:rPr>
              <w:t>2</w:t>
            </w:r>
          </w:p>
        </w:tc>
        <w:tc>
          <w:tcPr>
            <w:tcW w:w="0" w:type="auto"/>
            <w:shd w:val="clear" w:color="auto" w:fill="auto"/>
            <w:tcMar>
              <w:top w:w="40" w:type="dxa"/>
              <w:left w:w="40" w:type="dxa"/>
              <w:bottom w:w="40" w:type="dxa"/>
              <w:right w:w="40" w:type="dxa"/>
            </w:tcMar>
            <w:vAlign w:val="bottom"/>
          </w:tcPr>
          <w:p w14:paraId="4ACE33B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3BC"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12.5</w:t>
            </w:r>
          </w:p>
        </w:tc>
        <w:tc>
          <w:tcPr>
            <w:tcW w:w="0" w:type="auto"/>
            <w:shd w:val="clear" w:color="auto" w:fill="auto"/>
            <w:tcMar>
              <w:top w:w="40" w:type="dxa"/>
              <w:bottom w:w="40" w:type="dxa"/>
              <w:right w:w="40" w:type="dxa"/>
            </w:tcMar>
            <w:vAlign w:val="bottom"/>
          </w:tcPr>
          <w:p w14:paraId="4ACE33BD"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33B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3B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9.7</w:t>
            </w:r>
          </w:p>
        </w:tc>
        <w:tc>
          <w:tcPr>
            <w:tcW w:w="0" w:type="auto"/>
            <w:shd w:val="clear" w:color="auto" w:fill="auto"/>
            <w:tcMar>
              <w:top w:w="40" w:type="dxa"/>
              <w:bottom w:w="40" w:type="dxa"/>
              <w:right w:w="40" w:type="dxa"/>
            </w:tcMar>
            <w:vAlign w:val="bottom"/>
          </w:tcPr>
          <w:p w14:paraId="4ACE33C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33C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3C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52.8</w:t>
            </w:r>
          </w:p>
        </w:tc>
        <w:tc>
          <w:tcPr>
            <w:tcW w:w="0" w:type="auto"/>
            <w:shd w:val="clear" w:color="auto" w:fill="auto"/>
            <w:tcMar>
              <w:top w:w="40" w:type="dxa"/>
              <w:bottom w:w="40" w:type="dxa"/>
              <w:right w:w="40" w:type="dxa"/>
            </w:tcMar>
            <w:vAlign w:val="bottom"/>
          </w:tcPr>
          <w:p w14:paraId="4ACE33C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33C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3C5"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20.3</w:t>
            </w:r>
          </w:p>
        </w:tc>
        <w:tc>
          <w:tcPr>
            <w:tcW w:w="0" w:type="auto"/>
            <w:shd w:val="clear" w:color="auto" w:fill="auto"/>
            <w:tcMar>
              <w:top w:w="40" w:type="dxa"/>
              <w:bottom w:w="40" w:type="dxa"/>
              <w:right w:w="40" w:type="dxa"/>
            </w:tcMar>
            <w:vAlign w:val="bottom"/>
          </w:tcPr>
          <w:p w14:paraId="4ACE33C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33C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3C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19.6</w:t>
            </w:r>
          </w:p>
        </w:tc>
        <w:tc>
          <w:tcPr>
            <w:tcW w:w="0" w:type="auto"/>
            <w:shd w:val="clear" w:color="auto" w:fill="auto"/>
            <w:tcMar>
              <w:top w:w="40" w:type="dxa"/>
              <w:bottom w:w="40" w:type="dxa"/>
              <w:right w:w="40" w:type="dxa"/>
            </w:tcMar>
            <w:vAlign w:val="bottom"/>
          </w:tcPr>
          <w:p w14:paraId="4ACE33C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33D6" w14:textId="77777777">
        <w:tc>
          <w:tcPr>
            <w:tcW w:w="0" w:type="auto"/>
            <w:shd w:val="clear" w:color="auto" w:fill="auto"/>
            <w:tcMar>
              <w:top w:w="40" w:type="dxa"/>
              <w:left w:w="40" w:type="dxa"/>
              <w:bottom w:w="40" w:type="dxa"/>
              <w:right w:w="40" w:type="dxa"/>
            </w:tcMar>
            <w:vAlign w:val="bottom"/>
          </w:tcPr>
          <w:p w14:paraId="4ACE33C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Earnings per share</w:t>
            </w:r>
            <w:r>
              <w:rPr>
                <w:rFonts w:ascii="Arial" w:eastAsia="宋体" w:hAnsi="Arial" w:cs="Arial"/>
                <w:color w:val="333333"/>
                <w:sz w:val="12"/>
                <w:szCs w:val="12"/>
              </w:rPr>
              <w:t>2</w:t>
            </w:r>
          </w:p>
        </w:tc>
        <w:tc>
          <w:tcPr>
            <w:tcW w:w="0" w:type="auto"/>
            <w:shd w:val="clear" w:color="auto" w:fill="auto"/>
            <w:tcMar>
              <w:top w:w="40" w:type="dxa"/>
              <w:left w:w="40" w:type="dxa"/>
              <w:bottom w:w="40" w:type="dxa"/>
              <w:right w:w="40" w:type="dxa"/>
            </w:tcMar>
            <w:vAlign w:val="bottom"/>
          </w:tcPr>
          <w:p w14:paraId="4ACE33C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3C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3C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3C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3D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3D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3D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3D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3D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3D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33EC" w14:textId="77777777">
        <w:tc>
          <w:tcPr>
            <w:tcW w:w="0" w:type="auto"/>
            <w:shd w:val="clear" w:color="auto" w:fill="auto"/>
            <w:tcMar>
              <w:top w:w="40" w:type="dxa"/>
              <w:left w:w="240" w:type="dxa"/>
              <w:bottom w:w="40" w:type="dxa"/>
              <w:right w:w="40" w:type="dxa"/>
            </w:tcMar>
            <w:vAlign w:val="bottom"/>
          </w:tcPr>
          <w:p w14:paraId="4ACE33D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Basic</w:t>
            </w:r>
          </w:p>
        </w:tc>
        <w:tc>
          <w:tcPr>
            <w:tcW w:w="0" w:type="auto"/>
            <w:shd w:val="clear" w:color="auto" w:fill="auto"/>
            <w:tcMar>
              <w:top w:w="40" w:type="dxa"/>
              <w:left w:w="40" w:type="dxa"/>
              <w:bottom w:w="40" w:type="dxa"/>
              <w:right w:w="40" w:type="dxa"/>
            </w:tcMar>
            <w:vAlign w:val="bottom"/>
          </w:tcPr>
          <w:p w14:paraId="4ACE33D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3D9"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33DA"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4.77</w:t>
            </w:r>
          </w:p>
        </w:tc>
        <w:tc>
          <w:tcPr>
            <w:tcW w:w="0" w:type="auto"/>
            <w:shd w:val="clear" w:color="auto" w:fill="auto"/>
            <w:vAlign w:val="bottom"/>
          </w:tcPr>
          <w:p w14:paraId="4ACE33D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3D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3D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3D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4.57</w:t>
            </w:r>
          </w:p>
        </w:tc>
        <w:tc>
          <w:tcPr>
            <w:tcW w:w="0" w:type="auto"/>
            <w:shd w:val="clear" w:color="auto" w:fill="auto"/>
            <w:vAlign w:val="bottom"/>
          </w:tcPr>
          <w:p w14:paraId="4ACE33D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3E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3E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3E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2.04</w:t>
            </w:r>
          </w:p>
        </w:tc>
        <w:tc>
          <w:tcPr>
            <w:tcW w:w="0" w:type="auto"/>
            <w:shd w:val="clear" w:color="auto" w:fill="auto"/>
            <w:vAlign w:val="bottom"/>
          </w:tcPr>
          <w:p w14:paraId="4ACE33E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3E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3E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3E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2.18</w:t>
            </w:r>
          </w:p>
        </w:tc>
        <w:tc>
          <w:tcPr>
            <w:tcW w:w="0" w:type="auto"/>
            <w:shd w:val="clear" w:color="auto" w:fill="auto"/>
            <w:vAlign w:val="bottom"/>
          </w:tcPr>
          <w:p w14:paraId="4ACE33E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3E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3E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3E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2.41</w:t>
            </w:r>
          </w:p>
        </w:tc>
        <w:tc>
          <w:tcPr>
            <w:tcW w:w="0" w:type="auto"/>
            <w:shd w:val="clear" w:color="auto" w:fill="auto"/>
            <w:vAlign w:val="bottom"/>
          </w:tcPr>
          <w:p w14:paraId="4ACE33EB" w14:textId="77777777" w:rsidR="006F587A" w:rsidRDefault="006F587A">
            <w:pPr>
              <w:textAlignment w:val="bottom"/>
              <w:rPr>
                <w:rFonts w:ascii="Times New Roman" w:hAnsi="Times New Roman"/>
                <w:sz w:val="20"/>
                <w:szCs w:val="20"/>
              </w:rPr>
            </w:pPr>
          </w:p>
        </w:tc>
      </w:tr>
      <w:tr w:rsidR="006F587A" w14:paraId="4ACE3402" w14:textId="77777777">
        <w:tc>
          <w:tcPr>
            <w:tcW w:w="0" w:type="auto"/>
            <w:shd w:val="clear" w:color="auto" w:fill="auto"/>
            <w:tcMar>
              <w:top w:w="40" w:type="dxa"/>
              <w:left w:w="240" w:type="dxa"/>
              <w:bottom w:w="40" w:type="dxa"/>
              <w:right w:w="40" w:type="dxa"/>
            </w:tcMar>
            <w:vAlign w:val="bottom"/>
          </w:tcPr>
          <w:p w14:paraId="4ACE33E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Diluted</w:t>
            </w:r>
          </w:p>
        </w:tc>
        <w:tc>
          <w:tcPr>
            <w:tcW w:w="0" w:type="auto"/>
            <w:shd w:val="clear" w:color="auto" w:fill="auto"/>
            <w:tcMar>
              <w:top w:w="40" w:type="dxa"/>
              <w:left w:w="40" w:type="dxa"/>
              <w:bottom w:w="40" w:type="dxa"/>
              <w:right w:w="40" w:type="dxa"/>
            </w:tcMar>
            <w:vAlign w:val="bottom"/>
          </w:tcPr>
          <w:p w14:paraId="4ACE33E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3EF"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33F0"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4.71</w:t>
            </w:r>
          </w:p>
        </w:tc>
        <w:tc>
          <w:tcPr>
            <w:tcW w:w="0" w:type="auto"/>
            <w:shd w:val="clear" w:color="auto" w:fill="auto"/>
            <w:vAlign w:val="bottom"/>
          </w:tcPr>
          <w:p w14:paraId="4ACE33F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3F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3F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3F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4.48</w:t>
            </w:r>
          </w:p>
        </w:tc>
        <w:tc>
          <w:tcPr>
            <w:tcW w:w="0" w:type="auto"/>
            <w:shd w:val="clear" w:color="auto" w:fill="auto"/>
            <w:vAlign w:val="bottom"/>
          </w:tcPr>
          <w:p w14:paraId="4ACE33F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3F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3F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3F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1.99</w:t>
            </w:r>
          </w:p>
        </w:tc>
        <w:tc>
          <w:tcPr>
            <w:tcW w:w="0" w:type="auto"/>
            <w:shd w:val="clear" w:color="auto" w:fill="auto"/>
            <w:vAlign w:val="bottom"/>
          </w:tcPr>
          <w:p w14:paraId="4ACE33F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3F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3F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3F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2.12</w:t>
            </w:r>
          </w:p>
        </w:tc>
        <w:tc>
          <w:tcPr>
            <w:tcW w:w="0" w:type="auto"/>
            <w:shd w:val="clear" w:color="auto" w:fill="auto"/>
            <w:vAlign w:val="bottom"/>
          </w:tcPr>
          <w:p w14:paraId="4ACE33F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3F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3F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400"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2.33</w:t>
            </w:r>
          </w:p>
        </w:tc>
        <w:tc>
          <w:tcPr>
            <w:tcW w:w="0" w:type="auto"/>
            <w:shd w:val="clear" w:color="auto" w:fill="auto"/>
            <w:vAlign w:val="bottom"/>
          </w:tcPr>
          <w:p w14:paraId="4ACE3401" w14:textId="77777777" w:rsidR="006F587A" w:rsidRDefault="006F587A">
            <w:pPr>
              <w:textAlignment w:val="bottom"/>
              <w:rPr>
                <w:rFonts w:ascii="Times New Roman" w:hAnsi="Times New Roman"/>
                <w:sz w:val="20"/>
                <w:szCs w:val="20"/>
              </w:rPr>
            </w:pPr>
          </w:p>
        </w:tc>
      </w:tr>
      <w:tr w:rsidR="006F587A" w14:paraId="4ACE3413" w14:textId="77777777">
        <w:tc>
          <w:tcPr>
            <w:tcW w:w="0" w:type="auto"/>
            <w:shd w:val="clear" w:color="auto" w:fill="auto"/>
            <w:tcMar>
              <w:top w:w="40" w:type="dxa"/>
              <w:left w:w="40" w:type="dxa"/>
              <w:bottom w:w="40" w:type="dxa"/>
              <w:right w:w="40" w:type="dxa"/>
            </w:tcMar>
            <w:vAlign w:val="bottom"/>
          </w:tcPr>
          <w:p w14:paraId="4ACE3403"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Weighted average diluted shares of common stock outstanding</w:t>
            </w:r>
          </w:p>
        </w:tc>
        <w:tc>
          <w:tcPr>
            <w:tcW w:w="0" w:type="auto"/>
            <w:shd w:val="clear" w:color="auto" w:fill="auto"/>
            <w:tcMar>
              <w:top w:w="40" w:type="dxa"/>
              <w:left w:w="40" w:type="dxa"/>
              <w:bottom w:w="40" w:type="dxa"/>
              <w:right w:w="40" w:type="dxa"/>
            </w:tcMar>
            <w:vAlign w:val="bottom"/>
          </w:tcPr>
          <w:p w14:paraId="4ACE340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405"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4,473</w:t>
            </w:r>
          </w:p>
        </w:tc>
        <w:tc>
          <w:tcPr>
            <w:tcW w:w="0" w:type="auto"/>
            <w:shd w:val="clear" w:color="auto" w:fill="auto"/>
            <w:vAlign w:val="bottom"/>
          </w:tcPr>
          <w:p w14:paraId="4ACE340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40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40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4,701</w:t>
            </w:r>
          </w:p>
        </w:tc>
        <w:tc>
          <w:tcPr>
            <w:tcW w:w="0" w:type="auto"/>
            <w:shd w:val="clear" w:color="auto" w:fill="auto"/>
            <w:vAlign w:val="bottom"/>
          </w:tcPr>
          <w:p w14:paraId="4ACE340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40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40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4,835</w:t>
            </w:r>
          </w:p>
        </w:tc>
        <w:tc>
          <w:tcPr>
            <w:tcW w:w="0" w:type="auto"/>
            <w:shd w:val="clear" w:color="auto" w:fill="auto"/>
            <w:vAlign w:val="bottom"/>
          </w:tcPr>
          <w:p w14:paraId="4ACE340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40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40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4,875</w:t>
            </w:r>
          </w:p>
        </w:tc>
        <w:tc>
          <w:tcPr>
            <w:tcW w:w="0" w:type="auto"/>
            <w:shd w:val="clear" w:color="auto" w:fill="auto"/>
            <w:vAlign w:val="bottom"/>
          </w:tcPr>
          <w:p w14:paraId="4ACE340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41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411"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4,894</w:t>
            </w:r>
          </w:p>
        </w:tc>
        <w:tc>
          <w:tcPr>
            <w:tcW w:w="0" w:type="auto"/>
            <w:shd w:val="clear" w:color="auto" w:fill="auto"/>
            <w:vAlign w:val="bottom"/>
          </w:tcPr>
          <w:p w14:paraId="4ACE3412" w14:textId="77777777" w:rsidR="006F587A" w:rsidRDefault="006F587A">
            <w:pPr>
              <w:textAlignment w:val="bottom"/>
              <w:rPr>
                <w:rFonts w:ascii="Times New Roman" w:hAnsi="Times New Roman"/>
                <w:sz w:val="20"/>
                <w:szCs w:val="20"/>
              </w:rPr>
            </w:pPr>
          </w:p>
        </w:tc>
      </w:tr>
      <w:tr w:rsidR="006F587A" w14:paraId="4ACE3429" w14:textId="77777777">
        <w:tc>
          <w:tcPr>
            <w:tcW w:w="0" w:type="auto"/>
            <w:shd w:val="clear" w:color="auto" w:fill="auto"/>
            <w:tcMar>
              <w:top w:w="40" w:type="dxa"/>
              <w:left w:w="40" w:type="dxa"/>
              <w:bottom w:w="40" w:type="dxa"/>
              <w:right w:w="40" w:type="dxa"/>
            </w:tcMar>
            <w:vAlign w:val="bottom"/>
          </w:tcPr>
          <w:p w14:paraId="4ACE3414"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Dividends per share of common stock, declared and paid</w:t>
            </w:r>
          </w:p>
        </w:tc>
        <w:tc>
          <w:tcPr>
            <w:tcW w:w="0" w:type="auto"/>
            <w:shd w:val="clear" w:color="auto" w:fill="auto"/>
            <w:tcMar>
              <w:top w:w="40" w:type="dxa"/>
              <w:left w:w="40" w:type="dxa"/>
              <w:bottom w:w="40" w:type="dxa"/>
              <w:right w:w="40" w:type="dxa"/>
            </w:tcMar>
            <w:vAlign w:val="bottom"/>
          </w:tcPr>
          <w:p w14:paraId="4ACE341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416"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3417"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1.26</w:t>
            </w:r>
          </w:p>
        </w:tc>
        <w:tc>
          <w:tcPr>
            <w:tcW w:w="0" w:type="auto"/>
            <w:shd w:val="clear" w:color="auto" w:fill="auto"/>
            <w:vAlign w:val="bottom"/>
          </w:tcPr>
          <w:p w14:paraId="4ACE341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41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41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41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1.20</w:t>
            </w:r>
          </w:p>
        </w:tc>
        <w:tc>
          <w:tcPr>
            <w:tcW w:w="0" w:type="auto"/>
            <w:shd w:val="clear" w:color="auto" w:fill="auto"/>
            <w:vAlign w:val="bottom"/>
          </w:tcPr>
          <w:p w14:paraId="4ACE341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41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41E"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41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1.0775</w:t>
            </w:r>
          </w:p>
        </w:tc>
        <w:tc>
          <w:tcPr>
            <w:tcW w:w="0" w:type="auto"/>
            <w:shd w:val="clear" w:color="auto" w:fill="auto"/>
            <w:vAlign w:val="bottom"/>
          </w:tcPr>
          <w:p w14:paraId="4ACE342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42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42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423"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1.04</w:t>
            </w:r>
          </w:p>
        </w:tc>
        <w:tc>
          <w:tcPr>
            <w:tcW w:w="0" w:type="auto"/>
            <w:shd w:val="clear" w:color="auto" w:fill="auto"/>
            <w:vAlign w:val="bottom"/>
          </w:tcPr>
          <w:p w14:paraId="4ACE342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42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42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42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0.96</w:t>
            </w:r>
          </w:p>
        </w:tc>
        <w:tc>
          <w:tcPr>
            <w:tcW w:w="0" w:type="auto"/>
            <w:shd w:val="clear" w:color="auto" w:fill="auto"/>
            <w:vAlign w:val="bottom"/>
          </w:tcPr>
          <w:p w14:paraId="4ACE3428" w14:textId="77777777" w:rsidR="006F587A" w:rsidRDefault="006F587A">
            <w:pPr>
              <w:textAlignment w:val="bottom"/>
              <w:rPr>
                <w:rFonts w:ascii="Times New Roman" w:hAnsi="Times New Roman"/>
                <w:sz w:val="20"/>
                <w:szCs w:val="20"/>
              </w:rPr>
            </w:pPr>
          </w:p>
        </w:tc>
      </w:tr>
      <w:tr w:rsidR="006F587A" w14:paraId="4ACE343F" w14:textId="77777777">
        <w:tc>
          <w:tcPr>
            <w:tcW w:w="0" w:type="auto"/>
            <w:shd w:val="clear" w:color="auto" w:fill="auto"/>
            <w:tcMar>
              <w:top w:w="40" w:type="dxa"/>
              <w:left w:w="40" w:type="dxa"/>
              <w:bottom w:w="40" w:type="dxa"/>
              <w:right w:w="40" w:type="dxa"/>
            </w:tcMar>
            <w:vAlign w:val="bottom"/>
          </w:tcPr>
          <w:p w14:paraId="4ACE342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Net cash provided by operating activities</w:t>
            </w:r>
          </w:p>
        </w:tc>
        <w:tc>
          <w:tcPr>
            <w:tcW w:w="0" w:type="auto"/>
            <w:shd w:val="clear" w:color="auto" w:fill="auto"/>
            <w:tcMar>
              <w:top w:w="40" w:type="dxa"/>
              <w:left w:w="40" w:type="dxa"/>
              <w:bottom w:w="40" w:type="dxa"/>
              <w:right w:w="40" w:type="dxa"/>
            </w:tcMar>
            <w:vAlign w:val="bottom"/>
          </w:tcPr>
          <w:p w14:paraId="4ACE342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42C"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342D"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33,145</w:t>
            </w:r>
          </w:p>
        </w:tc>
        <w:tc>
          <w:tcPr>
            <w:tcW w:w="0" w:type="auto"/>
            <w:shd w:val="clear" w:color="auto" w:fill="auto"/>
            <w:vAlign w:val="bottom"/>
          </w:tcPr>
          <w:p w14:paraId="4ACE342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42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43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431"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29,432</w:t>
            </w:r>
          </w:p>
        </w:tc>
        <w:tc>
          <w:tcPr>
            <w:tcW w:w="0" w:type="auto"/>
            <w:shd w:val="clear" w:color="auto" w:fill="auto"/>
            <w:vAlign w:val="bottom"/>
          </w:tcPr>
          <w:p w14:paraId="4ACE343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43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43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435"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22,110</w:t>
            </w:r>
          </w:p>
        </w:tc>
        <w:tc>
          <w:tcPr>
            <w:tcW w:w="0" w:type="auto"/>
            <w:shd w:val="clear" w:color="auto" w:fill="auto"/>
            <w:vAlign w:val="bottom"/>
          </w:tcPr>
          <w:p w14:paraId="4ACE343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43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43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43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21,808</w:t>
            </w:r>
          </w:p>
        </w:tc>
        <w:tc>
          <w:tcPr>
            <w:tcW w:w="0" w:type="auto"/>
            <w:shd w:val="clear" w:color="auto" w:fill="auto"/>
            <w:vAlign w:val="bottom"/>
          </w:tcPr>
          <w:p w14:paraId="4ACE343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43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43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43D"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19,018</w:t>
            </w:r>
          </w:p>
        </w:tc>
        <w:tc>
          <w:tcPr>
            <w:tcW w:w="0" w:type="auto"/>
            <w:shd w:val="clear" w:color="auto" w:fill="auto"/>
            <w:vAlign w:val="bottom"/>
          </w:tcPr>
          <w:p w14:paraId="4ACE343E" w14:textId="77777777" w:rsidR="006F587A" w:rsidRDefault="006F587A">
            <w:pPr>
              <w:textAlignment w:val="bottom"/>
              <w:rPr>
                <w:rFonts w:ascii="Times New Roman" w:hAnsi="Times New Roman"/>
                <w:sz w:val="20"/>
                <w:szCs w:val="20"/>
              </w:rPr>
            </w:pPr>
          </w:p>
        </w:tc>
      </w:tr>
      <w:tr w:rsidR="006F587A" w14:paraId="4ACE3455" w14:textId="77777777">
        <w:tc>
          <w:tcPr>
            <w:tcW w:w="0" w:type="auto"/>
            <w:shd w:val="clear" w:color="auto" w:fill="auto"/>
            <w:tcMar>
              <w:top w:w="40" w:type="dxa"/>
              <w:left w:w="40" w:type="dxa"/>
              <w:bottom w:w="40" w:type="dxa"/>
              <w:right w:w="40" w:type="dxa"/>
            </w:tcMar>
            <w:vAlign w:val="bottom"/>
          </w:tcPr>
          <w:p w14:paraId="4ACE3440"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Additions to property, plant and equipment</w:t>
            </w:r>
          </w:p>
        </w:tc>
        <w:tc>
          <w:tcPr>
            <w:tcW w:w="0" w:type="auto"/>
            <w:shd w:val="clear" w:color="auto" w:fill="auto"/>
            <w:tcMar>
              <w:top w:w="40" w:type="dxa"/>
              <w:left w:w="40" w:type="dxa"/>
              <w:bottom w:w="40" w:type="dxa"/>
              <w:right w:w="40" w:type="dxa"/>
            </w:tcMar>
            <w:vAlign w:val="bottom"/>
          </w:tcPr>
          <w:p w14:paraId="4ACE344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442"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344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16,213</w:t>
            </w:r>
          </w:p>
        </w:tc>
        <w:tc>
          <w:tcPr>
            <w:tcW w:w="0" w:type="auto"/>
            <w:shd w:val="clear" w:color="auto" w:fill="auto"/>
            <w:vAlign w:val="bottom"/>
          </w:tcPr>
          <w:p w14:paraId="4ACE344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44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44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44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15,181</w:t>
            </w:r>
          </w:p>
        </w:tc>
        <w:tc>
          <w:tcPr>
            <w:tcW w:w="0" w:type="auto"/>
            <w:shd w:val="clear" w:color="auto" w:fill="auto"/>
            <w:vAlign w:val="bottom"/>
          </w:tcPr>
          <w:p w14:paraId="4ACE344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44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44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44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11,778</w:t>
            </w:r>
          </w:p>
        </w:tc>
        <w:tc>
          <w:tcPr>
            <w:tcW w:w="0" w:type="auto"/>
            <w:shd w:val="clear" w:color="auto" w:fill="auto"/>
            <w:vAlign w:val="bottom"/>
          </w:tcPr>
          <w:p w14:paraId="4ACE344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44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44E"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44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9,625</w:t>
            </w:r>
          </w:p>
        </w:tc>
        <w:tc>
          <w:tcPr>
            <w:tcW w:w="0" w:type="auto"/>
            <w:shd w:val="clear" w:color="auto" w:fill="auto"/>
            <w:vAlign w:val="bottom"/>
          </w:tcPr>
          <w:p w14:paraId="4ACE345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45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45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453"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7,326</w:t>
            </w:r>
          </w:p>
        </w:tc>
        <w:tc>
          <w:tcPr>
            <w:tcW w:w="0" w:type="auto"/>
            <w:shd w:val="clear" w:color="auto" w:fill="auto"/>
            <w:vAlign w:val="bottom"/>
          </w:tcPr>
          <w:p w14:paraId="4ACE3454" w14:textId="77777777" w:rsidR="006F587A" w:rsidRDefault="006F587A">
            <w:pPr>
              <w:textAlignment w:val="bottom"/>
              <w:rPr>
                <w:rFonts w:ascii="Times New Roman" w:hAnsi="Times New Roman"/>
                <w:sz w:val="20"/>
                <w:szCs w:val="20"/>
              </w:rPr>
            </w:pPr>
          </w:p>
        </w:tc>
      </w:tr>
      <w:tr w:rsidR="006F587A" w14:paraId="4ACE346B" w14:textId="77777777">
        <w:tc>
          <w:tcPr>
            <w:tcW w:w="0" w:type="auto"/>
            <w:shd w:val="clear" w:color="auto" w:fill="auto"/>
            <w:tcMar>
              <w:top w:w="40" w:type="dxa"/>
              <w:left w:w="40" w:type="dxa"/>
              <w:bottom w:w="40" w:type="dxa"/>
              <w:right w:w="40" w:type="dxa"/>
            </w:tcMar>
            <w:vAlign w:val="bottom"/>
          </w:tcPr>
          <w:p w14:paraId="4ACE345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Repurchase of common stock</w:t>
            </w:r>
          </w:p>
        </w:tc>
        <w:tc>
          <w:tcPr>
            <w:tcW w:w="0" w:type="auto"/>
            <w:shd w:val="clear" w:color="auto" w:fill="auto"/>
            <w:tcMar>
              <w:top w:w="40" w:type="dxa"/>
              <w:left w:w="40" w:type="dxa"/>
              <w:bottom w:w="40" w:type="dxa"/>
              <w:right w:w="40" w:type="dxa"/>
            </w:tcMar>
            <w:vAlign w:val="bottom"/>
          </w:tcPr>
          <w:p w14:paraId="4ACE345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458"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3459"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13,576</w:t>
            </w:r>
          </w:p>
        </w:tc>
        <w:tc>
          <w:tcPr>
            <w:tcW w:w="0" w:type="auto"/>
            <w:shd w:val="clear" w:color="auto" w:fill="auto"/>
            <w:vAlign w:val="bottom"/>
          </w:tcPr>
          <w:p w14:paraId="4ACE345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45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45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45D"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10,730</w:t>
            </w:r>
          </w:p>
        </w:tc>
        <w:tc>
          <w:tcPr>
            <w:tcW w:w="0" w:type="auto"/>
            <w:shd w:val="clear" w:color="auto" w:fill="auto"/>
            <w:vAlign w:val="bottom"/>
          </w:tcPr>
          <w:p w14:paraId="4ACE345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45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46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461"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3,615</w:t>
            </w:r>
          </w:p>
        </w:tc>
        <w:tc>
          <w:tcPr>
            <w:tcW w:w="0" w:type="auto"/>
            <w:shd w:val="clear" w:color="auto" w:fill="auto"/>
            <w:vAlign w:val="bottom"/>
          </w:tcPr>
          <w:p w14:paraId="4ACE346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46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46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465"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2,587</w:t>
            </w:r>
          </w:p>
        </w:tc>
        <w:tc>
          <w:tcPr>
            <w:tcW w:w="0" w:type="auto"/>
            <w:shd w:val="clear" w:color="auto" w:fill="auto"/>
            <w:vAlign w:val="bottom"/>
          </w:tcPr>
          <w:p w14:paraId="4ACE346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46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46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46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3,001</w:t>
            </w:r>
          </w:p>
        </w:tc>
        <w:tc>
          <w:tcPr>
            <w:tcW w:w="0" w:type="auto"/>
            <w:shd w:val="clear" w:color="auto" w:fill="auto"/>
            <w:vAlign w:val="bottom"/>
          </w:tcPr>
          <w:p w14:paraId="4ACE346A" w14:textId="77777777" w:rsidR="006F587A" w:rsidRDefault="006F587A">
            <w:pPr>
              <w:textAlignment w:val="bottom"/>
              <w:rPr>
                <w:rFonts w:ascii="Times New Roman" w:hAnsi="Times New Roman"/>
                <w:sz w:val="20"/>
                <w:szCs w:val="20"/>
              </w:rPr>
            </w:pPr>
          </w:p>
        </w:tc>
      </w:tr>
      <w:tr w:rsidR="006F587A" w14:paraId="4ACE3481" w14:textId="77777777">
        <w:tc>
          <w:tcPr>
            <w:tcW w:w="0" w:type="auto"/>
            <w:shd w:val="clear" w:color="auto" w:fill="auto"/>
            <w:tcMar>
              <w:top w:w="40" w:type="dxa"/>
              <w:left w:w="40" w:type="dxa"/>
              <w:bottom w:w="40" w:type="dxa"/>
              <w:right w:w="40" w:type="dxa"/>
            </w:tcMar>
            <w:vAlign w:val="bottom"/>
          </w:tcPr>
          <w:p w14:paraId="4ACE346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Payment of dividends to stockholders</w:t>
            </w:r>
          </w:p>
        </w:tc>
        <w:tc>
          <w:tcPr>
            <w:tcW w:w="0" w:type="auto"/>
            <w:shd w:val="clear" w:color="auto" w:fill="auto"/>
            <w:tcMar>
              <w:top w:w="40" w:type="dxa"/>
              <w:left w:w="40" w:type="dxa"/>
              <w:bottom w:w="40" w:type="dxa"/>
              <w:right w:w="40" w:type="dxa"/>
            </w:tcMar>
            <w:vAlign w:val="bottom"/>
          </w:tcPr>
          <w:p w14:paraId="4ACE346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46E"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346F"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5,576</w:t>
            </w:r>
          </w:p>
        </w:tc>
        <w:tc>
          <w:tcPr>
            <w:tcW w:w="0" w:type="auto"/>
            <w:shd w:val="clear" w:color="auto" w:fill="auto"/>
            <w:vAlign w:val="bottom"/>
          </w:tcPr>
          <w:p w14:paraId="4ACE347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47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47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473"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5,541</w:t>
            </w:r>
          </w:p>
        </w:tc>
        <w:tc>
          <w:tcPr>
            <w:tcW w:w="0" w:type="auto"/>
            <w:shd w:val="clear" w:color="auto" w:fill="auto"/>
            <w:vAlign w:val="bottom"/>
          </w:tcPr>
          <w:p w14:paraId="4ACE347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47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47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47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5,072</w:t>
            </w:r>
          </w:p>
        </w:tc>
        <w:tc>
          <w:tcPr>
            <w:tcW w:w="0" w:type="auto"/>
            <w:shd w:val="clear" w:color="auto" w:fill="auto"/>
            <w:vAlign w:val="bottom"/>
          </w:tcPr>
          <w:p w14:paraId="4ACE347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47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47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47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4,925</w:t>
            </w:r>
          </w:p>
        </w:tc>
        <w:tc>
          <w:tcPr>
            <w:tcW w:w="0" w:type="auto"/>
            <w:shd w:val="clear" w:color="auto" w:fill="auto"/>
            <w:vAlign w:val="bottom"/>
          </w:tcPr>
          <w:p w14:paraId="4ACE347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47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47E"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47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4,556</w:t>
            </w:r>
          </w:p>
        </w:tc>
        <w:tc>
          <w:tcPr>
            <w:tcW w:w="0" w:type="auto"/>
            <w:shd w:val="clear" w:color="auto" w:fill="auto"/>
            <w:vAlign w:val="bottom"/>
          </w:tcPr>
          <w:p w14:paraId="4ACE3480" w14:textId="77777777" w:rsidR="006F587A" w:rsidRDefault="006F587A">
            <w:pPr>
              <w:textAlignment w:val="bottom"/>
              <w:rPr>
                <w:rFonts w:ascii="Times New Roman" w:hAnsi="Times New Roman"/>
                <w:sz w:val="20"/>
                <w:szCs w:val="20"/>
              </w:rPr>
            </w:pPr>
          </w:p>
        </w:tc>
      </w:tr>
      <w:tr w:rsidR="006F587A" w14:paraId="4ACE348D" w14:textId="77777777">
        <w:tc>
          <w:tcPr>
            <w:tcW w:w="0" w:type="auto"/>
            <w:shd w:val="clear" w:color="auto" w:fill="auto"/>
            <w:tcMar>
              <w:top w:w="40" w:type="dxa"/>
              <w:left w:w="40" w:type="dxa"/>
              <w:bottom w:w="40" w:type="dxa"/>
              <w:right w:w="40" w:type="dxa"/>
            </w:tcMar>
            <w:vAlign w:val="bottom"/>
          </w:tcPr>
          <w:p w14:paraId="4ACE348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48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48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48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48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48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48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48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48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48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48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3499"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348E"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(Dollars in Millions)</w:t>
            </w:r>
          </w:p>
        </w:tc>
        <w:tc>
          <w:tcPr>
            <w:tcW w:w="0" w:type="auto"/>
            <w:shd w:val="clear" w:color="auto" w:fill="auto"/>
            <w:tcMar>
              <w:top w:w="40" w:type="dxa"/>
              <w:left w:w="40" w:type="dxa"/>
              <w:bottom w:w="40" w:type="dxa"/>
              <w:right w:w="40" w:type="dxa"/>
            </w:tcMar>
            <w:vAlign w:val="bottom"/>
          </w:tcPr>
          <w:p w14:paraId="4ACE348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3490"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28, </w:t>
            </w:r>
            <w:r>
              <w:rPr>
                <w:rFonts w:ascii="Arial" w:eastAsia="宋体" w:hAnsi="Arial" w:cs="Arial"/>
                <w:b/>
                <w:bCs/>
                <w:color w:val="333333"/>
                <w:sz w:val="18"/>
                <w:szCs w:val="18"/>
              </w:rPr>
              <w:br/>
              <w:t>2019</w:t>
            </w:r>
          </w:p>
        </w:tc>
        <w:tc>
          <w:tcPr>
            <w:tcW w:w="0" w:type="auto"/>
            <w:shd w:val="clear" w:color="auto" w:fill="auto"/>
            <w:tcMar>
              <w:top w:w="40" w:type="dxa"/>
              <w:left w:w="40" w:type="dxa"/>
              <w:bottom w:w="40" w:type="dxa"/>
              <w:right w:w="40" w:type="dxa"/>
            </w:tcMar>
            <w:vAlign w:val="bottom"/>
          </w:tcPr>
          <w:p w14:paraId="4ACE349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3492"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29, </w:t>
            </w:r>
            <w:r>
              <w:rPr>
                <w:rFonts w:ascii="Arial" w:eastAsia="宋体" w:hAnsi="Arial" w:cs="Arial"/>
                <w:b/>
                <w:bCs/>
                <w:color w:val="333333"/>
                <w:sz w:val="18"/>
                <w:szCs w:val="18"/>
              </w:rPr>
              <w:br/>
              <w:t>2018</w:t>
            </w:r>
          </w:p>
        </w:tc>
        <w:tc>
          <w:tcPr>
            <w:tcW w:w="0" w:type="auto"/>
            <w:shd w:val="clear" w:color="auto" w:fill="auto"/>
            <w:tcMar>
              <w:top w:w="40" w:type="dxa"/>
              <w:left w:w="40" w:type="dxa"/>
              <w:bottom w:w="40" w:type="dxa"/>
              <w:right w:w="40" w:type="dxa"/>
            </w:tcMar>
            <w:vAlign w:val="bottom"/>
          </w:tcPr>
          <w:p w14:paraId="4ACE349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3494"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30, </w:t>
            </w:r>
            <w:r>
              <w:rPr>
                <w:rFonts w:ascii="Arial" w:eastAsia="宋体" w:hAnsi="Arial" w:cs="Arial"/>
                <w:b/>
                <w:bCs/>
                <w:color w:val="333333"/>
                <w:sz w:val="18"/>
                <w:szCs w:val="18"/>
              </w:rPr>
              <w:br/>
              <w:t>2017</w:t>
            </w:r>
          </w:p>
        </w:tc>
        <w:tc>
          <w:tcPr>
            <w:tcW w:w="0" w:type="auto"/>
            <w:shd w:val="clear" w:color="auto" w:fill="auto"/>
            <w:tcMar>
              <w:top w:w="40" w:type="dxa"/>
              <w:left w:w="40" w:type="dxa"/>
              <w:bottom w:w="40" w:type="dxa"/>
              <w:right w:w="40" w:type="dxa"/>
            </w:tcMar>
            <w:vAlign w:val="bottom"/>
          </w:tcPr>
          <w:p w14:paraId="4ACE349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3496"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31, </w:t>
            </w:r>
            <w:r>
              <w:rPr>
                <w:rFonts w:ascii="Arial" w:eastAsia="宋体" w:hAnsi="Arial" w:cs="Arial"/>
                <w:b/>
                <w:bCs/>
                <w:color w:val="333333"/>
                <w:sz w:val="18"/>
                <w:szCs w:val="18"/>
              </w:rPr>
              <w:br/>
              <w:t>2016</w:t>
            </w:r>
          </w:p>
        </w:tc>
        <w:tc>
          <w:tcPr>
            <w:tcW w:w="0" w:type="auto"/>
            <w:shd w:val="clear" w:color="auto" w:fill="auto"/>
            <w:tcMar>
              <w:top w:w="40" w:type="dxa"/>
              <w:left w:w="40" w:type="dxa"/>
              <w:bottom w:w="40" w:type="dxa"/>
              <w:right w:w="40" w:type="dxa"/>
            </w:tcMar>
            <w:vAlign w:val="bottom"/>
          </w:tcPr>
          <w:p w14:paraId="4ACE349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3498"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26, </w:t>
            </w:r>
            <w:r>
              <w:rPr>
                <w:rFonts w:ascii="Arial" w:eastAsia="宋体" w:hAnsi="Arial" w:cs="Arial"/>
                <w:b/>
                <w:bCs/>
                <w:color w:val="333333"/>
                <w:sz w:val="18"/>
                <w:szCs w:val="18"/>
              </w:rPr>
              <w:br/>
              <w:t>2015</w:t>
            </w:r>
          </w:p>
        </w:tc>
      </w:tr>
      <w:tr w:rsidR="006F587A" w14:paraId="4ACE34AF" w14:textId="77777777">
        <w:tc>
          <w:tcPr>
            <w:tcW w:w="0" w:type="auto"/>
            <w:shd w:val="clear" w:color="auto" w:fill="auto"/>
            <w:tcMar>
              <w:top w:w="40" w:type="dxa"/>
              <w:left w:w="40" w:type="dxa"/>
              <w:bottom w:w="40" w:type="dxa"/>
              <w:right w:w="40" w:type="dxa"/>
            </w:tcMar>
            <w:vAlign w:val="bottom"/>
          </w:tcPr>
          <w:p w14:paraId="4ACE349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Property, plant and equipment, net</w:t>
            </w:r>
          </w:p>
        </w:tc>
        <w:tc>
          <w:tcPr>
            <w:tcW w:w="0" w:type="auto"/>
            <w:shd w:val="clear" w:color="auto" w:fill="auto"/>
            <w:tcMar>
              <w:top w:w="40" w:type="dxa"/>
              <w:left w:w="40" w:type="dxa"/>
              <w:bottom w:w="40" w:type="dxa"/>
              <w:right w:w="40" w:type="dxa"/>
            </w:tcMar>
            <w:vAlign w:val="bottom"/>
          </w:tcPr>
          <w:p w14:paraId="4ACE349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49C"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349D"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55,386</w:t>
            </w:r>
          </w:p>
        </w:tc>
        <w:tc>
          <w:tcPr>
            <w:tcW w:w="0" w:type="auto"/>
            <w:shd w:val="clear" w:color="auto" w:fill="auto"/>
            <w:vAlign w:val="bottom"/>
          </w:tcPr>
          <w:p w14:paraId="4ACE349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49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4A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4A1"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48,976</w:t>
            </w:r>
          </w:p>
        </w:tc>
        <w:tc>
          <w:tcPr>
            <w:tcW w:w="0" w:type="auto"/>
            <w:shd w:val="clear" w:color="auto" w:fill="auto"/>
            <w:vAlign w:val="bottom"/>
          </w:tcPr>
          <w:p w14:paraId="4ACE34A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4A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4A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4A5"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41,109</w:t>
            </w:r>
          </w:p>
        </w:tc>
        <w:tc>
          <w:tcPr>
            <w:tcW w:w="0" w:type="auto"/>
            <w:shd w:val="clear" w:color="auto" w:fill="auto"/>
            <w:vAlign w:val="bottom"/>
          </w:tcPr>
          <w:p w14:paraId="4ACE34A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4A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4A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4A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36,171</w:t>
            </w:r>
          </w:p>
        </w:tc>
        <w:tc>
          <w:tcPr>
            <w:tcW w:w="0" w:type="auto"/>
            <w:shd w:val="clear" w:color="auto" w:fill="auto"/>
            <w:vAlign w:val="bottom"/>
          </w:tcPr>
          <w:p w14:paraId="4ACE34A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4A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4A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4AD"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31,858</w:t>
            </w:r>
          </w:p>
        </w:tc>
        <w:tc>
          <w:tcPr>
            <w:tcW w:w="0" w:type="auto"/>
            <w:shd w:val="clear" w:color="auto" w:fill="auto"/>
            <w:vAlign w:val="bottom"/>
          </w:tcPr>
          <w:p w14:paraId="4ACE34AE" w14:textId="77777777" w:rsidR="006F587A" w:rsidRDefault="006F587A">
            <w:pPr>
              <w:textAlignment w:val="bottom"/>
              <w:rPr>
                <w:rFonts w:ascii="Times New Roman" w:hAnsi="Times New Roman"/>
                <w:sz w:val="20"/>
                <w:szCs w:val="20"/>
              </w:rPr>
            </w:pPr>
          </w:p>
        </w:tc>
      </w:tr>
      <w:tr w:rsidR="006F587A" w14:paraId="4ACE34C5" w14:textId="77777777">
        <w:tc>
          <w:tcPr>
            <w:tcW w:w="0" w:type="auto"/>
            <w:shd w:val="clear" w:color="auto" w:fill="auto"/>
            <w:tcMar>
              <w:top w:w="40" w:type="dxa"/>
              <w:left w:w="40" w:type="dxa"/>
              <w:bottom w:w="40" w:type="dxa"/>
              <w:right w:w="40" w:type="dxa"/>
            </w:tcMar>
            <w:vAlign w:val="bottom"/>
          </w:tcPr>
          <w:p w14:paraId="4ACE34B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Total assets</w:t>
            </w:r>
          </w:p>
        </w:tc>
        <w:tc>
          <w:tcPr>
            <w:tcW w:w="0" w:type="auto"/>
            <w:shd w:val="clear" w:color="auto" w:fill="auto"/>
            <w:tcMar>
              <w:top w:w="40" w:type="dxa"/>
              <w:left w:w="40" w:type="dxa"/>
              <w:bottom w:w="40" w:type="dxa"/>
              <w:right w:w="40" w:type="dxa"/>
            </w:tcMar>
            <w:vAlign w:val="bottom"/>
          </w:tcPr>
          <w:p w14:paraId="4ACE34B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4B2"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34B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136,524</w:t>
            </w:r>
          </w:p>
        </w:tc>
        <w:tc>
          <w:tcPr>
            <w:tcW w:w="0" w:type="auto"/>
            <w:shd w:val="clear" w:color="auto" w:fill="auto"/>
            <w:vAlign w:val="bottom"/>
          </w:tcPr>
          <w:p w14:paraId="4ACE34B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4B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4B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4B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127,963</w:t>
            </w:r>
          </w:p>
        </w:tc>
        <w:tc>
          <w:tcPr>
            <w:tcW w:w="0" w:type="auto"/>
            <w:shd w:val="clear" w:color="auto" w:fill="auto"/>
            <w:vAlign w:val="bottom"/>
          </w:tcPr>
          <w:p w14:paraId="4ACE34B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4B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4B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4B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123,249</w:t>
            </w:r>
          </w:p>
        </w:tc>
        <w:tc>
          <w:tcPr>
            <w:tcW w:w="0" w:type="auto"/>
            <w:shd w:val="clear" w:color="auto" w:fill="auto"/>
            <w:vAlign w:val="bottom"/>
          </w:tcPr>
          <w:p w14:paraId="4ACE34B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4B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4BE"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4B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113,327</w:t>
            </w:r>
          </w:p>
        </w:tc>
        <w:tc>
          <w:tcPr>
            <w:tcW w:w="0" w:type="auto"/>
            <w:shd w:val="clear" w:color="auto" w:fill="auto"/>
            <w:vAlign w:val="bottom"/>
          </w:tcPr>
          <w:p w14:paraId="4ACE34C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4C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4C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4C3"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101,459</w:t>
            </w:r>
          </w:p>
        </w:tc>
        <w:tc>
          <w:tcPr>
            <w:tcW w:w="0" w:type="auto"/>
            <w:shd w:val="clear" w:color="auto" w:fill="auto"/>
            <w:vAlign w:val="bottom"/>
          </w:tcPr>
          <w:p w14:paraId="4ACE34C4" w14:textId="77777777" w:rsidR="006F587A" w:rsidRDefault="006F587A">
            <w:pPr>
              <w:textAlignment w:val="bottom"/>
              <w:rPr>
                <w:rFonts w:ascii="Times New Roman" w:hAnsi="Times New Roman"/>
                <w:sz w:val="20"/>
                <w:szCs w:val="20"/>
              </w:rPr>
            </w:pPr>
          </w:p>
        </w:tc>
      </w:tr>
      <w:tr w:rsidR="006F587A" w14:paraId="4ACE34DB" w14:textId="77777777">
        <w:tc>
          <w:tcPr>
            <w:tcW w:w="0" w:type="auto"/>
            <w:shd w:val="clear" w:color="auto" w:fill="auto"/>
            <w:tcMar>
              <w:top w:w="40" w:type="dxa"/>
              <w:left w:w="40" w:type="dxa"/>
              <w:bottom w:w="40" w:type="dxa"/>
              <w:right w:w="40" w:type="dxa"/>
            </w:tcMar>
            <w:vAlign w:val="bottom"/>
          </w:tcPr>
          <w:p w14:paraId="4ACE34C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Debt</w:t>
            </w:r>
          </w:p>
        </w:tc>
        <w:tc>
          <w:tcPr>
            <w:tcW w:w="0" w:type="auto"/>
            <w:shd w:val="clear" w:color="auto" w:fill="auto"/>
            <w:tcMar>
              <w:top w:w="40" w:type="dxa"/>
              <w:left w:w="40" w:type="dxa"/>
              <w:bottom w:w="40" w:type="dxa"/>
              <w:right w:w="40" w:type="dxa"/>
            </w:tcMar>
            <w:vAlign w:val="bottom"/>
          </w:tcPr>
          <w:p w14:paraId="4ACE34C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4C8"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34C9"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29,001</w:t>
            </w:r>
          </w:p>
        </w:tc>
        <w:tc>
          <w:tcPr>
            <w:tcW w:w="0" w:type="auto"/>
            <w:shd w:val="clear" w:color="auto" w:fill="auto"/>
            <w:vAlign w:val="bottom"/>
          </w:tcPr>
          <w:p w14:paraId="4ACE34C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4C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4C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4CD"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26,359</w:t>
            </w:r>
          </w:p>
        </w:tc>
        <w:tc>
          <w:tcPr>
            <w:tcW w:w="0" w:type="auto"/>
            <w:shd w:val="clear" w:color="auto" w:fill="auto"/>
            <w:vAlign w:val="bottom"/>
          </w:tcPr>
          <w:p w14:paraId="4ACE34C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4C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4D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4D1"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26,813</w:t>
            </w:r>
          </w:p>
        </w:tc>
        <w:tc>
          <w:tcPr>
            <w:tcW w:w="0" w:type="auto"/>
            <w:shd w:val="clear" w:color="auto" w:fill="auto"/>
            <w:vAlign w:val="bottom"/>
          </w:tcPr>
          <w:p w14:paraId="4ACE34D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4D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4D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4D5"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25,283</w:t>
            </w:r>
          </w:p>
        </w:tc>
        <w:tc>
          <w:tcPr>
            <w:tcW w:w="0" w:type="auto"/>
            <w:shd w:val="clear" w:color="auto" w:fill="auto"/>
            <w:vAlign w:val="bottom"/>
          </w:tcPr>
          <w:p w14:paraId="4ACE34D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4D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4D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4D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22,670</w:t>
            </w:r>
          </w:p>
        </w:tc>
        <w:tc>
          <w:tcPr>
            <w:tcW w:w="0" w:type="auto"/>
            <w:shd w:val="clear" w:color="auto" w:fill="auto"/>
            <w:vAlign w:val="bottom"/>
          </w:tcPr>
          <w:p w14:paraId="4ACE34DA" w14:textId="77777777" w:rsidR="006F587A" w:rsidRDefault="006F587A">
            <w:pPr>
              <w:textAlignment w:val="bottom"/>
              <w:rPr>
                <w:rFonts w:ascii="Times New Roman" w:hAnsi="Times New Roman"/>
                <w:sz w:val="20"/>
                <w:szCs w:val="20"/>
              </w:rPr>
            </w:pPr>
          </w:p>
        </w:tc>
      </w:tr>
      <w:tr w:rsidR="006F587A" w14:paraId="4ACE34F1" w14:textId="77777777">
        <w:tc>
          <w:tcPr>
            <w:tcW w:w="0" w:type="auto"/>
            <w:shd w:val="clear" w:color="auto" w:fill="auto"/>
            <w:tcMar>
              <w:top w:w="40" w:type="dxa"/>
              <w:left w:w="40" w:type="dxa"/>
              <w:bottom w:w="40" w:type="dxa"/>
              <w:right w:w="40" w:type="dxa"/>
            </w:tcMar>
            <w:vAlign w:val="bottom"/>
          </w:tcPr>
          <w:p w14:paraId="4ACE34D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Stockholders’ equity</w:t>
            </w:r>
          </w:p>
        </w:tc>
        <w:tc>
          <w:tcPr>
            <w:tcW w:w="0" w:type="auto"/>
            <w:shd w:val="clear" w:color="auto" w:fill="auto"/>
            <w:tcMar>
              <w:top w:w="40" w:type="dxa"/>
              <w:left w:w="40" w:type="dxa"/>
              <w:bottom w:w="40" w:type="dxa"/>
              <w:right w:w="40" w:type="dxa"/>
            </w:tcMar>
            <w:vAlign w:val="bottom"/>
          </w:tcPr>
          <w:p w14:paraId="4ACE34D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4DE"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34DF"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77,504</w:t>
            </w:r>
          </w:p>
        </w:tc>
        <w:tc>
          <w:tcPr>
            <w:tcW w:w="0" w:type="auto"/>
            <w:shd w:val="clear" w:color="auto" w:fill="auto"/>
            <w:vAlign w:val="bottom"/>
          </w:tcPr>
          <w:p w14:paraId="4ACE34E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4E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4E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4E3"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74,563</w:t>
            </w:r>
          </w:p>
        </w:tc>
        <w:tc>
          <w:tcPr>
            <w:tcW w:w="0" w:type="auto"/>
            <w:shd w:val="clear" w:color="auto" w:fill="auto"/>
            <w:vAlign w:val="bottom"/>
          </w:tcPr>
          <w:p w14:paraId="4ACE34E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4E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4E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4E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69,019</w:t>
            </w:r>
          </w:p>
        </w:tc>
        <w:tc>
          <w:tcPr>
            <w:tcW w:w="0" w:type="auto"/>
            <w:shd w:val="clear" w:color="auto" w:fill="auto"/>
            <w:vAlign w:val="bottom"/>
          </w:tcPr>
          <w:p w14:paraId="4ACE34E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4E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4E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4E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66,226</w:t>
            </w:r>
          </w:p>
        </w:tc>
        <w:tc>
          <w:tcPr>
            <w:tcW w:w="0" w:type="auto"/>
            <w:shd w:val="clear" w:color="auto" w:fill="auto"/>
            <w:vAlign w:val="bottom"/>
          </w:tcPr>
          <w:p w14:paraId="4ACE34E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4E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4EE"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4E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61,085</w:t>
            </w:r>
          </w:p>
        </w:tc>
        <w:tc>
          <w:tcPr>
            <w:tcW w:w="0" w:type="auto"/>
            <w:shd w:val="clear" w:color="auto" w:fill="auto"/>
            <w:vAlign w:val="bottom"/>
          </w:tcPr>
          <w:p w14:paraId="4ACE34F0" w14:textId="77777777" w:rsidR="006F587A" w:rsidRDefault="006F587A">
            <w:pPr>
              <w:textAlignment w:val="bottom"/>
              <w:rPr>
                <w:rFonts w:ascii="Times New Roman" w:hAnsi="Times New Roman"/>
                <w:sz w:val="20"/>
                <w:szCs w:val="20"/>
              </w:rPr>
            </w:pPr>
          </w:p>
        </w:tc>
      </w:tr>
      <w:tr w:rsidR="006F587A" w14:paraId="4ACE3502" w14:textId="77777777">
        <w:tc>
          <w:tcPr>
            <w:tcW w:w="0" w:type="auto"/>
            <w:shd w:val="clear" w:color="auto" w:fill="auto"/>
            <w:tcMar>
              <w:top w:w="40" w:type="dxa"/>
              <w:left w:w="40" w:type="dxa"/>
              <w:bottom w:w="40" w:type="dxa"/>
              <w:right w:w="40" w:type="dxa"/>
            </w:tcMar>
            <w:vAlign w:val="bottom"/>
          </w:tcPr>
          <w:p w14:paraId="4ACE34F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Employees (in thousands)</w:t>
            </w:r>
          </w:p>
        </w:tc>
        <w:tc>
          <w:tcPr>
            <w:tcW w:w="0" w:type="auto"/>
            <w:shd w:val="clear" w:color="auto" w:fill="auto"/>
            <w:tcMar>
              <w:top w:w="40" w:type="dxa"/>
              <w:left w:w="40" w:type="dxa"/>
              <w:bottom w:w="40" w:type="dxa"/>
              <w:right w:w="40" w:type="dxa"/>
            </w:tcMar>
            <w:vAlign w:val="bottom"/>
          </w:tcPr>
          <w:p w14:paraId="4ACE34F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4F4"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110.8</w:t>
            </w:r>
          </w:p>
        </w:tc>
        <w:tc>
          <w:tcPr>
            <w:tcW w:w="0" w:type="auto"/>
            <w:shd w:val="clear" w:color="auto" w:fill="auto"/>
            <w:vAlign w:val="bottom"/>
          </w:tcPr>
          <w:p w14:paraId="4ACE34F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4F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4F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107.4</w:t>
            </w:r>
          </w:p>
        </w:tc>
        <w:tc>
          <w:tcPr>
            <w:tcW w:w="0" w:type="auto"/>
            <w:shd w:val="clear" w:color="auto" w:fill="auto"/>
            <w:vAlign w:val="bottom"/>
          </w:tcPr>
          <w:p w14:paraId="4ACE34F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4F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4F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102.7</w:t>
            </w:r>
          </w:p>
        </w:tc>
        <w:tc>
          <w:tcPr>
            <w:tcW w:w="0" w:type="auto"/>
            <w:shd w:val="clear" w:color="auto" w:fill="auto"/>
            <w:vAlign w:val="bottom"/>
          </w:tcPr>
          <w:p w14:paraId="4ACE34F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4F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4FD"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106.0</w:t>
            </w:r>
          </w:p>
        </w:tc>
        <w:tc>
          <w:tcPr>
            <w:tcW w:w="0" w:type="auto"/>
            <w:shd w:val="clear" w:color="auto" w:fill="auto"/>
            <w:vAlign w:val="bottom"/>
          </w:tcPr>
          <w:p w14:paraId="4ACE34F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4F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500"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107.3</w:t>
            </w:r>
          </w:p>
        </w:tc>
        <w:tc>
          <w:tcPr>
            <w:tcW w:w="0" w:type="auto"/>
            <w:shd w:val="clear" w:color="auto" w:fill="auto"/>
            <w:vAlign w:val="bottom"/>
          </w:tcPr>
          <w:p w14:paraId="4ACE3501" w14:textId="77777777" w:rsidR="006F587A" w:rsidRDefault="006F587A">
            <w:pPr>
              <w:textAlignment w:val="bottom"/>
              <w:rPr>
                <w:rFonts w:ascii="Times New Roman" w:hAnsi="Times New Roman"/>
                <w:sz w:val="20"/>
                <w:szCs w:val="20"/>
              </w:rPr>
            </w:pPr>
          </w:p>
        </w:tc>
      </w:tr>
    </w:tbl>
    <w:p w14:paraId="4ACE3503"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6F587A" w14:paraId="4ACE3506" w14:textId="77777777">
        <w:trPr>
          <w:tblCellSpacing w:w="0" w:type="dxa"/>
        </w:trPr>
        <w:tc>
          <w:tcPr>
            <w:tcW w:w="720" w:type="dxa"/>
            <w:shd w:val="clear" w:color="auto" w:fill="auto"/>
            <w:vAlign w:val="center"/>
          </w:tcPr>
          <w:p w14:paraId="4ACE3504" w14:textId="77777777" w:rsidR="006F587A" w:rsidRDefault="006F587A">
            <w:pPr>
              <w:rPr>
                <w:rFonts w:ascii="Times New Roman" w:hAnsi="Times New Roman"/>
                <w:sz w:val="20"/>
                <w:szCs w:val="20"/>
              </w:rPr>
            </w:pPr>
          </w:p>
        </w:tc>
        <w:tc>
          <w:tcPr>
            <w:tcW w:w="0" w:type="auto"/>
            <w:shd w:val="clear" w:color="auto" w:fill="auto"/>
            <w:vAlign w:val="center"/>
          </w:tcPr>
          <w:p w14:paraId="4ACE3505" w14:textId="77777777" w:rsidR="006F587A" w:rsidRDefault="006F587A">
            <w:pPr>
              <w:rPr>
                <w:rFonts w:ascii="Times New Roman" w:hAnsi="Times New Roman"/>
                <w:sz w:val="20"/>
                <w:szCs w:val="20"/>
              </w:rPr>
            </w:pPr>
          </w:p>
        </w:tc>
      </w:tr>
      <w:tr w:rsidR="006F587A" w14:paraId="4ACE3509" w14:textId="77777777">
        <w:trPr>
          <w:tblCellSpacing w:w="0" w:type="dxa"/>
        </w:trPr>
        <w:tc>
          <w:tcPr>
            <w:tcW w:w="0" w:type="auto"/>
            <w:shd w:val="clear" w:color="auto" w:fill="auto"/>
          </w:tcPr>
          <w:p w14:paraId="4ACE3507" w14:textId="77777777" w:rsidR="006F587A" w:rsidRDefault="007B2B61">
            <w:pPr>
              <w:spacing w:line="288" w:lineRule="auto"/>
              <w:textAlignment w:val="top"/>
              <w:rPr>
                <w:rFonts w:ascii="Times New Roman" w:hAnsi="Times New Roman"/>
                <w:sz w:val="16"/>
                <w:szCs w:val="16"/>
              </w:rPr>
            </w:pPr>
            <w:r>
              <w:rPr>
                <w:rFonts w:ascii="Arial" w:eastAsia="宋体" w:hAnsi="Arial" w:cs="Arial"/>
                <w:color w:val="333333"/>
                <w:sz w:val="10"/>
                <w:szCs w:val="10"/>
              </w:rPr>
              <w:t>1</w:t>
            </w:r>
            <w:r>
              <w:rPr>
                <w:rFonts w:ascii="Arial" w:eastAsia="宋体" w:hAnsi="Arial" w:cs="Arial"/>
                <w:color w:val="333333"/>
                <w:sz w:val="16"/>
                <w:szCs w:val="16"/>
              </w:rPr>
              <w:t> </w:t>
            </w:r>
          </w:p>
        </w:tc>
        <w:tc>
          <w:tcPr>
            <w:tcW w:w="0" w:type="auto"/>
            <w:shd w:val="clear" w:color="auto" w:fill="auto"/>
          </w:tcPr>
          <w:p w14:paraId="4ACE3508"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6"/>
                <w:szCs w:val="16"/>
              </w:rPr>
              <w:t>In Q1 2018, we adopted "Retirement Benefits - Improving the Presentation of Net Periodic Pension Cost and Net Periodic Postretirement Benefit Cost" on a retrospective basis. As a result of the adoption of this standard, cost of sales, operating expenses, a</w:t>
            </w:r>
            <w:r>
              <w:rPr>
                <w:rFonts w:ascii="Arial" w:eastAsia="宋体" w:hAnsi="Arial" w:cs="Arial"/>
                <w:i/>
                <w:iCs/>
                <w:color w:val="333333"/>
                <w:sz w:val="16"/>
                <w:szCs w:val="16"/>
              </w:rPr>
              <w:t xml:space="preserve">nd interest and other, net for periods 2017 and 2016 in the preceding table have been restated. </w:t>
            </w:r>
          </w:p>
        </w:tc>
      </w:tr>
    </w:tbl>
    <w:p w14:paraId="4ACE350A"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6F587A" w14:paraId="4ACE350D" w14:textId="77777777">
        <w:trPr>
          <w:tblCellSpacing w:w="0" w:type="dxa"/>
        </w:trPr>
        <w:tc>
          <w:tcPr>
            <w:tcW w:w="720" w:type="dxa"/>
            <w:shd w:val="clear" w:color="auto" w:fill="auto"/>
            <w:vAlign w:val="center"/>
          </w:tcPr>
          <w:p w14:paraId="4ACE350B" w14:textId="77777777" w:rsidR="006F587A" w:rsidRDefault="006F587A">
            <w:pPr>
              <w:rPr>
                <w:rFonts w:ascii="Times New Roman" w:hAnsi="Times New Roman"/>
                <w:sz w:val="20"/>
                <w:szCs w:val="20"/>
              </w:rPr>
            </w:pPr>
          </w:p>
        </w:tc>
        <w:tc>
          <w:tcPr>
            <w:tcW w:w="0" w:type="auto"/>
            <w:shd w:val="clear" w:color="auto" w:fill="auto"/>
            <w:vAlign w:val="center"/>
          </w:tcPr>
          <w:p w14:paraId="4ACE350C" w14:textId="77777777" w:rsidR="006F587A" w:rsidRDefault="006F587A">
            <w:pPr>
              <w:rPr>
                <w:rFonts w:ascii="Times New Roman" w:hAnsi="Times New Roman"/>
                <w:sz w:val="20"/>
                <w:szCs w:val="20"/>
              </w:rPr>
            </w:pPr>
          </w:p>
        </w:tc>
      </w:tr>
      <w:tr w:rsidR="006F587A" w14:paraId="4ACE3510" w14:textId="77777777">
        <w:trPr>
          <w:tblCellSpacing w:w="0" w:type="dxa"/>
        </w:trPr>
        <w:tc>
          <w:tcPr>
            <w:tcW w:w="0" w:type="auto"/>
            <w:shd w:val="clear" w:color="auto" w:fill="auto"/>
          </w:tcPr>
          <w:p w14:paraId="4ACE350E" w14:textId="77777777" w:rsidR="006F587A" w:rsidRDefault="007B2B61">
            <w:pPr>
              <w:spacing w:line="288" w:lineRule="auto"/>
              <w:textAlignment w:val="top"/>
              <w:rPr>
                <w:rFonts w:ascii="Times New Roman" w:hAnsi="Times New Roman"/>
                <w:sz w:val="16"/>
                <w:szCs w:val="16"/>
              </w:rPr>
            </w:pPr>
            <w:r>
              <w:rPr>
                <w:rFonts w:ascii="Arial" w:eastAsia="宋体" w:hAnsi="Arial" w:cs="Arial"/>
                <w:color w:val="333333"/>
                <w:sz w:val="10"/>
                <w:szCs w:val="10"/>
              </w:rPr>
              <w:t>2</w:t>
            </w:r>
            <w:r>
              <w:rPr>
                <w:rFonts w:ascii="Arial" w:eastAsia="宋体" w:hAnsi="Arial" w:cs="Arial"/>
                <w:color w:val="333333"/>
                <w:sz w:val="16"/>
                <w:szCs w:val="16"/>
              </w:rPr>
              <w:t> </w:t>
            </w:r>
          </w:p>
        </w:tc>
        <w:tc>
          <w:tcPr>
            <w:tcW w:w="0" w:type="auto"/>
            <w:shd w:val="clear" w:color="auto" w:fill="auto"/>
          </w:tcPr>
          <w:p w14:paraId="4ACE350F"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6"/>
                <w:szCs w:val="16"/>
              </w:rPr>
              <w:t>In Q4 2017, we recognized a $5.4 billion higher income tax expense as a result of one-time impacts from Tax Reform. In 2018, our effective tax rate ben</w:t>
            </w:r>
            <w:r>
              <w:rPr>
                <w:rFonts w:ascii="Arial" w:eastAsia="宋体" w:hAnsi="Arial" w:cs="Arial"/>
                <w:i/>
                <w:iCs/>
                <w:color w:val="333333"/>
                <w:sz w:val="16"/>
                <w:szCs w:val="16"/>
              </w:rPr>
              <w:t>efited from the reduction of the U.S. statutory federal tax rate.  </w:t>
            </w:r>
          </w:p>
        </w:tc>
      </w:tr>
    </w:tbl>
    <w:p w14:paraId="4ACE3511" w14:textId="77777777" w:rsidR="006F587A" w:rsidRDefault="006F587A">
      <w:pPr>
        <w:spacing w:line="288" w:lineRule="auto"/>
        <w:ind w:hanging="240"/>
        <w:rPr>
          <w:rFonts w:ascii="Times New Roman" w:hAnsi="Times New Roman"/>
          <w:sz w:val="16"/>
          <w:szCs w:val="16"/>
        </w:rPr>
      </w:pPr>
    </w:p>
    <w:p w14:paraId="4ACE3512" w14:textId="77777777" w:rsidR="006F587A" w:rsidRDefault="006F587A">
      <w:pPr>
        <w:spacing w:line="288" w:lineRule="auto"/>
        <w:ind w:hanging="240"/>
        <w:rPr>
          <w:rFonts w:ascii="Times New Roman" w:hAnsi="Times New Roman"/>
          <w:sz w:val="16"/>
          <w:szCs w:val="16"/>
        </w:rPr>
      </w:pPr>
    </w:p>
    <w:p w14:paraId="4ACE3513"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243"/>
        <w:gridCol w:w="2658"/>
        <w:gridCol w:w="3405"/>
      </w:tblGrid>
      <w:tr w:rsidR="006F587A" w14:paraId="4ACE3515" w14:textId="77777777">
        <w:tc>
          <w:tcPr>
            <w:tcW w:w="0" w:type="auto"/>
            <w:gridSpan w:val="3"/>
            <w:shd w:val="clear" w:color="auto" w:fill="auto"/>
            <w:vAlign w:val="center"/>
          </w:tcPr>
          <w:p w14:paraId="4ACE3514" w14:textId="77777777" w:rsidR="006F587A" w:rsidRDefault="006F587A">
            <w:pPr>
              <w:rPr>
                <w:rFonts w:ascii="Times New Roman" w:hAnsi="Times New Roman"/>
                <w:sz w:val="20"/>
                <w:szCs w:val="20"/>
              </w:rPr>
            </w:pPr>
          </w:p>
        </w:tc>
      </w:tr>
      <w:tr w:rsidR="006F587A" w14:paraId="4ACE3519" w14:textId="77777777">
        <w:tc>
          <w:tcPr>
            <w:tcW w:w="1350" w:type="pct"/>
            <w:shd w:val="clear" w:color="auto" w:fill="auto"/>
            <w:vAlign w:val="center"/>
          </w:tcPr>
          <w:p w14:paraId="4ACE3516" w14:textId="77777777" w:rsidR="006F587A" w:rsidRDefault="006F587A">
            <w:pPr>
              <w:rPr>
                <w:rFonts w:ascii="Times New Roman" w:hAnsi="Times New Roman"/>
                <w:sz w:val="20"/>
                <w:szCs w:val="20"/>
              </w:rPr>
            </w:pPr>
          </w:p>
        </w:tc>
        <w:tc>
          <w:tcPr>
            <w:tcW w:w="1600" w:type="pct"/>
            <w:shd w:val="clear" w:color="auto" w:fill="auto"/>
            <w:vAlign w:val="center"/>
          </w:tcPr>
          <w:p w14:paraId="4ACE3517" w14:textId="77777777" w:rsidR="006F587A" w:rsidRDefault="006F587A">
            <w:pPr>
              <w:rPr>
                <w:rFonts w:ascii="Times New Roman" w:hAnsi="Times New Roman"/>
                <w:sz w:val="20"/>
                <w:szCs w:val="20"/>
              </w:rPr>
            </w:pPr>
          </w:p>
        </w:tc>
        <w:tc>
          <w:tcPr>
            <w:tcW w:w="2050" w:type="pct"/>
            <w:shd w:val="clear" w:color="auto" w:fill="auto"/>
            <w:vAlign w:val="center"/>
          </w:tcPr>
          <w:p w14:paraId="4ACE3518" w14:textId="77777777" w:rsidR="006F587A" w:rsidRDefault="006F587A">
            <w:pPr>
              <w:rPr>
                <w:rFonts w:ascii="Times New Roman" w:hAnsi="Times New Roman"/>
                <w:sz w:val="20"/>
                <w:szCs w:val="20"/>
              </w:rPr>
            </w:pPr>
          </w:p>
        </w:tc>
      </w:tr>
      <w:tr w:rsidR="006F587A" w14:paraId="4ACE351D"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351A" w14:textId="77777777" w:rsidR="006F587A" w:rsidRDefault="007B2B61">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71" wp14:editId="4ACE6D72">
                  <wp:extent cx="304800" cy="304800"/>
                  <wp:effectExtent l="0" t="0" r="0" b="0"/>
                  <wp:docPr id="26" name="图片 230"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30"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OTHER KEY INFORMATION</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51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51C"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47</w:t>
            </w:r>
          </w:p>
        </w:tc>
      </w:tr>
    </w:tbl>
    <w:p w14:paraId="4ACE351E" w14:textId="77777777" w:rsidR="006F587A" w:rsidRDefault="007B2B61">
      <w:r>
        <w:pict w14:anchorId="4ACE6D73">
          <v:rect id="_x0000_i1073" style="width:415.3pt;height:1.5pt" o:hralign="center" o:hrstd="t" o:hr="t" fillcolor="#a0a0a0" stroked="f"/>
        </w:pict>
      </w:r>
    </w:p>
    <w:p w14:paraId="4ACE351F" w14:textId="77777777" w:rsidR="006F587A" w:rsidRDefault="007B2B61">
      <w:pPr>
        <w:spacing w:line="288" w:lineRule="auto"/>
        <w:jc w:val="right"/>
        <w:rPr>
          <w:rFonts w:ascii="Times New Roman" w:hAnsi="Times New Roman"/>
          <w:sz w:val="16"/>
          <w:szCs w:val="16"/>
        </w:rPr>
      </w:pPr>
      <w:hyperlink r:id="rId80" w:anchor="s9DB683E2CF52561EB8A73BE37F5BF9BE" w:history="1">
        <w:r>
          <w:rPr>
            <w:rStyle w:val="a5"/>
            <w:rFonts w:ascii="Arial" w:eastAsia="宋体" w:hAnsi="Arial" w:cs="Arial"/>
            <w:b/>
            <w:bCs/>
            <w:sz w:val="16"/>
            <w:szCs w:val="16"/>
          </w:rPr>
          <w:t>Table of Contents</w:t>
        </w:r>
      </w:hyperlink>
    </w:p>
    <w:p w14:paraId="4ACE3520" w14:textId="77777777" w:rsidR="006F587A" w:rsidRDefault="006F587A">
      <w:pPr>
        <w:spacing w:line="288" w:lineRule="auto"/>
        <w:jc w:val="right"/>
        <w:rPr>
          <w:rFonts w:ascii="Times New Roman" w:hAnsi="Times New Roman"/>
          <w:sz w:val="16"/>
          <w:szCs w:val="16"/>
        </w:rPr>
      </w:pPr>
    </w:p>
    <w:p w14:paraId="4ACE3521" w14:textId="77777777" w:rsidR="006F587A" w:rsidRDefault="006F587A">
      <w:pPr>
        <w:rPr>
          <w:rFonts w:ascii="Times New Roman" w:hAnsi="Times New Roman"/>
          <w:sz w:val="20"/>
          <w:szCs w:val="20"/>
        </w:rPr>
      </w:pPr>
    </w:p>
    <w:p w14:paraId="4ACE3522" w14:textId="77777777" w:rsidR="006F587A" w:rsidRDefault="007B2B61">
      <w:pPr>
        <w:spacing w:line="288" w:lineRule="auto"/>
        <w:rPr>
          <w:rFonts w:ascii="Times New Roman" w:hAnsi="Times New Roman"/>
          <w:sz w:val="28"/>
          <w:szCs w:val="28"/>
        </w:rPr>
      </w:pPr>
      <w:r>
        <w:rPr>
          <w:rFonts w:ascii="Arial" w:eastAsia="宋体" w:hAnsi="Arial" w:cs="Arial"/>
          <w:b/>
          <w:bCs/>
          <w:color w:val="0071C5"/>
          <w:sz w:val="28"/>
          <w:szCs w:val="28"/>
        </w:rPr>
        <w:t>SALES AND MARKETING</w:t>
      </w:r>
    </w:p>
    <w:p w14:paraId="4ACE3523" w14:textId="77777777" w:rsidR="006F587A" w:rsidRDefault="007B2B61">
      <w:pPr>
        <w:spacing w:line="288" w:lineRule="auto"/>
        <w:rPr>
          <w:rFonts w:ascii="Times New Roman" w:hAnsi="Times New Roman"/>
        </w:rPr>
      </w:pPr>
      <w:r>
        <w:rPr>
          <w:rFonts w:ascii="Arial" w:eastAsia="宋体" w:hAnsi="Arial" w:cs="Arial"/>
          <w:b/>
          <w:bCs/>
          <w:color w:val="0071C5"/>
        </w:rPr>
        <w:t>CUSTOMERS</w:t>
      </w:r>
    </w:p>
    <w:p w14:paraId="4ACE3524"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We sell our products primarily to OEMs, </w:t>
      </w:r>
      <w:r>
        <w:rPr>
          <w:rFonts w:ascii="Arial" w:eastAsia="宋体" w:hAnsi="Arial" w:cs="Arial"/>
          <w:color w:val="333333"/>
          <w:sz w:val="18"/>
          <w:szCs w:val="18"/>
        </w:rPr>
        <w:t xml:space="preserve">ODMs, and cloud service providers. ODMs provide design and manufacturing services to branded and unbranded private-label resellers. In addition, our customers </w:t>
      </w:r>
      <w:r>
        <w:rPr>
          <w:rFonts w:ascii="Arial" w:eastAsia="宋体" w:hAnsi="Arial" w:cs="Arial"/>
          <w:color w:val="333333"/>
          <w:sz w:val="18"/>
          <w:szCs w:val="18"/>
        </w:rPr>
        <w:lastRenderedPageBreak/>
        <w:t>include other manufacturers and service providers, such as industrial and communication equipment</w:t>
      </w:r>
      <w:r>
        <w:rPr>
          <w:rFonts w:ascii="Arial" w:eastAsia="宋体" w:hAnsi="Arial" w:cs="Arial"/>
          <w:color w:val="333333"/>
          <w:sz w:val="18"/>
          <w:szCs w:val="18"/>
        </w:rPr>
        <w:t xml:space="preserve"> manufacturers and cloud service providers, who buy our products through distributor, reseller, retail, and OEM channels throughout the world. For more information about our customers, including customers who accounted for greater than 10% of our net conso</w:t>
      </w:r>
      <w:r>
        <w:rPr>
          <w:rFonts w:ascii="Arial" w:eastAsia="宋体" w:hAnsi="Arial" w:cs="Arial"/>
          <w:color w:val="333333"/>
          <w:sz w:val="18"/>
          <w:szCs w:val="18"/>
        </w:rPr>
        <w:t>lidated revenue, see "Note 4: Operating Segments" within the Consolidated Financial Statements.</w:t>
      </w:r>
    </w:p>
    <w:p w14:paraId="4ACE3525"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Our worldwide reseller sales channel consists of thousands of indirect customers—systems builders that purchase Intel</w:t>
      </w:r>
      <w:r>
        <w:rPr>
          <w:rFonts w:ascii="Arial" w:eastAsia="宋体" w:hAnsi="Arial" w:cs="Arial"/>
          <w:color w:val="333333"/>
          <w:sz w:val="12"/>
          <w:szCs w:val="12"/>
        </w:rPr>
        <w:t>®</w:t>
      </w:r>
      <w:r>
        <w:rPr>
          <w:rFonts w:ascii="Arial" w:eastAsia="宋体" w:hAnsi="Arial" w:cs="Arial"/>
          <w:color w:val="333333"/>
          <w:sz w:val="18"/>
          <w:szCs w:val="18"/>
        </w:rPr>
        <w:t xml:space="preserve"> processors and other products from our di</w:t>
      </w:r>
      <w:r>
        <w:rPr>
          <w:rFonts w:ascii="Arial" w:eastAsia="宋体" w:hAnsi="Arial" w:cs="Arial"/>
          <w:color w:val="333333"/>
          <w:sz w:val="18"/>
          <w:szCs w:val="18"/>
        </w:rPr>
        <w:t>stributors. We have incentive programs that allow distributors to sell our microprocessors and other products in small quantities to systems integrators. Our microprocessors and other products are also available in direct retail outlets.</w:t>
      </w:r>
    </w:p>
    <w:p w14:paraId="4ACE3526" w14:textId="77777777" w:rsidR="006F587A" w:rsidRDefault="007B2B61">
      <w:pPr>
        <w:spacing w:line="288" w:lineRule="auto"/>
        <w:rPr>
          <w:rFonts w:ascii="Times New Roman" w:hAnsi="Times New Roman"/>
        </w:rPr>
      </w:pPr>
      <w:r>
        <w:rPr>
          <w:rFonts w:ascii="Arial" w:eastAsia="宋体" w:hAnsi="Arial" w:cs="Arial"/>
          <w:b/>
          <w:bCs/>
          <w:color w:val="0071C5"/>
        </w:rPr>
        <w:t>SALES ARRANGEMENTS</w:t>
      </w:r>
    </w:p>
    <w:p w14:paraId="4ACE3527"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Our products are sold through distribution channels throughout the world. Sales of our products are frequently made via purchase order acknowledgments that contain standard terms and conditions covering matters such as pricing, payment terms, and warranti</w:t>
      </w:r>
      <w:r>
        <w:rPr>
          <w:rFonts w:ascii="Arial" w:eastAsia="宋体" w:hAnsi="Arial" w:cs="Arial"/>
          <w:color w:val="333333"/>
          <w:sz w:val="18"/>
          <w:szCs w:val="18"/>
        </w:rPr>
        <w:t>es, as well as indemnities for issues specific to our products, such as patent and copyright indemnities. From time to time, we may enter into additional agreements with customers covering, for example, changes from our standard terms and conditions, new p</w:t>
      </w:r>
      <w:r>
        <w:rPr>
          <w:rFonts w:ascii="Arial" w:eastAsia="宋体" w:hAnsi="Arial" w:cs="Arial"/>
          <w:color w:val="333333"/>
          <w:sz w:val="18"/>
          <w:szCs w:val="18"/>
        </w:rPr>
        <w:t>roduct development and marketing, and private-label branding. Our sales are routinely made using electronic and web-based processes that allow the customer to review inventory availability and track the progress of specific goods ordered. Pricing on partic</w:t>
      </w:r>
      <w:r>
        <w:rPr>
          <w:rFonts w:ascii="Arial" w:eastAsia="宋体" w:hAnsi="Arial" w:cs="Arial"/>
          <w:color w:val="333333"/>
          <w:sz w:val="18"/>
          <w:szCs w:val="18"/>
        </w:rPr>
        <w:t>ular products may vary based on volumes ordered and other factors. We also offer discounts, rebates, and other incentives to customers to increase acceptance of our products and technology.</w:t>
      </w:r>
    </w:p>
    <w:p w14:paraId="4ACE3528"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In accordance with contract terms, revenue for product sales is re</w:t>
      </w:r>
      <w:r>
        <w:rPr>
          <w:rFonts w:ascii="Arial" w:eastAsia="宋体" w:hAnsi="Arial" w:cs="Arial"/>
          <w:color w:val="333333"/>
          <w:sz w:val="18"/>
          <w:szCs w:val="18"/>
        </w:rPr>
        <w:t>cognized at the time of product shipment from our facilities or delivery to the customer location, as determined by the agreed-upon shipping terms. Our standard terms and conditions of sale typically provide that payment is due at a later date, 30 days aft</w:t>
      </w:r>
      <w:r>
        <w:rPr>
          <w:rFonts w:ascii="Arial" w:eastAsia="宋体" w:hAnsi="Arial" w:cs="Arial"/>
          <w:color w:val="333333"/>
          <w:sz w:val="18"/>
          <w:szCs w:val="18"/>
        </w:rPr>
        <w:t>er shipment or delivery. We assess credit risk through quantitative and qualitative analysis. From this analysis, we establish shipping and credit limits, and determine whether we will seek to use one or more credit support protection devices, such as obta</w:t>
      </w:r>
      <w:r>
        <w:rPr>
          <w:rFonts w:ascii="Arial" w:eastAsia="宋体" w:hAnsi="Arial" w:cs="Arial"/>
          <w:color w:val="333333"/>
          <w:sz w:val="18"/>
          <w:szCs w:val="18"/>
        </w:rPr>
        <w:t xml:space="preserve">ining a parent guarantee, standby letter of credit, or credit insurance. Credit losses may still be incurred due to bankruptcy, fraud, or other failure of the customer to pay. </w:t>
      </w:r>
    </w:p>
    <w:p w14:paraId="4ACE3529"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Our sales to distributors are typically made under agreements allowing for pric</w:t>
      </w:r>
      <w:r>
        <w:rPr>
          <w:rFonts w:ascii="Arial" w:eastAsia="宋体" w:hAnsi="Arial" w:cs="Arial"/>
          <w:color w:val="333333"/>
          <w:sz w:val="18"/>
          <w:szCs w:val="18"/>
        </w:rPr>
        <w:t>e protection on unsold merchandise and a right of return on stipulated quantities of unsold merchandise. Under the price protection program, we give distributors credits for the difference between the original price paid and the current price that we offer</w:t>
      </w:r>
      <w:r>
        <w:rPr>
          <w:rFonts w:ascii="Arial" w:eastAsia="宋体" w:hAnsi="Arial" w:cs="Arial"/>
          <w:color w:val="333333"/>
          <w:sz w:val="18"/>
          <w:szCs w:val="18"/>
        </w:rPr>
        <w:t>. Our products typically have no contractual limit on the amount of price protection, nor is there a limit on the time horizon under which price protection is granted. The right of return granted generally consists of a stock rotation program in which dist</w:t>
      </w:r>
      <w:r>
        <w:rPr>
          <w:rFonts w:ascii="Arial" w:eastAsia="宋体" w:hAnsi="Arial" w:cs="Arial"/>
          <w:color w:val="333333"/>
          <w:sz w:val="18"/>
          <w:szCs w:val="18"/>
        </w:rPr>
        <w:t xml:space="preserve">ributors are able to exchange certain products based on the number of qualified purchases made by the distributor. </w:t>
      </w:r>
    </w:p>
    <w:p w14:paraId="4ACE352A" w14:textId="77777777" w:rsidR="006F587A" w:rsidRDefault="007B2B61">
      <w:pPr>
        <w:spacing w:line="288" w:lineRule="auto"/>
        <w:rPr>
          <w:rFonts w:ascii="Times New Roman" w:hAnsi="Times New Roman"/>
        </w:rPr>
      </w:pPr>
      <w:r>
        <w:rPr>
          <w:rFonts w:ascii="Arial" w:eastAsia="宋体" w:hAnsi="Arial" w:cs="Arial"/>
          <w:b/>
          <w:bCs/>
          <w:color w:val="0071C5"/>
        </w:rPr>
        <w:t>DISTRIBUTION</w:t>
      </w:r>
    </w:p>
    <w:p w14:paraId="4ACE352B"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Distributors typically handle a wide variety of products, including those that compete with our products, and fill orders for m</w:t>
      </w:r>
      <w:r>
        <w:rPr>
          <w:rFonts w:ascii="Arial" w:eastAsia="宋体" w:hAnsi="Arial" w:cs="Arial"/>
          <w:color w:val="333333"/>
          <w:sz w:val="18"/>
          <w:szCs w:val="18"/>
        </w:rPr>
        <w:t>any customers. Customers may place orders directly with us or through distributors. We have several distribution warehouses that are located in proximity to key customers.</w:t>
      </w:r>
    </w:p>
    <w:p w14:paraId="4ACE352C" w14:textId="77777777" w:rsidR="006F587A" w:rsidRDefault="007B2B61">
      <w:pPr>
        <w:spacing w:line="288" w:lineRule="auto"/>
        <w:rPr>
          <w:rFonts w:ascii="Times New Roman" w:hAnsi="Times New Roman"/>
        </w:rPr>
      </w:pPr>
      <w:r>
        <w:rPr>
          <w:rFonts w:ascii="Arial" w:eastAsia="宋体" w:hAnsi="Arial" w:cs="Arial"/>
          <w:b/>
          <w:bCs/>
          <w:color w:val="0071C5"/>
        </w:rPr>
        <w:t>SEASONAL TRENDS</w:t>
      </w:r>
    </w:p>
    <w:p w14:paraId="4ACE352D"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Historically, our net revenue has typically been higher in the secon</w:t>
      </w:r>
      <w:r>
        <w:rPr>
          <w:rFonts w:ascii="Arial" w:eastAsia="宋体" w:hAnsi="Arial" w:cs="Arial"/>
          <w:color w:val="333333"/>
          <w:sz w:val="18"/>
          <w:szCs w:val="18"/>
        </w:rPr>
        <w:t>d half of the year than in the first half of the year, accelerating in the third quarter and peaking in the fourth quarter.</w:t>
      </w:r>
    </w:p>
    <w:p w14:paraId="4ACE352E" w14:textId="77777777" w:rsidR="006F587A" w:rsidRDefault="007B2B61">
      <w:pPr>
        <w:spacing w:line="288" w:lineRule="auto"/>
        <w:rPr>
          <w:rFonts w:ascii="Times New Roman" w:hAnsi="Times New Roman"/>
        </w:rPr>
      </w:pPr>
      <w:r>
        <w:rPr>
          <w:rFonts w:ascii="Arial" w:eastAsia="宋体" w:hAnsi="Arial" w:cs="Arial"/>
          <w:b/>
          <w:bCs/>
          <w:color w:val="0071C5"/>
        </w:rPr>
        <w:t>MARKETING</w:t>
      </w:r>
    </w:p>
    <w:p w14:paraId="4ACE352F"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Our global marketing objectives are to build a strong, well-known, differentiated, and meaningful Intel corporate brand th</w:t>
      </w:r>
      <w:r>
        <w:rPr>
          <w:rFonts w:ascii="Arial" w:eastAsia="宋体" w:hAnsi="Arial" w:cs="Arial"/>
          <w:color w:val="333333"/>
          <w:sz w:val="18"/>
          <w:szCs w:val="18"/>
        </w:rPr>
        <w:t>at drives preference with businesses and consumers, and to offer a limited number of meaningful and valuable brands in our portfolio to aid businesses and consumers in making informed choices about technology purchases. The Intel</w:t>
      </w:r>
      <w:r>
        <w:rPr>
          <w:rFonts w:ascii="Arial" w:eastAsia="宋体" w:hAnsi="Arial" w:cs="Arial"/>
          <w:color w:val="333333"/>
          <w:sz w:val="12"/>
          <w:szCs w:val="12"/>
        </w:rPr>
        <w:t>®</w:t>
      </w:r>
      <w:r>
        <w:rPr>
          <w:rFonts w:ascii="Arial" w:eastAsia="宋体" w:hAnsi="Arial" w:cs="Arial"/>
          <w:color w:val="333333"/>
          <w:sz w:val="18"/>
          <w:szCs w:val="18"/>
        </w:rPr>
        <w:t xml:space="preserve"> Core™ processor family an</w:t>
      </w:r>
      <w:r>
        <w:rPr>
          <w:rFonts w:ascii="Arial" w:eastAsia="宋体" w:hAnsi="Arial" w:cs="Arial"/>
          <w:color w:val="333333"/>
          <w:sz w:val="18"/>
          <w:szCs w:val="18"/>
        </w:rPr>
        <w:t>d the Intel</w:t>
      </w:r>
      <w:r>
        <w:rPr>
          <w:rFonts w:ascii="Arial" w:eastAsia="宋体" w:hAnsi="Arial" w:cs="Arial"/>
          <w:color w:val="333333"/>
          <w:sz w:val="12"/>
          <w:szCs w:val="12"/>
        </w:rPr>
        <w:t>®</w:t>
      </w:r>
      <w:r>
        <w:rPr>
          <w:rFonts w:ascii="Arial" w:eastAsia="宋体" w:hAnsi="Arial" w:cs="Arial"/>
          <w:color w:val="333333"/>
          <w:sz w:val="18"/>
          <w:szCs w:val="18"/>
        </w:rPr>
        <w:t xml:space="preserve"> Quark™, Intel Atom</w:t>
      </w:r>
      <w:r>
        <w:rPr>
          <w:rFonts w:ascii="Arial" w:eastAsia="宋体" w:hAnsi="Arial" w:cs="Arial"/>
          <w:color w:val="333333"/>
          <w:sz w:val="12"/>
          <w:szCs w:val="12"/>
        </w:rPr>
        <w:t>®</w:t>
      </w:r>
      <w:r>
        <w:rPr>
          <w:rFonts w:ascii="Arial" w:eastAsia="宋体" w:hAnsi="Arial" w:cs="Arial"/>
          <w:color w:val="333333"/>
          <w:sz w:val="18"/>
          <w:szCs w:val="18"/>
        </w:rPr>
        <w:t>, Celeron</w:t>
      </w:r>
      <w:r>
        <w:rPr>
          <w:rFonts w:ascii="Arial" w:eastAsia="宋体" w:hAnsi="Arial" w:cs="Arial"/>
          <w:color w:val="333333"/>
          <w:sz w:val="12"/>
          <w:szCs w:val="12"/>
        </w:rPr>
        <w:t>®</w:t>
      </w:r>
      <w:r>
        <w:rPr>
          <w:rFonts w:ascii="Arial" w:eastAsia="宋体" w:hAnsi="Arial" w:cs="Arial"/>
          <w:color w:val="333333"/>
          <w:sz w:val="18"/>
          <w:szCs w:val="18"/>
        </w:rPr>
        <w:t>, Pentium</w:t>
      </w:r>
      <w:r>
        <w:rPr>
          <w:rFonts w:ascii="Arial" w:eastAsia="宋体" w:hAnsi="Arial" w:cs="Arial"/>
          <w:color w:val="333333"/>
          <w:sz w:val="12"/>
          <w:szCs w:val="12"/>
        </w:rPr>
        <w:t>®</w:t>
      </w:r>
      <w:r>
        <w:rPr>
          <w:rFonts w:ascii="Arial" w:eastAsia="宋体" w:hAnsi="Arial" w:cs="Arial"/>
          <w:color w:val="333333"/>
          <w:sz w:val="18"/>
          <w:szCs w:val="18"/>
        </w:rPr>
        <w:t>, Intel</w:t>
      </w:r>
      <w:r>
        <w:rPr>
          <w:rFonts w:ascii="Arial" w:eastAsia="宋体" w:hAnsi="Arial" w:cs="Arial"/>
          <w:color w:val="333333"/>
          <w:sz w:val="12"/>
          <w:szCs w:val="12"/>
        </w:rPr>
        <w:t>®</w:t>
      </w:r>
      <w:r>
        <w:rPr>
          <w:rFonts w:ascii="Arial" w:eastAsia="宋体" w:hAnsi="Arial" w:cs="Arial"/>
          <w:color w:val="333333"/>
          <w:sz w:val="18"/>
          <w:szCs w:val="18"/>
        </w:rPr>
        <w:t xml:space="preserve"> Xeon</w:t>
      </w:r>
      <w:r>
        <w:rPr>
          <w:rFonts w:ascii="Arial" w:eastAsia="宋体" w:hAnsi="Arial" w:cs="Arial"/>
          <w:color w:val="333333"/>
          <w:sz w:val="12"/>
          <w:szCs w:val="12"/>
        </w:rPr>
        <w:t>®</w:t>
      </w:r>
      <w:r>
        <w:rPr>
          <w:rFonts w:ascii="Arial" w:eastAsia="宋体" w:hAnsi="Arial" w:cs="Arial"/>
          <w:color w:val="333333"/>
          <w:sz w:val="18"/>
          <w:szCs w:val="18"/>
        </w:rPr>
        <w:t>, and Itanium</w:t>
      </w:r>
      <w:r>
        <w:rPr>
          <w:rFonts w:ascii="Arial" w:eastAsia="宋体" w:hAnsi="Arial" w:cs="Arial"/>
          <w:color w:val="333333"/>
          <w:sz w:val="12"/>
          <w:szCs w:val="12"/>
        </w:rPr>
        <w:t>®</w:t>
      </w:r>
      <w:r>
        <w:rPr>
          <w:rFonts w:ascii="Arial" w:eastAsia="宋体" w:hAnsi="Arial" w:cs="Arial"/>
          <w:color w:val="333333"/>
          <w:sz w:val="18"/>
          <w:szCs w:val="18"/>
        </w:rPr>
        <w:t xml:space="preserve"> trademarks make up our CPU brands.</w:t>
      </w:r>
    </w:p>
    <w:p w14:paraId="4ACE3530"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promote brand awareness and preference, and generate demand through our own direct marketing, as well as through co-marketing programs. O</w:t>
      </w:r>
      <w:r>
        <w:rPr>
          <w:rFonts w:ascii="Arial" w:eastAsia="宋体" w:hAnsi="Arial" w:cs="Arial"/>
          <w:color w:val="333333"/>
          <w:sz w:val="18"/>
          <w:szCs w:val="18"/>
        </w:rPr>
        <w:t>ur direct marketing activities primarily include advertising through digital and social media and television, as well as consumer and trade events, industry and consumer communications, and press relations. We market to consumer and business audiences, and</w:t>
      </w:r>
      <w:r>
        <w:rPr>
          <w:rFonts w:ascii="Arial" w:eastAsia="宋体" w:hAnsi="Arial" w:cs="Arial"/>
          <w:color w:val="333333"/>
          <w:sz w:val="18"/>
          <w:szCs w:val="18"/>
        </w:rPr>
        <w:t xml:space="preserve"> focus on building awareness and generating demand for our products. Our key messaging focuses on increased performance, improved energy efficiency, and other capabilities such as connectivity and communications.</w:t>
      </w:r>
    </w:p>
    <w:p w14:paraId="4ACE3531"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243"/>
        <w:gridCol w:w="2658"/>
        <w:gridCol w:w="3405"/>
      </w:tblGrid>
      <w:tr w:rsidR="006F587A" w14:paraId="4ACE3533" w14:textId="77777777">
        <w:tc>
          <w:tcPr>
            <w:tcW w:w="0" w:type="auto"/>
            <w:gridSpan w:val="3"/>
            <w:shd w:val="clear" w:color="auto" w:fill="auto"/>
            <w:vAlign w:val="center"/>
          </w:tcPr>
          <w:p w14:paraId="4ACE3532" w14:textId="77777777" w:rsidR="006F587A" w:rsidRDefault="006F587A">
            <w:pPr>
              <w:rPr>
                <w:rFonts w:ascii="Times New Roman" w:hAnsi="Times New Roman"/>
                <w:sz w:val="20"/>
                <w:szCs w:val="20"/>
              </w:rPr>
            </w:pPr>
          </w:p>
        </w:tc>
      </w:tr>
      <w:tr w:rsidR="006F587A" w14:paraId="4ACE3537" w14:textId="77777777">
        <w:tc>
          <w:tcPr>
            <w:tcW w:w="1350" w:type="pct"/>
            <w:shd w:val="clear" w:color="auto" w:fill="auto"/>
            <w:vAlign w:val="center"/>
          </w:tcPr>
          <w:p w14:paraId="4ACE3534" w14:textId="77777777" w:rsidR="006F587A" w:rsidRDefault="006F587A">
            <w:pPr>
              <w:rPr>
                <w:rFonts w:ascii="Times New Roman" w:hAnsi="Times New Roman"/>
                <w:sz w:val="20"/>
                <w:szCs w:val="20"/>
              </w:rPr>
            </w:pPr>
          </w:p>
        </w:tc>
        <w:tc>
          <w:tcPr>
            <w:tcW w:w="1600" w:type="pct"/>
            <w:shd w:val="clear" w:color="auto" w:fill="auto"/>
            <w:vAlign w:val="center"/>
          </w:tcPr>
          <w:p w14:paraId="4ACE3535" w14:textId="77777777" w:rsidR="006F587A" w:rsidRDefault="006F587A">
            <w:pPr>
              <w:rPr>
                <w:rFonts w:ascii="Times New Roman" w:hAnsi="Times New Roman"/>
                <w:sz w:val="20"/>
                <w:szCs w:val="20"/>
              </w:rPr>
            </w:pPr>
          </w:p>
        </w:tc>
        <w:tc>
          <w:tcPr>
            <w:tcW w:w="2050" w:type="pct"/>
            <w:shd w:val="clear" w:color="auto" w:fill="auto"/>
            <w:vAlign w:val="center"/>
          </w:tcPr>
          <w:p w14:paraId="4ACE3536" w14:textId="77777777" w:rsidR="006F587A" w:rsidRDefault="006F587A">
            <w:pPr>
              <w:rPr>
                <w:rFonts w:ascii="Times New Roman" w:hAnsi="Times New Roman"/>
                <w:sz w:val="20"/>
                <w:szCs w:val="20"/>
              </w:rPr>
            </w:pPr>
          </w:p>
        </w:tc>
      </w:tr>
      <w:tr w:rsidR="006F587A" w14:paraId="4ACE353B"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3538" w14:textId="77777777" w:rsidR="006F587A" w:rsidRDefault="007B2B61">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74" wp14:editId="4ACE6D75">
                  <wp:extent cx="304800" cy="304800"/>
                  <wp:effectExtent l="0" t="0" r="0" b="0"/>
                  <wp:docPr id="165" name="图片 232"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232"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OTHER KEY INFORMATION</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53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53A"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48</w:t>
            </w:r>
          </w:p>
        </w:tc>
      </w:tr>
    </w:tbl>
    <w:p w14:paraId="4ACE353C" w14:textId="77777777" w:rsidR="006F587A" w:rsidRDefault="007B2B61">
      <w:r>
        <w:pict w14:anchorId="4ACE6D76">
          <v:rect id="_x0000_i1074" style="width:415.3pt;height:1.5pt" o:hralign="center" o:hrstd="t" o:hr="t" fillcolor="#a0a0a0" stroked="f"/>
        </w:pict>
      </w:r>
    </w:p>
    <w:p w14:paraId="4ACE353D" w14:textId="77777777" w:rsidR="006F587A" w:rsidRDefault="007B2B61">
      <w:pPr>
        <w:spacing w:line="288" w:lineRule="auto"/>
        <w:jc w:val="right"/>
        <w:rPr>
          <w:rFonts w:ascii="Times New Roman" w:hAnsi="Times New Roman"/>
          <w:sz w:val="16"/>
          <w:szCs w:val="16"/>
        </w:rPr>
      </w:pPr>
      <w:hyperlink r:id="rId81" w:anchor="s9DB683E2CF52561EB8A73BE37F5BF9BE" w:history="1">
        <w:r>
          <w:rPr>
            <w:rStyle w:val="a5"/>
            <w:rFonts w:ascii="Arial" w:eastAsia="宋体" w:hAnsi="Arial" w:cs="Arial"/>
            <w:b/>
            <w:bCs/>
            <w:sz w:val="16"/>
            <w:szCs w:val="16"/>
          </w:rPr>
          <w:t>Table of Contents</w:t>
        </w:r>
      </w:hyperlink>
    </w:p>
    <w:p w14:paraId="4ACE353E" w14:textId="77777777" w:rsidR="006F587A" w:rsidRDefault="006F587A">
      <w:pPr>
        <w:spacing w:line="288" w:lineRule="auto"/>
        <w:jc w:val="right"/>
        <w:rPr>
          <w:rFonts w:ascii="Times New Roman" w:hAnsi="Times New Roman"/>
          <w:sz w:val="16"/>
          <w:szCs w:val="16"/>
        </w:rPr>
      </w:pPr>
    </w:p>
    <w:p w14:paraId="4ACE353F" w14:textId="77777777" w:rsidR="006F587A" w:rsidRDefault="006F587A">
      <w:pPr>
        <w:rPr>
          <w:rFonts w:ascii="Times New Roman" w:hAnsi="Times New Roman"/>
          <w:sz w:val="20"/>
          <w:szCs w:val="20"/>
        </w:rPr>
      </w:pPr>
    </w:p>
    <w:p w14:paraId="4ACE3540"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Certain customers participate in cooperative advertising and </w:t>
      </w:r>
      <w:r>
        <w:rPr>
          <w:rFonts w:ascii="Arial" w:eastAsia="宋体" w:hAnsi="Arial" w:cs="Arial"/>
          <w:color w:val="333333"/>
          <w:sz w:val="18"/>
          <w:szCs w:val="18"/>
        </w:rPr>
        <w:t>marketing programs. These cooperative advertising and marketing programs broaden the reach of our brands beyond the scope of our own direct marketing. Certain customers are licensed to place Intel</w:t>
      </w:r>
      <w:r>
        <w:rPr>
          <w:rFonts w:ascii="Arial" w:eastAsia="宋体" w:hAnsi="Arial" w:cs="Arial"/>
          <w:color w:val="333333"/>
          <w:sz w:val="12"/>
          <w:szCs w:val="12"/>
        </w:rPr>
        <w:t>®</w:t>
      </w:r>
      <w:r>
        <w:rPr>
          <w:rFonts w:ascii="Arial" w:eastAsia="宋体" w:hAnsi="Arial" w:cs="Arial"/>
          <w:color w:val="333333"/>
          <w:sz w:val="18"/>
          <w:szCs w:val="18"/>
        </w:rPr>
        <w:t xml:space="preserve"> logos on computing devices containing our microprocessors </w:t>
      </w:r>
      <w:r>
        <w:rPr>
          <w:rFonts w:ascii="Arial" w:eastAsia="宋体" w:hAnsi="Arial" w:cs="Arial"/>
          <w:color w:val="333333"/>
          <w:sz w:val="18"/>
          <w:szCs w:val="18"/>
        </w:rPr>
        <w:t>and processor technologies, and to use our brands in their marketing activities. The program partially reimburses customers for marketing activities for products featuring Intel</w:t>
      </w:r>
      <w:r>
        <w:rPr>
          <w:rFonts w:ascii="Arial" w:eastAsia="宋体" w:hAnsi="Arial" w:cs="Arial"/>
          <w:color w:val="333333"/>
          <w:sz w:val="12"/>
          <w:szCs w:val="12"/>
        </w:rPr>
        <w:t>®</w:t>
      </w:r>
      <w:r>
        <w:rPr>
          <w:rFonts w:ascii="Arial" w:eastAsia="宋体" w:hAnsi="Arial" w:cs="Arial"/>
          <w:color w:val="333333"/>
          <w:sz w:val="18"/>
          <w:szCs w:val="18"/>
        </w:rPr>
        <w:t xml:space="preserve"> brands, subject to customers meeting defined criteria. These marketing activi</w:t>
      </w:r>
      <w:r>
        <w:rPr>
          <w:rFonts w:ascii="Arial" w:eastAsia="宋体" w:hAnsi="Arial" w:cs="Arial"/>
          <w:color w:val="333333"/>
          <w:sz w:val="18"/>
          <w:szCs w:val="18"/>
        </w:rPr>
        <w:t>ties primarily include advertising through digital and social media and television, as well as press relations. We have also entered into joint marketing arrangements with certain customers.</w:t>
      </w:r>
    </w:p>
    <w:p w14:paraId="4ACE3541" w14:textId="77777777" w:rsidR="006F587A" w:rsidRDefault="007B2B61">
      <w:pPr>
        <w:spacing w:line="288" w:lineRule="auto"/>
        <w:rPr>
          <w:rFonts w:ascii="Times New Roman" w:hAnsi="Times New Roman"/>
          <w:sz w:val="28"/>
          <w:szCs w:val="28"/>
        </w:rPr>
      </w:pPr>
      <w:r>
        <w:rPr>
          <w:rFonts w:ascii="Arial" w:eastAsia="宋体" w:hAnsi="Arial" w:cs="Arial"/>
          <w:b/>
          <w:bCs/>
          <w:color w:val="0071C5"/>
          <w:sz w:val="28"/>
          <w:szCs w:val="28"/>
        </w:rPr>
        <w:t>COMPETITION</w:t>
      </w:r>
    </w:p>
    <w:p w14:paraId="4ACE3542"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We discuss competitive conditions in our businesses, </w:t>
      </w:r>
      <w:r>
        <w:rPr>
          <w:rFonts w:ascii="Arial" w:eastAsia="宋体" w:hAnsi="Arial" w:cs="Arial"/>
          <w:color w:val="333333"/>
          <w:sz w:val="18"/>
          <w:szCs w:val="18"/>
        </w:rPr>
        <w:t>the market segments in which we compete, our competitors, and the principal methods of competition in the "Segment Trends and Results" section of MD&amp;A, particularly under the heading "Market and Business Overview" for each business, as well as in "Risk Fac</w:t>
      </w:r>
      <w:r>
        <w:rPr>
          <w:rFonts w:ascii="Arial" w:eastAsia="宋体" w:hAnsi="Arial" w:cs="Arial"/>
          <w:color w:val="333333"/>
          <w:sz w:val="18"/>
          <w:szCs w:val="18"/>
        </w:rPr>
        <w:t>tors," particularly in the risk factors "We face significant competition" and "Our investments in new businesses, products, and technologies are inherently risky and do not always succeed."</w:t>
      </w:r>
    </w:p>
    <w:p w14:paraId="4ACE3543"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Our key competitive advantages include those discussed in "Our Str</w:t>
      </w:r>
      <w:r>
        <w:rPr>
          <w:rFonts w:ascii="Arial" w:eastAsia="宋体" w:hAnsi="Arial" w:cs="Arial"/>
          <w:color w:val="333333"/>
          <w:sz w:val="18"/>
          <w:szCs w:val="18"/>
        </w:rPr>
        <w:t>ategy" and "Our Capital" within Fundamentals of our Business, and the "Our Products" section of MD&amp;A, particularly the discussions of our broad product portfolio and in-house manufacturing capabilities. Our competitive challenges include those discussed in</w:t>
      </w:r>
      <w:r>
        <w:rPr>
          <w:rFonts w:ascii="Arial" w:eastAsia="宋体" w:hAnsi="Arial" w:cs="Arial"/>
          <w:color w:val="333333"/>
          <w:sz w:val="18"/>
          <w:szCs w:val="18"/>
        </w:rPr>
        <w:t xml:space="preserve"> Risk Factors, particularly in the risk factors "We face significant competition"; "Our investments in new businesses, products, and technologies are inherently risky and do not always succeed"; and "We are subject to risks associated with the development </w:t>
      </w:r>
      <w:r>
        <w:rPr>
          <w:rFonts w:ascii="Arial" w:eastAsia="宋体" w:hAnsi="Arial" w:cs="Arial"/>
          <w:color w:val="333333"/>
          <w:sz w:val="18"/>
          <w:szCs w:val="18"/>
        </w:rPr>
        <w:t>and implementation of new manufacturing process technology."</w:t>
      </w:r>
    </w:p>
    <w:p w14:paraId="4ACE3544" w14:textId="77777777" w:rsidR="006F587A" w:rsidRDefault="007B2B61">
      <w:pPr>
        <w:spacing w:line="288" w:lineRule="auto"/>
        <w:rPr>
          <w:rFonts w:ascii="Times New Roman" w:hAnsi="Times New Roman"/>
          <w:sz w:val="28"/>
          <w:szCs w:val="28"/>
        </w:rPr>
      </w:pPr>
      <w:r>
        <w:rPr>
          <w:rFonts w:ascii="Arial" w:eastAsia="宋体" w:hAnsi="Arial" w:cs="Arial"/>
          <w:b/>
          <w:bCs/>
          <w:color w:val="0071C5"/>
          <w:sz w:val="28"/>
          <w:szCs w:val="28"/>
        </w:rPr>
        <w:t>INTELLECTUAL PROPERTY RIGHTS AND LICENSING</w:t>
      </w:r>
    </w:p>
    <w:p w14:paraId="4ACE3545"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Intel owns and develops significant IP and related IP rights around the world that relate to our products, services, R&amp;D, and other activities and asset</w:t>
      </w:r>
      <w:r>
        <w:rPr>
          <w:rFonts w:ascii="Arial" w:eastAsia="宋体" w:hAnsi="Arial" w:cs="Arial"/>
          <w:color w:val="333333"/>
          <w:sz w:val="18"/>
          <w:szCs w:val="18"/>
        </w:rPr>
        <w:t>s. Our IP portfolio includes patents, copyrights, trade secrets, trademarks, trade dress rights, and mask work rights. We actively seek to protect our global IP rights and to deter unauthorized use of our IP and other assets. Such efforts can be difficult,</w:t>
      </w:r>
      <w:r>
        <w:rPr>
          <w:rFonts w:ascii="Arial" w:eastAsia="宋体" w:hAnsi="Arial" w:cs="Arial"/>
          <w:color w:val="333333"/>
          <w:sz w:val="18"/>
          <w:szCs w:val="18"/>
        </w:rPr>
        <w:t xml:space="preserve"> however, particularly in countries that provide less protection to IP rights and in the absence of harmonized international IP standards. For a discussion of the risks related to IP and our IP rights, please see “We are subject to IP risks and risks assoc</w:t>
      </w:r>
      <w:r>
        <w:rPr>
          <w:rFonts w:ascii="Arial" w:eastAsia="宋体" w:hAnsi="Arial" w:cs="Arial"/>
          <w:color w:val="333333"/>
          <w:sz w:val="18"/>
          <w:szCs w:val="18"/>
        </w:rPr>
        <w:t>iated with litigation and regulatory proceedings” in "Risk Factors" within Other Key Information. While our IP rights are important to our success, our business as a whole is not significantly dependent on any single patent, copyright, or other IP right.  </w:t>
      </w:r>
    </w:p>
    <w:p w14:paraId="4ACE3546"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have obtained patents in the U.S. and other countries. Because of the fast pace of innovation and product development, and the comparative pace of governments’ patenting processes, our products are often obsolete before the patents related to them expi</w:t>
      </w:r>
      <w:r>
        <w:rPr>
          <w:rFonts w:ascii="Arial" w:eastAsia="宋体" w:hAnsi="Arial" w:cs="Arial"/>
          <w:color w:val="333333"/>
          <w:sz w:val="18"/>
          <w:szCs w:val="18"/>
        </w:rPr>
        <w:t>re; in some cases, our products may be obsolete before the patents related to them are granted. As we expand our product offerings into new industries, we also seek to extend our patent development efforts to patent such products. In addition to developing</w:t>
      </w:r>
      <w:r>
        <w:rPr>
          <w:rFonts w:ascii="Arial" w:eastAsia="宋体" w:hAnsi="Arial" w:cs="Arial"/>
          <w:color w:val="333333"/>
          <w:sz w:val="18"/>
          <w:szCs w:val="18"/>
        </w:rPr>
        <w:t xml:space="preserve"> patents based on our own R&amp;D efforts, we may purchase or license patents from third parties. Established competitors in existing and new industries, as well as companies that purchase and enforce patents and other IP, may already have patents covering sim</w:t>
      </w:r>
      <w:r>
        <w:rPr>
          <w:rFonts w:ascii="Arial" w:eastAsia="宋体" w:hAnsi="Arial" w:cs="Arial"/>
          <w:color w:val="333333"/>
          <w:sz w:val="18"/>
          <w:szCs w:val="18"/>
        </w:rPr>
        <w:t>ilar products. There is no assurance that we will be able to obtain patents covering our own products, or that we will be able to obtain licenses from other companies on favorable terms or at all.</w:t>
      </w:r>
    </w:p>
    <w:p w14:paraId="4ACE3547"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The software that we distribute, including software embedde</w:t>
      </w:r>
      <w:r>
        <w:rPr>
          <w:rFonts w:ascii="Arial" w:eastAsia="宋体" w:hAnsi="Arial" w:cs="Arial"/>
          <w:color w:val="333333"/>
          <w:sz w:val="18"/>
          <w:szCs w:val="18"/>
        </w:rPr>
        <w:t>d in our component-level and platform products, is entitled to copyright and other IP protection. To distinguish our products from our competitors’ products, we have obtained trademarks and trade names for our products, and we maintain cooperative advertis</w:t>
      </w:r>
      <w:r>
        <w:rPr>
          <w:rFonts w:ascii="Arial" w:eastAsia="宋体" w:hAnsi="Arial" w:cs="Arial"/>
          <w:color w:val="333333"/>
          <w:sz w:val="18"/>
          <w:szCs w:val="18"/>
        </w:rPr>
        <w:t xml:space="preserve">ing programs with customers to promote our brands and to identify products containing genuine </w:t>
      </w:r>
      <w:r>
        <w:rPr>
          <w:rFonts w:ascii="Arial" w:eastAsia="宋体" w:hAnsi="Arial" w:cs="Arial"/>
          <w:color w:val="333333"/>
          <w:sz w:val="18"/>
          <w:szCs w:val="18"/>
        </w:rPr>
        <w:lastRenderedPageBreak/>
        <w:t>Intel components. We also protect details about our processes, products, and strategies as trade secrets, keeping confidential the information that we believe pro</w:t>
      </w:r>
      <w:r>
        <w:rPr>
          <w:rFonts w:ascii="Arial" w:eastAsia="宋体" w:hAnsi="Arial" w:cs="Arial"/>
          <w:color w:val="333333"/>
          <w:sz w:val="18"/>
          <w:szCs w:val="18"/>
        </w:rPr>
        <w:t>vides us with a competitive advantage.</w:t>
      </w:r>
    </w:p>
    <w:tbl>
      <w:tblPr>
        <w:tblW w:w="5000" w:type="pct"/>
        <w:tblCellMar>
          <w:left w:w="0" w:type="dxa"/>
          <w:right w:w="0" w:type="dxa"/>
        </w:tblCellMar>
        <w:tblLook w:val="04A0" w:firstRow="1" w:lastRow="0" w:firstColumn="1" w:lastColumn="0" w:noHBand="0" w:noVBand="1"/>
      </w:tblPr>
      <w:tblGrid>
        <w:gridCol w:w="1886"/>
        <w:gridCol w:w="130"/>
        <w:gridCol w:w="6290"/>
      </w:tblGrid>
      <w:tr w:rsidR="006F587A" w14:paraId="4ACE3549" w14:textId="77777777">
        <w:tc>
          <w:tcPr>
            <w:tcW w:w="0" w:type="auto"/>
            <w:gridSpan w:val="3"/>
            <w:shd w:val="clear" w:color="auto" w:fill="auto"/>
            <w:vAlign w:val="center"/>
          </w:tcPr>
          <w:p w14:paraId="4ACE3548" w14:textId="77777777" w:rsidR="006F587A" w:rsidRDefault="006F587A">
            <w:pPr>
              <w:rPr>
                <w:rFonts w:ascii="Times New Roman" w:hAnsi="Times New Roman"/>
                <w:sz w:val="20"/>
                <w:szCs w:val="20"/>
              </w:rPr>
            </w:pPr>
          </w:p>
        </w:tc>
      </w:tr>
      <w:tr w:rsidR="006F587A" w14:paraId="4ACE354D" w14:textId="77777777">
        <w:tc>
          <w:tcPr>
            <w:tcW w:w="1150" w:type="pct"/>
            <w:shd w:val="clear" w:color="auto" w:fill="auto"/>
            <w:vAlign w:val="center"/>
          </w:tcPr>
          <w:p w14:paraId="4ACE354A" w14:textId="77777777" w:rsidR="006F587A" w:rsidRDefault="006F587A">
            <w:pPr>
              <w:rPr>
                <w:rFonts w:ascii="Times New Roman" w:hAnsi="Times New Roman"/>
                <w:sz w:val="20"/>
                <w:szCs w:val="20"/>
              </w:rPr>
            </w:pPr>
          </w:p>
        </w:tc>
        <w:tc>
          <w:tcPr>
            <w:tcW w:w="50" w:type="pct"/>
            <w:shd w:val="clear" w:color="auto" w:fill="auto"/>
            <w:vAlign w:val="center"/>
          </w:tcPr>
          <w:p w14:paraId="4ACE354B" w14:textId="77777777" w:rsidR="006F587A" w:rsidRDefault="006F587A">
            <w:pPr>
              <w:rPr>
                <w:rFonts w:ascii="Times New Roman" w:hAnsi="Times New Roman"/>
                <w:sz w:val="20"/>
                <w:szCs w:val="20"/>
              </w:rPr>
            </w:pPr>
          </w:p>
        </w:tc>
        <w:tc>
          <w:tcPr>
            <w:tcW w:w="3800" w:type="pct"/>
            <w:shd w:val="clear" w:color="auto" w:fill="auto"/>
            <w:vAlign w:val="center"/>
          </w:tcPr>
          <w:p w14:paraId="4ACE354C" w14:textId="77777777" w:rsidR="006F587A" w:rsidRDefault="006F587A">
            <w:pPr>
              <w:rPr>
                <w:rFonts w:ascii="Times New Roman" w:hAnsi="Times New Roman"/>
                <w:sz w:val="20"/>
                <w:szCs w:val="20"/>
              </w:rPr>
            </w:pPr>
          </w:p>
        </w:tc>
      </w:tr>
      <w:tr w:rsidR="006F587A" w14:paraId="4ACE3553" w14:textId="77777777">
        <w:tc>
          <w:tcPr>
            <w:tcW w:w="0" w:type="auto"/>
            <w:shd w:val="clear" w:color="auto" w:fill="auto"/>
            <w:tcMar>
              <w:top w:w="40" w:type="dxa"/>
              <w:left w:w="40" w:type="dxa"/>
              <w:bottom w:w="40" w:type="dxa"/>
              <w:right w:w="40" w:type="dxa"/>
            </w:tcMar>
            <w:vAlign w:val="center"/>
          </w:tcPr>
          <w:p w14:paraId="4ACE354E" w14:textId="77777777" w:rsidR="006F587A" w:rsidRDefault="007B2B61">
            <w:pPr>
              <w:jc w:val="center"/>
              <w:textAlignment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Viewer12_files/a063steverodgers_circle.jpg"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D77" wp14:editId="4ACE6D78">
                  <wp:extent cx="304800" cy="304800"/>
                  <wp:effectExtent l="0" t="0" r="0" b="0"/>
                  <wp:docPr id="160" name="图片 234" descr="IMG_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234" descr="IMG_40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c>
          <w:tcPr>
            <w:tcW w:w="0" w:type="auto"/>
            <w:shd w:val="clear" w:color="auto" w:fill="auto"/>
            <w:tcMar>
              <w:top w:w="40" w:type="dxa"/>
              <w:left w:w="40" w:type="dxa"/>
              <w:bottom w:w="40" w:type="dxa"/>
              <w:right w:w="40" w:type="dxa"/>
            </w:tcMar>
            <w:vAlign w:val="bottom"/>
          </w:tcPr>
          <w:p w14:paraId="4ACE354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4ACE3550" w14:textId="77777777" w:rsidR="006F587A" w:rsidRDefault="007B2B61">
            <w:pPr>
              <w:textAlignment w:val="center"/>
              <w:rPr>
                <w:rFonts w:ascii="Times New Roman" w:hAnsi="Times New Roman"/>
                <w:sz w:val="18"/>
                <w:szCs w:val="18"/>
              </w:rPr>
            </w:pPr>
            <w:r>
              <w:rPr>
                <w:rFonts w:ascii="Arial" w:eastAsia="宋体" w:hAnsi="Arial" w:cs="Arial"/>
                <w:b/>
                <w:bCs/>
                <w:i/>
                <w:iCs/>
                <w:color w:val="333333"/>
                <w:sz w:val="18"/>
                <w:szCs w:val="18"/>
              </w:rPr>
              <w:t xml:space="preserve">"Intel carefully protects its innovations, and we have a long history of vigilantly </w:t>
            </w:r>
            <w:r>
              <w:rPr>
                <w:rFonts w:ascii="Arial" w:eastAsia="宋体" w:hAnsi="Arial" w:cs="Arial"/>
                <w:b/>
                <w:bCs/>
                <w:i/>
                <w:iCs/>
                <w:color w:val="333333"/>
                <w:sz w:val="18"/>
                <w:szCs w:val="18"/>
              </w:rPr>
              <w:t>enforcing our IP rights against infringement. Strong IP protections make it possible for Intel to continue to invest the enormous resources required to innovate and advance our strategic goals to make the world’s best semiconductors, lead technology inflec</w:t>
            </w:r>
            <w:r>
              <w:rPr>
                <w:rFonts w:ascii="Arial" w:eastAsia="宋体" w:hAnsi="Arial" w:cs="Arial"/>
                <w:b/>
                <w:bCs/>
                <w:i/>
                <w:iCs/>
                <w:color w:val="333333"/>
                <w:sz w:val="18"/>
                <w:szCs w:val="18"/>
              </w:rPr>
              <w:t>tions, and be the leading end-to-end platform provider for the new data world."</w:t>
            </w:r>
          </w:p>
          <w:p w14:paraId="4ACE3551" w14:textId="77777777" w:rsidR="006F587A" w:rsidRDefault="006F587A">
            <w:pPr>
              <w:textAlignment w:val="center"/>
              <w:rPr>
                <w:rFonts w:ascii="Times New Roman" w:hAnsi="Times New Roman"/>
                <w:sz w:val="18"/>
                <w:szCs w:val="18"/>
              </w:rPr>
            </w:pPr>
          </w:p>
          <w:p w14:paraId="4ACE3552" w14:textId="77777777" w:rsidR="006F587A" w:rsidRDefault="007B2B61">
            <w:pPr>
              <w:textAlignment w:val="center"/>
              <w:rPr>
                <w:rFonts w:ascii="Times New Roman" w:hAnsi="Times New Roman"/>
                <w:sz w:val="18"/>
                <w:szCs w:val="18"/>
              </w:rPr>
            </w:pPr>
            <w:r>
              <w:rPr>
                <w:rFonts w:ascii="Arial" w:eastAsia="宋体" w:hAnsi="Arial" w:cs="Arial"/>
                <w:b/>
                <w:bCs/>
                <w:color w:val="333333"/>
                <w:sz w:val="18"/>
                <w:szCs w:val="18"/>
              </w:rPr>
              <w:t>—Steve Rodgers,</w:t>
            </w:r>
            <w:r>
              <w:rPr>
                <w:rFonts w:ascii="Arial" w:eastAsia="宋体" w:hAnsi="Arial" w:cs="Arial"/>
                <w:color w:val="333333"/>
                <w:sz w:val="18"/>
                <w:szCs w:val="18"/>
              </w:rPr>
              <w:t> Executive Vice President and General Counsel</w:t>
            </w:r>
          </w:p>
        </w:tc>
      </w:tr>
    </w:tbl>
    <w:p w14:paraId="4ACE3554" w14:textId="77777777" w:rsidR="006F587A" w:rsidRDefault="006F587A">
      <w:pPr>
        <w:spacing w:line="288" w:lineRule="auto"/>
        <w:rPr>
          <w:rFonts w:ascii="Times New Roman" w:hAnsi="Times New Roman"/>
          <w:sz w:val="18"/>
          <w:szCs w:val="18"/>
        </w:rPr>
      </w:pPr>
    </w:p>
    <w:p w14:paraId="4ACE3555"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243"/>
        <w:gridCol w:w="2658"/>
        <w:gridCol w:w="3405"/>
      </w:tblGrid>
      <w:tr w:rsidR="006F587A" w14:paraId="4ACE3557" w14:textId="77777777">
        <w:tc>
          <w:tcPr>
            <w:tcW w:w="0" w:type="auto"/>
            <w:gridSpan w:val="3"/>
            <w:shd w:val="clear" w:color="auto" w:fill="auto"/>
            <w:vAlign w:val="center"/>
          </w:tcPr>
          <w:p w14:paraId="4ACE3556" w14:textId="77777777" w:rsidR="006F587A" w:rsidRDefault="006F587A">
            <w:pPr>
              <w:rPr>
                <w:rFonts w:ascii="Times New Roman" w:hAnsi="Times New Roman"/>
                <w:sz w:val="20"/>
                <w:szCs w:val="20"/>
              </w:rPr>
            </w:pPr>
          </w:p>
        </w:tc>
      </w:tr>
      <w:tr w:rsidR="006F587A" w14:paraId="4ACE355B" w14:textId="77777777">
        <w:tc>
          <w:tcPr>
            <w:tcW w:w="1350" w:type="pct"/>
            <w:shd w:val="clear" w:color="auto" w:fill="auto"/>
            <w:vAlign w:val="center"/>
          </w:tcPr>
          <w:p w14:paraId="4ACE3558" w14:textId="77777777" w:rsidR="006F587A" w:rsidRDefault="006F587A">
            <w:pPr>
              <w:rPr>
                <w:rFonts w:ascii="Times New Roman" w:hAnsi="Times New Roman"/>
                <w:sz w:val="20"/>
                <w:szCs w:val="20"/>
              </w:rPr>
            </w:pPr>
          </w:p>
        </w:tc>
        <w:tc>
          <w:tcPr>
            <w:tcW w:w="1600" w:type="pct"/>
            <w:shd w:val="clear" w:color="auto" w:fill="auto"/>
            <w:vAlign w:val="center"/>
          </w:tcPr>
          <w:p w14:paraId="4ACE3559" w14:textId="77777777" w:rsidR="006F587A" w:rsidRDefault="006F587A">
            <w:pPr>
              <w:rPr>
                <w:rFonts w:ascii="Times New Roman" w:hAnsi="Times New Roman"/>
                <w:sz w:val="20"/>
                <w:szCs w:val="20"/>
              </w:rPr>
            </w:pPr>
          </w:p>
        </w:tc>
        <w:tc>
          <w:tcPr>
            <w:tcW w:w="2050" w:type="pct"/>
            <w:shd w:val="clear" w:color="auto" w:fill="auto"/>
            <w:vAlign w:val="center"/>
          </w:tcPr>
          <w:p w14:paraId="4ACE355A" w14:textId="77777777" w:rsidR="006F587A" w:rsidRDefault="006F587A">
            <w:pPr>
              <w:rPr>
                <w:rFonts w:ascii="Times New Roman" w:hAnsi="Times New Roman"/>
                <w:sz w:val="20"/>
                <w:szCs w:val="20"/>
              </w:rPr>
            </w:pPr>
          </w:p>
        </w:tc>
      </w:tr>
      <w:tr w:rsidR="006F587A" w14:paraId="4ACE355F"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355C" w14:textId="77777777" w:rsidR="006F587A" w:rsidRDefault="007B2B61">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79" wp14:editId="4ACE6D7A">
                  <wp:extent cx="304800" cy="304800"/>
                  <wp:effectExtent l="0" t="0" r="0" b="0"/>
                  <wp:docPr id="177" name="图片 235"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235"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OTHER KEY INFORMATION</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55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55E"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49</w:t>
            </w:r>
          </w:p>
        </w:tc>
      </w:tr>
    </w:tbl>
    <w:p w14:paraId="4ACE3560" w14:textId="77777777" w:rsidR="006F587A" w:rsidRDefault="007B2B61">
      <w:r>
        <w:pict w14:anchorId="4ACE6D7B">
          <v:rect id="_x0000_i1075" style="width:415.3pt;height:1.5pt" o:hralign="center" o:hrstd="t" o:hr="t" fillcolor="#a0a0a0" stroked="f"/>
        </w:pict>
      </w:r>
    </w:p>
    <w:p w14:paraId="4ACE3561" w14:textId="77777777" w:rsidR="006F587A" w:rsidRDefault="007B2B61">
      <w:pPr>
        <w:spacing w:line="288" w:lineRule="auto"/>
        <w:jc w:val="right"/>
        <w:rPr>
          <w:rFonts w:ascii="Times New Roman" w:hAnsi="Times New Roman"/>
          <w:sz w:val="16"/>
          <w:szCs w:val="16"/>
        </w:rPr>
      </w:pPr>
      <w:hyperlink r:id="rId82" w:anchor="s9DB683E2CF52561EB8A73BE37F5BF9BE" w:history="1">
        <w:r>
          <w:rPr>
            <w:rStyle w:val="a5"/>
            <w:rFonts w:ascii="Arial" w:eastAsia="宋体" w:hAnsi="Arial" w:cs="Arial"/>
            <w:b/>
            <w:bCs/>
            <w:sz w:val="16"/>
            <w:szCs w:val="16"/>
          </w:rPr>
          <w:t>Table of Contents</w:t>
        </w:r>
      </w:hyperlink>
    </w:p>
    <w:p w14:paraId="4ACE3562" w14:textId="77777777" w:rsidR="006F587A" w:rsidRDefault="006F587A">
      <w:pPr>
        <w:spacing w:line="288" w:lineRule="auto"/>
        <w:jc w:val="right"/>
        <w:rPr>
          <w:rFonts w:ascii="Times New Roman" w:hAnsi="Times New Roman"/>
          <w:sz w:val="16"/>
          <w:szCs w:val="16"/>
        </w:rPr>
      </w:pPr>
    </w:p>
    <w:p w14:paraId="4ACE3563" w14:textId="77777777" w:rsidR="006F587A" w:rsidRDefault="006F587A">
      <w:pPr>
        <w:rPr>
          <w:rFonts w:ascii="Times New Roman" w:hAnsi="Times New Roman"/>
          <w:sz w:val="20"/>
          <w:szCs w:val="20"/>
        </w:rPr>
      </w:pPr>
    </w:p>
    <w:p w14:paraId="4ACE3564" w14:textId="77777777" w:rsidR="006F587A" w:rsidRDefault="007B2B61">
      <w:pPr>
        <w:spacing w:line="288" w:lineRule="auto"/>
        <w:rPr>
          <w:rFonts w:ascii="Times New Roman" w:hAnsi="Times New Roman"/>
          <w:sz w:val="28"/>
          <w:szCs w:val="28"/>
        </w:rPr>
      </w:pPr>
      <w:r>
        <w:rPr>
          <w:rFonts w:ascii="Arial" w:eastAsia="宋体" w:hAnsi="Arial" w:cs="Arial"/>
          <w:b/>
          <w:bCs/>
          <w:color w:val="0071C5"/>
          <w:sz w:val="28"/>
          <w:szCs w:val="28"/>
        </w:rPr>
        <w:t>CRITICAL ACCOUNTING ESTIMATES</w:t>
      </w:r>
    </w:p>
    <w:p w14:paraId="4ACE3565"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The methods, assumptions, and estimates that </w:t>
      </w:r>
      <w:r>
        <w:rPr>
          <w:rFonts w:ascii="Arial" w:eastAsia="宋体" w:hAnsi="Arial" w:cs="Arial"/>
          <w:color w:val="333333"/>
          <w:sz w:val="18"/>
          <w:szCs w:val="18"/>
        </w:rPr>
        <w:t xml:space="preserve">we use in applying our accounting policies may require us to apply judgments regarding matters that are inherently uncertain. We consider an accounting policy to be a critical estimate if: (1) we must make assumptions that were uncertain when the judgment </w:t>
      </w:r>
      <w:r>
        <w:rPr>
          <w:rFonts w:ascii="Arial" w:eastAsia="宋体" w:hAnsi="Arial" w:cs="Arial"/>
          <w:color w:val="333333"/>
          <w:sz w:val="18"/>
          <w:szCs w:val="18"/>
        </w:rPr>
        <w:t>was made, and (2) changes in the estimate assumptions, or selection of a different estimate methodology, could have a significant impact on our financial position and the results that we report in our Consolidated Financial Statements. While we believe tha</w:t>
      </w:r>
      <w:r>
        <w:rPr>
          <w:rFonts w:ascii="Arial" w:eastAsia="宋体" w:hAnsi="Arial" w:cs="Arial"/>
          <w:color w:val="333333"/>
          <w:sz w:val="18"/>
          <w:szCs w:val="18"/>
        </w:rPr>
        <w:t>t our estimates, assumptions, and judgments are reasonable, they are based on information available when the estimate was made.</w:t>
      </w:r>
    </w:p>
    <w:p w14:paraId="4ACE3566"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Refer to "Note 2: Accounting Policies" within the Consolidated Financial Statements for further information on our critical acco</w:t>
      </w:r>
      <w:r>
        <w:rPr>
          <w:rFonts w:ascii="Arial" w:eastAsia="宋体" w:hAnsi="Arial" w:cs="Arial"/>
          <w:color w:val="333333"/>
          <w:sz w:val="18"/>
          <w:szCs w:val="18"/>
        </w:rPr>
        <w:t>unting estimates and policies, which are as follows:</w:t>
      </w: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6F587A" w14:paraId="4ACE3569" w14:textId="77777777">
        <w:trPr>
          <w:tblCellSpacing w:w="0" w:type="dxa"/>
        </w:trPr>
        <w:tc>
          <w:tcPr>
            <w:tcW w:w="480" w:type="dxa"/>
            <w:shd w:val="clear" w:color="auto" w:fill="auto"/>
            <w:vAlign w:val="center"/>
          </w:tcPr>
          <w:p w14:paraId="4ACE3567" w14:textId="77777777" w:rsidR="006F587A" w:rsidRDefault="006F587A">
            <w:pPr>
              <w:rPr>
                <w:rFonts w:ascii="Times New Roman" w:hAnsi="Times New Roman"/>
                <w:sz w:val="20"/>
                <w:szCs w:val="20"/>
              </w:rPr>
            </w:pPr>
          </w:p>
        </w:tc>
        <w:tc>
          <w:tcPr>
            <w:tcW w:w="0" w:type="auto"/>
            <w:shd w:val="clear" w:color="auto" w:fill="auto"/>
            <w:vAlign w:val="center"/>
          </w:tcPr>
          <w:p w14:paraId="4ACE3568" w14:textId="77777777" w:rsidR="006F587A" w:rsidRDefault="006F587A">
            <w:pPr>
              <w:rPr>
                <w:rFonts w:ascii="Times New Roman" w:hAnsi="Times New Roman"/>
                <w:sz w:val="20"/>
                <w:szCs w:val="20"/>
              </w:rPr>
            </w:pPr>
          </w:p>
        </w:tc>
      </w:tr>
      <w:tr w:rsidR="006F587A" w14:paraId="4ACE356C" w14:textId="77777777">
        <w:trPr>
          <w:tblCellSpacing w:w="0" w:type="dxa"/>
        </w:trPr>
        <w:tc>
          <w:tcPr>
            <w:tcW w:w="0" w:type="auto"/>
            <w:shd w:val="clear" w:color="auto" w:fill="auto"/>
          </w:tcPr>
          <w:p w14:paraId="4ACE356A"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56B"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0071C5"/>
                <w:sz w:val="18"/>
                <w:szCs w:val="18"/>
              </w:rPr>
              <w:t>Inventories</w:t>
            </w:r>
            <w:r>
              <w:rPr>
                <w:rFonts w:ascii="Arial" w:eastAsia="宋体" w:hAnsi="Arial" w:cs="Arial"/>
                <w:color w:val="333333"/>
                <w:sz w:val="18"/>
                <w:szCs w:val="18"/>
              </w:rPr>
              <w:t xml:space="preserve">—the transition of manufacturing costs to inventory, excluding factory excess capacity costs. Inventory reflected at the lower of cost or net realizable value considering future demand and market conditions; </w:t>
            </w:r>
          </w:p>
        </w:tc>
      </w:tr>
    </w:tbl>
    <w:p w14:paraId="4ACE356D"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6F587A" w14:paraId="4ACE3570" w14:textId="77777777">
        <w:trPr>
          <w:tblCellSpacing w:w="0" w:type="dxa"/>
        </w:trPr>
        <w:tc>
          <w:tcPr>
            <w:tcW w:w="480" w:type="dxa"/>
            <w:shd w:val="clear" w:color="auto" w:fill="auto"/>
            <w:vAlign w:val="center"/>
          </w:tcPr>
          <w:p w14:paraId="4ACE356E" w14:textId="77777777" w:rsidR="006F587A" w:rsidRDefault="006F587A">
            <w:pPr>
              <w:rPr>
                <w:rFonts w:ascii="Times New Roman" w:hAnsi="Times New Roman"/>
                <w:sz w:val="20"/>
                <w:szCs w:val="20"/>
              </w:rPr>
            </w:pPr>
          </w:p>
        </w:tc>
        <w:tc>
          <w:tcPr>
            <w:tcW w:w="0" w:type="auto"/>
            <w:shd w:val="clear" w:color="auto" w:fill="auto"/>
            <w:vAlign w:val="center"/>
          </w:tcPr>
          <w:p w14:paraId="4ACE356F" w14:textId="77777777" w:rsidR="006F587A" w:rsidRDefault="006F587A">
            <w:pPr>
              <w:rPr>
                <w:rFonts w:ascii="Times New Roman" w:hAnsi="Times New Roman"/>
                <w:sz w:val="20"/>
                <w:szCs w:val="20"/>
              </w:rPr>
            </w:pPr>
          </w:p>
        </w:tc>
      </w:tr>
      <w:tr w:rsidR="006F587A" w14:paraId="4ACE3573" w14:textId="77777777">
        <w:trPr>
          <w:tblCellSpacing w:w="0" w:type="dxa"/>
        </w:trPr>
        <w:tc>
          <w:tcPr>
            <w:tcW w:w="0" w:type="auto"/>
            <w:shd w:val="clear" w:color="auto" w:fill="auto"/>
          </w:tcPr>
          <w:p w14:paraId="4ACE3571"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572"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0071C5"/>
                <w:sz w:val="18"/>
                <w:szCs w:val="18"/>
              </w:rPr>
              <w:t>Long-lived assets</w:t>
            </w:r>
            <w:r>
              <w:rPr>
                <w:rFonts w:ascii="Arial" w:eastAsia="宋体" w:hAnsi="Arial" w:cs="Arial"/>
                <w:color w:val="333333"/>
                <w:sz w:val="18"/>
                <w:szCs w:val="18"/>
              </w:rPr>
              <w:t xml:space="preserve">—the valuation methods </w:t>
            </w:r>
            <w:r>
              <w:rPr>
                <w:rFonts w:ascii="Arial" w:eastAsia="宋体" w:hAnsi="Arial" w:cs="Arial"/>
                <w:color w:val="333333"/>
                <w:sz w:val="18"/>
                <w:szCs w:val="18"/>
              </w:rPr>
              <w:t>and assumptions used in assessing the impairment of property, plant and equipment, identified intangibles, and goodwill, including the determination of asset groupings and the identification and allocation of goodwill to reporting units;</w:t>
            </w:r>
          </w:p>
        </w:tc>
      </w:tr>
    </w:tbl>
    <w:p w14:paraId="4ACE3574"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6F587A" w14:paraId="4ACE3577" w14:textId="77777777">
        <w:trPr>
          <w:tblCellSpacing w:w="0" w:type="dxa"/>
        </w:trPr>
        <w:tc>
          <w:tcPr>
            <w:tcW w:w="480" w:type="dxa"/>
            <w:shd w:val="clear" w:color="auto" w:fill="auto"/>
            <w:vAlign w:val="center"/>
          </w:tcPr>
          <w:p w14:paraId="4ACE3575" w14:textId="77777777" w:rsidR="006F587A" w:rsidRDefault="006F587A">
            <w:pPr>
              <w:rPr>
                <w:rFonts w:ascii="Times New Roman" w:hAnsi="Times New Roman"/>
                <w:sz w:val="20"/>
                <w:szCs w:val="20"/>
              </w:rPr>
            </w:pPr>
          </w:p>
        </w:tc>
        <w:tc>
          <w:tcPr>
            <w:tcW w:w="0" w:type="auto"/>
            <w:shd w:val="clear" w:color="auto" w:fill="auto"/>
            <w:vAlign w:val="center"/>
          </w:tcPr>
          <w:p w14:paraId="4ACE3576" w14:textId="77777777" w:rsidR="006F587A" w:rsidRDefault="006F587A">
            <w:pPr>
              <w:rPr>
                <w:rFonts w:ascii="Times New Roman" w:hAnsi="Times New Roman"/>
                <w:sz w:val="20"/>
                <w:szCs w:val="20"/>
              </w:rPr>
            </w:pPr>
          </w:p>
        </w:tc>
      </w:tr>
      <w:tr w:rsidR="006F587A" w14:paraId="4ACE357A" w14:textId="77777777">
        <w:trPr>
          <w:tblCellSpacing w:w="0" w:type="dxa"/>
        </w:trPr>
        <w:tc>
          <w:tcPr>
            <w:tcW w:w="0" w:type="auto"/>
            <w:shd w:val="clear" w:color="auto" w:fill="auto"/>
          </w:tcPr>
          <w:p w14:paraId="4ACE3578"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579"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0071C5"/>
                <w:sz w:val="18"/>
                <w:szCs w:val="18"/>
              </w:rPr>
              <w:t>Non-marketable equity investments</w:t>
            </w:r>
            <w:r>
              <w:rPr>
                <w:rFonts w:ascii="Arial" w:eastAsia="宋体" w:hAnsi="Arial" w:cs="Arial"/>
                <w:color w:val="333333"/>
                <w:sz w:val="18"/>
                <w:szCs w:val="18"/>
              </w:rPr>
              <w:t>—the valuation estimates and assessment of impairment and observable price adjustments; and</w:t>
            </w:r>
          </w:p>
        </w:tc>
      </w:tr>
    </w:tbl>
    <w:p w14:paraId="4ACE357B" w14:textId="77777777" w:rsidR="006F587A" w:rsidRDefault="006F587A">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480"/>
        <w:gridCol w:w="7115"/>
      </w:tblGrid>
      <w:tr w:rsidR="006F587A" w14:paraId="4ACE357E" w14:textId="77777777">
        <w:trPr>
          <w:tblCellSpacing w:w="0" w:type="dxa"/>
        </w:trPr>
        <w:tc>
          <w:tcPr>
            <w:tcW w:w="480" w:type="dxa"/>
            <w:shd w:val="clear" w:color="auto" w:fill="auto"/>
            <w:vAlign w:val="center"/>
          </w:tcPr>
          <w:p w14:paraId="4ACE357C" w14:textId="77777777" w:rsidR="006F587A" w:rsidRDefault="006F587A">
            <w:pPr>
              <w:rPr>
                <w:rFonts w:ascii="Times New Roman" w:hAnsi="Times New Roman"/>
                <w:sz w:val="20"/>
                <w:szCs w:val="20"/>
              </w:rPr>
            </w:pPr>
          </w:p>
        </w:tc>
        <w:tc>
          <w:tcPr>
            <w:tcW w:w="0" w:type="auto"/>
            <w:shd w:val="clear" w:color="auto" w:fill="auto"/>
            <w:vAlign w:val="center"/>
          </w:tcPr>
          <w:p w14:paraId="4ACE357D" w14:textId="77777777" w:rsidR="006F587A" w:rsidRDefault="006F587A">
            <w:pPr>
              <w:rPr>
                <w:rFonts w:ascii="Times New Roman" w:hAnsi="Times New Roman"/>
                <w:sz w:val="20"/>
                <w:szCs w:val="20"/>
              </w:rPr>
            </w:pPr>
          </w:p>
        </w:tc>
      </w:tr>
      <w:tr w:rsidR="006F587A" w14:paraId="4ACE3581" w14:textId="77777777">
        <w:trPr>
          <w:tblCellSpacing w:w="0" w:type="dxa"/>
        </w:trPr>
        <w:tc>
          <w:tcPr>
            <w:tcW w:w="0" w:type="auto"/>
            <w:shd w:val="clear" w:color="auto" w:fill="auto"/>
          </w:tcPr>
          <w:p w14:paraId="4ACE357F"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left w:w="480" w:type="dxa"/>
            </w:tcMar>
          </w:tcPr>
          <w:p w14:paraId="4ACE3580" w14:textId="77777777" w:rsidR="006F587A" w:rsidRDefault="007B2B61">
            <w:pPr>
              <w:spacing w:line="288" w:lineRule="auto"/>
              <w:ind w:hanging="480"/>
              <w:textAlignment w:val="top"/>
              <w:rPr>
                <w:rFonts w:ascii="Times New Roman" w:hAnsi="Times New Roman"/>
                <w:sz w:val="18"/>
                <w:szCs w:val="18"/>
              </w:rPr>
            </w:pPr>
            <w:r>
              <w:rPr>
                <w:rFonts w:ascii="Arial" w:eastAsia="宋体" w:hAnsi="Arial" w:cs="Arial"/>
                <w:color w:val="0071C5"/>
                <w:sz w:val="18"/>
                <w:szCs w:val="18"/>
              </w:rPr>
              <w:t>Loss contingencies</w:t>
            </w:r>
            <w:r>
              <w:rPr>
                <w:rFonts w:ascii="Arial" w:eastAsia="宋体" w:hAnsi="Arial" w:cs="Arial"/>
                <w:color w:val="333333"/>
                <w:sz w:val="18"/>
                <w:szCs w:val="18"/>
              </w:rPr>
              <w:t>—the estimation of when a loss is probable and reasonably estimable.</w:t>
            </w:r>
          </w:p>
        </w:tc>
      </w:tr>
    </w:tbl>
    <w:p w14:paraId="4ACE3582" w14:textId="77777777" w:rsidR="006F587A" w:rsidRDefault="007B2B61">
      <w:pPr>
        <w:spacing w:line="288" w:lineRule="auto"/>
        <w:rPr>
          <w:rFonts w:ascii="Times New Roman" w:hAnsi="Times New Roman"/>
          <w:sz w:val="28"/>
          <w:szCs w:val="28"/>
        </w:rPr>
      </w:pPr>
      <w:r>
        <w:rPr>
          <w:rFonts w:ascii="Arial" w:eastAsia="宋体" w:hAnsi="Arial" w:cs="Arial"/>
          <w:b/>
          <w:bCs/>
          <w:color w:val="0071C5"/>
          <w:sz w:val="28"/>
          <w:szCs w:val="28"/>
        </w:rPr>
        <w:t>RISK FACTORS</w:t>
      </w:r>
    </w:p>
    <w:p w14:paraId="4ACE3583"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The following </w:t>
      </w:r>
      <w:r>
        <w:rPr>
          <w:rFonts w:ascii="Arial" w:eastAsia="宋体" w:hAnsi="Arial" w:cs="Arial"/>
          <w:color w:val="333333"/>
          <w:sz w:val="18"/>
          <w:szCs w:val="18"/>
        </w:rPr>
        <w:t>risks could materially and adversely affect our business, financial condition, cash flows, and results of operations, and the trading price of our common stock could decline. These risk factors do not identify all risks that we face; our operations could a</w:t>
      </w:r>
      <w:r>
        <w:rPr>
          <w:rFonts w:ascii="Arial" w:eastAsia="宋体" w:hAnsi="Arial" w:cs="Arial"/>
          <w:color w:val="333333"/>
          <w:sz w:val="18"/>
          <w:szCs w:val="18"/>
        </w:rPr>
        <w:t>lso be affected by factors that are not presently known to us or that we currently consider to be immaterial to our operations. Due to risks and uncertainties, known and unknown, our past financial results may not be a reliable indicator of future performa</w:t>
      </w:r>
      <w:r>
        <w:rPr>
          <w:rFonts w:ascii="Arial" w:eastAsia="宋体" w:hAnsi="Arial" w:cs="Arial"/>
          <w:color w:val="333333"/>
          <w:sz w:val="18"/>
          <w:szCs w:val="18"/>
        </w:rPr>
        <w:t xml:space="preserve">nce, and historical trends should not be used to anticipate results or trends in future periods. </w:t>
      </w:r>
      <w:r>
        <w:rPr>
          <w:rFonts w:ascii="Arial" w:eastAsia="宋体" w:hAnsi="Arial" w:cs="Arial"/>
          <w:color w:val="333333"/>
          <w:sz w:val="18"/>
          <w:szCs w:val="18"/>
        </w:rPr>
        <w:lastRenderedPageBreak/>
        <w:t>Refer also to the other information set forth in this Annual Report on Form 10-K, including in MD&amp;A and our Consolidated Financial Statements and the related n</w:t>
      </w:r>
      <w:r>
        <w:rPr>
          <w:rFonts w:ascii="Arial" w:eastAsia="宋体" w:hAnsi="Arial" w:cs="Arial"/>
          <w:color w:val="333333"/>
          <w:sz w:val="18"/>
          <w:szCs w:val="18"/>
        </w:rPr>
        <w:t>otes.</w:t>
      </w:r>
    </w:p>
    <w:p w14:paraId="4ACE3584" w14:textId="77777777" w:rsidR="006F587A" w:rsidRDefault="007B2B61">
      <w:pPr>
        <w:spacing w:line="288" w:lineRule="auto"/>
        <w:rPr>
          <w:rFonts w:ascii="Times New Roman" w:hAnsi="Times New Roman"/>
        </w:rPr>
      </w:pPr>
      <w:r>
        <w:rPr>
          <w:rFonts w:ascii="Arial" w:eastAsia="宋体" w:hAnsi="Arial" w:cs="Arial"/>
          <w:b/>
          <w:bCs/>
          <w:color w:val="0071C5"/>
        </w:rPr>
        <w:t>CHANGES IN PRODUCT DEMAND CAN ADVERSELY AFFECT OUR FINANCIAL RESULTS.</w:t>
      </w:r>
    </w:p>
    <w:p w14:paraId="4ACE3585" w14:textId="77777777" w:rsidR="006F587A" w:rsidRDefault="007B2B61">
      <w:pPr>
        <w:spacing w:line="288" w:lineRule="auto"/>
        <w:rPr>
          <w:rFonts w:ascii="Times New Roman" w:hAnsi="Times New Roman"/>
          <w:sz w:val="18"/>
          <w:szCs w:val="18"/>
        </w:rPr>
      </w:pPr>
      <w:r>
        <w:rPr>
          <w:rFonts w:ascii="Arial" w:eastAsia="宋体" w:hAnsi="Arial" w:cs="Arial"/>
          <w:color w:val="0071C5"/>
          <w:sz w:val="18"/>
          <w:szCs w:val="18"/>
        </w:rPr>
        <w:t>Demand for our products is variable and hard to predict.</w:t>
      </w:r>
      <w:r>
        <w:rPr>
          <w:rFonts w:ascii="Arial" w:eastAsia="宋体" w:hAnsi="Arial" w:cs="Arial"/>
          <w:color w:val="333333"/>
          <w:sz w:val="18"/>
          <w:szCs w:val="18"/>
        </w:rPr>
        <w:t xml:space="preserve"> Our products are used in different market segments, and demand for our products varies within or among the market segments served by our PC-centric and data-centric businesses. It is difficult to forecast these changes and their impact. For example, in th</w:t>
      </w:r>
      <w:r>
        <w:rPr>
          <w:rFonts w:ascii="Arial" w:eastAsia="宋体" w:hAnsi="Arial" w:cs="Arial"/>
          <w:color w:val="333333"/>
          <w:sz w:val="18"/>
          <w:szCs w:val="18"/>
        </w:rPr>
        <w:t>e first half of 2019, customers of our DCG business worked through inventory and absorbed computing capacity purchased in 2018, leading to a year over year decline in DCG platform revenue in the first half, followed by growth in DCG platform demand and rev</w:t>
      </w:r>
      <w:r>
        <w:rPr>
          <w:rFonts w:ascii="Arial" w:eastAsia="宋体" w:hAnsi="Arial" w:cs="Arial"/>
          <w:color w:val="333333"/>
          <w:sz w:val="18"/>
          <w:szCs w:val="18"/>
        </w:rPr>
        <w:t>enue in the second half of 2019. Changes in the demand for our products, particularly our CCG and DCG platform products, can reduce our revenue, lower our gross margin, or require us to write down the value of our assets.</w:t>
      </w:r>
    </w:p>
    <w:p w14:paraId="4ACE3586"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Important factors that lead to var</w:t>
      </w:r>
      <w:r>
        <w:rPr>
          <w:rFonts w:ascii="Arial" w:eastAsia="宋体" w:hAnsi="Arial" w:cs="Arial"/>
          <w:color w:val="333333"/>
          <w:sz w:val="18"/>
          <w:szCs w:val="18"/>
        </w:rPr>
        <w:t>iation in the demand for our products include:</w:t>
      </w: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6F587A" w14:paraId="4ACE3589" w14:textId="77777777">
        <w:trPr>
          <w:tblCellSpacing w:w="0" w:type="dxa"/>
        </w:trPr>
        <w:tc>
          <w:tcPr>
            <w:tcW w:w="480" w:type="dxa"/>
            <w:shd w:val="clear" w:color="auto" w:fill="auto"/>
            <w:vAlign w:val="center"/>
          </w:tcPr>
          <w:p w14:paraId="4ACE3587" w14:textId="77777777" w:rsidR="006F587A" w:rsidRDefault="006F587A">
            <w:pPr>
              <w:rPr>
                <w:rFonts w:ascii="Times New Roman" w:hAnsi="Times New Roman"/>
                <w:sz w:val="20"/>
                <w:szCs w:val="20"/>
              </w:rPr>
            </w:pPr>
          </w:p>
        </w:tc>
        <w:tc>
          <w:tcPr>
            <w:tcW w:w="0" w:type="auto"/>
            <w:shd w:val="clear" w:color="auto" w:fill="auto"/>
            <w:vAlign w:val="center"/>
          </w:tcPr>
          <w:p w14:paraId="4ACE3588" w14:textId="77777777" w:rsidR="006F587A" w:rsidRDefault="006F587A">
            <w:pPr>
              <w:rPr>
                <w:rFonts w:ascii="Times New Roman" w:hAnsi="Times New Roman"/>
                <w:sz w:val="20"/>
                <w:szCs w:val="20"/>
              </w:rPr>
            </w:pPr>
          </w:p>
        </w:tc>
      </w:tr>
      <w:tr w:rsidR="006F587A" w14:paraId="4ACE358C" w14:textId="77777777">
        <w:trPr>
          <w:tblCellSpacing w:w="0" w:type="dxa"/>
        </w:trPr>
        <w:tc>
          <w:tcPr>
            <w:tcW w:w="0" w:type="auto"/>
            <w:shd w:val="clear" w:color="auto" w:fill="auto"/>
          </w:tcPr>
          <w:p w14:paraId="4ACE358A"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58B"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business conditions, including downturns in the market segments in which we operate, or in the global or regional economies;</w:t>
            </w:r>
          </w:p>
        </w:tc>
      </w:tr>
    </w:tbl>
    <w:p w14:paraId="4ACE358D"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6F587A" w14:paraId="4ACE3590" w14:textId="77777777">
        <w:trPr>
          <w:tblCellSpacing w:w="0" w:type="dxa"/>
        </w:trPr>
        <w:tc>
          <w:tcPr>
            <w:tcW w:w="480" w:type="dxa"/>
            <w:shd w:val="clear" w:color="auto" w:fill="auto"/>
            <w:vAlign w:val="center"/>
          </w:tcPr>
          <w:p w14:paraId="4ACE358E" w14:textId="77777777" w:rsidR="006F587A" w:rsidRDefault="006F587A">
            <w:pPr>
              <w:rPr>
                <w:rFonts w:ascii="Times New Roman" w:hAnsi="Times New Roman"/>
                <w:sz w:val="20"/>
                <w:szCs w:val="20"/>
              </w:rPr>
            </w:pPr>
          </w:p>
        </w:tc>
        <w:tc>
          <w:tcPr>
            <w:tcW w:w="0" w:type="auto"/>
            <w:shd w:val="clear" w:color="auto" w:fill="auto"/>
            <w:vAlign w:val="center"/>
          </w:tcPr>
          <w:p w14:paraId="4ACE358F" w14:textId="77777777" w:rsidR="006F587A" w:rsidRDefault="006F587A">
            <w:pPr>
              <w:rPr>
                <w:rFonts w:ascii="Times New Roman" w:hAnsi="Times New Roman"/>
                <w:sz w:val="20"/>
                <w:szCs w:val="20"/>
              </w:rPr>
            </w:pPr>
          </w:p>
        </w:tc>
      </w:tr>
      <w:tr w:rsidR="006F587A" w14:paraId="4ACE3593" w14:textId="77777777">
        <w:trPr>
          <w:tblCellSpacing w:w="0" w:type="dxa"/>
        </w:trPr>
        <w:tc>
          <w:tcPr>
            <w:tcW w:w="0" w:type="auto"/>
            <w:shd w:val="clear" w:color="auto" w:fill="auto"/>
          </w:tcPr>
          <w:p w14:paraId="4ACE3591"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592"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consumer confidence or income levels, and the levels of customer </w:t>
            </w:r>
            <w:r>
              <w:rPr>
                <w:rFonts w:ascii="Arial" w:eastAsia="宋体" w:hAnsi="Arial" w:cs="Arial"/>
                <w:color w:val="333333"/>
                <w:sz w:val="18"/>
                <w:szCs w:val="18"/>
              </w:rPr>
              <w:t>capital spending, which may be impacted by changes in market conditions, including changes in government borrowing, taxation, or spending policies; the credit market; or expected inflation, employment, and energy or other commodity prices;</w:t>
            </w:r>
          </w:p>
        </w:tc>
      </w:tr>
    </w:tbl>
    <w:p w14:paraId="4ACE3594"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4032"/>
      </w:tblGrid>
      <w:tr w:rsidR="006F587A" w14:paraId="4ACE3597" w14:textId="77777777">
        <w:trPr>
          <w:tblCellSpacing w:w="0" w:type="dxa"/>
        </w:trPr>
        <w:tc>
          <w:tcPr>
            <w:tcW w:w="480" w:type="dxa"/>
            <w:shd w:val="clear" w:color="auto" w:fill="auto"/>
            <w:vAlign w:val="center"/>
          </w:tcPr>
          <w:p w14:paraId="4ACE3595" w14:textId="77777777" w:rsidR="006F587A" w:rsidRDefault="006F587A">
            <w:pPr>
              <w:rPr>
                <w:rFonts w:ascii="Times New Roman" w:hAnsi="Times New Roman"/>
                <w:sz w:val="20"/>
                <w:szCs w:val="20"/>
              </w:rPr>
            </w:pPr>
          </w:p>
        </w:tc>
        <w:tc>
          <w:tcPr>
            <w:tcW w:w="0" w:type="auto"/>
            <w:shd w:val="clear" w:color="auto" w:fill="auto"/>
            <w:vAlign w:val="center"/>
          </w:tcPr>
          <w:p w14:paraId="4ACE3596" w14:textId="77777777" w:rsidR="006F587A" w:rsidRDefault="006F587A">
            <w:pPr>
              <w:rPr>
                <w:rFonts w:ascii="Times New Roman" w:hAnsi="Times New Roman"/>
                <w:sz w:val="20"/>
                <w:szCs w:val="20"/>
              </w:rPr>
            </w:pPr>
          </w:p>
        </w:tc>
      </w:tr>
      <w:tr w:rsidR="006F587A" w14:paraId="4ACE359A" w14:textId="77777777">
        <w:trPr>
          <w:tblCellSpacing w:w="0" w:type="dxa"/>
        </w:trPr>
        <w:tc>
          <w:tcPr>
            <w:tcW w:w="0" w:type="auto"/>
            <w:shd w:val="clear" w:color="auto" w:fill="auto"/>
          </w:tcPr>
          <w:p w14:paraId="4ACE3598"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599"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our ability to timely introduce competitive products; </w:t>
            </w:r>
          </w:p>
        </w:tc>
      </w:tr>
    </w:tbl>
    <w:p w14:paraId="4ACE359B"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6F587A" w14:paraId="4ACE359E" w14:textId="77777777">
        <w:trPr>
          <w:tblCellSpacing w:w="0" w:type="dxa"/>
        </w:trPr>
        <w:tc>
          <w:tcPr>
            <w:tcW w:w="480" w:type="dxa"/>
            <w:shd w:val="clear" w:color="auto" w:fill="auto"/>
            <w:vAlign w:val="center"/>
          </w:tcPr>
          <w:p w14:paraId="4ACE359C" w14:textId="77777777" w:rsidR="006F587A" w:rsidRDefault="006F587A">
            <w:pPr>
              <w:rPr>
                <w:rFonts w:ascii="Times New Roman" w:hAnsi="Times New Roman"/>
                <w:sz w:val="20"/>
                <w:szCs w:val="20"/>
              </w:rPr>
            </w:pPr>
          </w:p>
        </w:tc>
        <w:tc>
          <w:tcPr>
            <w:tcW w:w="0" w:type="auto"/>
            <w:shd w:val="clear" w:color="auto" w:fill="auto"/>
            <w:vAlign w:val="center"/>
          </w:tcPr>
          <w:p w14:paraId="4ACE359D" w14:textId="77777777" w:rsidR="006F587A" w:rsidRDefault="006F587A">
            <w:pPr>
              <w:rPr>
                <w:rFonts w:ascii="Times New Roman" w:hAnsi="Times New Roman"/>
                <w:sz w:val="20"/>
                <w:szCs w:val="20"/>
              </w:rPr>
            </w:pPr>
          </w:p>
        </w:tc>
      </w:tr>
      <w:tr w:rsidR="006F587A" w14:paraId="4ACE35A1" w14:textId="77777777">
        <w:trPr>
          <w:tblCellSpacing w:w="0" w:type="dxa"/>
        </w:trPr>
        <w:tc>
          <w:tcPr>
            <w:tcW w:w="0" w:type="auto"/>
            <w:shd w:val="clear" w:color="auto" w:fill="auto"/>
          </w:tcPr>
          <w:p w14:paraId="4ACE359F"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5A0"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competitive and pricing pressures, including new product introductions and other actions taken by competitors;</w:t>
            </w:r>
          </w:p>
        </w:tc>
      </w:tr>
    </w:tbl>
    <w:p w14:paraId="4ACE35A2"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5013"/>
      </w:tblGrid>
      <w:tr w:rsidR="006F587A" w14:paraId="4ACE35A5" w14:textId="77777777">
        <w:trPr>
          <w:tblCellSpacing w:w="0" w:type="dxa"/>
        </w:trPr>
        <w:tc>
          <w:tcPr>
            <w:tcW w:w="480" w:type="dxa"/>
            <w:shd w:val="clear" w:color="auto" w:fill="auto"/>
            <w:vAlign w:val="center"/>
          </w:tcPr>
          <w:p w14:paraId="4ACE35A3" w14:textId="77777777" w:rsidR="006F587A" w:rsidRDefault="006F587A">
            <w:pPr>
              <w:rPr>
                <w:rFonts w:ascii="Times New Roman" w:hAnsi="Times New Roman"/>
                <w:sz w:val="20"/>
                <w:szCs w:val="20"/>
              </w:rPr>
            </w:pPr>
          </w:p>
        </w:tc>
        <w:tc>
          <w:tcPr>
            <w:tcW w:w="0" w:type="auto"/>
            <w:shd w:val="clear" w:color="auto" w:fill="auto"/>
            <w:vAlign w:val="center"/>
          </w:tcPr>
          <w:p w14:paraId="4ACE35A4" w14:textId="77777777" w:rsidR="006F587A" w:rsidRDefault="006F587A">
            <w:pPr>
              <w:rPr>
                <w:rFonts w:ascii="Times New Roman" w:hAnsi="Times New Roman"/>
                <w:sz w:val="20"/>
                <w:szCs w:val="20"/>
              </w:rPr>
            </w:pPr>
          </w:p>
        </w:tc>
      </w:tr>
      <w:tr w:rsidR="006F587A" w14:paraId="4ACE35A8" w14:textId="77777777">
        <w:trPr>
          <w:tblCellSpacing w:w="0" w:type="dxa"/>
        </w:trPr>
        <w:tc>
          <w:tcPr>
            <w:tcW w:w="0" w:type="auto"/>
            <w:shd w:val="clear" w:color="auto" w:fill="auto"/>
          </w:tcPr>
          <w:p w14:paraId="4ACE35A6"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5A7"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the level of our customers’ inventories and computing capacity;</w:t>
            </w:r>
          </w:p>
        </w:tc>
      </w:tr>
    </w:tbl>
    <w:p w14:paraId="4ACE35A9"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6F587A" w14:paraId="4ACE35AC" w14:textId="77777777">
        <w:trPr>
          <w:tblCellSpacing w:w="0" w:type="dxa"/>
        </w:trPr>
        <w:tc>
          <w:tcPr>
            <w:tcW w:w="480" w:type="dxa"/>
            <w:shd w:val="clear" w:color="auto" w:fill="auto"/>
            <w:vAlign w:val="center"/>
          </w:tcPr>
          <w:p w14:paraId="4ACE35AA" w14:textId="77777777" w:rsidR="006F587A" w:rsidRDefault="006F587A">
            <w:pPr>
              <w:rPr>
                <w:rFonts w:ascii="Times New Roman" w:hAnsi="Times New Roman"/>
                <w:sz w:val="20"/>
                <w:szCs w:val="20"/>
              </w:rPr>
            </w:pPr>
          </w:p>
        </w:tc>
        <w:tc>
          <w:tcPr>
            <w:tcW w:w="0" w:type="auto"/>
            <w:shd w:val="clear" w:color="auto" w:fill="auto"/>
            <w:vAlign w:val="center"/>
          </w:tcPr>
          <w:p w14:paraId="4ACE35AB" w14:textId="77777777" w:rsidR="006F587A" w:rsidRDefault="006F587A">
            <w:pPr>
              <w:rPr>
                <w:rFonts w:ascii="Times New Roman" w:hAnsi="Times New Roman"/>
                <w:sz w:val="20"/>
                <w:szCs w:val="20"/>
              </w:rPr>
            </w:pPr>
          </w:p>
        </w:tc>
      </w:tr>
      <w:tr w:rsidR="006F587A" w14:paraId="4ACE35AF" w14:textId="77777777">
        <w:trPr>
          <w:tblCellSpacing w:w="0" w:type="dxa"/>
        </w:trPr>
        <w:tc>
          <w:tcPr>
            <w:tcW w:w="0" w:type="auto"/>
            <w:shd w:val="clear" w:color="auto" w:fill="auto"/>
          </w:tcPr>
          <w:p w14:paraId="4ACE35AD"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5AE"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customer order patterns, including order cancellations, which can be affected by maturing product cycles for our products, customers’ products, and related products such as operating system upgrade cycles; disruptions affecting customers; and other factors</w:t>
            </w:r>
            <w:r>
              <w:rPr>
                <w:rFonts w:ascii="Arial" w:eastAsia="宋体" w:hAnsi="Arial" w:cs="Arial"/>
                <w:color w:val="333333"/>
                <w:sz w:val="18"/>
                <w:szCs w:val="18"/>
              </w:rPr>
              <w:t>;</w:t>
            </w:r>
          </w:p>
        </w:tc>
      </w:tr>
    </w:tbl>
    <w:p w14:paraId="4ACE35B0"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6F587A" w14:paraId="4ACE35B3" w14:textId="77777777">
        <w:trPr>
          <w:tblCellSpacing w:w="0" w:type="dxa"/>
        </w:trPr>
        <w:tc>
          <w:tcPr>
            <w:tcW w:w="480" w:type="dxa"/>
            <w:shd w:val="clear" w:color="auto" w:fill="auto"/>
            <w:vAlign w:val="center"/>
          </w:tcPr>
          <w:p w14:paraId="4ACE35B1" w14:textId="77777777" w:rsidR="006F587A" w:rsidRDefault="006F587A">
            <w:pPr>
              <w:rPr>
                <w:rFonts w:ascii="Times New Roman" w:hAnsi="Times New Roman"/>
                <w:sz w:val="20"/>
                <w:szCs w:val="20"/>
              </w:rPr>
            </w:pPr>
          </w:p>
        </w:tc>
        <w:tc>
          <w:tcPr>
            <w:tcW w:w="0" w:type="auto"/>
            <w:shd w:val="clear" w:color="auto" w:fill="auto"/>
            <w:vAlign w:val="center"/>
          </w:tcPr>
          <w:p w14:paraId="4ACE35B2" w14:textId="77777777" w:rsidR="006F587A" w:rsidRDefault="006F587A">
            <w:pPr>
              <w:rPr>
                <w:rFonts w:ascii="Times New Roman" w:hAnsi="Times New Roman"/>
                <w:sz w:val="20"/>
                <w:szCs w:val="20"/>
              </w:rPr>
            </w:pPr>
          </w:p>
        </w:tc>
      </w:tr>
      <w:tr w:rsidR="006F587A" w14:paraId="4ACE35B6" w14:textId="77777777">
        <w:trPr>
          <w:tblCellSpacing w:w="0" w:type="dxa"/>
        </w:trPr>
        <w:tc>
          <w:tcPr>
            <w:tcW w:w="0" w:type="auto"/>
            <w:shd w:val="clear" w:color="auto" w:fill="auto"/>
          </w:tcPr>
          <w:p w14:paraId="4ACE35B4"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5B5"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market acceptance and industry support of our new and maturing products, including the introduction and availability of products used together with our products; and</w:t>
            </w:r>
          </w:p>
        </w:tc>
      </w:tr>
    </w:tbl>
    <w:p w14:paraId="4ACE35B7" w14:textId="77777777" w:rsidR="006F587A" w:rsidRDefault="006F587A">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480"/>
        <w:gridCol w:w="7826"/>
      </w:tblGrid>
      <w:tr w:rsidR="006F587A" w14:paraId="4ACE35BA" w14:textId="77777777">
        <w:trPr>
          <w:tblCellSpacing w:w="0" w:type="dxa"/>
        </w:trPr>
        <w:tc>
          <w:tcPr>
            <w:tcW w:w="480" w:type="dxa"/>
            <w:shd w:val="clear" w:color="auto" w:fill="auto"/>
            <w:vAlign w:val="center"/>
          </w:tcPr>
          <w:p w14:paraId="4ACE35B8" w14:textId="77777777" w:rsidR="006F587A" w:rsidRDefault="006F587A">
            <w:pPr>
              <w:rPr>
                <w:rFonts w:ascii="Times New Roman" w:hAnsi="Times New Roman"/>
                <w:sz w:val="20"/>
                <w:szCs w:val="20"/>
              </w:rPr>
            </w:pPr>
          </w:p>
        </w:tc>
        <w:tc>
          <w:tcPr>
            <w:tcW w:w="0" w:type="auto"/>
            <w:shd w:val="clear" w:color="auto" w:fill="auto"/>
            <w:vAlign w:val="center"/>
          </w:tcPr>
          <w:p w14:paraId="4ACE35B9" w14:textId="77777777" w:rsidR="006F587A" w:rsidRDefault="006F587A">
            <w:pPr>
              <w:rPr>
                <w:rFonts w:ascii="Times New Roman" w:hAnsi="Times New Roman"/>
                <w:sz w:val="20"/>
                <w:szCs w:val="20"/>
              </w:rPr>
            </w:pPr>
          </w:p>
        </w:tc>
      </w:tr>
      <w:tr w:rsidR="006F587A" w14:paraId="4ACE35BD" w14:textId="77777777">
        <w:trPr>
          <w:tblCellSpacing w:w="0" w:type="dxa"/>
        </w:trPr>
        <w:tc>
          <w:tcPr>
            <w:tcW w:w="0" w:type="auto"/>
            <w:shd w:val="clear" w:color="auto" w:fill="auto"/>
          </w:tcPr>
          <w:p w14:paraId="4ACE35BB"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5BC"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customer product needs and emerging technology trends, including </w:t>
            </w:r>
            <w:r>
              <w:rPr>
                <w:rFonts w:ascii="Arial" w:eastAsia="宋体" w:hAnsi="Arial" w:cs="Arial"/>
                <w:color w:val="333333"/>
                <w:sz w:val="18"/>
                <w:szCs w:val="18"/>
              </w:rPr>
              <w:t>changes in the levels and nature of customer and end-user computing workloads.</w:t>
            </w:r>
          </w:p>
        </w:tc>
      </w:tr>
    </w:tbl>
    <w:p w14:paraId="4ACE35BE"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243"/>
        <w:gridCol w:w="2658"/>
        <w:gridCol w:w="3405"/>
      </w:tblGrid>
      <w:tr w:rsidR="006F587A" w14:paraId="4ACE35C0" w14:textId="77777777">
        <w:tc>
          <w:tcPr>
            <w:tcW w:w="0" w:type="auto"/>
            <w:gridSpan w:val="3"/>
            <w:shd w:val="clear" w:color="auto" w:fill="auto"/>
            <w:vAlign w:val="center"/>
          </w:tcPr>
          <w:p w14:paraId="4ACE35BF" w14:textId="77777777" w:rsidR="006F587A" w:rsidRDefault="006F587A">
            <w:pPr>
              <w:rPr>
                <w:rFonts w:ascii="Times New Roman" w:hAnsi="Times New Roman"/>
                <w:sz w:val="20"/>
                <w:szCs w:val="20"/>
              </w:rPr>
            </w:pPr>
          </w:p>
        </w:tc>
      </w:tr>
      <w:tr w:rsidR="006F587A" w14:paraId="4ACE35C4" w14:textId="77777777">
        <w:tc>
          <w:tcPr>
            <w:tcW w:w="1350" w:type="pct"/>
            <w:shd w:val="clear" w:color="auto" w:fill="auto"/>
            <w:vAlign w:val="center"/>
          </w:tcPr>
          <w:p w14:paraId="4ACE35C1" w14:textId="77777777" w:rsidR="006F587A" w:rsidRDefault="006F587A">
            <w:pPr>
              <w:rPr>
                <w:rFonts w:ascii="Times New Roman" w:hAnsi="Times New Roman"/>
                <w:sz w:val="20"/>
                <w:szCs w:val="20"/>
              </w:rPr>
            </w:pPr>
          </w:p>
        </w:tc>
        <w:tc>
          <w:tcPr>
            <w:tcW w:w="1600" w:type="pct"/>
            <w:shd w:val="clear" w:color="auto" w:fill="auto"/>
            <w:vAlign w:val="center"/>
          </w:tcPr>
          <w:p w14:paraId="4ACE35C2" w14:textId="77777777" w:rsidR="006F587A" w:rsidRDefault="006F587A">
            <w:pPr>
              <w:rPr>
                <w:rFonts w:ascii="Times New Roman" w:hAnsi="Times New Roman"/>
                <w:sz w:val="20"/>
                <w:szCs w:val="20"/>
              </w:rPr>
            </w:pPr>
          </w:p>
        </w:tc>
        <w:tc>
          <w:tcPr>
            <w:tcW w:w="2050" w:type="pct"/>
            <w:shd w:val="clear" w:color="auto" w:fill="auto"/>
            <w:vAlign w:val="center"/>
          </w:tcPr>
          <w:p w14:paraId="4ACE35C3" w14:textId="77777777" w:rsidR="006F587A" w:rsidRDefault="006F587A">
            <w:pPr>
              <w:rPr>
                <w:rFonts w:ascii="Times New Roman" w:hAnsi="Times New Roman"/>
                <w:sz w:val="20"/>
                <w:szCs w:val="20"/>
              </w:rPr>
            </w:pPr>
          </w:p>
        </w:tc>
      </w:tr>
      <w:tr w:rsidR="006F587A" w14:paraId="4ACE35C8"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35C5" w14:textId="77777777" w:rsidR="006F587A" w:rsidRDefault="007B2B61">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7C" wp14:editId="4ACE6D7D">
                  <wp:extent cx="304800" cy="304800"/>
                  <wp:effectExtent l="0" t="0" r="0" b="0"/>
                  <wp:docPr id="183" name="图片 237"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237"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OTHER KEY INFORMATION</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5C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5C7"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50</w:t>
            </w:r>
          </w:p>
        </w:tc>
      </w:tr>
    </w:tbl>
    <w:p w14:paraId="4ACE35C9" w14:textId="77777777" w:rsidR="006F587A" w:rsidRDefault="007B2B61">
      <w:r>
        <w:pict w14:anchorId="4ACE6D7E">
          <v:rect id="_x0000_i1076" style="width:415.3pt;height:1.5pt" o:hralign="center" o:hrstd="t" o:hr="t" fillcolor="#a0a0a0" stroked="f"/>
        </w:pict>
      </w:r>
    </w:p>
    <w:p w14:paraId="4ACE35CA" w14:textId="77777777" w:rsidR="006F587A" w:rsidRDefault="007B2B61">
      <w:pPr>
        <w:spacing w:line="288" w:lineRule="auto"/>
        <w:jc w:val="right"/>
        <w:rPr>
          <w:rFonts w:ascii="Times New Roman" w:hAnsi="Times New Roman"/>
          <w:sz w:val="16"/>
          <w:szCs w:val="16"/>
        </w:rPr>
      </w:pPr>
      <w:hyperlink r:id="rId83" w:anchor="s9DB683E2CF52561EB8A73BE37F5BF9BE" w:history="1">
        <w:r>
          <w:rPr>
            <w:rStyle w:val="a5"/>
            <w:rFonts w:ascii="Arial" w:eastAsia="宋体" w:hAnsi="Arial" w:cs="Arial"/>
            <w:b/>
            <w:bCs/>
            <w:sz w:val="16"/>
            <w:szCs w:val="16"/>
          </w:rPr>
          <w:t>Table of Contents</w:t>
        </w:r>
      </w:hyperlink>
    </w:p>
    <w:p w14:paraId="4ACE35CB" w14:textId="77777777" w:rsidR="006F587A" w:rsidRDefault="006F587A">
      <w:pPr>
        <w:spacing w:line="288" w:lineRule="auto"/>
        <w:jc w:val="right"/>
        <w:rPr>
          <w:rFonts w:ascii="Times New Roman" w:hAnsi="Times New Roman"/>
          <w:sz w:val="16"/>
          <w:szCs w:val="16"/>
        </w:rPr>
      </w:pPr>
    </w:p>
    <w:p w14:paraId="4ACE35CC" w14:textId="77777777" w:rsidR="006F587A" w:rsidRDefault="006F587A">
      <w:pPr>
        <w:rPr>
          <w:rFonts w:ascii="Times New Roman" w:hAnsi="Times New Roman"/>
          <w:sz w:val="20"/>
          <w:szCs w:val="20"/>
        </w:rPr>
      </w:pPr>
    </w:p>
    <w:p w14:paraId="4ACE35CD" w14:textId="77777777" w:rsidR="006F587A" w:rsidRDefault="007B2B61">
      <w:pPr>
        <w:spacing w:line="288" w:lineRule="auto"/>
        <w:rPr>
          <w:rFonts w:ascii="Times New Roman" w:hAnsi="Times New Roman"/>
          <w:sz w:val="18"/>
          <w:szCs w:val="18"/>
        </w:rPr>
      </w:pPr>
      <w:r>
        <w:rPr>
          <w:rFonts w:ascii="Arial" w:eastAsia="宋体" w:hAnsi="Arial" w:cs="Arial"/>
          <w:color w:val="0071C5"/>
          <w:sz w:val="18"/>
          <w:szCs w:val="18"/>
        </w:rPr>
        <w:t>Due to the complexity of our manufacturing operations, we are not always ab</w:t>
      </w:r>
      <w:r>
        <w:rPr>
          <w:rFonts w:ascii="Arial" w:eastAsia="宋体" w:hAnsi="Arial" w:cs="Arial"/>
          <w:color w:val="0071C5"/>
          <w:sz w:val="18"/>
          <w:szCs w:val="18"/>
        </w:rPr>
        <w:t>le to timely respond to fluctuations in demand and we may incur significant charges and costs.</w:t>
      </w:r>
      <w:r>
        <w:rPr>
          <w:rFonts w:ascii="Arial" w:eastAsia="宋体" w:hAnsi="Arial" w:cs="Arial"/>
          <w:b/>
          <w:bCs/>
          <w:color w:val="333333"/>
          <w:sz w:val="18"/>
          <w:szCs w:val="18"/>
        </w:rPr>
        <w:t xml:space="preserve"> </w:t>
      </w:r>
      <w:r>
        <w:rPr>
          <w:rFonts w:ascii="Arial" w:eastAsia="宋体" w:hAnsi="Arial" w:cs="Arial"/>
          <w:color w:val="333333"/>
          <w:sz w:val="18"/>
          <w:szCs w:val="18"/>
        </w:rPr>
        <w:t xml:space="preserve">Because we own and operate </w:t>
      </w:r>
      <w:r>
        <w:rPr>
          <w:rFonts w:ascii="Arial" w:eastAsia="宋体" w:hAnsi="Arial" w:cs="Arial"/>
          <w:color w:val="333333"/>
          <w:sz w:val="18"/>
          <w:szCs w:val="18"/>
        </w:rPr>
        <w:lastRenderedPageBreak/>
        <w:t xml:space="preserve">high-tech fabrication facilities, our operations have high costs that are fixed or difficult to reduce in the short term, </w:t>
      </w:r>
      <w:r>
        <w:rPr>
          <w:rFonts w:ascii="Arial" w:eastAsia="宋体" w:hAnsi="Arial" w:cs="Arial"/>
          <w:color w:val="333333"/>
          <w:sz w:val="18"/>
          <w:szCs w:val="18"/>
        </w:rPr>
        <w:t xml:space="preserve">including our costs related to utilization of existing facilities, facility construction and equipment, R&amp;D, and the employment and training of a highly skilled workforce. To the extent product demand decreases or we fail to forecast demand accurately, we </w:t>
      </w:r>
      <w:r>
        <w:rPr>
          <w:rFonts w:ascii="Arial" w:eastAsia="宋体" w:hAnsi="Arial" w:cs="Arial"/>
          <w:color w:val="333333"/>
          <w:sz w:val="18"/>
          <w:szCs w:val="18"/>
        </w:rPr>
        <w:t>could be required to write off inventory or record excess capacity charges, which would lower our gross margin. To the extent the demand decrease is prolonged, our manufacturing or assembly and test capacity could be underutilized, and we may be required t</w:t>
      </w:r>
      <w:r>
        <w:rPr>
          <w:rFonts w:ascii="Arial" w:eastAsia="宋体" w:hAnsi="Arial" w:cs="Arial"/>
          <w:color w:val="333333"/>
          <w:sz w:val="18"/>
          <w:szCs w:val="18"/>
        </w:rPr>
        <w:t xml:space="preserve">o write down our long-lived assets, which would increase our expenses. We may also be required to shorten the useful lives of under-used facilities and equipment and accelerate depreciation. Conversely, to the extent product demand increases or we fail to </w:t>
      </w:r>
      <w:r>
        <w:rPr>
          <w:rFonts w:ascii="Arial" w:eastAsia="宋体" w:hAnsi="Arial" w:cs="Arial"/>
          <w:color w:val="333333"/>
          <w:sz w:val="18"/>
          <w:szCs w:val="18"/>
        </w:rPr>
        <w:t>forecast accurately and produce the mix of products demanded, we may be unable to add capacity or increase production fast enough to meet market demand, which can result in a loss of revenue opportunities or market share, legal claims, and/or damage to cus</w:t>
      </w:r>
      <w:r>
        <w:rPr>
          <w:rFonts w:ascii="Arial" w:eastAsia="宋体" w:hAnsi="Arial" w:cs="Arial"/>
          <w:color w:val="333333"/>
          <w:sz w:val="18"/>
          <w:szCs w:val="18"/>
        </w:rPr>
        <w:t xml:space="preserve">tomer relationships. For example, we have been experiencing supply constraints and have been prioritizing production of our server and high-performance PC products, which during 2019 contributed to loss of share in the value end of the PC market, where we </w:t>
      </w:r>
      <w:r>
        <w:rPr>
          <w:rFonts w:ascii="Arial" w:eastAsia="宋体" w:hAnsi="Arial" w:cs="Arial"/>
          <w:color w:val="333333"/>
          <w:sz w:val="18"/>
          <w:szCs w:val="18"/>
        </w:rPr>
        <w:t>were short of supply while demand remained healthy.</w:t>
      </w:r>
    </w:p>
    <w:p w14:paraId="4ACE35CE" w14:textId="77777777" w:rsidR="006F587A" w:rsidRDefault="007B2B61">
      <w:pPr>
        <w:spacing w:line="288" w:lineRule="auto"/>
        <w:rPr>
          <w:rFonts w:ascii="Times New Roman" w:hAnsi="Times New Roman"/>
          <w:sz w:val="18"/>
          <w:szCs w:val="18"/>
        </w:rPr>
      </w:pPr>
      <w:r>
        <w:rPr>
          <w:rFonts w:ascii="Arial" w:eastAsia="宋体" w:hAnsi="Arial" w:cs="Arial"/>
          <w:color w:val="0071C5"/>
          <w:sz w:val="18"/>
          <w:szCs w:val="18"/>
        </w:rPr>
        <w:t>We face significant competition</w:t>
      </w:r>
      <w:r>
        <w:rPr>
          <w:rFonts w:ascii="Arial" w:eastAsia="宋体" w:hAnsi="Arial" w:cs="Arial"/>
          <w:color w:val="0071C5"/>
          <w:sz w:val="18"/>
          <w:szCs w:val="18"/>
        </w:rPr>
        <w:t>.</w:t>
      </w:r>
      <w:r>
        <w:rPr>
          <w:rFonts w:ascii="Arial" w:eastAsia="宋体" w:hAnsi="Arial" w:cs="Arial"/>
          <w:i/>
          <w:iCs/>
          <w:color w:val="333333"/>
          <w:sz w:val="18"/>
          <w:szCs w:val="18"/>
        </w:rPr>
        <w:t xml:space="preserve"> </w:t>
      </w:r>
      <w:r>
        <w:rPr>
          <w:rFonts w:ascii="Arial" w:eastAsia="宋体" w:hAnsi="Arial" w:cs="Arial"/>
          <w:color w:val="333333"/>
          <w:sz w:val="18"/>
          <w:szCs w:val="18"/>
        </w:rPr>
        <w:t>The industry in which we operate is highly competitive and subject to rapid technological and market developments; changes in industry standards; changes in customer and e</w:t>
      </w:r>
      <w:r>
        <w:rPr>
          <w:rFonts w:ascii="Arial" w:eastAsia="宋体" w:hAnsi="Arial" w:cs="Arial"/>
          <w:color w:val="333333"/>
          <w:sz w:val="18"/>
          <w:szCs w:val="18"/>
        </w:rPr>
        <w:t xml:space="preserve">nd-user needs, expectations, and preferences; and frequent product introductions and improvements. If we do not anticipate and respond to these developments, our competitive position can weaken, and our products or technologies can become uncompetitive or </w:t>
      </w:r>
      <w:r>
        <w:rPr>
          <w:rFonts w:ascii="Arial" w:eastAsia="宋体" w:hAnsi="Arial" w:cs="Arial"/>
          <w:color w:val="333333"/>
          <w:sz w:val="18"/>
          <w:szCs w:val="18"/>
        </w:rPr>
        <w:t>obsolete. Our competitive environment has intensified, and we expect it to continue to do so in the future.</w:t>
      </w:r>
    </w:p>
    <w:p w14:paraId="4ACE35CF"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Our products primarily compete based on performance, energy efficiency, integration, ease-of-use, innovative design, features, price, quality, relia</w:t>
      </w:r>
      <w:r>
        <w:rPr>
          <w:rFonts w:ascii="Arial" w:eastAsia="宋体" w:hAnsi="Arial" w:cs="Arial"/>
          <w:color w:val="333333"/>
          <w:sz w:val="18"/>
          <w:szCs w:val="18"/>
        </w:rPr>
        <w:t>bility, security, software ecosystem and developer support, time-to-market, reliable product roadmap execution, brand recognition, customer support and customization, and availability. The importance of these factors varies by product—for example, performa</w:t>
      </w:r>
      <w:r>
        <w:rPr>
          <w:rFonts w:ascii="Arial" w:eastAsia="宋体" w:hAnsi="Arial" w:cs="Arial"/>
          <w:color w:val="333333"/>
          <w:sz w:val="18"/>
          <w:szCs w:val="18"/>
        </w:rPr>
        <w:t>nce is a key competitive factor for data center platform products, and failure to introduce new products with performance advantages can harm our competitive position and market segment share in our DCG business. For our memory products, price, density, an</w:t>
      </w:r>
      <w:r>
        <w:rPr>
          <w:rFonts w:ascii="Arial" w:eastAsia="宋体" w:hAnsi="Arial" w:cs="Arial"/>
          <w:color w:val="333333"/>
          <w:sz w:val="18"/>
          <w:szCs w:val="18"/>
        </w:rPr>
        <w:t>d non-volatility are among the most important competitive factors. We will not realize our strategic goal to become the leading end-to-end provider for the new data world if our products do not meet our customers’ requirements across these factors in an in</w:t>
      </w:r>
      <w:r>
        <w:rPr>
          <w:rFonts w:ascii="Arial" w:eastAsia="宋体" w:hAnsi="Arial" w:cs="Arial"/>
          <w:color w:val="333333"/>
          <w:sz w:val="18"/>
          <w:szCs w:val="18"/>
        </w:rPr>
        <w:t>creasingly competitive landscape.</w:t>
      </w:r>
    </w:p>
    <w:p w14:paraId="4ACE35D0"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face intense competition across our product portfolio from companies offering platform products, such as AMD and Qualcomm; accelerator products such as GPUs, including those offered by NVIDIA; other accelerator products</w:t>
      </w:r>
      <w:r>
        <w:rPr>
          <w:rFonts w:ascii="Arial" w:eastAsia="宋体" w:hAnsi="Arial" w:cs="Arial"/>
          <w:color w:val="333333"/>
          <w:sz w:val="18"/>
          <w:szCs w:val="18"/>
        </w:rPr>
        <w:t xml:space="preserve"> such as ASICs, application-specific standard products, and FPGAs; memory and storage products; connectivity and networking products; and other semiconductor products. Some of these competitors have developed or utilize competing computing architectures an</w:t>
      </w:r>
      <w:r>
        <w:rPr>
          <w:rFonts w:ascii="Arial" w:eastAsia="宋体" w:hAnsi="Arial" w:cs="Arial"/>
          <w:color w:val="333333"/>
          <w:sz w:val="18"/>
          <w:szCs w:val="18"/>
        </w:rPr>
        <w:t>d platforms for specific market segments or applications, such as the ARM* architecture, and these architectures and platforms can produce beneficial network effects for competitors when an ecosystem of customers and application developers for such archite</w:t>
      </w:r>
      <w:r>
        <w:rPr>
          <w:rFonts w:ascii="Arial" w:eastAsia="宋体" w:hAnsi="Arial" w:cs="Arial"/>
          <w:color w:val="333333"/>
          <w:sz w:val="18"/>
          <w:szCs w:val="18"/>
        </w:rPr>
        <w:t>ctures and platforms grows at scale. We also compete with internally developed semiconductors from OEMs, cloud service providers, and others, including customers. Some of these customers vertically integrate their own semiconductor designs with their softw</w:t>
      </w:r>
      <w:r>
        <w:rPr>
          <w:rFonts w:ascii="Arial" w:eastAsia="宋体" w:hAnsi="Arial" w:cs="Arial"/>
          <w:color w:val="333333"/>
          <w:sz w:val="18"/>
          <w:szCs w:val="18"/>
        </w:rPr>
        <w:t>are assets or customize their designs for specific computing workloads. Most of our competitors rely on third-party foundries, such as Taiwan Semiconductor Manufacturing Company, Ltd. or Samsung Electronics Co., Ltd., and subcontractors for manufacture and</w:t>
      </w:r>
      <w:r>
        <w:rPr>
          <w:rFonts w:ascii="Arial" w:eastAsia="宋体" w:hAnsi="Arial" w:cs="Arial"/>
          <w:color w:val="333333"/>
          <w:sz w:val="18"/>
          <w:szCs w:val="18"/>
        </w:rPr>
        <w:t xml:space="preserve"> assembly and test of their semiconductor components and products. As an IDM, we have higher capital expenditures and R&amp;D spending than many of our “fabless” competitors. We also face new sources of competition as a result of changes in industry participan</w:t>
      </w:r>
      <w:r>
        <w:rPr>
          <w:rFonts w:ascii="Arial" w:eastAsia="宋体" w:hAnsi="Arial" w:cs="Arial"/>
          <w:color w:val="333333"/>
          <w:sz w:val="18"/>
          <w:szCs w:val="18"/>
        </w:rPr>
        <w:t>ts through, for example, acquisitions or business collaborations, as well as new entrants, including in China, which could have a significant impact on our competitive position.</w:t>
      </w:r>
    </w:p>
    <w:p w14:paraId="4ACE35D1"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Introduction of competitive new products and technologies, aggressive pricing,</w:t>
      </w:r>
      <w:r>
        <w:rPr>
          <w:rFonts w:ascii="Arial" w:eastAsia="宋体" w:hAnsi="Arial" w:cs="Arial"/>
          <w:color w:val="333333"/>
          <w:sz w:val="18"/>
          <w:szCs w:val="18"/>
        </w:rPr>
        <w:t xml:space="preserve"> and other actions taken by competitors can harm demand for our products, exert downward pricing pressure on our products, and adversely affect our business. Additionally, a number of business combinations and strategic partnerships in the semiconductor in</w:t>
      </w:r>
      <w:r>
        <w:rPr>
          <w:rFonts w:ascii="Arial" w:eastAsia="宋体" w:hAnsi="Arial" w:cs="Arial"/>
          <w:color w:val="333333"/>
          <w:sz w:val="18"/>
          <w:szCs w:val="18"/>
        </w:rPr>
        <w:t>dustry have occurred over the last several years, and more could occur in the future. Consolidation could lead to fewer customers, partners, or suppliers, any of which could negatively affect our financial results.</w:t>
      </w:r>
    </w:p>
    <w:p w14:paraId="4ACE35D2"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To compete successfully, we must maintain</w:t>
      </w:r>
      <w:r>
        <w:rPr>
          <w:rFonts w:ascii="Arial" w:eastAsia="宋体" w:hAnsi="Arial" w:cs="Arial"/>
          <w:color w:val="333333"/>
          <w:sz w:val="18"/>
          <w:szCs w:val="18"/>
        </w:rPr>
        <w:t xml:space="preserve"> a successful R&amp;D effort, develop new products and production processes, and improve our existing products and processes, all ahead of competitors. We </w:t>
      </w:r>
      <w:r>
        <w:rPr>
          <w:rFonts w:ascii="Arial" w:eastAsia="宋体" w:hAnsi="Arial" w:cs="Arial"/>
          <w:color w:val="333333"/>
          <w:sz w:val="18"/>
          <w:szCs w:val="18"/>
        </w:rPr>
        <w:lastRenderedPageBreak/>
        <w:t>are focusing our R&amp;D efforts across six engineering pillars: process technology, architecture, memory, in</w:t>
      </w:r>
      <w:r>
        <w:rPr>
          <w:rFonts w:ascii="Arial" w:eastAsia="宋体" w:hAnsi="Arial" w:cs="Arial"/>
          <w:color w:val="333333"/>
          <w:sz w:val="18"/>
          <w:szCs w:val="18"/>
        </w:rPr>
        <w:t>terconnect, security, and software. These include ambitious initiatives, such as our unified oneAPI portfolio of developer tools, and we cannot guarantee that all of these efforts will deliver the benefits we anticipate. For example, to the extent we do no</w:t>
      </w:r>
      <w:r>
        <w:rPr>
          <w:rFonts w:ascii="Arial" w:eastAsia="宋体" w:hAnsi="Arial" w:cs="Arial"/>
          <w:color w:val="333333"/>
          <w:sz w:val="18"/>
          <w:szCs w:val="18"/>
        </w:rPr>
        <w:t>t timely introduce new manufacturing process technologies that improve transistor density with sufficient manufacturing yields and operational efficiency, relative to competing foundry processes, we can face cost and product performance disadvantages. Simi</w:t>
      </w:r>
      <w:r>
        <w:rPr>
          <w:rFonts w:ascii="Arial" w:eastAsia="宋体" w:hAnsi="Arial" w:cs="Arial"/>
          <w:color w:val="333333"/>
          <w:sz w:val="18"/>
          <w:szCs w:val="18"/>
        </w:rPr>
        <w:t xml:space="preserve">larly, to the extent our R&amp;D efforts do not timely produce semiconductor designs for our platform products with improvements in areas like performance, performance per watt, die utilization, and core counts, and with new features such as optimizations for </w:t>
      </w:r>
      <w:r>
        <w:rPr>
          <w:rFonts w:ascii="Arial" w:eastAsia="宋体" w:hAnsi="Arial" w:cs="Arial"/>
          <w:color w:val="333333"/>
          <w:sz w:val="18"/>
          <w:szCs w:val="18"/>
        </w:rPr>
        <w:t xml:space="preserve">AI and other workloads, our competitive position can be harmed. </w:t>
      </w:r>
    </w:p>
    <w:p w14:paraId="4ACE35D3"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do not expect all of our R&amp;D investments to be successful. Some of our efforts to develop and market new products fail, and the products and technologies we invest in and develop are not a</w:t>
      </w:r>
      <w:r>
        <w:rPr>
          <w:rFonts w:ascii="Arial" w:eastAsia="宋体" w:hAnsi="Arial" w:cs="Arial"/>
          <w:color w:val="333333"/>
          <w:sz w:val="18"/>
          <w:szCs w:val="18"/>
        </w:rPr>
        <w:t xml:space="preserve">lways well received by customers, who may adopt competing technologies. We make significant investments in R&amp;D, and our investments at times do not contribute to our future operating results for several years, if at all, and such contributions at times do </w:t>
      </w:r>
      <w:r>
        <w:rPr>
          <w:rFonts w:ascii="Arial" w:eastAsia="宋体" w:hAnsi="Arial" w:cs="Arial"/>
          <w:color w:val="333333"/>
          <w:sz w:val="18"/>
          <w:szCs w:val="18"/>
        </w:rPr>
        <w:t xml:space="preserve">not meet our expectations or even cover the costs of such investments. </w:t>
      </w:r>
    </w:p>
    <w:p w14:paraId="4ACE35D4"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If we are not able to compete effectively, our financial results will be adversely affected, including reduced revenue and gross margin, and we may be required to accelerate the write-</w:t>
      </w:r>
      <w:r>
        <w:rPr>
          <w:rFonts w:ascii="Arial" w:eastAsia="宋体" w:hAnsi="Arial" w:cs="Arial"/>
          <w:color w:val="333333"/>
          <w:sz w:val="18"/>
          <w:szCs w:val="18"/>
        </w:rPr>
        <w:t>down of the value of certain assets.</w:t>
      </w:r>
    </w:p>
    <w:p w14:paraId="4ACE35D5"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243"/>
        <w:gridCol w:w="2658"/>
        <w:gridCol w:w="3405"/>
      </w:tblGrid>
      <w:tr w:rsidR="006F587A" w14:paraId="4ACE35D7" w14:textId="77777777">
        <w:tc>
          <w:tcPr>
            <w:tcW w:w="0" w:type="auto"/>
            <w:gridSpan w:val="3"/>
            <w:shd w:val="clear" w:color="auto" w:fill="auto"/>
            <w:vAlign w:val="center"/>
          </w:tcPr>
          <w:p w14:paraId="4ACE35D6" w14:textId="77777777" w:rsidR="006F587A" w:rsidRDefault="006F587A">
            <w:pPr>
              <w:rPr>
                <w:rFonts w:ascii="Times New Roman" w:hAnsi="Times New Roman"/>
                <w:sz w:val="20"/>
                <w:szCs w:val="20"/>
              </w:rPr>
            </w:pPr>
          </w:p>
        </w:tc>
      </w:tr>
      <w:tr w:rsidR="006F587A" w14:paraId="4ACE35DB" w14:textId="77777777">
        <w:tc>
          <w:tcPr>
            <w:tcW w:w="1350" w:type="pct"/>
            <w:shd w:val="clear" w:color="auto" w:fill="auto"/>
            <w:vAlign w:val="center"/>
          </w:tcPr>
          <w:p w14:paraId="4ACE35D8" w14:textId="77777777" w:rsidR="006F587A" w:rsidRDefault="006F587A">
            <w:pPr>
              <w:rPr>
                <w:rFonts w:ascii="Times New Roman" w:hAnsi="Times New Roman"/>
                <w:sz w:val="20"/>
                <w:szCs w:val="20"/>
              </w:rPr>
            </w:pPr>
          </w:p>
        </w:tc>
        <w:tc>
          <w:tcPr>
            <w:tcW w:w="1600" w:type="pct"/>
            <w:shd w:val="clear" w:color="auto" w:fill="auto"/>
            <w:vAlign w:val="center"/>
          </w:tcPr>
          <w:p w14:paraId="4ACE35D9" w14:textId="77777777" w:rsidR="006F587A" w:rsidRDefault="006F587A">
            <w:pPr>
              <w:rPr>
                <w:rFonts w:ascii="Times New Roman" w:hAnsi="Times New Roman"/>
                <w:sz w:val="20"/>
                <w:szCs w:val="20"/>
              </w:rPr>
            </w:pPr>
          </w:p>
        </w:tc>
        <w:tc>
          <w:tcPr>
            <w:tcW w:w="2050" w:type="pct"/>
            <w:shd w:val="clear" w:color="auto" w:fill="auto"/>
            <w:vAlign w:val="center"/>
          </w:tcPr>
          <w:p w14:paraId="4ACE35DA" w14:textId="77777777" w:rsidR="006F587A" w:rsidRDefault="006F587A">
            <w:pPr>
              <w:rPr>
                <w:rFonts w:ascii="Times New Roman" w:hAnsi="Times New Roman"/>
                <w:sz w:val="20"/>
                <w:szCs w:val="20"/>
              </w:rPr>
            </w:pPr>
          </w:p>
        </w:tc>
      </w:tr>
      <w:tr w:rsidR="006F587A" w14:paraId="4ACE35DF"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35DC" w14:textId="77777777" w:rsidR="006F587A" w:rsidRDefault="007B2B61">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7F" wp14:editId="4ACE6D80">
                  <wp:extent cx="304800" cy="304800"/>
                  <wp:effectExtent l="0" t="0" r="0" b="0"/>
                  <wp:docPr id="156" name="图片 239"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239"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OTHER KEY INFORMATION</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5D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5DE"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51</w:t>
            </w:r>
          </w:p>
        </w:tc>
      </w:tr>
    </w:tbl>
    <w:p w14:paraId="4ACE35E0" w14:textId="77777777" w:rsidR="006F587A" w:rsidRDefault="007B2B61">
      <w:r>
        <w:pict w14:anchorId="4ACE6D81">
          <v:rect id="_x0000_i1077" style="width:415.3pt;height:1.5pt" o:hralign="center" o:hrstd="t" o:hr="t" fillcolor="#a0a0a0" stroked="f"/>
        </w:pict>
      </w:r>
    </w:p>
    <w:p w14:paraId="4ACE35E1" w14:textId="77777777" w:rsidR="006F587A" w:rsidRDefault="007B2B61">
      <w:pPr>
        <w:spacing w:line="288" w:lineRule="auto"/>
        <w:jc w:val="right"/>
        <w:rPr>
          <w:rFonts w:ascii="Times New Roman" w:hAnsi="Times New Roman"/>
          <w:sz w:val="16"/>
          <w:szCs w:val="16"/>
        </w:rPr>
      </w:pPr>
      <w:hyperlink r:id="rId84" w:anchor="s9DB683E2CF52561EB8A73BE37F5BF9BE" w:history="1">
        <w:r>
          <w:rPr>
            <w:rStyle w:val="a5"/>
            <w:rFonts w:ascii="Arial" w:eastAsia="宋体" w:hAnsi="Arial" w:cs="Arial"/>
            <w:b/>
            <w:bCs/>
            <w:sz w:val="16"/>
            <w:szCs w:val="16"/>
          </w:rPr>
          <w:t>Table of Contents</w:t>
        </w:r>
      </w:hyperlink>
    </w:p>
    <w:p w14:paraId="4ACE35E2" w14:textId="77777777" w:rsidR="006F587A" w:rsidRDefault="006F587A">
      <w:pPr>
        <w:spacing w:line="288" w:lineRule="auto"/>
        <w:jc w:val="right"/>
        <w:rPr>
          <w:rFonts w:ascii="Times New Roman" w:hAnsi="Times New Roman"/>
          <w:sz w:val="16"/>
          <w:szCs w:val="16"/>
        </w:rPr>
      </w:pPr>
    </w:p>
    <w:p w14:paraId="4ACE35E3" w14:textId="77777777" w:rsidR="006F587A" w:rsidRDefault="006F587A">
      <w:pPr>
        <w:rPr>
          <w:rFonts w:ascii="Times New Roman" w:hAnsi="Times New Roman"/>
          <w:sz w:val="20"/>
          <w:szCs w:val="20"/>
        </w:rPr>
      </w:pPr>
    </w:p>
    <w:p w14:paraId="4ACE35E4" w14:textId="77777777" w:rsidR="006F587A" w:rsidRDefault="007B2B61">
      <w:pPr>
        <w:spacing w:line="288" w:lineRule="auto"/>
        <w:rPr>
          <w:rFonts w:ascii="Times New Roman" w:hAnsi="Times New Roman"/>
          <w:sz w:val="18"/>
          <w:szCs w:val="18"/>
        </w:rPr>
      </w:pPr>
      <w:r>
        <w:rPr>
          <w:rFonts w:ascii="Arial" w:eastAsia="宋体" w:hAnsi="Arial" w:cs="Arial"/>
          <w:color w:val="0071C5"/>
          <w:sz w:val="18"/>
          <w:szCs w:val="18"/>
        </w:rPr>
        <w:t>Our investments in new businesses, products, and technologies are inherentl</w:t>
      </w:r>
      <w:r>
        <w:rPr>
          <w:rFonts w:ascii="Arial" w:eastAsia="宋体" w:hAnsi="Arial" w:cs="Arial"/>
          <w:color w:val="0071C5"/>
          <w:sz w:val="18"/>
          <w:szCs w:val="18"/>
        </w:rPr>
        <w:t>y risky and do not always succeed</w:t>
      </w:r>
      <w:r>
        <w:rPr>
          <w:rFonts w:ascii="Arial" w:eastAsia="宋体" w:hAnsi="Arial" w:cs="Arial"/>
          <w:color w:val="333333"/>
          <w:sz w:val="18"/>
          <w:szCs w:val="18"/>
        </w:rPr>
        <w:t xml:space="preserve">. In recent years, in connection with our strategic transformation to a data-centric company, we have entered new areas and introduced adjacent products in programmable solutions, AI, and autonomous driving. We also </w:t>
      </w:r>
      <w:r>
        <w:rPr>
          <w:rFonts w:ascii="Arial" w:eastAsia="宋体" w:hAnsi="Arial" w:cs="Arial"/>
          <w:color w:val="333333"/>
          <w:sz w:val="18"/>
          <w:szCs w:val="18"/>
        </w:rPr>
        <w:t>expanded our adjacent product offerings in client computing, the data center, the Internet of Things, and memory, with offerings such as modems, silicon photonics solutions, and Intel</w:t>
      </w:r>
      <w:r>
        <w:rPr>
          <w:rFonts w:ascii="Arial" w:eastAsia="宋体" w:hAnsi="Arial" w:cs="Arial"/>
          <w:color w:val="333333"/>
          <w:sz w:val="12"/>
          <w:szCs w:val="12"/>
        </w:rPr>
        <w:t>®</w:t>
      </w:r>
      <w:r>
        <w:rPr>
          <w:rFonts w:ascii="Arial" w:eastAsia="宋体" w:hAnsi="Arial" w:cs="Arial"/>
          <w:color w:val="333333"/>
          <w:sz w:val="18"/>
          <w:szCs w:val="18"/>
        </w:rPr>
        <w:t xml:space="preserve"> Optane™ technology products, and we have made investments in discrete g</w:t>
      </w:r>
      <w:r>
        <w:rPr>
          <w:rFonts w:ascii="Arial" w:eastAsia="宋体" w:hAnsi="Arial" w:cs="Arial"/>
          <w:color w:val="333333"/>
          <w:sz w:val="18"/>
          <w:szCs w:val="18"/>
        </w:rPr>
        <w:t xml:space="preserve">raphics and networking infrastructure products. These efforts are not always successful. In April 2019, we announced that we would be exiting the 5G smartphone modem business based on our determination that there was no clear path to profitability for the </w:t>
      </w:r>
      <w:r>
        <w:rPr>
          <w:rFonts w:ascii="Arial" w:eastAsia="宋体" w:hAnsi="Arial" w:cs="Arial"/>
          <w:color w:val="333333"/>
          <w:sz w:val="18"/>
          <w:szCs w:val="18"/>
        </w:rPr>
        <w:t xml:space="preserve">business, and in November 2019, we completed the sale of the majority of our smartphone modem business. </w:t>
      </w:r>
    </w:p>
    <w:p w14:paraId="4ACE35E5"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These new and developing areas and products represent a significant portion of our expanded TAM, and they also introduce new sources of competition, in</w:t>
      </w:r>
      <w:r>
        <w:rPr>
          <w:rFonts w:ascii="Arial" w:eastAsia="宋体" w:hAnsi="Arial" w:cs="Arial"/>
          <w:color w:val="333333"/>
          <w:sz w:val="18"/>
          <w:szCs w:val="18"/>
        </w:rPr>
        <w:t>cluding, in certain of these market segments, incumbent competitors with established technologies and customer bases, lower prices or costs, and greater brand recognition. These developing products and market segments require significant investment, do not</w:t>
      </w:r>
      <w:r>
        <w:rPr>
          <w:rFonts w:ascii="Arial" w:eastAsia="宋体" w:hAnsi="Arial" w:cs="Arial"/>
          <w:color w:val="333333"/>
          <w:sz w:val="18"/>
          <w:szCs w:val="18"/>
        </w:rPr>
        <w:t xml:space="preserve"> always grow as significantly as projected, or at all, or sometimes utilize technologies that are different from the ones that we develop and manufacture, and we may not realize an adequate return on our investments. For example, AI and machine learning ar</w:t>
      </w:r>
      <w:r>
        <w:rPr>
          <w:rFonts w:ascii="Arial" w:eastAsia="宋体" w:hAnsi="Arial" w:cs="Arial"/>
          <w:color w:val="333333"/>
          <w:sz w:val="18"/>
          <w:szCs w:val="18"/>
        </w:rPr>
        <w:t>e increasingly driving innovations in technology, but if they fail to deliver the benefits anticipated, or if our customers use competing technologies for these workloads, we may not realize a return on our investments in these areas. Similarly, while we s</w:t>
      </w:r>
      <w:r>
        <w:rPr>
          <w:rFonts w:ascii="Arial" w:eastAsia="宋体" w:hAnsi="Arial" w:cs="Arial"/>
          <w:color w:val="333333"/>
          <w:sz w:val="18"/>
          <w:szCs w:val="18"/>
        </w:rPr>
        <w:t>ee significant opportunity in networking infrastructure and the distribution of computing to the network edge, we expect intense competition for this opportunity and may not succeed in our efforts. To be successful, we need to cultivate new industry relati</w:t>
      </w:r>
      <w:r>
        <w:rPr>
          <w:rFonts w:ascii="Arial" w:eastAsia="宋体" w:hAnsi="Arial" w:cs="Arial"/>
          <w:color w:val="333333"/>
          <w:sz w:val="18"/>
          <w:szCs w:val="18"/>
        </w:rPr>
        <w:t>onships with customers and partners in these market segments. In addition, we must continually improve the cost, performance, integration, time-to-market, and energy efficiency of our products, as well as expand our software capabilities to provide custome</w:t>
      </w:r>
      <w:r>
        <w:rPr>
          <w:rFonts w:ascii="Arial" w:eastAsia="宋体" w:hAnsi="Arial" w:cs="Arial"/>
          <w:color w:val="333333"/>
          <w:sz w:val="18"/>
          <w:szCs w:val="18"/>
        </w:rPr>
        <w:t>rs with comprehensive computing solutions. Some of these new businesses face challenging market conditions. For example, market pricing for NAND memory products has been, and may continue to be, highly volatile, and NAND pricing pressure led to an operatin</w:t>
      </w:r>
      <w:r>
        <w:rPr>
          <w:rFonts w:ascii="Arial" w:eastAsia="宋体" w:hAnsi="Arial" w:cs="Arial"/>
          <w:color w:val="333333"/>
          <w:sz w:val="18"/>
          <w:szCs w:val="18"/>
        </w:rPr>
        <w:t xml:space="preserve">g loss for </w:t>
      </w:r>
      <w:r>
        <w:rPr>
          <w:rFonts w:ascii="Arial" w:eastAsia="宋体" w:hAnsi="Arial" w:cs="Arial"/>
          <w:color w:val="333333"/>
          <w:sz w:val="18"/>
          <w:szCs w:val="18"/>
        </w:rPr>
        <w:lastRenderedPageBreak/>
        <w:t>our NSG business in 2019. Despite our ongoing efforts, there is no guarantee that we will achieve or maintain market demand or acceptance for our products and services in these various market segments or realize an adequate return on our investm</w:t>
      </w:r>
      <w:r>
        <w:rPr>
          <w:rFonts w:ascii="Arial" w:eastAsia="宋体" w:hAnsi="Arial" w:cs="Arial"/>
          <w:color w:val="333333"/>
          <w:sz w:val="18"/>
          <w:szCs w:val="18"/>
        </w:rPr>
        <w:t>ents, which could lead to impairment of assets and restructuring charges.</w:t>
      </w:r>
    </w:p>
    <w:p w14:paraId="4ACE35E6" w14:textId="77777777" w:rsidR="006F587A" w:rsidRDefault="007B2B61">
      <w:pPr>
        <w:spacing w:line="288" w:lineRule="auto"/>
        <w:rPr>
          <w:rFonts w:ascii="Times New Roman" w:hAnsi="Times New Roman"/>
          <w:sz w:val="18"/>
          <w:szCs w:val="18"/>
        </w:rPr>
      </w:pPr>
      <w:r>
        <w:rPr>
          <w:rFonts w:ascii="Arial" w:eastAsia="宋体" w:hAnsi="Arial" w:cs="Arial"/>
          <w:color w:val="0071C5"/>
          <w:sz w:val="18"/>
          <w:szCs w:val="18"/>
        </w:rPr>
        <w:t>Changes in the mix of products sold can impact our financial results</w:t>
      </w:r>
      <w:r>
        <w:rPr>
          <w:rFonts w:ascii="Arial" w:eastAsia="宋体" w:hAnsi="Arial" w:cs="Arial"/>
          <w:color w:val="0071C5"/>
          <w:sz w:val="18"/>
          <w:szCs w:val="18"/>
        </w:rPr>
        <w:t xml:space="preserve">. </w:t>
      </w:r>
      <w:r>
        <w:rPr>
          <w:rFonts w:ascii="Arial" w:eastAsia="宋体" w:hAnsi="Arial" w:cs="Arial"/>
          <w:color w:val="333333"/>
          <w:sz w:val="18"/>
          <w:szCs w:val="18"/>
        </w:rPr>
        <w:t>Our pricing and margins vary across our products and market segments due in part to marketability of our product</w:t>
      </w:r>
      <w:r>
        <w:rPr>
          <w:rFonts w:ascii="Arial" w:eastAsia="宋体" w:hAnsi="Arial" w:cs="Arial"/>
          <w:color w:val="333333"/>
          <w:sz w:val="18"/>
          <w:szCs w:val="18"/>
        </w:rPr>
        <w:t>s and differences in their features or manufacturing costs. For example, our platform product offerings range from lower-priced and entry-level platforms, such as those based on Intel Atom</w:t>
      </w:r>
      <w:r>
        <w:rPr>
          <w:rFonts w:ascii="Arial" w:eastAsia="宋体" w:hAnsi="Arial" w:cs="Arial"/>
          <w:color w:val="333333"/>
          <w:sz w:val="12"/>
          <w:szCs w:val="12"/>
        </w:rPr>
        <w:t>®</w:t>
      </w:r>
      <w:r>
        <w:rPr>
          <w:rFonts w:ascii="Arial" w:eastAsia="宋体" w:hAnsi="Arial" w:cs="Arial"/>
          <w:color w:val="333333"/>
          <w:sz w:val="18"/>
          <w:szCs w:val="18"/>
        </w:rPr>
        <w:t xml:space="preserve"> processors, to higher-end platforms based on Intel</w:t>
      </w:r>
      <w:r>
        <w:rPr>
          <w:rFonts w:ascii="Arial" w:eastAsia="宋体" w:hAnsi="Arial" w:cs="Arial"/>
          <w:color w:val="333333"/>
          <w:sz w:val="12"/>
          <w:szCs w:val="12"/>
        </w:rPr>
        <w:t>®</w:t>
      </w:r>
      <w:r>
        <w:rPr>
          <w:rFonts w:ascii="Arial" w:eastAsia="宋体" w:hAnsi="Arial" w:cs="Arial"/>
          <w:color w:val="333333"/>
          <w:sz w:val="18"/>
          <w:szCs w:val="18"/>
        </w:rPr>
        <w:t xml:space="preserve"> Xeon</w:t>
      </w:r>
      <w:r>
        <w:rPr>
          <w:rFonts w:ascii="Arial" w:eastAsia="宋体" w:hAnsi="Arial" w:cs="Arial"/>
          <w:color w:val="333333"/>
          <w:sz w:val="12"/>
          <w:szCs w:val="12"/>
        </w:rPr>
        <w:t>®</w:t>
      </w:r>
      <w:r>
        <w:rPr>
          <w:rFonts w:ascii="Arial" w:eastAsia="宋体" w:hAnsi="Arial" w:cs="Arial"/>
          <w:color w:val="333333"/>
          <w:sz w:val="18"/>
          <w:szCs w:val="18"/>
        </w:rPr>
        <w:t xml:space="preserve"> processo</w:t>
      </w:r>
      <w:r>
        <w:rPr>
          <w:rFonts w:ascii="Arial" w:eastAsia="宋体" w:hAnsi="Arial" w:cs="Arial"/>
          <w:color w:val="333333"/>
          <w:sz w:val="18"/>
          <w:szCs w:val="18"/>
        </w:rPr>
        <w:t>rs. Our adjacent products also typically have significantly lower margins than our higher-priced platform products. To the extent demand shifts from our higher-priced to lower-priced platform products in any of our market segments, or our adjacent products</w:t>
      </w:r>
      <w:r>
        <w:rPr>
          <w:rFonts w:ascii="Arial" w:eastAsia="宋体" w:hAnsi="Arial" w:cs="Arial"/>
          <w:color w:val="333333"/>
          <w:sz w:val="18"/>
          <w:szCs w:val="18"/>
        </w:rPr>
        <w:t xml:space="preserve"> represent an increasingly greater share of our mix of products sold, our gross margin percentage may decrease.</w:t>
      </w:r>
    </w:p>
    <w:p w14:paraId="4ACE35E7" w14:textId="77777777" w:rsidR="006F587A" w:rsidRDefault="007B2B61">
      <w:pPr>
        <w:spacing w:line="288" w:lineRule="auto"/>
        <w:rPr>
          <w:rFonts w:ascii="Times New Roman" w:hAnsi="Times New Roman"/>
        </w:rPr>
      </w:pPr>
      <w:r>
        <w:rPr>
          <w:rFonts w:ascii="Arial" w:eastAsia="宋体" w:hAnsi="Arial" w:cs="Arial"/>
          <w:b/>
          <w:bCs/>
          <w:color w:val="0071C5"/>
        </w:rPr>
        <w:t>WE OPERATE GLOBALLY AND ARE SUBJECT TO SIGNIFICANT RISKS IN MANY JURISDICTIONS.</w:t>
      </w:r>
    </w:p>
    <w:p w14:paraId="4ACE35E8" w14:textId="77777777" w:rsidR="006F587A" w:rsidRDefault="007B2B61">
      <w:pPr>
        <w:spacing w:line="288" w:lineRule="auto"/>
        <w:rPr>
          <w:rFonts w:ascii="Times New Roman" w:hAnsi="Times New Roman"/>
          <w:sz w:val="18"/>
          <w:szCs w:val="18"/>
        </w:rPr>
      </w:pPr>
      <w:r>
        <w:rPr>
          <w:rFonts w:ascii="Arial" w:eastAsia="宋体" w:hAnsi="Arial" w:cs="Arial"/>
          <w:color w:val="0071C5"/>
          <w:sz w:val="18"/>
          <w:szCs w:val="18"/>
        </w:rPr>
        <w:t>Global or regional conditions can harm our financial results.</w:t>
      </w:r>
      <w:r>
        <w:rPr>
          <w:rFonts w:ascii="Arial" w:eastAsia="宋体" w:hAnsi="Arial" w:cs="Arial"/>
          <w:color w:val="333333"/>
          <w:sz w:val="18"/>
          <w:szCs w:val="18"/>
        </w:rPr>
        <w:t xml:space="preserve"> We</w:t>
      </w:r>
      <w:r>
        <w:rPr>
          <w:rFonts w:ascii="Arial" w:eastAsia="宋体" w:hAnsi="Arial" w:cs="Arial"/>
          <w:color w:val="333333"/>
          <w:sz w:val="18"/>
          <w:szCs w:val="18"/>
        </w:rPr>
        <w:t xml:space="preserve"> have manufacturing, assembly and test, R&amp;D, sales, and other operations in many countries, and some of our business activities are concentrated in one or more geographic areas. Moreover, sales outside the U.S. accounted for approximately 78% of our revenu</w:t>
      </w:r>
      <w:r>
        <w:rPr>
          <w:rFonts w:ascii="Arial" w:eastAsia="宋体" w:hAnsi="Arial" w:cs="Arial"/>
          <w:color w:val="333333"/>
          <w:sz w:val="18"/>
          <w:szCs w:val="18"/>
        </w:rPr>
        <w:t>e for the fiscal year ended December 28, 2019, with revenue from billings to China, including Hong Kong, contributing approximately 28% of our total revenue. As a result, our operations and our financial results, including our ability to manufacture, assem</w:t>
      </w:r>
      <w:r>
        <w:rPr>
          <w:rFonts w:ascii="Arial" w:eastAsia="宋体" w:hAnsi="Arial" w:cs="Arial"/>
          <w:color w:val="333333"/>
          <w:sz w:val="18"/>
          <w:szCs w:val="18"/>
        </w:rPr>
        <w:t xml:space="preserve">ble and test, design, develop, or sell products, and the demand for our products, are at times adversely affected by a number of global and regional factors outside of our control. </w:t>
      </w:r>
    </w:p>
    <w:p w14:paraId="4ACE35E9"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Adverse changes in global or regional economic conditions, including reces</w:t>
      </w:r>
      <w:r>
        <w:rPr>
          <w:rFonts w:ascii="Arial" w:eastAsia="宋体" w:hAnsi="Arial" w:cs="Arial"/>
          <w:color w:val="333333"/>
          <w:sz w:val="18"/>
          <w:szCs w:val="18"/>
        </w:rPr>
        <w:t>sion or slowing growth, changes or uncertainty in fiscal, monetary, or trade policy, higher interest rates, tighter credit, inflation, lower capital expenditures by businesses including on IT infrastructure, increases in unemployment, and lower consumer co</w:t>
      </w:r>
      <w:r>
        <w:rPr>
          <w:rFonts w:ascii="Arial" w:eastAsia="宋体" w:hAnsi="Arial" w:cs="Arial"/>
          <w:color w:val="333333"/>
          <w:sz w:val="18"/>
          <w:szCs w:val="18"/>
        </w:rPr>
        <w:t>nfidence and spending, periodically occur and can significantly harm demand for our products and make it more challenging to forecast our operating results and make business decisions, including regarding prioritization of investments in our business. An e</w:t>
      </w:r>
      <w:r>
        <w:rPr>
          <w:rFonts w:ascii="Arial" w:eastAsia="宋体" w:hAnsi="Arial" w:cs="Arial"/>
          <w:color w:val="333333"/>
          <w:sz w:val="18"/>
          <w:szCs w:val="18"/>
        </w:rPr>
        <w:t>conomic downturn or increased uncertainty may also lead to increased credit and collectability risks, higher borrowing costs or limits on our access to capital markets, reduced liquidity, adverse impacts on our suppliers, failures of counterparties and oth</w:t>
      </w:r>
      <w:r>
        <w:rPr>
          <w:rFonts w:ascii="Arial" w:eastAsia="宋体" w:hAnsi="Arial" w:cs="Arial"/>
          <w:color w:val="333333"/>
          <w:sz w:val="18"/>
          <w:szCs w:val="18"/>
        </w:rPr>
        <w:t>er financial institutions, and declines in the value of our financial instruments.</w:t>
      </w:r>
    </w:p>
    <w:p w14:paraId="4ACE35EA"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International trade disputes at times result in increased tariffs, trade barriers, and other protectionist measures that can increase our manufacturing costs, make our produ</w:t>
      </w:r>
      <w:r>
        <w:rPr>
          <w:rFonts w:ascii="Arial" w:eastAsia="宋体" w:hAnsi="Arial" w:cs="Arial"/>
          <w:color w:val="333333"/>
          <w:sz w:val="18"/>
          <w:szCs w:val="18"/>
        </w:rPr>
        <w:t>cts less competitive, reduce demand for our products, limit our ability to sell to certain customers, limit our ability to procure components or raw materials, or impede or slow the movement of our goods across borders. Increasing protectionism and economi</w:t>
      </w:r>
      <w:r>
        <w:rPr>
          <w:rFonts w:ascii="Arial" w:eastAsia="宋体" w:hAnsi="Arial" w:cs="Arial"/>
          <w:color w:val="333333"/>
          <w:sz w:val="18"/>
          <w:szCs w:val="18"/>
        </w:rPr>
        <w:t xml:space="preserve">c nationalism may lead to further changes in trade policy, domestic sourcing initiatives, or other formal and informal measures that could make it more difficult to sell our products in, or restrict our access to, some markets. </w:t>
      </w:r>
    </w:p>
    <w:p w14:paraId="4ACE35EB"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Escalating trade tensions b</w:t>
      </w:r>
      <w:r>
        <w:rPr>
          <w:rFonts w:ascii="Arial" w:eastAsia="宋体" w:hAnsi="Arial" w:cs="Arial"/>
          <w:color w:val="333333"/>
          <w:sz w:val="18"/>
          <w:szCs w:val="18"/>
        </w:rPr>
        <w:t>etween the U.S. and China have led to increased tariffs and trade restrictions, including tariffs applicable to some of our products, and have affected customer ordering patterns. The U.S. has imposed restrictions on the export of U.S.-regulated products a</w:t>
      </w:r>
      <w:r>
        <w:rPr>
          <w:rFonts w:ascii="Arial" w:eastAsia="宋体" w:hAnsi="Arial" w:cs="Arial"/>
          <w:color w:val="333333"/>
          <w:sz w:val="18"/>
          <w:szCs w:val="18"/>
        </w:rPr>
        <w:t xml:space="preserve">nd technology to certain Chinese technology companies, including certain of our customers. These restrictions have reduced our sales, and continuing or future restrictions could adversely affect our financial results, result in reputational harm to us due </w:t>
      </w:r>
      <w:r>
        <w:rPr>
          <w:rFonts w:ascii="Arial" w:eastAsia="宋体" w:hAnsi="Arial" w:cs="Arial"/>
          <w:color w:val="333333"/>
          <w:sz w:val="18"/>
          <w:szCs w:val="18"/>
        </w:rPr>
        <w:t>to our relationship with such companies, or lead such companies to develop or adopt technologies that compete with our products. It is difficult to predict what further trade-related actions governments may take, which may include additional or increased t</w:t>
      </w:r>
      <w:r>
        <w:rPr>
          <w:rFonts w:ascii="Arial" w:eastAsia="宋体" w:hAnsi="Arial" w:cs="Arial"/>
          <w:color w:val="333333"/>
          <w:sz w:val="18"/>
          <w:szCs w:val="18"/>
        </w:rPr>
        <w:t>ariffs and trade restrictions, and we may be unable to quickly and effectively react to such actions. For example, U.S. legislation has expanded the power of the U.S. Department of Commerce to restrict the export of “emerging and foundational technologies”</w:t>
      </w:r>
      <w:r>
        <w:rPr>
          <w:rFonts w:ascii="Arial" w:eastAsia="宋体" w:hAnsi="Arial" w:cs="Arial"/>
          <w:color w:val="333333"/>
          <w:sz w:val="18"/>
          <w:szCs w:val="18"/>
        </w:rPr>
        <w:t xml:space="preserve"> yet to be identified, which could impact our current or future products.</w:t>
      </w:r>
    </w:p>
    <w:p w14:paraId="4ACE35EC"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243"/>
        <w:gridCol w:w="2658"/>
        <w:gridCol w:w="3405"/>
      </w:tblGrid>
      <w:tr w:rsidR="006F587A" w14:paraId="4ACE35EE" w14:textId="77777777">
        <w:tc>
          <w:tcPr>
            <w:tcW w:w="0" w:type="auto"/>
            <w:gridSpan w:val="3"/>
            <w:shd w:val="clear" w:color="auto" w:fill="auto"/>
            <w:vAlign w:val="center"/>
          </w:tcPr>
          <w:p w14:paraId="4ACE35ED" w14:textId="77777777" w:rsidR="006F587A" w:rsidRDefault="006F587A">
            <w:pPr>
              <w:rPr>
                <w:rFonts w:ascii="Times New Roman" w:hAnsi="Times New Roman"/>
                <w:sz w:val="20"/>
                <w:szCs w:val="20"/>
              </w:rPr>
            </w:pPr>
          </w:p>
        </w:tc>
      </w:tr>
      <w:tr w:rsidR="006F587A" w14:paraId="4ACE35F2" w14:textId="77777777">
        <w:tc>
          <w:tcPr>
            <w:tcW w:w="1350" w:type="pct"/>
            <w:shd w:val="clear" w:color="auto" w:fill="auto"/>
            <w:vAlign w:val="center"/>
          </w:tcPr>
          <w:p w14:paraId="4ACE35EF" w14:textId="77777777" w:rsidR="006F587A" w:rsidRDefault="006F587A">
            <w:pPr>
              <w:rPr>
                <w:rFonts w:ascii="Times New Roman" w:hAnsi="Times New Roman"/>
                <w:sz w:val="20"/>
                <w:szCs w:val="20"/>
              </w:rPr>
            </w:pPr>
          </w:p>
        </w:tc>
        <w:tc>
          <w:tcPr>
            <w:tcW w:w="1600" w:type="pct"/>
            <w:shd w:val="clear" w:color="auto" w:fill="auto"/>
            <w:vAlign w:val="center"/>
          </w:tcPr>
          <w:p w14:paraId="4ACE35F0" w14:textId="77777777" w:rsidR="006F587A" w:rsidRDefault="006F587A">
            <w:pPr>
              <w:rPr>
                <w:rFonts w:ascii="Times New Roman" w:hAnsi="Times New Roman"/>
                <w:sz w:val="20"/>
                <w:szCs w:val="20"/>
              </w:rPr>
            </w:pPr>
          </w:p>
        </w:tc>
        <w:tc>
          <w:tcPr>
            <w:tcW w:w="2050" w:type="pct"/>
            <w:shd w:val="clear" w:color="auto" w:fill="auto"/>
            <w:vAlign w:val="center"/>
          </w:tcPr>
          <w:p w14:paraId="4ACE35F1" w14:textId="77777777" w:rsidR="006F587A" w:rsidRDefault="006F587A">
            <w:pPr>
              <w:rPr>
                <w:rFonts w:ascii="Times New Roman" w:hAnsi="Times New Roman"/>
                <w:sz w:val="20"/>
                <w:szCs w:val="20"/>
              </w:rPr>
            </w:pPr>
          </w:p>
        </w:tc>
      </w:tr>
      <w:tr w:rsidR="006F587A" w14:paraId="4ACE35F6"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35F3" w14:textId="77777777" w:rsidR="006F587A" w:rsidRDefault="007B2B61">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82" wp14:editId="4ACE6D83">
                  <wp:extent cx="304800" cy="304800"/>
                  <wp:effectExtent l="0" t="0" r="0" b="0"/>
                  <wp:docPr id="24" name="图片 241"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1"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OTHER KEY INFORMATION</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5F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5F5"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52</w:t>
            </w:r>
          </w:p>
        </w:tc>
      </w:tr>
    </w:tbl>
    <w:p w14:paraId="4ACE35F7" w14:textId="77777777" w:rsidR="006F587A" w:rsidRDefault="007B2B61">
      <w:r>
        <w:lastRenderedPageBreak/>
        <w:pict w14:anchorId="4ACE6D84">
          <v:rect id="_x0000_i1078" style="width:415.3pt;height:1.5pt" o:hralign="center" o:hrstd="t" o:hr="t" fillcolor="#a0a0a0" stroked="f"/>
        </w:pict>
      </w:r>
    </w:p>
    <w:p w14:paraId="4ACE35F8" w14:textId="77777777" w:rsidR="006F587A" w:rsidRDefault="007B2B61">
      <w:pPr>
        <w:spacing w:line="288" w:lineRule="auto"/>
        <w:jc w:val="right"/>
        <w:rPr>
          <w:rFonts w:ascii="Times New Roman" w:hAnsi="Times New Roman"/>
          <w:sz w:val="16"/>
          <w:szCs w:val="16"/>
        </w:rPr>
      </w:pPr>
      <w:hyperlink r:id="rId85" w:anchor="s9DB683E2CF52561EB8A73BE37F5BF9BE" w:history="1">
        <w:r>
          <w:rPr>
            <w:rStyle w:val="a5"/>
            <w:rFonts w:ascii="Arial" w:eastAsia="宋体" w:hAnsi="Arial" w:cs="Arial"/>
            <w:b/>
            <w:bCs/>
            <w:sz w:val="16"/>
            <w:szCs w:val="16"/>
          </w:rPr>
          <w:t>Table of Contents</w:t>
        </w:r>
      </w:hyperlink>
    </w:p>
    <w:p w14:paraId="4ACE35F9" w14:textId="77777777" w:rsidR="006F587A" w:rsidRDefault="006F587A">
      <w:pPr>
        <w:spacing w:line="288" w:lineRule="auto"/>
        <w:jc w:val="right"/>
        <w:rPr>
          <w:rFonts w:ascii="Times New Roman" w:hAnsi="Times New Roman"/>
          <w:sz w:val="16"/>
          <w:szCs w:val="16"/>
        </w:rPr>
      </w:pPr>
    </w:p>
    <w:p w14:paraId="4ACE35FA" w14:textId="77777777" w:rsidR="006F587A" w:rsidRDefault="006F587A">
      <w:pPr>
        <w:rPr>
          <w:rFonts w:ascii="Times New Roman" w:hAnsi="Times New Roman"/>
          <w:sz w:val="20"/>
          <w:szCs w:val="20"/>
        </w:rPr>
      </w:pPr>
    </w:p>
    <w:p w14:paraId="4ACE35FB"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Trade disputes and protectionist measures, or continued </w:t>
      </w:r>
      <w:r>
        <w:rPr>
          <w:rFonts w:ascii="Arial" w:eastAsia="宋体" w:hAnsi="Arial" w:cs="Arial"/>
          <w:color w:val="333333"/>
          <w:sz w:val="18"/>
          <w:szCs w:val="18"/>
        </w:rPr>
        <w:t xml:space="preserve">uncertainty about such matters, could result in declining consumer confidence and slowing economic growth or recession, and could cause our customers to reduce, cancel, or alter the timing of their purchases with us. Sustained trade tensions could lead to </w:t>
      </w:r>
      <w:r>
        <w:rPr>
          <w:rFonts w:ascii="Arial" w:eastAsia="宋体" w:hAnsi="Arial" w:cs="Arial"/>
          <w:color w:val="333333"/>
          <w:sz w:val="18"/>
          <w:szCs w:val="18"/>
        </w:rPr>
        <w:t>long-term changes in global trade and technology supply chains, which could adversely affect our business and growth prospects.</w:t>
      </w:r>
    </w:p>
    <w:p w14:paraId="4ACE35FC"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can be adversely affected by other global and regional factors that periodically occur, including:</w:t>
      </w: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6F587A" w14:paraId="4ACE35FF" w14:textId="77777777">
        <w:trPr>
          <w:tblCellSpacing w:w="0" w:type="dxa"/>
        </w:trPr>
        <w:tc>
          <w:tcPr>
            <w:tcW w:w="480" w:type="dxa"/>
            <w:shd w:val="clear" w:color="auto" w:fill="auto"/>
            <w:vAlign w:val="center"/>
          </w:tcPr>
          <w:p w14:paraId="4ACE35FD" w14:textId="77777777" w:rsidR="006F587A" w:rsidRDefault="006F587A">
            <w:pPr>
              <w:rPr>
                <w:rFonts w:ascii="Times New Roman" w:hAnsi="Times New Roman"/>
                <w:sz w:val="20"/>
                <w:szCs w:val="20"/>
              </w:rPr>
            </w:pPr>
          </w:p>
        </w:tc>
        <w:tc>
          <w:tcPr>
            <w:tcW w:w="0" w:type="auto"/>
            <w:shd w:val="clear" w:color="auto" w:fill="auto"/>
            <w:vAlign w:val="center"/>
          </w:tcPr>
          <w:p w14:paraId="4ACE35FE" w14:textId="77777777" w:rsidR="006F587A" w:rsidRDefault="006F587A">
            <w:pPr>
              <w:rPr>
                <w:rFonts w:ascii="Times New Roman" w:hAnsi="Times New Roman"/>
                <w:sz w:val="20"/>
                <w:szCs w:val="20"/>
              </w:rPr>
            </w:pPr>
          </w:p>
        </w:tc>
      </w:tr>
      <w:tr w:rsidR="006F587A" w14:paraId="4ACE3602" w14:textId="77777777">
        <w:trPr>
          <w:tblCellSpacing w:w="0" w:type="dxa"/>
        </w:trPr>
        <w:tc>
          <w:tcPr>
            <w:tcW w:w="0" w:type="auto"/>
            <w:shd w:val="clear" w:color="auto" w:fill="auto"/>
          </w:tcPr>
          <w:p w14:paraId="4ACE3600"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601"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geopolitical and security issues, such as armed conflict and civil or military unrest, political instability, human rights concerns, and terrorist activity, including, for example, geopolitical tensions and conflict affecting Israel, where our Mobileye bus</w:t>
            </w:r>
            <w:r>
              <w:rPr>
                <w:rFonts w:ascii="Arial" w:eastAsia="宋体" w:hAnsi="Arial" w:cs="Arial"/>
                <w:color w:val="333333"/>
                <w:sz w:val="18"/>
                <w:szCs w:val="18"/>
              </w:rPr>
              <w:t>iness headquarters and certain of our fabrication facilities are located;</w:t>
            </w:r>
          </w:p>
        </w:tc>
      </w:tr>
    </w:tbl>
    <w:p w14:paraId="4ACE3603"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5504"/>
      </w:tblGrid>
      <w:tr w:rsidR="006F587A" w14:paraId="4ACE3606" w14:textId="77777777">
        <w:trPr>
          <w:tblCellSpacing w:w="0" w:type="dxa"/>
        </w:trPr>
        <w:tc>
          <w:tcPr>
            <w:tcW w:w="480" w:type="dxa"/>
            <w:shd w:val="clear" w:color="auto" w:fill="auto"/>
            <w:vAlign w:val="center"/>
          </w:tcPr>
          <w:p w14:paraId="4ACE3604" w14:textId="77777777" w:rsidR="006F587A" w:rsidRDefault="006F587A">
            <w:pPr>
              <w:rPr>
                <w:rFonts w:ascii="Times New Roman" w:hAnsi="Times New Roman"/>
                <w:sz w:val="20"/>
                <w:szCs w:val="20"/>
              </w:rPr>
            </w:pPr>
          </w:p>
        </w:tc>
        <w:tc>
          <w:tcPr>
            <w:tcW w:w="0" w:type="auto"/>
            <w:shd w:val="clear" w:color="auto" w:fill="auto"/>
            <w:vAlign w:val="center"/>
          </w:tcPr>
          <w:p w14:paraId="4ACE3605" w14:textId="77777777" w:rsidR="006F587A" w:rsidRDefault="006F587A">
            <w:pPr>
              <w:rPr>
                <w:rFonts w:ascii="Times New Roman" w:hAnsi="Times New Roman"/>
                <w:sz w:val="20"/>
                <w:szCs w:val="20"/>
              </w:rPr>
            </w:pPr>
          </w:p>
        </w:tc>
      </w:tr>
      <w:tr w:rsidR="006F587A" w14:paraId="4ACE3609" w14:textId="77777777">
        <w:trPr>
          <w:tblCellSpacing w:w="0" w:type="dxa"/>
        </w:trPr>
        <w:tc>
          <w:tcPr>
            <w:tcW w:w="0" w:type="auto"/>
            <w:shd w:val="clear" w:color="auto" w:fill="auto"/>
          </w:tcPr>
          <w:p w14:paraId="4ACE3607"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608"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natural disasters, public health issues, and other catastrophic events;</w:t>
            </w:r>
          </w:p>
        </w:tc>
      </w:tr>
    </w:tbl>
    <w:p w14:paraId="4ACE360A"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6F587A" w14:paraId="4ACE360D" w14:textId="77777777">
        <w:trPr>
          <w:tblCellSpacing w:w="0" w:type="dxa"/>
        </w:trPr>
        <w:tc>
          <w:tcPr>
            <w:tcW w:w="480" w:type="dxa"/>
            <w:shd w:val="clear" w:color="auto" w:fill="auto"/>
            <w:vAlign w:val="center"/>
          </w:tcPr>
          <w:p w14:paraId="4ACE360B" w14:textId="77777777" w:rsidR="006F587A" w:rsidRDefault="006F587A">
            <w:pPr>
              <w:rPr>
                <w:rFonts w:ascii="Times New Roman" w:hAnsi="Times New Roman"/>
                <w:sz w:val="20"/>
                <w:szCs w:val="20"/>
              </w:rPr>
            </w:pPr>
          </w:p>
        </w:tc>
        <w:tc>
          <w:tcPr>
            <w:tcW w:w="0" w:type="auto"/>
            <w:shd w:val="clear" w:color="auto" w:fill="auto"/>
            <w:vAlign w:val="center"/>
          </w:tcPr>
          <w:p w14:paraId="4ACE360C" w14:textId="77777777" w:rsidR="006F587A" w:rsidRDefault="006F587A">
            <w:pPr>
              <w:rPr>
                <w:rFonts w:ascii="Times New Roman" w:hAnsi="Times New Roman"/>
                <w:sz w:val="20"/>
                <w:szCs w:val="20"/>
              </w:rPr>
            </w:pPr>
          </w:p>
        </w:tc>
      </w:tr>
      <w:tr w:rsidR="006F587A" w14:paraId="4ACE3610" w14:textId="77777777">
        <w:trPr>
          <w:tblCellSpacing w:w="0" w:type="dxa"/>
        </w:trPr>
        <w:tc>
          <w:tcPr>
            <w:tcW w:w="0" w:type="auto"/>
            <w:shd w:val="clear" w:color="auto" w:fill="auto"/>
          </w:tcPr>
          <w:p w14:paraId="4ACE360E"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60F"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inefficient infrastructure and other disruptions, such as supply chain </w:t>
            </w:r>
            <w:r>
              <w:rPr>
                <w:rFonts w:ascii="Arial" w:eastAsia="宋体" w:hAnsi="Arial" w:cs="Arial"/>
                <w:color w:val="333333"/>
                <w:sz w:val="18"/>
                <w:szCs w:val="18"/>
              </w:rPr>
              <w:t>interruptions and large-scale outages or unreliable provision of services from utilities, transportation, data hosting, or telecommunications providers;</w:t>
            </w:r>
          </w:p>
        </w:tc>
      </w:tr>
    </w:tbl>
    <w:p w14:paraId="4ACE3611"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6F587A" w14:paraId="4ACE3614" w14:textId="77777777">
        <w:trPr>
          <w:tblCellSpacing w:w="0" w:type="dxa"/>
        </w:trPr>
        <w:tc>
          <w:tcPr>
            <w:tcW w:w="480" w:type="dxa"/>
            <w:shd w:val="clear" w:color="auto" w:fill="auto"/>
            <w:vAlign w:val="center"/>
          </w:tcPr>
          <w:p w14:paraId="4ACE3612" w14:textId="77777777" w:rsidR="006F587A" w:rsidRDefault="006F587A">
            <w:pPr>
              <w:rPr>
                <w:rFonts w:ascii="Times New Roman" w:hAnsi="Times New Roman"/>
                <w:sz w:val="20"/>
                <w:szCs w:val="20"/>
              </w:rPr>
            </w:pPr>
          </w:p>
        </w:tc>
        <w:tc>
          <w:tcPr>
            <w:tcW w:w="0" w:type="auto"/>
            <w:shd w:val="clear" w:color="auto" w:fill="auto"/>
            <w:vAlign w:val="center"/>
          </w:tcPr>
          <w:p w14:paraId="4ACE3613" w14:textId="77777777" w:rsidR="006F587A" w:rsidRDefault="006F587A">
            <w:pPr>
              <w:rPr>
                <w:rFonts w:ascii="Times New Roman" w:hAnsi="Times New Roman"/>
                <w:sz w:val="20"/>
                <w:szCs w:val="20"/>
              </w:rPr>
            </w:pPr>
          </w:p>
        </w:tc>
      </w:tr>
      <w:tr w:rsidR="006F587A" w14:paraId="4ACE3617" w14:textId="77777777">
        <w:trPr>
          <w:tblCellSpacing w:w="0" w:type="dxa"/>
        </w:trPr>
        <w:tc>
          <w:tcPr>
            <w:tcW w:w="0" w:type="auto"/>
            <w:shd w:val="clear" w:color="auto" w:fill="auto"/>
          </w:tcPr>
          <w:p w14:paraId="4ACE3615"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616"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formal or informal imposition of new or revised export, import, or doing-business </w:t>
            </w:r>
            <w:r>
              <w:rPr>
                <w:rFonts w:ascii="Arial" w:eastAsia="宋体" w:hAnsi="Arial" w:cs="Arial"/>
                <w:color w:val="333333"/>
                <w:sz w:val="18"/>
                <w:szCs w:val="18"/>
              </w:rPr>
              <w:t>regulations, including trade sanctions, tariffs, and changes in the ability to obtain export licenses, which could be changed without notice;</w:t>
            </w:r>
          </w:p>
        </w:tc>
      </w:tr>
    </w:tbl>
    <w:p w14:paraId="4ACE3618"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6F587A" w14:paraId="4ACE361B" w14:textId="77777777">
        <w:trPr>
          <w:tblCellSpacing w:w="0" w:type="dxa"/>
        </w:trPr>
        <w:tc>
          <w:tcPr>
            <w:tcW w:w="480" w:type="dxa"/>
            <w:shd w:val="clear" w:color="auto" w:fill="auto"/>
            <w:vAlign w:val="center"/>
          </w:tcPr>
          <w:p w14:paraId="4ACE3619" w14:textId="77777777" w:rsidR="006F587A" w:rsidRDefault="006F587A">
            <w:pPr>
              <w:rPr>
                <w:rFonts w:ascii="Times New Roman" w:hAnsi="Times New Roman"/>
                <w:sz w:val="20"/>
                <w:szCs w:val="20"/>
              </w:rPr>
            </w:pPr>
          </w:p>
        </w:tc>
        <w:tc>
          <w:tcPr>
            <w:tcW w:w="0" w:type="auto"/>
            <w:shd w:val="clear" w:color="auto" w:fill="auto"/>
            <w:vAlign w:val="center"/>
          </w:tcPr>
          <w:p w14:paraId="4ACE361A" w14:textId="77777777" w:rsidR="006F587A" w:rsidRDefault="006F587A">
            <w:pPr>
              <w:rPr>
                <w:rFonts w:ascii="Times New Roman" w:hAnsi="Times New Roman"/>
                <w:sz w:val="20"/>
                <w:szCs w:val="20"/>
              </w:rPr>
            </w:pPr>
          </w:p>
        </w:tc>
      </w:tr>
      <w:tr w:rsidR="006F587A" w14:paraId="4ACE361E" w14:textId="77777777">
        <w:trPr>
          <w:tblCellSpacing w:w="0" w:type="dxa"/>
        </w:trPr>
        <w:tc>
          <w:tcPr>
            <w:tcW w:w="0" w:type="auto"/>
            <w:shd w:val="clear" w:color="auto" w:fill="auto"/>
          </w:tcPr>
          <w:p w14:paraId="4ACE361C"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61D"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government restrictions on, or nationalization of, our operations in any country, or </w:t>
            </w:r>
            <w:r>
              <w:rPr>
                <w:rFonts w:ascii="Arial" w:eastAsia="宋体" w:hAnsi="Arial" w:cs="Arial"/>
                <w:color w:val="333333"/>
                <w:sz w:val="18"/>
                <w:szCs w:val="18"/>
              </w:rPr>
              <w:t>restrictions on our ability to repatriate earnings from a particular country;</w:t>
            </w:r>
          </w:p>
        </w:tc>
      </w:tr>
    </w:tbl>
    <w:p w14:paraId="4ACE361F"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304"/>
      </w:tblGrid>
      <w:tr w:rsidR="006F587A" w14:paraId="4ACE3622" w14:textId="77777777">
        <w:trPr>
          <w:tblCellSpacing w:w="0" w:type="dxa"/>
        </w:trPr>
        <w:tc>
          <w:tcPr>
            <w:tcW w:w="480" w:type="dxa"/>
            <w:shd w:val="clear" w:color="auto" w:fill="auto"/>
            <w:vAlign w:val="center"/>
          </w:tcPr>
          <w:p w14:paraId="4ACE3620" w14:textId="77777777" w:rsidR="006F587A" w:rsidRDefault="006F587A">
            <w:pPr>
              <w:rPr>
                <w:rFonts w:ascii="Times New Roman" w:hAnsi="Times New Roman"/>
                <w:sz w:val="20"/>
                <w:szCs w:val="20"/>
              </w:rPr>
            </w:pPr>
          </w:p>
        </w:tc>
        <w:tc>
          <w:tcPr>
            <w:tcW w:w="0" w:type="auto"/>
            <w:shd w:val="clear" w:color="auto" w:fill="auto"/>
            <w:vAlign w:val="center"/>
          </w:tcPr>
          <w:p w14:paraId="4ACE3621" w14:textId="77777777" w:rsidR="006F587A" w:rsidRDefault="006F587A">
            <w:pPr>
              <w:rPr>
                <w:rFonts w:ascii="Times New Roman" w:hAnsi="Times New Roman"/>
                <w:sz w:val="20"/>
                <w:szCs w:val="20"/>
              </w:rPr>
            </w:pPr>
          </w:p>
        </w:tc>
      </w:tr>
      <w:tr w:rsidR="006F587A" w14:paraId="4ACE3625" w14:textId="77777777">
        <w:trPr>
          <w:tblCellSpacing w:w="0" w:type="dxa"/>
        </w:trPr>
        <w:tc>
          <w:tcPr>
            <w:tcW w:w="0" w:type="auto"/>
            <w:shd w:val="clear" w:color="auto" w:fill="auto"/>
          </w:tcPr>
          <w:p w14:paraId="4ACE3623"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624"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adverse changes relating to government grants, tax credits, or other government incentives;</w:t>
            </w:r>
          </w:p>
        </w:tc>
      </w:tr>
    </w:tbl>
    <w:p w14:paraId="4ACE3626"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3852"/>
      </w:tblGrid>
      <w:tr w:rsidR="006F587A" w14:paraId="4ACE3629" w14:textId="77777777">
        <w:trPr>
          <w:tblCellSpacing w:w="0" w:type="dxa"/>
        </w:trPr>
        <w:tc>
          <w:tcPr>
            <w:tcW w:w="480" w:type="dxa"/>
            <w:shd w:val="clear" w:color="auto" w:fill="auto"/>
            <w:vAlign w:val="center"/>
          </w:tcPr>
          <w:p w14:paraId="4ACE3627" w14:textId="77777777" w:rsidR="006F587A" w:rsidRDefault="006F587A">
            <w:pPr>
              <w:rPr>
                <w:rFonts w:ascii="Times New Roman" w:hAnsi="Times New Roman"/>
                <w:sz w:val="20"/>
                <w:szCs w:val="20"/>
              </w:rPr>
            </w:pPr>
          </w:p>
        </w:tc>
        <w:tc>
          <w:tcPr>
            <w:tcW w:w="0" w:type="auto"/>
            <w:shd w:val="clear" w:color="auto" w:fill="auto"/>
            <w:vAlign w:val="center"/>
          </w:tcPr>
          <w:p w14:paraId="4ACE3628" w14:textId="77777777" w:rsidR="006F587A" w:rsidRDefault="006F587A">
            <w:pPr>
              <w:rPr>
                <w:rFonts w:ascii="Times New Roman" w:hAnsi="Times New Roman"/>
                <w:sz w:val="20"/>
                <w:szCs w:val="20"/>
              </w:rPr>
            </w:pPr>
          </w:p>
        </w:tc>
      </w:tr>
      <w:tr w:rsidR="006F587A" w14:paraId="4ACE362C" w14:textId="77777777">
        <w:trPr>
          <w:tblCellSpacing w:w="0" w:type="dxa"/>
        </w:trPr>
        <w:tc>
          <w:tcPr>
            <w:tcW w:w="0" w:type="auto"/>
            <w:shd w:val="clear" w:color="auto" w:fill="auto"/>
          </w:tcPr>
          <w:p w14:paraId="4ACE362A"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62B"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differing employment practices and labor issues;</w:t>
            </w:r>
          </w:p>
        </w:tc>
      </w:tr>
    </w:tbl>
    <w:p w14:paraId="4ACE362D"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4913"/>
      </w:tblGrid>
      <w:tr w:rsidR="006F587A" w14:paraId="4ACE3630" w14:textId="77777777">
        <w:trPr>
          <w:tblCellSpacing w:w="0" w:type="dxa"/>
        </w:trPr>
        <w:tc>
          <w:tcPr>
            <w:tcW w:w="480" w:type="dxa"/>
            <w:shd w:val="clear" w:color="auto" w:fill="auto"/>
            <w:vAlign w:val="center"/>
          </w:tcPr>
          <w:p w14:paraId="4ACE362E" w14:textId="77777777" w:rsidR="006F587A" w:rsidRDefault="006F587A">
            <w:pPr>
              <w:rPr>
                <w:rFonts w:ascii="Times New Roman" w:hAnsi="Times New Roman"/>
                <w:sz w:val="20"/>
                <w:szCs w:val="20"/>
              </w:rPr>
            </w:pPr>
          </w:p>
        </w:tc>
        <w:tc>
          <w:tcPr>
            <w:tcW w:w="0" w:type="auto"/>
            <w:shd w:val="clear" w:color="auto" w:fill="auto"/>
            <w:vAlign w:val="center"/>
          </w:tcPr>
          <w:p w14:paraId="4ACE362F" w14:textId="77777777" w:rsidR="006F587A" w:rsidRDefault="006F587A">
            <w:pPr>
              <w:rPr>
                <w:rFonts w:ascii="Times New Roman" w:hAnsi="Times New Roman"/>
                <w:sz w:val="20"/>
                <w:szCs w:val="20"/>
              </w:rPr>
            </w:pPr>
          </w:p>
        </w:tc>
      </w:tr>
      <w:tr w:rsidR="006F587A" w14:paraId="4ACE3633" w14:textId="77777777">
        <w:trPr>
          <w:tblCellSpacing w:w="0" w:type="dxa"/>
        </w:trPr>
        <w:tc>
          <w:tcPr>
            <w:tcW w:w="0" w:type="auto"/>
            <w:shd w:val="clear" w:color="auto" w:fill="auto"/>
          </w:tcPr>
          <w:p w14:paraId="4ACE3631"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632"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ineffective legal protection of our IP rights in certain countries;</w:t>
            </w:r>
          </w:p>
        </w:tc>
      </w:tr>
    </w:tbl>
    <w:p w14:paraId="4ACE3634"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6844"/>
      </w:tblGrid>
      <w:tr w:rsidR="006F587A" w14:paraId="4ACE3637" w14:textId="77777777">
        <w:trPr>
          <w:tblCellSpacing w:w="0" w:type="dxa"/>
        </w:trPr>
        <w:tc>
          <w:tcPr>
            <w:tcW w:w="480" w:type="dxa"/>
            <w:shd w:val="clear" w:color="auto" w:fill="auto"/>
            <w:vAlign w:val="center"/>
          </w:tcPr>
          <w:p w14:paraId="4ACE3635" w14:textId="77777777" w:rsidR="006F587A" w:rsidRDefault="006F587A">
            <w:pPr>
              <w:rPr>
                <w:rFonts w:ascii="Times New Roman" w:hAnsi="Times New Roman"/>
                <w:sz w:val="20"/>
                <w:szCs w:val="20"/>
              </w:rPr>
            </w:pPr>
          </w:p>
        </w:tc>
        <w:tc>
          <w:tcPr>
            <w:tcW w:w="0" w:type="auto"/>
            <w:shd w:val="clear" w:color="auto" w:fill="auto"/>
            <w:vAlign w:val="center"/>
          </w:tcPr>
          <w:p w14:paraId="4ACE3636" w14:textId="77777777" w:rsidR="006F587A" w:rsidRDefault="006F587A">
            <w:pPr>
              <w:rPr>
                <w:rFonts w:ascii="Times New Roman" w:hAnsi="Times New Roman"/>
                <w:sz w:val="20"/>
                <w:szCs w:val="20"/>
              </w:rPr>
            </w:pPr>
          </w:p>
        </w:tc>
      </w:tr>
      <w:tr w:rsidR="006F587A" w14:paraId="4ACE363A" w14:textId="77777777">
        <w:trPr>
          <w:tblCellSpacing w:w="0" w:type="dxa"/>
        </w:trPr>
        <w:tc>
          <w:tcPr>
            <w:tcW w:w="0" w:type="auto"/>
            <w:shd w:val="clear" w:color="auto" w:fill="auto"/>
          </w:tcPr>
          <w:p w14:paraId="4ACE3638"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639"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local business and cultural factors that differ from our current standards and practices;</w:t>
            </w:r>
          </w:p>
        </w:tc>
      </w:tr>
    </w:tbl>
    <w:p w14:paraId="4ACE363B"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6F587A" w14:paraId="4ACE363E" w14:textId="77777777">
        <w:trPr>
          <w:tblCellSpacing w:w="0" w:type="dxa"/>
        </w:trPr>
        <w:tc>
          <w:tcPr>
            <w:tcW w:w="480" w:type="dxa"/>
            <w:shd w:val="clear" w:color="auto" w:fill="auto"/>
            <w:vAlign w:val="center"/>
          </w:tcPr>
          <w:p w14:paraId="4ACE363C" w14:textId="77777777" w:rsidR="006F587A" w:rsidRDefault="006F587A">
            <w:pPr>
              <w:rPr>
                <w:rFonts w:ascii="Times New Roman" w:hAnsi="Times New Roman"/>
                <w:sz w:val="20"/>
                <w:szCs w:val="20"/>
              </w:rPr>
            </w:pPr>
          </w:p>
        </w:tc>
        <w:tc>
          <w:tcPr>
            <w:tcW w:w="0" w:type="auto"/>
            <w:shd w:val="clear" w:color="auto" w:fill="auto"/>
            <w:vAlign w:val="center"/>
          </w:tcPr>
          <w:p w14:paraId="4ACE363D" w14:textId="77777777" w:rsidR="006F587A" w:rsidRDefault="006F587A">
            <w:pPr>
              <w:rPr>
                <w:rFonts w:ascii="Times New Roman" w:hAnsi="Times New Roman"/>
                <w:sz w:val="20"/>
                <w:szCs w:val="20"/>
              </w:rPr>
            </w:pPr>
          </w:p>
        </w:tc>
      </w:tr>
      <w:tr w:rsidR="006F587A" w14:paraId="4ACE3641" w14:textId="77777777">
        <w:trPr>
          <w:tblCellSpacing w:w="0" w:type="dxa"/>
        </w:trPr>
        <w:tc>
          <w:tcPr>
            <w:tcW w:w="0" w:type="auto"/>
            <w:shd w:val="clear" w:color="auto" w:fill="auto"/>
          </w:tcPr>
          <w:p w14:paraId="4ACE363F"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640"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continuing uncertainty regarding social, political, immigration, and tax and </w:t>
            </w:r>
            <w:r>
              <w:rPr>
                <w:rFonts w:ascii="Arial" w:eastAsia="宋体" w:hAnsi="Arial" w:cs="Arial"/>
                <w:color w:val="333333"/>
                <w:sz w:val="18"/>
                <w:szCs w:val="18"/>
              </w:rPr>
              <w:t>trade policies in the U.S. and abroad, including as a result of the United Kingdom's vote to withdraw from the European Union;</w:t>
            </w:r>
          </w:p>
        </w:tc>
      </w:tr>
    </w:tbl>
    <w:p w14:paraId="4ACE3642"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6F587A" w14:paraId="4ACE3645" w14:textId="77777777">
        <w:trPr>
          <w:tblCellSpacing w:w="0" w:type="dxa"/>
        </w:trPr>
        <w:tc>
          <w:tcPr>
            <w:tcW w:w="480" w:type="dxa"/>
            <w:shd w:val="clear" w:color="auto" w:fill="auto"/>
            <w:vAlign w:val="center"/>
          </w:tcPr>
          <w:p w14:paraId="4ACE3643" w14:textId="77777777" w:rsidR="006F587A" w:rsidRDefault="006F587A">
            <w:pPr>
              <w:rPr>
                <w:rFonts w:ascii="Times New Roman" w:hAnsi="Times New Roman"/>
                <w:sz w:val="20"/>
                <w:szCs w:val="20"/>
              </w:rPr>
            </w:pPr>
          </w:p>
        </w:tc>
        <w:tc>
          <w:tcPr>
            <w:tcW w:w="0" w:type="auto"/>
            <w:shd w:val="clear" w:color="auto" w:fill="auto"/>
            <w:vAlign w:val="center"/>
          </w:tcPr>
          <w:p w14:paraId="4ACE3644" w14:textId="77777777" w:rsidR="006F587A" w:rsidRDefault="006F587A">
            <w:pPr>
              <w:rPr>
                <w:rFonts w:ascii="Times New Roman" w:hAnsi="Times New Roman"/>
                <w:sz w:val="20"/>
                <w:szCs w:val="20"/>
              </w:rPr>
            </w:pPr>
          </w:p>
        </w:tc>
      </w:tr>
      <w:tr w:rsidR="006F587A" w14:paraId="4ACE3648" w14:textId="77777777">
        <w:trPr>
          <w:tblCellSpacing w:w="0" w:type="dxa"/>
        </w:trPr>
        <w:tc>
          <w:tcPr>
            <w:tcW w:w="0" w:type="auto"/>
            <w:shd w:val="clear" w:color="auto" w:fill="auto"/>
          </w:tcPr>
          <w:p w14:paraId="4ACE3646"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647"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fluctuations in the market values of our domestic and international investments, which can be negatively affected by </w:t>
            </w:r>
            <w:r>
              <w:rPr>
                <w:rFonts w:ascii="Arial" w:eastAsia="宋体" w:hAnsi="Arial" w:cs="Arial"/>
                <w:color w:val="333333"/>
                <w:sz w:val="18"/>
                <w:szCs w:val="18"/>
              </w:rPr>
              <w:t>liquidity, credit deterioration or losses, interest rate changes, financial results, political risk, sovereign risk, or other factors; and</w:t>
            </w:r>
          </w:p>
        </w:tc>
      </w:tr>
    </w:tbl>
    <w:p w14:paraId="4ACE3649" w14:textId="77777777" w:rsidR="006F587A" w:rsidRDefault="006F587A">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480"/>
        <w:gridCol w:w="7826"/>
      </w:tblGrid>
      <w:tr w:rsidR="006F587A" w14:paraId="4ACE364C" w14:textId="77777777">
        <w:trPr>
          <w:tblCellSpacing w:w="0" w:type="dxa"/>
        </w:trPr>
        <w:tc>
          <w:tcPr>
            <w:tcW w:w="480" w:type="dxa"/>
            <w:shd w:val="clear" w:color="auto" w:fill="auto"/>
            <w:vAlign w:val="center"/>
          </w:tcPr>
          <w:p w14:paraId="4ACE364A" w14:textId="77777777" w:rsidR="006F587A" w:rsidRDefault="006F587A">
            <w:pPr>
              <w:rPr>
                <w:rFonts w:ascii="Times New Roman" w:hAnsi="Times New Roman"/>
                <w:sz w:val="20"/>
                <w:szCs w:val="20"/>
              </w:rPr>
            </w:pPr>
          </w:p>
        </w:tc>
        <w:tc>
          <w:tcPr>
            <w:tcW w:w="0" w:type="auto"/>
            <w:shd w:val="clear" w:color="auto" w:fill="auto"/>
            <w:vAlign w:val="center"/>
          </w:tcPr>
          <w:p w14:paraId="4ACE364B" w14:textId="77777777" w:rsidR="006F587A" w:rsidRDefault="006F587A">
            <w:pPr>
              <w:rPr>
                <w:rFonts w:ascii="Times New Roman" w:hAnsi="Times New Roman"/>
                <w:sz w:val="20"/>
                <w:szCs w:val="20"/>
              </w:rPr>
            </w:pPr>
          </w:p>
        </w:tc>
      </w:tr>
      <w:tr w:rsidR="006F587A" w14:paraId="4ACE364F" w14:textId="77777777">
        <w:trPr>
          <w:tblCellSpacing w:w="0" w:type="dxa"/>
        </w:trPr>
        <w:tc>
          <w:tcPr>
            <w:tcW w:w="0" w:type="auto"/>
            <w:shd w:val="clear" w:color="auto" w:fill="auto"/>
          </w:tcPr>
          <w:p w14:paraId="4ACE364D"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64E"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uncertainty regarding LIBOR—certain of our interest rate derivatives and investments are based on LIBOR, </w:t>
            </w:r>
            <w:r>
              <w:rPr>
                <w:rFonts w:ascii="Arial" w:eastAsia="宋体" w:hAnsi="Arial" w:cs="Arial"/>
                <w:color w:val="333333"/>
                <w:sz w:val="18"/>
                <w:szCs w:val="18"/>
              </w:rPr>
              <w:t xml:space="preserve">and a portion of our indebtedness bears interest at variable interest rates, primarily based on LIBOR: LIBOR is the subject of recent national, international and other regulatory guidance and </w:t>
            </w:r>
            <w:r>
              <w:rPr>
                <w:rFonts w:ascii="Arial" w:eastAsia="宋体" w:hAnsi="Arial" w:cs="Arial"/>
                <w:color w:val="333333"/>
                <w:sz w:val="18"/>
                <w:szCs w:val="18"/>
              </w:rPr>
              <w:lastRenderedPageBreak/>
              <w:t>proposals for reform, which may cause LIBOR to disappear entirel</w:t>
            </w:r>
            <w:r>
              <w:rPr>
                <w:rFonts w:ascii="Arial" w:eastAsia="宋体" w:hAnsi="Arial" w:cs="Arial"/>
                <w:color w:val="333333"/>
                <w:sz w:val="18"/>
                <w:szCs w:val="18"/>
              </w:rPr>
              <w:t>y after 2021 or to perform differently than in the past, and while we expect that reasonable alternatives to LIBOR will be implemented prior to the 2021 target date, we cannot predict the consequences and timing of these developments, and they could includ</w:t>
            </w:r>
            <w:r>
              <w:rPr>
                <w:rFonts w:ascii="Arial" w:eastAsia="宋体" w:hAnsi="Arial" w:cs="Arial"/>
                <w:color w:val="333333"/>
                <w:sz w:val="18"/>
                <w:szCs w:val="18"/>
              </w:rPr>
              <w:t>e an increase in our interest expense and/or a reduction in our interest income.</w:t>
            </w:r>
          </w:p>
        </w:tc>
      </w:tr>
    </w:tbl>
    <w:p w14:paraId="4ACE3650"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lastRenderedPageBreak/>
        <w:t>We are subject to laws and regulations worldwide that differ among jurisdictions, affecting our operations in areas including, but not limited to: IP ownership and infringeme</w:t>
      </w:r>
      <w:r>
        <w:rPr>
          <w:rFonts w:ascii="Arial" w:eastAsia="宋体" w:hAnsi="Arial" w:cs="Arial"/>
          <w:color w:val="333333"/>
          <w:sz w:val="18"/>
          <w:szCs w:val="18"/>
        </w:rPr>
        <w:t xml:space="preserve">nt; tax; import and export requirements; anti-corruption; foreign exchange controls and cash repatriation restrictions; data privacy requirements; competition; advertising; employment; product regulations; environment, health, and safety requirements; and </w:t>
      </w:r>
      <w:r>
        <w:rPr>
          <w:rFonts w:ascii="Arial" w:eastAsia="宋体" w:hAnsi="Arial" w:cs="Arial"/>
          <w:color w:val="333333"/>
          <w:sz w:val="18"/>
          <w:szCs w:val="18"/>
        </w:rPr>
        <w:t>consumer laws. Compliance with such requirements can be onerous and expensive, and may otherwise impact our business operations negatively. For example, unfavorable developments with evolving laws and regulations worldwide related to 5G or autonomous drivi</w:t>
      </w:r>
      <w:r>
        <w:rPr>
          <w:rFonts w:ascii="Arial" w:eastAsia="宋体" w:hAnsi="Arial" w:cs="Arial"/>
          <w:color w:val="333333"/>
          <w:sz w:val="18"/>
          <w:szCs w:val="18"/>
        </w:rPr>
        <w:t>ng technology may limit global adoption, impede our strategy, and negatively impact our long-term expectations for our investments in these areas. Expanding privacy legislation and compliance costs of privacy-related and data protection measures could adve</w:t>
      </w:r>
      <w:r>
        <w:rPr>
          <w:rFonts w:ascii="Arial" w:eastAsia="宋体" w:hAnsi="Arial" w:cs="Arial"/>
          <w:color w:val="333333"/>
          <w:sz w:val="18"/>
          <w:szCs w:val="18"/>
        </w:rPr>
        <w:t xml:space="preserve">rsely affect our customers and their products and services, particularly in cloud, Internet of Things, and AI applications, which could in turn reduce demand for our products used for those workloads. </w:t>
      </w:r>
    </w:p>
    <w:p w14:paraId="4ACE3651"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Although we have policies, controls, and procedures de</w:t>
      </w:r>
      <w:r>
        <w:rPr>
          <w:rFonts w:ascii="Arial" w:eastAsia="宋体" w:hAnsi="Arial" w:cs="Arial"/>
          <w:color w:val="333333"/>
          <w:sz w:val="18"/>
          <w:szCs w:val="18"/>
        </w:rPr>
        <w:t>signed to help ensure compliance with applicable laws, there can be no assurance that our employees, contractors, suppliers, or agents will not violate such laws or our policies. Violations of these laws and regulations can result in fines; criminal sancti</w:t>
      </w:r>
      <w:r>
        <w:rPr>
          <w:rFonts w:ascii="Arial" w:eastAsia="宋体" w:hAnsi="Arial" w:cs="Arial"/>
          <w:color w:val="333333"/>
          <w:sz w:val="18"/>
          <w:szCs w:val="18"/>
        </w:rPr>
        <w:t>ons against us, our officers, or our employees; prohibitions on the conduct of our business; and damage to our reputation. The technology industry is subject to intense media, political, and regulatory scrutiny, which can increase our exposure to governmen</w:t>
      </w:r>
      <w:r>
        <w:rPr>
          <w:rFonts w:ascii="Arial" w:eastAsia="宋体" w:hAnsi="Arial" w:cs="Arial"/>
          <w:color w:val="333333"/>
          <w:sz w:val="18"/>
          <w:szCs w:val="18"/>
        </w:rPr>
        <w:t>t investigations, legal actions, and penalties.</w:t>
      </w:r>
    </w:p>
    <w:p w14:paraId="4ACE3652" w14:textId="77777777" w:rsidR="006F587A" w:rsidRDefault="007B2B61">
      <w:pPr>
        <w:spacing w:line="288" w:lineRule="auto"/>
        <w:rPr>
          <w:rFonts w:ascii="Times New Roman" w:hAnsi="Times New Roman"/>
          <w:sz w:val="18"/>
          <w:szCs w:val="18"/>
        </w:rPr>
      </w:pPr>
      <w:r>
        <w:rPr>
          <w:rFonts w:ascii="Arial" w:eastAsia="宋体" w:hAnsi="Arial" w:cs="Arial"/>
          <w:color w:val="0071C5"/>
          <w:sz w:val="18"/>
          <w:szCs w:val="18"/>
        </w:rPr>
        <w:t>We are affected by fluctuations in currency exchange rates.</w:t>
      </w:r>
      <w:r>
        <w:rPr>
          <w:rFonts w:ascii="Arial" w:eastAsia="宋体" w:hAnsi="Arial" w:cs="Arial"/>
          <w:b/>
          <w:bCs/>
          <w:color w:val="333333"/>
          <w:sz w:val="18"/>
          <w:szCs w:val="18"/>
        </w:rPr>
        <w:t xml:space="preserve"> </w:t>
      </w:r>
      <w:r>
        <w:rPr>
          <w:rFonts w:ascii="Arial" w:eastAsia="宋体" w:hAnsi="Arial" w:cs="Arial"/>
          <w:color w:val="333333"/>
          <w:sz w:val="18"/>
          <w:szCs w:val="18"/>
        </w:rPr>
        <w:t>We are exposed to adverse as well as beneficial movements in currency exchange rates. Although most of our sales occur in U.S. dollars, expenses may</w:t>
      </w:r>
      <w:r>
        <w:rPr>
          <w:rFonts w:ascii="Arial" w:eastAsia="宋体" w:hAnsi="Arial" w:cs="Arial"/>
          <w:color w:val="333333"/>
          <w:sz w:val="18"/>
          <w:szCs w:val="18"/>
        </w:rPr>
        <w:t xml:space="preserve"> be paid in local currencies. An increase in the value of the dollar can increase the real cost to our customers of our products in those markets outside the U.S. where we sell in dollars, and a weakened dollar can increase the cost of expenses such as pay</w:t>
      </w:r>
      <w:r>
        <w:rPr>
          <w:rFonts w:ascii="Arial" w:eastAsia="宋体" w:hAnsi="Arial" w:cs="Arial"/>
          <w:color w:val="333333"/>
          <w:sz w:val="18"/>
          <w:szCs w:val="18"/>
        </w:rPr>
        <w:t xml:space="preserve">roll, utilities, tax, and marketing expenses, as well as overseas capital expenditures. We also conduct certain investing and financing activities in local currencies. Our hedging programs may not be effective to offset any, or more than a portion, of the </w:t>
      </w:r>
      <w:r>
        <w:rPr>
          <w:rFonts w:ascii="Arial" w:eastAsia="宋体" w:hAnsi="Arial" w:cs="Arial"/>
          <w:color w:val="333333"/>
          <w:sz w:val="18"/>
          <w:szCs w:val="18"/>
        </w:rPr>
        <w:t>adverse impact of currency exchange rate movements; therefore, changes in exchange rates can harm our results of operations and financial condition.</w:t>
      </w:r>
    </w:p>
    <w:p w14:paraId="4ACE3653"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243"/>
        <w:gridCol w:w="2658"/>
        <w:gridCol w:w="3405"/>
      </w:tblGrid>
      <w:tr w:rsidR="006F587A" w14:paraId="4ACE3655" w14:textId="77777777">
        <w:tc>
          <w:tcPr>
            <w:tcW w:w="0" w:type="auto"/>
            <w:gridSpan w:val="3"/>
            <w:shd w:val="clear" w:color="auto" w:fill="auto"/>
            <w:vAlign w:val="center"/>
          </w:tcPr>
          <w:p w14:paraId="4ACE3654" w14:textId="77777777" w:rsidR="006F587A" w:rsidRDefault="006F587A">
            <w:pPr>
              <w:rPr>
                <w:rFonts w:ascii="Times New Roman" w:hAnsi="Times New Roman"/>
                <w:sz w:val="20"/>
                <w:szCs w:val="20"/>
              </w:rPr>
            </w:pPr>
          </w:p>
        </w:tc>
      </w:tr>
      <w:tr w:rsidR="006F587A" w14:paraId="4ACE3659" w14:textId="77777777">
        <w:tc>
          <w:tcPr>
            <w:tcW w:w="1350" w:type="pct"/>
            <w:shd w:val="clear" w:color="auto" w:fill="auto"/>
            <w:vAlign w:val="center"/>
          </w:tcPr>
          <w:p w14:paraId="4ACE3656" w14:textId="77777777" w:rsidR="006F587A" w:rsidRDefault="006F587A">
            <w:pPr>
              <w:rPr>
                <w:rFonts w:ascii="Times New Roman" w:hAnsi="Times New Roman"/>
                <w:sz w:val="20"/>
                <w:szCs w:val="20"/>
              </w:rPr>
            </w:pPr>
          </w:p>
        </w:tc>
        <w:tc>
          <w:tcPr>
            <w:tcW w:w="1600" w:type="pct"/>
            <w:shd w:val="clear" w:color="auto" w:fill="auto"/>
            <w:vAlign w:val="center"/>
          </w:tcPr>
          <w:p w14:paraId="4ACE3657" w14:textId="77777777" w:rsidR="006F587A" w:rsidRDefault="006F587A">
            <w:pPr>
              <w:rPr>
                <w:rFonts w:ascii="Times New Roman" w:hAnsi="Times New Roman"/>
                <w:sz w:val="20"/>
                <w:szCs w:val="20"/>
              </w:rPr>
            </w:pPr>
          </w:p>
        </w:tc>
        <w:tc>
          <w:tcPr>
            <w:tcW w:w="2050" w:type="pct"/>
            <w:shd w:val="clear" w:color="auto" w:fill="auto"/>
            <w:vAlign w:val="center"/>
          </w:tcPr>
          <w:p w14:paraId="4ACE3658" w14:textId="77777777" w:rsidR="006F587A" w:rsidRDefault="006F587A">
            <w:pPr>
              <w:rPr>
                <w:rFonts w:ascii="Times New Roman" w:hAnsi="Times New Roman"/>
                <w:sz w:val="20"/>
                <w:szCs w:val="20"/>
              </w:rPr>
            </w:pPr>
          </w:p>
        </w:tc>
      </w:tr>
      <w:tr w:rsidR="006F587A" w14:paraId="4ACE365D"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365A" w14:textId="77777777" w:rsidR="006F587A" w:rsidRDefault="007B2B61">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85" wp14:editId="4ACE6D86">
                  <wp:extent cx="304800" cy="304800"/>
                  <wp:effectExtent l="0" t="0" r="0" b="0"/>
                  <wp:docPr id="23" name="图片 243"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43"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OTHER KEY INFORMATION</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65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65C"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53</w:t>
            </w:r>
          </w:p>
        </w:tc>
      </w:tr>
    </w:tbl>
    <w:p w14:paraId="4ACE365E" w14:textId="77777777" w:rsidR="006F587A" w:rsidRDefault="007B2B61">
      <w:r>
        <w:pict w14:anchorId="4ACE6D87">
          <v:rect id="_x0000_i1079" style="width:415.3pt;height:1.5pt" o:hralign="center" o:hrstd="t" o:hr="t" fillcolor="#a0a0a0" stroked="f"/>
        </w:pict>
      </w:r>
    </w:p>
    <w:p w14:paraId="4ACE365F" w14:textId="77777777" w:rsidR="006F587A" w:rsidRDefault="007B2B61">
      <w:pPr>
        <w:spacing w:line="288" w:lineRule="auto"/>
        <w:jc w:val="right"/>
        <w:rPr>
          <w:rFonts w:ascii="Times New Roman" w:hAnsi="Times New Roman"/>
          <w:sz w:val="16"/>
          <w:szCs w:val="16"/>
        </w:rPr>
      </w:pPr>
      <w:hyperlink r:id="rId86" w:anchor="s9DB683E2CF52561EB8A73BE37F5BF9BE" w:history="1">
        <w:r>
          <w:rPr>
            <w:rStyle w:val="a5"/>
            <w:rFonts w:ascii="Arial" w:eastAsia="宋体" w:hAnsi="Arial" w:cs="Arial"/>
            <w:b/>
            <w:bCs/>
            <w:sz w:val="16"/>
            <w:szCs w:val="16"/>
          </w:rPr>
          <w:t>Table of Contents</w:t>
        </w:r>
      </w:hyperlink>
    </w:p>
    <w:p w14:paraId="4ACE3660" w14:textId="77777777" w:rsidR="006F587A" w:rsidRDefault="006F587A">
      <w:pPr>
        <w:spacing w:line="288" w:lineRule="auto"/>
        <w:jc w:val="right"/>
        <w:rPr>
          <w:rFonts w:ascii="Times New Roman" w:hAnsi="Times New Roman"/>
          <w:sz w:val="16"/>
          <w:szCs w:val="16"/>
        </w:rPr>
      </w:pPr>
    </w:p>
    <w:p w14:paraId="4ACE3661" w14:textId="77777777" w:rsidR="006F587A" w:rsidRDefault="006F587A">
      <w:pPr>
        <w:rPr>
          <w:rFonts w:ascii="Times New Roman" w:hAnsi="Times New Roman"/>
          <w:sz w:val="20"/>
          <w:szCs w:val="20"/>
        </w:rPr>
      </w:pPr>
    </w:p>
    <w:p w14:paraId="4ACE3662" w14:textId="77777777" w:rsidR="006F587A" w:rsidRDefault="007B2B61">
      <w:pPr>
        <w:spacing w:line="288" w:lineRule="auto"/>
        <w:rPr>
          <w:rFonts w:ascii="Times New Roman" w:hAnsi="Times New Roman"/>
          <w:sz w:val="18"/>
          <w:szCs w:val="18"/>
        </w:rPr>
      </w:pPr>
      <w:r>
        <w:rPr>
          <w:rFonts w:ascii="Arial" w:eastAsia="宋体" w:hAnsi="Arial" w:cs="Arial"/>
          <w:color w:val="0071C5"/>
          <w:sz w:val="18"/>
          <w:szCs w:val="18"/>
        </w:rPr>
        <w:t xml:space="preserve">Catastrophic events can have a material adverse effect on our </w:t>
      </w:r>
      <w:r>
        <w:rPr>
          <w:rFonts w:ascii="Arial" w:eastAsia="宋体" w:hAnsi="Arial" w:cs="Arial"/>
          <w:color w:val="0071C5"/>
          <w:sz w:val="18"/>
          <w:szCs w:val="18"/>
        </w:rPr>
        <w:t>operations and financial results.</w:t>
      </w:r>
      <w:r>
        <w:rPr>
          <w:rFonts w:ascii="Arial" w:eastAsia="宋体" w:hAnsi="Arial" w:cs="Arial"/>
          <w:b/>
          <w:bCs/>
          <w:color w:val="333333"/>
          <w:sz w:val="18"/>
          <w:szCs w:val="18"/>
        </w:rPr>
        <w:t xml:space="preserve"> </w:t>
      </w:r>
      <w:r>
        <w:rPr>
          <w:rFonts w:ascii="Arial" w:eastAsia="宋体" w:hAnsi="Arial" w:cs="Arial"/>
          <w:color w:val="333333"/>
          <w:sz w:val="18"/>
          <w:szCs w:val="18"/>
        </w:rPr>
        <w:t>Our operations and business, and those of our customers and suppliers, can be disrupted by natural disasters; industrial accidents; public health issues; cybersecurity incidents; interruptions of service from utilities, tr</w:t>
      </w:r>
      <w:r>
        <w:rPr>
          <w:rFonts w:ascii="Arial" w:eastAsia="宋体" w:hAnsi="Arial" w:cs="Arial"/>
          <w:color w:val="333333"/>
          <w:sz w:val="18"/>
          <w:szCs w:val="18"/>
        </w:rPr>
        <w:t>ansportation, telecommunications, or IT systems providers; manufacturing equipment failures; or other catastrophic events. For example, we have at times experienced disruptions in our manufacturing processes as a result of power outages, improperly functio</w:t>
      </w:r>
      <w:r>
        <w:rPr>
          <w:rFonts w:ascii="Arial" w:eastAsia="宋体" w:hAnsi="Arial" w:cs="Arial"/>
          <w:color w:val="333333"/>
          <w:sz w:val="18"/>
          <w:szCs w:val="18"/>
        </w:rPr>
        <w:t xml:space="preserve">ning equipment, and disruptions in supply of raw materials or components, including due to cybersecurity incidents affecting our suppliers. Our headquarters and many of our operations and facilities are in locations that are prone to earthquakes and other </w:t>
      </w:r>
      <w:r>
        <w:rPr>
          <w:rFonts w:ascii="Arial" w:eastAsia="宋体" w:hAnsi="Arial" w:cs="Arial"/>
          <w:color w:val="333333"/>
          <w:sz w:val="18"/>
          <w:szCs w:val="18"/>
        </w:rPr>
        <w:t>natural disasters. Global climate change can result in certain natural disasters occurring more frequently or with greater intensity, such as drought, wildfires, storms, sea-level rise, and flooding, and could disrupt the availability of water necessary fo</w:t>
      </w:r>
      <w:r>
        <w:rPr>
          <w:rFonts w:ascii="Arial" w:eastAsia="宋体" w:hAnsi="Arial" w:cs="Arial"/>
          <w:color w:val="333333"/>
          <w:sz w:val="18"/>
          <w:szCs w:val="18"/>
        </w:rPr>
        <w:t xml:space="preserve">r the operation of our fabrication facilities located in semi-arid regions. Catastrophic events could make it difficult or impossible to manufacture or deliver products to our customers, receive production materials from our suppliers, or perform critical </w:t>
      </w:r>
      <w:r>
        <w:rPr>
          <w:rFonts w:ascii="Arial" w:eastAsia="宋体" w:hAnsi="Arial" w:cs="Arial"/>
          <w:color w:val="333333"/>
          <w:sz w:val="18"/>
          <w:szCs w:val="18"/>
        </w:rPr>
        <w:lastRenderedPageBreak/>
        <w:t>functions, which could adversely affect our revenue and require significant recovery time and expenditures to resume operations. While we maintain business recovery plans that are intended to enable us to recover from natural disasters or other events that</w:t>
      </w:r>
      <w:r>
        <w:rPr>
          <w:rFonts w:ascii="Arial" w:eastAsia="宋体" w:hAnsi="Arial" w:cs="Arial"/>
          <w:color w:val="333333"/>
          <w:sz w:val="18"/>
          <w:szCs w:val="18"/>
        </w:rPr>
        <w:t xml:space="preserve"> can be disruptive to our business, some of our systems are not fully redundant and we cannot be sure that our plans will fully protect us from all such disruptions. Furthermore, even if our operations are unaffected or recover quickly, if our customers ca</w:t>
      </w:r>
      <w:r>
        <w:rPr>
          <w:rFonts w:ascii="Arial" w:eastAsia="宋体" w:hAnsi="Arial" w:cs="Arial"/>
          <w:color w:val="333333"/>
          <w:sz w:val="18"/>
          <w:szCs w:val="18"/>
        </w:rPr>
        <w:t>nnot timely resume their own operations due to a catastrophic event, they may reduce or cancel their orders, which may adversely affect our results of operations.</w:t>
      </w:r>
    </w:p>
    <w:p w14:paraId="4ACE3663"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maintain a program of insurance coverage for a variety of property, casualty, and other ri</w:t>
      </w:r>
      <w:r>
        <w:rPr>
          <w:rFonts w:ascii="Arial" w:eastAsia="宋体" w:hAnsi="Arial" w:cs="Arial"/>
          <w:color w:val="333333"/>
          <w:sz w:val="18"/>
          <w:szCs w:val="18"/>
        </w:rPr>
        <w:t xml:space="preserve">sks. The types and amounts of insurance we obtain vary depending on availability, cost, and decisions with respect to risk retention. Some of our policies have large deductibles and broad exclusions. In addition, one or more of our insurance providers may </w:t>
      </w:r>
      <w:r>
        <w:rPr>
          <w:rFonts w:ascii="Arial" w:eastAsia="宋体" w:hAnsi="Arial" w:cs="Arial"/>
          <w:color w:val="333333"/>
          <w:sz w:val="18"/>
          <w:szCs w:val="18"/>
        </w:rPr>
        <w:t>be unable or unwilling to pay a claim. Losses not covered by insurance may be large, which could harm our results of operations and financial condition.</w:t>
      </w:r>
    </w:p>
    <w:p w14:paraId="4ACE3664" w14:textId="77777777" w:rsidR="006F587A" w:rsidRDefault="007B2B61">
      <w:pPr>
        <w:spacing w:line="288" w:lineRule="auto"/>
        <w:rPr>
          <w:rFonts w:ascii="Times New Roman" w:hAnsi="Times New Roman"/>
          <w:sz w:val="18"/>
          <w:szCs w:val="18"/>
        </w:rPr>
      </w:pPr>
      <w:r>
        <w:rPr>
          <w:rFonts w:ascii="Arial" w:eastAsia="宋体" w:hAnsi="Arial" w:cs="Arial"/>
          <w:color w:val="0071C5"/>
          <w:sz w:val="18"/>
          <w:szCs w:val="18"/>
        </w:rPr>
        <w:t>Damage to our reputation can damage our business.</w:t>
      </w:r>
      <w:r>
        <w:rPr>
          <w:rFonts w:ascii="Arial" w:eastAsia="宋体" w:hAnsi="Arial" w:cs="Arial"/>
          <w:color w:val="333333"/>
          <w:sz w:val="18"/>
          <w:szCs w:val="18"/>
        </w:rPr>
        <w:t xml:space="preserve"> Our reputation is a critical factor in our relationsh</w:t>
      </w:r>
      <w:r>
        <w:rPr>
          <w:rFonts w:ascii="Arial" w:eastAsia="宋体" w:hAnsi="Arial" w:cs="Arial"/>
          <w:color w:val="333333"/>
          <w:sz w:val="18"/>
          <w:szCs w:val="18"/>
        </w:rPr>
        <w:t xml:space="preserve">ips with customers, employees, governments, suppliers, and other stakeholders. Our failure to address, or the appearance of our failure to address, issues that give rise to reputational risk, including those described throughout this Risk Factors section, </w:t>
      </w:r>
      <w:r>
        <w:rPr>
          <w:rFonts w:ascii="Arial" w:eastAsia="宋体" w:hAnsi="Arial" w:cs="Arial"/>
          <w:color w:val="333333"/>
          <w:sz w:val="18"/>
          <w:szCs w:val="18"/>
        </w:rPr>
        <w:t>could significantly harm our reputation and our brands. Our reputation is also impacted by how we respond to corporate crises. Corporate crises can arise from catastrophic events as well as from incidents involving unethical behavior or misconduct; product</w:t>
      </w:r>
      <w:r>
        <w:rPr>
          <w:rFonts w:ascii="Arial" w:eastAsia="宋体" w:hAnsi="Arial" w:cs="Arial"/>
          <w:color w:val="333333"/>
          <w:sz w:val="18"/>
          <w:szCs w:val="18"/>
        </w:rPr>
        <w:t xml:space="preserve"> quality, security, or safety issues; allegations of legal noncompliance; internal control failures; corporate governance issues; data breaches; workplace safety incidents; environmental incidents; the use of our products for illegal or objectionable appli</w:t>
      </w:r>
      <w:r>
        <w:rPr>
          <w:rFonts w:ascii="Arial" w:eastAsia="宋体" w:hAnsi="Arial" w:cs="Arial"/>
          <w:color w:val="333333"/>
          <w:sz w:val="18"/>
          <w:szCs w:val="18"/>
        </w:rPr>
        <w:t>cations; marketing practices; media statements; the conduct of our suppliers or representatives; and other issues or incidents that, whether actual or perceived, result in adverse publicity. To the extent we fail to respond quickly and effectively to addre</w:t>
      </w:r>
      <w:r>
        <w:rPr>
          <w:rFonts w:ascii="Arial" w:eastAsia="宋体" w:hAnsi="Arial" w:cs="Arial"/>
          <w:color w:val="333333"/>
          <w:sz w:val="18"/>
          <w:szCs w:val="18"/>
        </w:rPr>
        <w:t xml:space="preserve">ss such crises, the ensuing negative public reaction could significantly harm our reputation and our brands and could lead to increases in litigation claims and asserted damages or subject us to regulatory actions or restrictions. </w:t>
      </w:r>
    </w:p>
    <w:p w14:paraId="4ACE3665"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Damage to our reputation</w:t>
      </w:r>
      <w:r>
        <w:rPr>
          <w:rFonts w:ascii="Arial" w:eastAsia="宋体" w:hAnsi="Arial" w:cs="Arial"/>
          <w:color w:val="333333"/>
          <w:sz w:val="18"/>
          <w:szCs w:val="18"/>
        </w:rPr>
        <w:t xml:space="preserve"> could reduce demand for our products and adversely affect our business and operating environment. It could reduce investor confidence in us, adversely affecting our stock price. It may also limit our ability to be seen as an employer of choice when compet</w:t>
      </w:r>
      <w:r>
        <w:rPr>
          <w:rFonts w:ascii="Arial" w:eastAsia="宋体" w:hAnsi="Arial" w:cs="Arial"/>
          <w:color w:val="333333"/>
          <w:sz w:val="18"/>
          <w:szCs w:val="18"/>
        </w:rPr>
        <w:t>ing for highly skilled employees. Moreover, repairing our reputation and brands may be difficult, time-consuming, and expensive.</w:t>
      </w:r>
    </w:p>
    <w:p w14:paraId="4ACE3666" w14:textId="77777777" w:rsidR="006F587A" w:rsidRDefault="007B2B61">
      <w:pPr>
        <w:spacing w:line="288" w:lineRule="auto"/>
        <w:rPr>
          <w:rFonts w:ascii="Times New Roman" w:hAnsi="Times New Roman"/>
        </w:rPr>
      </w:pPr>
      <w:r>
        <w:rPr>
          <w:rFonts w:ascii="Arial" w:eastAsia="宋体" w:hAnsi="Arial" w:cs="Arial"/>
          <w:b/>
          <w:bCs/>
          <w:color w:val="0071C5"/>
        </w:rPr>
        <w:t>WE ARE VULNERABLE TO PRODUCT AND MANUFACTURING-RELATED RISKS.</w:t>
      </w:r>
    </w:p>
    <w:p w14:paraId="4ACE3667" w14:textId="77777777" w:rsidR="006F587A" w:rsidRDefault="007B2B61">
      <w:pPr>
        <w:spacing w:line="288" w:lineRule="auto"/>
        <w:rPr>
          <w:rFonts w:ascii="Times New Roman" w:hAnsi="Times New Roman"/>
          <w:sz w:val="18"/>
          <w:szCs w:val="18"/>
        </w:rPr>
      </w:pPr>
      <w:r>
        <w:rPr>
          <w:rFonts w:ascii="Arial" w:eastAsia="宋体" w:hAnsi="Arial" w:cs="Arial"/>
          <w:color w:val="0071C5"/>
          <w:sz w:val="18"/>
          <w:szCs w:val="18"/>
        </w:rPr>
        <w:t>We are subject to risks associated with the development and imple</w:t>
      </w:r>
      <w:r>
        <w:rPr>
          <w:rFonts w:ascii="Arial" w:eastAsia="宋体" w:hAnsi="Arial" w:cs="Arial"/>
          <w:color w:val="0071C5"/>
          <w:sz w:val="18"/>
          <w:szCs w:val="18"/>
        </w:rPr>
        <w:t xml:space="preserve">mentation of new manufacturing process technology. </w:t>
      </w:r>
      <w:r>
        <w:rPr>
          <w:rFonts w:ascii="Arial" w:eastAsia="宋体" w:hAnsi="Arial" w:cs="Arial"/>
          <w:color w:val="333333"/>
          <w:sz w:val="18"/>
          <w:szCs w:val="18"/>
        </w:rPr>
        <w:t>Production of integrated circuits is a complex process. Realizing the economics of Moore’s Law is a strategic priority, and we are continually engaged in the development of next-generation process technolo</w:t>
      </w:r>
      <w:r>
        <w:rPr>
          <w:rFonts w:ascii="Arial" w:eastAsia="宋体" w:hAnsi="Arial" w:cs="Arial"/>
          <w:color w:val="333333"/>
          <w:sz w:val="18"/>
          <w:szCs w:val="18"/>
        </w:rPr>
        <w:t>gies at increasingly advanced nodes. We are not always successful or efficient in developing or implementing new process nodes and production processes. For example, we experienced significant delays in implementing our 10nm process technology. Although we</w:t>
      </w:r>
      <w:r>
        <w:rPr>
          <w:rFonts w:ascii="Arial" w:eastAsia="宋体" w:hAnsi="Arial" w:cs="Arial"/>
          <w:color w:val="333333"/>
          <w:sz w:val="18"/>
          <w:szCs w:val="18"/>
        </w:rPr>
        <w:t xml:space="preserve"> began shipping products based on our 10nm process technology in volume in 2019, our delays in transitioning to this node occurred while third-party foundries developed new, competitive process technologies. Competitors using third-party foundries are able</w:t>
      </w:r>
      <w:r>
        <w:rPr>
          <w:rFonts w:ascii="Arial" w:eastAsia="宋体" w:hAnsi="Arial" w:cs="Arial"/>
          <w:color w:val="333333"/>
          <w:sz w:val="18"/>
          <w:szCs w:val="18"/>
        </w:rPr>
        <w:t xml:space="preserve"> to benefit from the improvements such process technologies made in performance, energy efficiency, and other features, which can help increase the competitiveness of their products. </w:t>
      </w:r>
    </w:p>
    <w:p w14:paraId="4ACE3668"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Our efforts to innovate involve significant expense and carry inherent r</w:t>
      </w:r>
      <w:r>
        <w:rPr>
          <w:rFonts w:ascii="Arial" w:eastAsia="宋体" w:hAnsi="Arial" w:cs="Arial"/>
          <w:color w:val="333333"/>
          <w:sz w:val="18"/>
          <w:szCs w:val="18"/>
        </w:rPr>
        <w:t xml:space="preserve">isks, including difficulties in designing and developing next-generation process technologies, and investments in manufacturing assets and facilities that are made years in advance of the process node introduction. We cannot guarantee that we will realize </w:t>
      </w:r>
      <w:r>
        <w:rPr>
          <w:rFonts w:ascii="Arial" w:eastAsia="宋体" w:hAnsi="Arial" w:cs="Arial"/>
          <w:color w:val="333333"/>
          <w:sz w:val="18"/>
          <w:szCs w:val="18"/>
        </w:rPr>
        <w:t>the expected benefits of next-generation process technologies, including the expected cost and density advantages, or that we will achieve an adequate return on our capital investments, particularly as development of new nodes has grown increasingly expens</w:t>
      </w:r>
      <w:r>
        <w:rPr>
          <w:rFonts w:ascii="Arial" w:eastAsia="宋体" w:hAnsi="Arial" w:cs="Arial"/>
          <w:color w:val="333333"/>
          <w:sz w:val="18"/>
          <w:szCs w:val="18"/>
        </w:rPr>
        <w:t xml:space="preserve">ive. </w:t>
      </w:r>
    </w:p>
    <w:p w14:paraId="4ACE3669"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Risks inherent in the development of next-generation process technologies include production timing delays, lower-than-anticipated manufacturing yields, longer manufacturing throughput times, and product defects and errata. Production timing delays h</w:t>
      </w:r>
      <w:r>
        <w:rPr>
          <w:rFonts w:ascii="Arial" w:eastAsia="宋体" w:hAnsi="Arial" w:cs="Arial"/>
          <w:color w:val="333333"/>
          <w:sz w:val="18"/>
          <w:szCs w:val="18"/>
        </w:rPr>
        <w:t>ave at times caused us to miss customer product design windows, which can result in lost revenue opportunities and damage to our customer relationships. Furthermore, when the introduction of next-generation process nodes is delayed, including additional co</w:t>
      </w:r>
      <w:r>
        <w:rPr>
          <w:rFonts w:ascii="Arial" w:eastAsia="宋体" w:hAnsi="Arial" w:cs="Arial"/>
          <w:color w:val="333333"/>
          <w:sz w:val="18"/>
          <w:szCs w:val="18"/>
        </w:rPr>
        <w:t xml:space="preserve">mpetitive features in our products can result in larger die size products, manufacturing supply </w:t>
      </w:r>
      <w:r>
        <w:rPr>
          <w:rFonts w:ascii="Arial" w:eastAsia="宋体" w:hAnsi="Arial" w:cs="Arial"/>
          <w:color w:val="333333"/>
          <w:sz w:val="18"/>
          <w:szCs w:val="18"/>
        </w:rPr>
        <w:lastRenderedPageBreak/>
        <w:t>constraints, and increased product costs. Lower manufacturing yields and longer manufacturing throughput times, compared to previous process nodes, can increase</w:t>
      </w:r>
      <w:r>
        <w:rPr>
          <w:rFonts w:ascii="Arial" w:eastAsia="宋体" w:hAnsi="Arial" w:cs="Arial"/>
          <w:color w:val="333333"/>
          <w:sz w:val="18"/>
          <w:szCs w:val="18"/>
        </w:rPr>
        <w:t xml:space="preserve"> our product costs and adversely affect our gross margins, and can contribute to manufacturing supply constraints. In addition, as the die size of our products has increased and our manufacturing process nodes have shrunk, our products and manufacturing pr</w:t>
      </w:r>
      <w:r>
        <w:rPr>
          <w:rFonts w:ascii="Arial" w:eastAsia="宋体" w:hAnsi="Arial" w:cs="Arial"/>
          <w:color w:val="333333"/>
          <w:sz w:val="18"/>
          <w:szCs w:val="18"/>
        </w:rPr>
        <w:t>ocesses have grown increasingly complex and more susceptible to product defects and errata, which can also contribute to production timing delays and lower yields.</w:t>
      </w:r>
    </w:p>
    <w:p w14:paraId="4ACE366A"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243"/>
        <w:gridCol w:w="2658"/>
        <w:gridCol w:w="3405"/>
      </w:tblGrid>
      <w:tr w:rsidR="006F587A" w14:paraId="4ACE366C" w14:textId="77777777">
        <w:tc>
          <w:tcPr>
            <w:tcW w:w="0" w:type="auto"/>
            <w:gridSpan w:val="3"/>
            <w:shd w:val="clear" w:color="auto" w:fill="auto"/>
            <w:vAlign w:val="center"/>
          </w:tcPr>
          <w:p w14:paraId="4ACE366B" w14:textId="77777777" w:rsidR="006F587A" w:rsidRDefault="006F587A">
            <w:pPr>
              <w:rPr>
                <w:rFonts w:ascii="Times New Roman" w:hAnsi="Times New Roman"/>
                <w:sz w:val="20"/>
                <w:szCs w:val="20"/>
              </w:rPr>
            </w:pPr>
          </w:p>
        </w:tc>
      </w:tr>
      <w:tr w:rsidR="006F587A" w14:paraId="4ACE3670" w14:textId="77777777">
        <w:tc>
          <w:tcPr>
            <w:tcW w:w="1350" w:type="pct"/>
            <w:shd w:val="clear" w:color="auto" w:fill="auto"/>
            <w:vAlign w:val="center"/>
          </w:tcPr>
          <w:p w14:paraId="4ACE366D" w14:textId="77777777" w:rsidR="006F587A" w:rsidRDefault="006F587A">
            <w:pPr>
              <w:rPr>
                <w:rFonts w:ascii="Times New Roman" w:hAnsi="Times New Roman"/>
                <w:sz w:val="20"/>
                <w:szCs w:val="20"/>
              </w:rPr>
            </w:pPr>
          </w:p>
        </w:tc>
        <w:tc>
          <w:tcPr>
            <w:tcW w:w="1600" w:type="pct"/>
            <w:shd w:val="clear" w:color="auto" w:fill="auto"/>
            <w:vAlign w:val="center"/>
          </w:tcPr>
          <w:p w14:paraId="4ACE366E" w14:textId="77777777" w:rsidR="006F587A" w:rsidRDefault="006F587A">
            <w:pPr>
              <w:rPr>
                <w:rFonts w:ascii="Times New Roman" w:hAnsi="Times New Roman"/>
                <w:sz w:val="20"/>
                <w:szCs w:val="20"/>
              </w:rPr>
            </w:pPr>
          </w:p>
        </w:tc>
        <w:tc>
          <w:tcPr>
            <w:tcW w:w="2050" w:type="pct"/>
            <w:shd w:val="clear" w:color="auto" w:fill="auto"/>
            <w:vAlign w:val="center"/>
          </w:tcPr>
          <w:p w14:paraId="4ACE366F" w14:textId="77777777" w:rsidR="006F587A" w:rsidRDefault="006F587A">
            <w:pPr>
              <w:rPr>
                <w:rFonts w:ascii="Times New Roman" w:hAnsi="Times New Roman"/>
                <w:sz w:val="20"/>
                <w:szCs w:val="20"/>
              </w:rPr>
            </w:pPr>
          </w:p>
        </w:tc>
      </w:tr>
      <w:tr w:rsidR="006F587A" w14:paraId="4ACE3674"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3671" w14:textId="77777777" w:rsidR="006F587A" w:rsidRDefault="007B2B61">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88" wp14:editId="4ACE6D89">
                  <wp:extent cx="304800" cy="304800"/>
                  <wp:effectExtent l="0" t="0" r="0" b="0"/>
                  <wp:docPr id="186" name="图片 245"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245"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OTHER KEY INFORMATION</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67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673"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54</w:t>
            </w:r>
          </w:p>
        </w:tc>
      </w:tr>
    </w:tbl>
    <w:p w14:paraId="4ACE3675" w14:textId="77777777" w:rsidR="006F587A" w:rsidRDefault="007B2B61">
      <w:r>
        <w:pict w14:anchorId="4ACE6D8A">
          <v:rect id="_x0000_i1080" style="width:415.3pt;height:1.5pt" o:hralign="center" o:hrstd="t" o:hr="t" fillcolor="#a0a0a0" stroked="f"/>
        </w:pict>
      </w:r>
    </w:p>
    <w:p w14:paraId="4ACE3676" w14:textId="77777777" w:rsidR="006F587A" w:rsidRDefault="007B2B61">
      <w:pPr>
        <w:spacing w:line="288" w:lineRule="auto"/>
        <w:jc w:val="right"/>
        <w:rPr>
          <w:rFonts w:ascii="Times New Roman" w:hAnsi="Times New Roman"/>
          <w:sz w:val="16"/>
          <w:szCs w:val="16"/>
        </w:rPr>
      </w:pPr>
      <w:hyperlink r:id="rId87" w:anchor="s9DB683E2CF52561EB8A73BE37F5BF9BE" w:history="1">
        <w:r>
          <w:rPr>
            <w:rStyle w:val="a5"/>
            <w:rFonts w:ascii="Arial" w:eastAsia="宋体" w:hAnsi="Arial" w:cs="Arial"/>
            <w:b/>
            <w:bCs/>
            <w:sz w:val="16"/>
            <w:szCs w:val="16"/>
          </w:rPr>
          <w:t>Table of Contents</w:t>
        </w:r>
      </w:hyperlink>
    </w:p>
    <w:p w14:paraId="4ACE3677" w14:textId="77777777" w:rsidR="006F587A" w:rsidRDefault="006F587A">
      <w:pPr>
        <w:spacing w:line="288" w:lineRule="auto"/>
        <w:jc w:val="right"/>
        <w:rPr>
          <w:rFonts w:ascii="Times New Roman" w:hAnsi="Times New Roman"/>
          <w:sz w:val="16"/>
          <w:szCs w:val="16"/>
        </w:rPr>
      </w:pPr>
    </w:p>
    <w:p w14:paraId="4ACE3678" w14:textId="77777777" w:rsidR="006F587A" w:rsidRDefault="006F587A">
      <w:pPr>
        <w:rPr>
          <w:rFonts w:ascii="Times New Roman" w:hAnsi="Times New Roman"/>
          <w:sz w:val="20"/>
          <w:szCs w:val="20"/>
        </w:rPr>
      </w:pPr>
    </w:p>
    <w:p w14:paraId="4ACE3679"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From time to time, disruptions in the production process result from errors, defects in materials, delays in obtaining or revising operating permits and licenses, interruptions in our supply of materials or resources, and disruptions at our fabrication and</w:t>
      </w:r>
      <w:r>
        <w:rPr>
          <w:rFonts w:ascii="Arial" w:eastAsia="宋体" w:hAnsi="Arial" w:cs="Arial"/>
          <w:color w:val="333333"/>
          <w:sz w:val="18"/>
          <w:szCs w:val="18"/>
        </w:rPr>
        <w:t xml:space="preserve"> assembly and test facilities due to accidents, maintenance issues, or unsafe working conditions—all of which could affect the timing of production ramps and yields. </w:t>
      </w:r>
    </w:p>
    <w:p w14:paraId="4ACE367A"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Production issues periodically lead to increased costs and affect our ability to meet pro</w:t>
      </w:r>
      <w:r>
        <w:rPr>
          <w:rFonts w:ascii="Arial" w:eastAsia="宋体" w:hAnsi="Arial" w:cs="Arial"/>
          <w:color w:val="333333"/>
          <w:sz w:val="18"/>
          <w:szCs w:val="18"/>
        </w:rPr>
        <w:t xml:space="preserve">duct demand, which can adversely impact our business and the results of operations. In addition, to the extent we face delays in the timing of our product introductions, we could become less competitive and lose revenue opportunities, and our gross margin </w:t>
      </w:r>
      <w:r>
        <w:rPr>
          <w:rFonts w:ascii="Arial" w:eastAsia="宋体" w:hAnsi="Arial" w:cs="Arial"/>
          <w:color w:val="333333"/>
          <w:sz w:val="18"/>
          <w:szCs w:val="18"/>
        </w:rPr>
        <w:t>could be adversely affected because we incur significant costs up front in the product development stage and earn revenue to offset these costs over time.</w:t>
      </w:r>
    </w:p>
    <w:p w14:paraId="4ACE367B" w14:textId="77777777" w:rsidR="006F587A" w:rsidRDefault="007B2B61">
      <w:pPr>
        <w:spacing w:line="288" w:lineRule="auto"/>
        <w:rPr>
          <w:rFonts w:ascii="Times New Roman" w:hAnsi="Times New Roman"/>
          <w:sz w:val="18"/>
          <w:szCs w:val="18"/>
        </w:rPr>
      </w:pPr>
      <w:r>
        <w:rPr>
          <w:rFonts w:ascii="Arial" w:eastAsia="宋体" w:hAnsi="Arial" w:cs="Arial"/>
          <w:color w:val="0071C5"/>
          <w:sz w:val="18"/>
          <w:szCs w:val="18"/>
        </w:rPr>
        <w:t xml:space="preserve">We face supply chain risks. </w:t>
      </w:r>
      <w:r>
        <w:rPr>
          <w:rFonts w:ascii="Arial" w:eastAsia="宋体" w:hAnsi="Arial" w:cs="Arial"/>
          <w:color w:val="333333"/>
          <w:sz w:val="18"/>
          <w:szCs w:val="18"/>
        </w:rPr>
        <w:t>Thousands of suppliers provide materials and equipment that we use in pro</w:t>
      </w:r>
      <w:r>
        <w:rPr>
          <w:rFonts w:ascii="Arial" w:eastAsia="宋体" w:hAnsi="Arial" w:cs="Arial"/>
          <w:color w:val="333333"/>
          <w:sz w:val="18"/>
          <w:szCs w:val="18"/>
        </w:rPr>
        <w:t>duction and other aspects of our business. Where possible, we seek to have several sources of supply. However, for certain materials and equipment, including certain photolithography tools, we rely on a single or a limited number of suppliers, or upon supp</w:t>
      </w:r>
      <w:r>
        <w:rPr>
          <w:rFonts w:ascii="Arial" w:eastAsia="宋体" w:hAnsi="Arial" w:cs="Arial"/>
          <w:color w:val="333333"/>
          <w:sz w:val="18"/>
          <w:szCs w:val="18"/>
        </w:rPr>
        <w:t>liers in a single location. In addition, supplier consolidation or business failures can impact the nature, quality, availability, and pricing of the products and services available to us. The inability of suppliers to deliver necessary production material</w:t>
      </w:r>
      <w:r>
        <w:rPr>
          <w:rFonts w:ascii="Arial" w:eastAsia="宋体" w:hAnsi="Arial" w:cs="Arial"/>
          <w:color w:val="333333"/>
          <w:sz w:val="18"/>
          <w:szCs w:val="18"/>
        </w:rPr>
        <w:t>s or equipment can disrupt our production processes and make it more difficult for us to implement our business strategy. Production can be disrupted by the unavailability of resources, such as water, silicon, electricity, gases, and other materials. The u</w:t>
      </w:r>
      <w:r>
        <w:rPr>
          <w:rFonts w:ascii="Arial" w:eastAsia="宋体" w:hAnsi="Arial" w:cs="Arial"/>
          <w:color w:val="333333"/>
          <w:sz w:val="18"/>
          <w:szCs w:val="18"/>
        </w:rPr>
        <w:t>navailability or reduced availability of materials or resources can require us to reduce production or incur additional costs, which could harm our business and results of operations. Our manufacturing operations and ability to meet product demand may also</w:t>
      </w:r>
      <w:r>
        <w:rPr>
          <w:rFonts w:ascii="Arial" w:eastAsia="宋体" w:hAnsi="Arial" w:cs="Arial"/>
          <w:color w:val="333333"/>
          <w:sz w:val="18"/>
          <w:szCs w:val="18"/>
        </w:rPr>
        <w:t xml:space="preserve"> be impacted by IP or other litigation between our suppliers, where an injunction against Intel or a supplier could interrupt the availability of goods or services supplied to Intel by others.</w:t>
      </w:r>
    </w:p>
    <w:p w14:paraId="4ACE367C"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We also rely on third-party providers to manufacture, assemble </w:t>
      </w:r>
      <w:r>
        <w:rPr>
          <w:rFonts w:ascii="Arial" w:eastAsia="宋体" w:hAnsi="Arial" w:cs="Arial"/>
          <w:color w:val="333333"/>
          <w:sz w:val="18"/>
          <w:szCs w:val="18"/>
        </w:rPr>
        <w:t>and test, and supply certain components or products. These have included components and products related to networking, communications, programmable semiconductor solutions, and memory, and may include these and other components and products in the future.</w:t>
      </w:r>
      <w:r>
        <w:rPr>
          <w:rFonts w:ascii="Arial" w:eastAsia="宋体" w:hAnsi="Arial" w:cs="Arial"/>
          <w:color w:val="333333"/>
          <w:sz w:val="18"/>
          <w:szCs w:val="18"/>
        </w:rPr>
        <w:t xml:space="preserve"> To the extent any of these third parties are unable to perform these services on a timely or cost-effective basis, in sufficient volumes, or at all, we can encounter supply delays or disruptions or incur additional costs that could adversely affect our bu</w:t>
      </w:r>
      <w:r>
        <w:rPr>
          <w:rFonts w:ascii="Arial" w:eastAsia="宋体" w:hAnsi="Arial" w:cs="Arial"/>
          <w:color w:val="333333"/>
          <w:sz w:val="18"/>
          <w:szCs w:val="18"/>
        </w:rPr>
        <w:t>siness and financial results. For example, while we have supply agreements providing for the supply of Intel</w:t>
      </w:r>
      <w:r>
        <w:rPr>
          <w:rFonts w:ascii="Arial" w:eastAsia="宋体" w:hAnsi="Arial" w:cs="Arial"/>
          <w:color w:val="333333"/>
          <w:sz w:val="12"/>
          <w:szCs w:val="12"/>
        </w:rPr>
        <w:t xml:space="preserve">® </w:t>
      </w:r>
      <w:r>
        <w:rPr>
          <w:rFonts w:ascii="Arial" w:eastAsia="宋体" w:hAnsi="Arial" w:cs="Arial"/>
          <w:color w:val="333333"/>
          <w:sz w:val="18"/>
          <w:szCs w:val="18"/>
        </w:rPr>
        <w:t>3D XPoint™ memory from IMFT for a period following the close of Micron’s purchase of our interest in IMFT, we will need to fund and develop intern</w:t>
      </w:r>
      <w:r>
        <w:rPr>
          <w:rFonts w:ascii="Arial" w:eastAsia="宋体" w:hAnsi="Arial" w:cs="Arial"/>
          <w:color w:val="333333"/>
          <w:sz w:val="18"/>
          <w:szCs w:val="18"/>
        </w:rPr>
        <w:t>al manufacturing options to continue 3D XPoint memory supply in the longer term.</w:t>
      </w:r>
    </w:p>
    <w:p w14:paraId="4ACE367D"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In addition, increased regulation or stakeholder expectations regarding responsible sourcing practices could cause our compliance costs to increase or result in publicity that</w:t>
      </w:r>
      <w:r>
        <w:rPr>
          <w:rFonts w:ascii="Arial" w:eastAsia="宋体" w:hAnsi="Arial" w:cs="Arial"/>
          <w:color w:val="333333"/>
          <w:sz w:val="18"/>
          <w:szCs w:val="18"/>
        </w:rPr>
        <w:t xml:space="preserve"> negatively affects our reputation. Moreover, given that we use many materials in the manufacturing of our products and rely on many suppliers to provide these materials, but do not directly control the procurement or employment practices of such suppliers</w:t>
      </w:r>
      <w:r>
        <w:rPr>
          <w:rFonts w:ascii="Arial" w:eastAsia="宋体" w:hAnsi="Arial" w:cs="Arial"/>
          <w:color w:val="333333"/>
          <w:sz w:val="18"/>
          <w:szCs w:val="18"/>
        </w:rPr>
        <w:t>, we could be subject to similar financial or reputational risks as a result of our suppliers' conduct.</w:t>
      </w:r>
    </w:p>
    <w:p w14:paraId="4ACE367E" w14:textId="77777777" w:rsidR="006F587A" w:rsidRDefault="007B2B61">
      <w:pPr>
        <w:spacing w:line="288" w:lineRule="auto"/>
        <w:rPr>
          <w:rFonts w:ascii="Times New Roman" w:hAnsi="Times New Roman"/>
          <w:sz w:val="18"/>
          <w:szCs w:val="18"/>
        </w:rPr>
      </w:pPr>
      <w:r>
        <w:rPr>
          <w:rFonts w:ascii="Arial" w:eastAsia="宋体" w:hAnsi="Arial" w:cs="Arial"/>
          <w:color w:val="0071C5"/>
          <w:sz w:val="18"/>
          <w:szCs w:val="18"/>
        </w:rPr>
        <w:t xml:space="preserve">We are subject to the risks of product defects, errata, or other product issues. </w:t>
      </w:r>
      <w:r>
        <w:rPr>
          <w:rFonts w:ascii="Arial" w:eastAsia="宋体" w:hAnsi="Arial" w:cs="Arial"/>
          <w:color w:val="333333"/>
          <w:sz w:val="18"/>
          <w:szCs w:val="18"/>
        </w:rPr>
        <w:t>From time to time, we identify product defects, errata (deviations from</w:t>
      </w:r>
      <w:r>
        <w:rPr>
          <w:rFonts w:ascii="Arial" w:eastAsia="宋体" w:hAnsi="Arial" w:cs="Arial"/>
          <w:color w:val="333333"/>
          <w:sz w:val="18"/>
          <w:szCs w:val="18"/>
        </w:rPr>
        <w:t xml:space="preserve"> published specifications), and other product issues, which can result from problems in our product design or our manufacturing and assembly and test </w:t>
      </w:r>
      <w:r>
        <w:rPr>
          <w:rFonts w:ascii="Arial" w:eastAsia="宋体" w:hAnsi="Arial" w:cs="Arial"/>
          <w:color w:val="333333"/>
          <w:sz w:val="18"/>
          <w:szCs w:val="18"/>
        </w:rPr>
        <w:lastRenderedPageBreak/>
        <w:t>processes. Components and products we purchase or license from third-party suppliers, or attain through ac</w:t>
      </w:r>
      <w:r>
        <w:rPr>
          <w:rFonts w:ascii="Arial" w:eastAsia="宋体" w:hAnsi="Arial" w:cs="Arial"/>
          <w:color w:val="333333"/>
          <w:sz w:val="18"/>
          <w:szCs w:val="18"/>
        </w:rPr>
        <w:t>quisitions, can also contain defects. Product issues also sometimes result from the interaction between our products and third-party products and software. We also face risks if products that we design, manufacture, or sell, or that include our technology,</w:t>
      </w:r>
      <w:r>
        <w:rPr>
          <w:rFonts w:ascii="Arial" w:eastAsia="宋体" w:hAnsi="Arial" w:cs="Arial"/>
          <w:color w:val="333333"/>
          <w:sz w:val="18"/>
          <w:szCs w:val="18"/>
        </w:rPr>
        <w:t xml:space="preserve"> cause personal injury or property damage, even where the cause is unrelated to product defects or errata. These risks may increase as our products are introduced into new devices, market segments, technologies, or applications, including transportation an</w:t>
      </w:r>
      <w:r>
        <w:rPr>
          <w:rFonts w:ascii="Arial" w:eastAsia="宋体" w:hAnsi="Arial" w:cs="Arial"/>
          <w:color w:val="333333"/>
          <w:sz w:val="18"/>
          <w:szCs w:val="18"/>
        </w:rPr>
        <w:t>d autonomous driving, healthcare, communications, and financial services, and other industrial, critical infrastructure, and consumer uses. Costs from defects, errata, or other product issues could include:</w:t>
      </w:r>
    </w:p>
    <w:tbl>
      <w:tblPr>
        <w:tblW w:w="0" w:type="auto"/>
        <w:tblCellSpacing w:w="0" w:type="dxa"/>
        <w:tblCellMar>
          <w:left w:w="0" w:type="dxa"/>
          <w:bottom w:w="80" w:type="dxa"/>
          <w:right w:w="0" w:type="dxa"/>
        </w:tblCellMar>
        <w:tblLook w:val="04A0" w:firstRow="1" w:lastRow="0" w:firstColumn="1" w:lastColumn="0" w:noHBand="0" w:noVBand="1"/>
      </w:tblPr>
      <w:tblGrid>
        <w:gridCol w:w="480"/>
        <w:gridCol w:w="3712"/>
      </w:tblGrid>
      <w:tr w:rsidR="006F587A" w14:paraId="4ACE3681" w14:textId="77777777">
        <w:trPr>
          <w:tblCellSpacing w:w="0" w:type="dxa"/>
        </w:trPr>
        <w:tc>
          <w:tcPr>
            <w:tcW w:w="480" w:type="dxa"/>
            <w:shd w:val="clear" w:color="auto" w:fill="auto"/>
            <w:vAlign w:val="center"/>
          </w:tcPr>
          <w:p w14:paraId="4ACE367F" w14:textId="77777777" w:rsidR="006F587A" w:rsidRDefault="006F587A">
            <w:pPr>
              <w:rPr>
                <w:rFonts w:ascii="Times New Roman" w:hAnsi="Times New Roman"/>
                <w:sz w:val="20"/>
                <w:szCs w:val="20"/>
              </w:rPr>
            </w:pPr>
          </w:p>
        </w:tc>
        <w:tc>
          <w:tcPr>
            <w:tcW w:w="0" w:type="auto"/>
            <w:shd w:val="clear" w:color="auto" w:fill="auto"/>
            <w:vAlign w:val="center"/>
          </w:tcPr>
          <w:p w14:paraId="4ACE3680" w14:textId="77777777" w:rsidR="006F587A" w:rsidRDefault="006F587A">
            <w:pPr>
              <w:rPr>
                <w:rFonts w:ascii="Times New Roman" w:hAnsi="Times New Roman"/>
                <w:sz w:val="20"/>
                <w:szCs w:val="20"/>
              </w:rPr>
            </w:pPr>
          </w:p>
        </w:tc>
      </w:tr>
      <w:tr w:rsidR="006F587A" w14:paraId="4ACE3684" w14:textId="77777777">
        <w:trPr>
          <w:tblCellSpacing w:w="0" w:type="dxa"/>
        </w:trPr>
        <w:tc>
          <w:tcPr>
            <w:tcW w:w="0" w:type="auto"/>
            <w:shd w:val="clear" w:color="auto" w:fill="auto"/>
          </w:tcPr>
          <w:p w14:paraId="4ACE3682"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683"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writing off some or all of the value of </w:t>
            </w:r>
            <w:r>
              <w:rPr>
                <w:rFonts w:ascii="Arial" w:eastAsia="宋体" w:hAnsi="Arial" w:cs="Arial"/>
                <w:color w:val="333333"/>
                <w:sz w:val="18"/>
                <w:szCs w:val="18"/>
              </w:rPr>
              <w:t>inventory;</w:t>
            </w:r>
          </w:p>
        </w:tc>
      </w:tr>
    </w:tbl>
    <w:p w14:paraId="4ACE3685"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3383"/>
      </w:tblGrid>
      <w:tr w:rsidR="006F587A" w14:paraId="4ACE3688" w14:textId="77777777">
        <w:trPr>
          <w:tblCellSpacing w:w="0" w:type="dxa"/>
        </w:trPr>
        <w:tc>
          <w:tcPr>
            <w:tcW w:w="480" w:type="dxa"/>
            <w:shd w:val="clear" w:color="auto" w:fill="auto"/>
            <w:vAlign w:val="center"/>
          </w:tcPr>
          <w:p w14:paraId="4ACE3686" w14:textId="77777777" w:rsidR="006F587A" w:rsidRDefault="006F587A">
            <w:pPr>
              <w:rPr>
                <w:rFonts w:ascii="Times New Roman" w:hAnsi="Times New Roman"/>
                <w:sz w:val="20"/>
                <w:szCs w:val="20"/>
              </w:rPr>
            </w:pPr>
          </w:p>
        </w:tc>
        <w:tc>
          <w:tcPr>
            <w:tcW w:w="0" w:type="auto"/>
            <w:shd w:val="clear" w:color="auto" w:fill="auto"/>
            <w:vAlign w:val="center"/>
          </w:tcPr>
          <w:p w14:paraId="4ACE3687" w14:textId="77777777" w:rsidR="006F587A" w:rsidRDefault="006F587A">
            <w:pPr>
              <w:rPr>
                <w:rFonts w:ascii="Times New Roman" w:hAnsi="Times New Roman"/>
                <w:sz w:val="20"/>
                <w:szCs w:val="20"/>
              </w:rPr>
            </w:pPr>
          </w:p>
        </w:tc>
      </w:tr>
      <w:tr w:rsidR="006F587A" w14:paraId="4ACE368B" w14:textId="77777777">
        <w:trPr>
          <w:tblCellSpacing w:w="0" w:type="dxa"/>
        </w:trPr>
        <w:tc>
          <w:tcPr>
            <w:tcW w:w="0" w:type="auto"/>
            <w:shd w:val="clear" w:color="auto" w:fill="auto"/>
          </w:tcPr>
          <w:p w14:paraId="4ACE3689"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68A"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recalling products that have been shipped;</w:t>
            </w:r>
          </w:p>
        </w:tc>
      </w:tr>
    </w:tbl>
    <w:p w14:paraId="4ACE368C"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3872"/>
      </w:tblGrid>
      <w:tr w:rsidR="006F587A" w14:paraId="4ACE368F" w14:textId="77777777">
        <w:trPr>
          <w:tblCellSpacing w:w="0" w:type="dxa"/>
        </w:trPr>
        <w:tc>
          <w:tcPr>
            <w:tcW w:w="480" w:type="dxa"/>
            <w:shd w:val="clear" w:color="auto" w:fill="auto"/>
            <w:vAlign w:val="center"/>
          </w:tcPr>
          <w:p w14:paraId="4ACE368D" w14:textId="77777777" w:rsidR="006F587A" w:rsidRDefault="006F587A">
            <w:pPr>
              <w:rPr>
                <w:rFonts w:ascii="Times New Roman" w:hAnsi="Times New Roman"/>
                <w:sz w:val="20"/>
                <w:szCs w:val="20"/>
              </w:rPr>
            </w:pPr>
          </w:p>
        </w:tc>
        <w:tc>
          <w:tcPr>
            <w:tcW w:w="0" w:type="auto"/>
            <w:shd w:val="clear" w:color="auto" w:fill="auto"/>
            <w:vAlign w:val="center"/>
          </w:tcPr>
          <w:p w14:paraId="4ACE368E" w14:textId="77777777" w:rsidR="006F587A" w:rsidRDefault="006F587A">
            <w:pPr>
              <w:rPr>
                <w:rFonts w:ascii="Times New Roman" w:hAnsi="Times New Roman"/>
                <w:sz w:val="20"/>
                <w:szCs w:val="20"/>
              </w:rPr>
            </w:pPr>
          </w:p>
        </w:tc>
      </w:tr>
      <w:tr w:rsidR="006F587A" w14:paraId="4ACE3692" w14:textId="77777777">
        <w:trPr>
          <w:tblCellSpacing w:w="0" w:type="dxa"/>
        </w:trPr>
        <w:tc>
          <w:tcPr>
            <w:tcW w:w="0" w:type="auto"/>
            <w:shd w:val="clear" w:color="auto" w:fill="auto"/>
          </w:tcPr>
          <w:p w14:paraId="4ACE3690"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691"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providing product replacements or modifications;</w:t>
            </w:r>
          </w:p>
        </w:tc>
      </w:tr>
    </w:tbl>
    <w:p w14:paraId="4ACE3693"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4022"/>
      </w:tblGrid>
      <w:tr w:rsidR="006F587A" w14:paraId="4ACE3696" w14:textId="77777777">
        <w:trPr>
          <w:tblCellSpacing w:w="0" w:type="dxa"/>
        </w:trPr>
        <w:tc>
          <w:tcPr>
            <w:tcW w:w="480" w:type="dxa"/>
            <w:shd w:val="clear" w:color="auto" w:fill="auto"/>
            <w:vAlign w:val="center"/>
          </w:tcPr>
          <w:p w14:paraId="4ACE3694" w14:textId="77777777" w:rsidR="006F587A" w:rsidRDefault="006F587A">
            <w:pPr>
              <w:rPr>
                <w:rFonts w:ascii="Times New Roman" w:hAnsi="Times New Roman"/>
                <w:sz w:val="20"/>
                <w:szCs w:val="20"/>
              </w:rPr>
            </w:pPr>
          </w:p>
        </w:tc>
        <w:tc>
          <w:tcPr>
            <w:tcW w:w="0" w:type="auto"/>
            <w:shd w:val="clear" w:color="auto" w:fill="auto"/>
            <w:vAlign w:val="center"/>
          </w:tcPr>
          <w:p w14:paraId="4ACE3695" w14:textId="77777777" w:rsidR="006F587A" w:rsidRDefault="006F587A">
            <w:pPr>
              <w:rPr>
                <w:rFonts w:ascii="Times New Roman" w:hAnsi="Times New Roman"/>
                <w:sz w:val="20"/>
                <w:szCs w:val="20"/>
              </w:rPr>
            </w:pPr>
          </w:p>
        </w:tc>
      </w:tr>
      <w:tr w:rsidR="006F587A" w14:paraId="4ACE3699" w14:textId="77777777">
        <w:trPr>
          <w:tblCellSpacing w:w="0" w:type="dxa"/>
        </w:trPr>
        <w:tc>
          <w:tcPr>
            <w:tcW w:w="0" w:type="auto"/>
            <w:shd w:val="clear" w:color="auto" w:fill="auto"/>
          </w:tcPr>
          <w:p w14:paraId="4ACE3697"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698"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reimbursing customers for certain costs they incur;</w:t>
            </w:r>
          </w:p>
        </w:tc>
      </w:tr>
    </w:tbl>
    <w:p w14:paraId="4ACE369A"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5194"/>
      </w:tblGrid>
      <w:tr w:rsidR="006F587A" w14:paraId="4ACE369D" w14:textId="77777777">
        <w:trPr>
          <w:tblCellSpacing w:w="0" w:type="dxa"/>
        </w:trPr>
        <w:tc>
          <w:tcPr>
            <w:tcW w:w="480" w:type="dxa"/>
            <w:shd w:val="clear" w:color="auto" w:fill="auto"/>
            <w:vAlign w:val="center"/>
          </w:tcPr>
          <w:p w14:paraId="4ACE369B" w14:textId="77777777" w:rsidR="006F587A" w:rsidRDefault="006F587A">
            <w:pPr>
              <w:rPr>
                <w:rFonts w:ascii="Times New Roman" w:hAnsi="Times New Roman"/>
                <w:sz w:val="20"/>
                <w:szCs w:val="20"/>
              </w:rPr>
            </w:pPr>
          </w:p>
        </w:tc>
        <w:tc>
          <w:tcPr>
            <w:tcW w:w="0" w:type="auto"/>
            <w:shd w:val="clear" w:color="auto" w:fill="auto"/>
            <w:vAlign w:val="center"/>
          </w:tcPr>
          <w:p w14:paraId="4ACE369C" w14:textId="77777777" w:rsidR="006F587A" w:rsidRDefault="006F587A">
            <w:pPr>
              <w:rPr>
                <w:rFonts w:ascii="Times New Roman" w:hAnsi="Times New Roman"/>
                <w:sz w:val="20"/>
                <w:szCs w:val="20"/>
              </w:rPr>
            </w:pPr>
          </w:p>
        </w:tc>
      </w:tr>
      <w:tr w:rsidR="006F587A" w14:paraId="4ACE36A0" w14:textId="77777777">
        <w:trPr>
          <w:tblCellSpacing w:w="0" w:type="dxa"/>
        </w:trPr>
        <w:tc>
          <w:tcPr>
            <w:tcW w:w="0" w:type="auto"/>
            <w:shd w:val="clear" w:color="auto" w:fill="auto"/>
          </w:tcPr>
          <w:p w14:paraId="4ACE369E"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69F"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defending against litigation and/or paying resulting damages; and</w:t>
            </w:r>
          </w:p>
        </w:tc>
      </w:tr>
    </w:tbl>
    <w:p w14:paraId="4ACE36A1" w14:textId="77777777" w:rsidR="006F587A" w:rsidRDefault="006F587A">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480"/>
        <w:gridCol w:w="3603"/>
      </w:tblGrid>
      <w:tr w:rsidR="006F587A" w14:paraId="4ACE36A4" w14:textId="77777777">
        <w:trPr>
          <w:tblCellSpacing w:w="0" w:type="dxa"/>
        </w:trPr>
        <w:tc>
          <w:tcPr>
            <w:tcW w:w="480" w:type="dxa"/>
            <w:shd w:val="clear" w:color="auto" w:fill="auto"/>
            <w:vAlign w:val="center"/>
          </w:tcPr>
          <w:p w14:paraId="4ACE36A2" w14:textId="77777777" w:rsidR="006F587A" w:rsidRDefault="006F587A">
            <w:pPr>
              <w:rPr>
                <w:rFonts w:ascii="Times New Roman" w:hAnsi="Times New Roman"/>
                <w:sz w:val="20"/>
                <w:szCs w:val="20"/>
              </w:rPr>
            </w:pPr>
          </w:p>
        </w:tc>
        <w:tc>
          <w:tcPr>
            <w:tcW w:w="0" w:type="auto"/>
            <w:shd w:val="clear" w:color="auto" w:fill="auto"/>
            <w:vAlign w:val="center"/>
          </w:tcPr>
          <w:p w14:paraId="4ACE36A3" w14:textId="77777777" w:rsidR="006F587A" w:rsidRDefault="006F587A">
            <w:pPr>
              <w:rPr>
                <w:rFonts w:ascii="Times New Roman" w:hAnsi="Times New Roman"/>
                <w:sz w:val="20"/>
                <w:szCs w:val="20"/>
              </w:rPr>
            </w:pPr>
          </w:p>
        </w:tc>
      </w:tr>
      <w:tr w:rsidR="006F587A" w14:paraId="4ACE36A7" w14:textId="77777777">
        <w:trPr>
          <w:tblCellSpacing w:w="0" w:type="dxa"/>
        </w:trPr>
        <w:tc>
          <w:tcPr>
            <w:tcW w:w="0" w:type="auto"/>
            <w:shd w:val="clear" w:color="auto" w:fill="auto"/>
          </w:tcPr>
          <w:p w14:paraId="4ACE36A5"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6A6"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paying fines imposed by regulatory agencies.</w:t>
            </w:r>
          </w:p>
        </w:tc>
      </w:tr>
    </w:tbl>
    <w:p w14:paraId="4ACE36A8"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These costs could be large and may increase expenses and lower gross margin, and result in delay or loss of revenue. Mitigation techniques designed to address product issues, including software and firmware up</w:t>
      </w:r>
      <w:r>
        <w:rPr>
          <w:rFonts w:ascii="Arial" w:eastAsia="宋体" w:hAnsi="Arial" w:cs="Arial"/>
          <w:color w:val="333333"/>
          <w:sz w:val="18"/>
          <w:szCs w:val="18"/>
        </w:rPr>
        <w:t>dates, are not always available on a timely basis or at all, do not always operate as intended or effectively resolve such issues for all applications, and can result in adverse performance effects. Any product defects, errata, or other issues could damage</w:t>
      </w:r>
      <w:r>
        <w:rPr>
          <w:rFonts w:ascii="Arial" w:eastAsia="宋体" w:hAnsi="Arial" w:cs="Arial"/>
          <w:color w:val="333333"/>
          <w:sz w:val="18"/>
          <w:szCs w:val="18"/>
        </w:rPr>
        <w:t xml:space="preserve"> our reputation, negatively affect product demand, delay product releases, or result in legal liability. Product defects or errata could cause customers to purchase products from competitors. Any of these occurrences could harm our business and financial r</w:t>
      </w:r>
      <w:r>
        <w:rPr>
          <w:rFonts w:ascii="Arial" w:eastAsia="宋体" w:hAnsi="Arial" w:cs="Arial"/>
          <w:color w:val="333333"/>
          <w:sz w:val="18"/>
          <w:szCs w:val="18"/>
        </w:rPr>
        <w:t>esults. In addition, although we maintain liability insurance, our coverage has certain exclusions or may not adequately cover liabilities incurred. Our insurance providers may be unable or unwilling to pay a claim, and losses not covered by insurance coul</w:t>
      </w:r>
      <w:r>
        <w:rPr>
          <w:rFonts w:ascii="Arial" w:eastAsia="宋体" w:hAnsi="Arial" w:cs="Arial"/>
          <w:color w:val="333333"/>
          <w:sz w:val="18"/>
          <w:szCs w:val="18"/>
        </w:rPr>
        <w:t>d be large, which could harm our financial condition.</w:t>
      </w:r>
    </w:p>
    <w:p w14:paraId="4ACE36A9"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243"/>
        <w:gridCol w:w="2658"/>
        <w:gridCol w:w="3405"/>
      </w:tblGrid>
      <w:tr w:rsidR="006F587A" w14:paraId="4ACE36AB" w14:textId="77777777">
        <w:tc>
          <w:tcPr>
            <w:tcW w:w="0" w:type="auto"/>
            <w:gridSpan w:val="3"/>
            <w:shd w:val="clear" w:color="auto" w:fill="auto"/>
            <w:vAlign w:val="center"/>
          </w:tcPr>
          <w:p w14:paraId="4ACE36AA" w14:textId="77777777" w:rsidR="006F587A" w:rsidRDefault="006F587A">
            <w:pPr>
              <w:rPr>
                <w:rFonts w:ascii="Times New Roman" w:hAnsi="Times New Roman"/>
                <w:sz w:val="20"/>
                <w:szCs w:val="20"/>
              </w:rPr>
            </w:pPr>
          </w:p>
        </w:tc>
      </w:tr>
      <w:tr w:rsidR="006F587A" w14:paraId="4ACE36AF" w14:textId="77777777">
        <w:tc>
          <w:tcPr>
            <w:tcW w:w="1350" w:type="pct"/>
            <w:shd w:val="clear" w:color="auto" w:fill="auto"/>
            <w:vAlign w:val="center"/>
          </w:tcPr>
          <w:p w14:paraId="4ACE36AC" w14:textId="77777777" w:rsidR="006F587A" w:rsidRDefault="006F587A">
            <w:pPr>
              <w:rPr>
                <w:rFonts w:ascii="Times New Roman" w:hAnsi="Times New Roman"/>
                <w:sz w:val="20"/>
                <w:szCs w:val="20"/>
              </w:rPr>
            </w:pPr>
          </w:p>
        </w:tc>
        <w:tc>
          <w:tcPr>
            <w:tcW w:w="1600" w:type="pct"/>
            <w:shd w:val="clear" w:color="auto" w:fill="auto"/>
            <w:vAlign w:val="center"/>
          </w:tcPr>
          <w:p w14:paraId="4ACE36AD" w14:textId="77777777" w:rsidR="006F587A" w:rsidRDefault="006F587A">
            <w:pPr>
              <w:rPr>
                <w:rFonts w:ascii="Times New Roman" w:hAnsi="Times New Roman"/>
                <w:sz w:val="20"/>
                <w:szCs w:val="20"/>
              </w:rPr>
            </w:pPr>
          </w:p>
        </w:tc>
        <w:tc>
          <w:tcPr>
            <w:tcW w:w="2050" w:type="pct"/>
            <w:shd w:val="clear" w:color="auto" w:fill="auto"/>
            <w:vAlign w:val="center"/>
          </w:tcPr>
          <w:p w14:paraId="4ACE36AE" w14:textId="77777777" w:rsidR="006F587A" w:rsidRDefault="006F587A">
            <w:pPr>
              <w:rPr>
                <w:rFonts w:ascii="Times New Roman" w:hAnsi="Times New Roman"/>
                <w:sz w:val="20"/>
                <w:szCs w:val="20"/>
              </w:rPr>
            </w:pPr>
          </w:p>
        </w:tc>
      </w:tr>
      <w:tr w:rsidR="006F587A" w14:paraId="4ACE36B3"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36B0" w14:textId="77777777" w:rsidR="006F587A" w:rsidRDefault="007B2B61">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8B" wp14:editId="4ACE6D8C">
                  <wp:extent cx="304800" cy="304800"/>
                  <wp:effectExtent l="0" t="0" r="0" b="0"/>
                  <wp:docPr id="166" name="图片 247"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247"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OTHER KEY INFORMATION</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6B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6B2"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55</w:t>
            </w:r>
          </w:p>
        </w:tc>
      </w:tr>
    </w:tbl>
    <w:p w14:paraId="4ACE36B4" w14:textId="77777777" w:rsidR="006F587A" w:rsidRDefault="007B2B61">
      <w:r>
        <w:pict w14:anchorId="4ACE6D8D">
          <v:rect id="_x0000_i1081" style="width:415.3pt;height:1.5pt" o:hralign="center" o:hrstd="t" o:hr="t" fillcolor="#a0a0a0" stroked="f"/>
        </w:pict>
      </w:r>
    </w:p>
    <w:p w14:paraId="4ACE36B5" w14:textId="77777777" w:rsidR="006F587A" w:rsidRDefault="007B2B61">
      <w:pPr>
        <w:spacing w:line="288" w:lineRule="auto"/>
        <w:jc w:val="right"/>
        <w:rPr>
          <w:rFonts w:ascii="Times New Roman" w:hAnsi="Times New Roman"/>
          <w:sz w:val="16"/>
          <w:szCs w:val="16"/>
        </w:rPr>
      </w:pPr>
      <w:hyperlink r:id="rId88" w:anchor="s9DB683E2CF52561EB8A73BE37F5BF9BE" w:history="1">
        <w:r>
          <w:rPr>
            <w:rStyle w:val="a5"/>
            <w:rFonts w:ascii="Arial" w:eastAsia="宋体" w:hAnsi="Arial" w:cs="Arial"/>
            <w:b/>
            <w:bCs/>
            <w:sz w:val="16"/>
            <w:szCs w:val="16"/>
          </w:rPr>
          <w:t>Table of Contents</w:t>
        </w:r>
      </w:hyperlink>
    </w:p>
    <w:p w14:paraId="4ACE36B6" w14:textId="77777777" w:rsidR="006F587A" w:rsidRDefault="006F587A">
      <w:pPr>
        <w:spacing w:line="288" w:lineRule="auto"/>
        <w:jc w:val="right"/>
        <w:rPr>
          <w:rFonts w:ascii="Times New Roman" w:hAnsi="Times New Roman"/>
          <w:sz w:val="16"/>
          <w:szCs w:val="16"/>
        </w:rPr>
      </w:pPr>
    </w:p>
    <w:p w14:paraId="4ACE36B7" w14:textId="77777777" w:rsidR="006F587A" w:rsidRDefault="006F587A">
      <w:pPr>
        <w:rPr>
          <w:rFonts w:ascii="Times New Roman" w:hAnsi="Times New Roman"/>
          <w:sz w:val="20"/>
          <w:szCs w:val="20"/>
        </w:rPr>
      </w:pPr>
    </w:p>
    <w:p w14:paraId="4ACE36B8" w14:textId="77777777" w:rsidR="006F587A" w:rsidRDefault="007B2B61">
      <w:pPr>
        <w:spacing w:line="288" w:lineRule="auto"/>
        <w:rPr>
          <w:rFonts w:ascii="Times New Roman" w:hAnsi="Times New Roman"/>
          <w:sz w:val="18"/>
          <w:szCs w:val="18"/>
        </w:rPr>
      </w:pPr>
      <w:r>
        <w:rPr>
          <w:rFonts w:ascii="Arial" w:eastAsia="宋体" w:hAnsi="Arial" w:cs="Arial"/>
          <w:color w:val="0071C5"/>
          <w:sz w:val="18"/>
          <w:szCs w:val="18"/>
        </w:rPr>
        <w:t>We are subject to risks associated with environmental, health, and safety r</w:t>
      </w:r>
      <w:r>
        <w:rPr>
          <w:rFonts w:ascii="Arial" w:eastAsia="宋体" w:hAnsi="Arial" w:cs="Arial"/>
          <w:color w:val="0071C5"/>
          <w:sz w:val="18"/>
          <w:szCs w:val="18"/>
        </w:rPr>
        <w:t>egulations.</w:t>
      </w:r>
      <w:r>
        <w:rPr>
          <w:rFonts w:ascii="Arial" w:eastAsia="宋体" w:hAnsi="Arial" w:cs="Arial"/>
          <w:color w:val="333333"/>
          <w:sz w:val="18"/>
          <w:szCs w:val="18"/>
        </w:rPr>
        <w:t xml:space="preserve"> The manufacturing and assembly and test of our products require the use of hazardous materials that are subject to a broad array of environmental, health, and safety laws and regulations. Our failure to comply with these laws or regulations can</w:t>
      </w:r>
      <w:r>
        <w:rPr>
          <w:rFonts w:ascii="Arial" w:eastAsia="宋体" w:hAnsi="Arial" w:cs="Arial"/>
          <w:color w:val="333333"/>
          <w:sz w:val="18"/>
          <w:szCs w:val="18"/>
        </w:rPr>
        <w:t xml:space="preserve"> result in:</w:t>
      </w:r>
    </w:p>
    <w:tbl>
      <w:tblPr>
        <w:tblW w:w="0" w:type="auto"/>
        <w:tblCellSpacing w:w="0" w:type="dxa"/>
        <w:tblCellMar>
          <w:left w:w="0" w:type="dxa"/>
          <w:bottom w:w="80" w:type="dxa"/>
          <w:right w:w="0" w:type="dxa"/>
        </w:tblCellMar>
        <w:tblLook w:val="04A0" w:firstRow="1" w:lastRow="0" w:firstColumn="1" w:lastColumn="0" w:noHBand="0" w:noVBand="1"/>
      </w:tblPr>
      <w:tblGrid>
        <w:gridCol w:w="480"/>
        <w:gridCol w:w="3663"/>
      </w:tblGrid>
      <w:tr w:rsidR="006F587A" w14:paraId="4ACE36BB" w14:textId="77777777">
        <w:trPr>
          <w:tblCellSpacing w:w="0" w:type="dxa"/>
        </w:trPr>
        <w:tc>
          <w:tcPr>
            <w:tcW w:w="480" w:type="dxa"/>
            <w:shd w:val="clear" w:color="auto" w:fill="auto"/>
            <w:vAlign w:val="center"/>
          </w:tcPr>
          <w:p w14:paraId="4ACE36B9" w14:textId="77777777" w:rsidR="006F587A" w:rsidRDefault="006F587A">
            <w:pPr>
              <w:rPr>
                <w:rFonts w:ascii="Times New Roman" w:hAnsi="Times New Roman"/>
                <w:sz w:val="20"/>
                <w:szCs w:val="20"/>
              </w:rPr>
            </w:pPr>
          </w:p>
        </w:tc>
        <w:tc>
          <w:tcPr>
            <w:tcW w:w="0" w:type="auto"/>
            <w:shd w:val="clear" w:color="auto" w:fill="auto"/>
            <w:vAlign w:val="center"/>
          </w:tcPr>
          <w:p w14:paraId="4ACE36BA" w14:textId="77777777" w:rsidR="006F587A" w:rsidRDefault="006F587A">
            <w:pPr>
              <w:rPr>
                <w:rFonts w:ascii="Times New Roman" w:hAnsi="Times New Roman"/>
                <w:sz w:val="20"/>
                <w:szCs w:val="20"/>
              </w:rPr>
            </w:pPr>
          </w:p>
        </w:tc>
      </w:tr>
      <w:tr w:rsidR="006F587A" w14:paraId="4ACE36BE" w14:textId="77777777">
        <w:trPr>
          <w:tblCellSpacing w:w="0" w:type="dxa"/>
        </w:trPr>
        <w:tc>
          <w:tcPr>
            <w:tcW w:w="0" w:type="auto"/>
            <w:shd w:val="clear" w:color="auto" w:fill="auto"/>
          </w:tcPr>
          <w:p w14:paraId="4ACE36BC"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6BD"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regulatory penalties, fines, and legal liabilities;</w:t>
            </w:r>
          </w:p>
        </w:tc>
      </w:tr>
    </w:tbl>
    <w:p w14:paraId="4ACE36BF"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2052"/>
      </w:tblGrid>
      <w:tr w:rsidR="006F587A" w14:paraId="4ACE36C2" w14:textId="77777777">
        <w:trPr>
          <w:tblCellSpacing w:w="0" w:type="dxa"/>
        </w:trPr>
        <w:tc>
          <w:tcPr>
            <w:tcW w:w="480" w:type="dxa"/>
            <w:shd w:val="clear" w:color="auto" w:fill="auto"/>
            <w:vAlign w:val="center"/>
          </w:tcPr>
          <w:p w14:paraId="4ACE36C0" w14:textId="77777777" w:rsidR="006F587A" w:rsidRDefault="006F587A">
            <w:pPr>
              <w:rPr>
                <w:rFonts w:ascii="Times New Roman" w:hAnsi="Times New Roman"/>
                <w:sz w:val="20"/>
                <w:szCs w:val="20"/>
              </w:rPr>
            </w:pPr>
          </w:p>
        </w:tc>
        <w:tc>
          <w:tcPr>
            <w:tcW w:w="0" w:type="auto"/>
            <w:shd w:val="clear" w:color="auto" w:fill="auto"/>
            <w:vAlign w:val="center"/>
          </w:tcPr>
          <w:p w14:paraId="4ACE36C1" w14:textId="77777777" w:rsidR="006F587A" w:rsidRDefault="006F587A">
            <w:pPr>
              <w:rPr>
                <w:rFonts w:ascii="Times New Roman" w:hAnsi="Times New Roman"/>
                <w:sz w:val="20"/>
                <w:szCs w:val="20"/>
              </w:rPr>
            </w:pPr>
          </w:p>
        </w:tc>
      </w:tr>
      <w:tr w:rsidR="006F587A" w14:paraId="4ACE36C5" w14:textId="77777777">
        <w:trPr>
          <w:tblCellSpacing w:w="0" w:type="dxa"/>
        </w:trPr>
        <w:tc>
          <w:tcPr>
            <w:tcW w:w="0" w:type="auto"/>
            <w:shd w:val="clear" w:color="auto" w:fill="auto"/>
          </w:tcPr>
          <w:p w14:paraId="4ACE36C3"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6C4"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suspension of production;</w:t>
            </w:r>
          </w:p>
        </w:tc>
      </w:tr>
    </w:tbl>
    <w:p w14:paraId="4ACE36C6"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5213"/>
      </w:tblGrid>
      <w:tr w:rsidR="006F587A" w14:paraId="4ACE36C9" w14:textId="77777777">
        <w:trPr>
          <w:tblCellSpacing w:w="0" w:type="dxa"/>
        </w:trPr>
        <w:tc>
          <w:tcPr>
            <w:tcW w:w="480" w:type="dxa"/>
            <w:shd w:val="clear" w:color="auto" w:fill="auto"/>
            <w:vAlign w:val="center"/>
          </w:tcPr>
          <w:p w14:paraId="4ACE36C7" w14:textId="77777777" w:rsidR="006F587A" w:rsidRDefault="006F587A">
            <w:pPr>
              <w:rPr>
                <w:rFonts w:ascii="Times New Roman" w:hAnsi="Times New Roman"/>
                <w:sz w:val="20"/>
                <w:szCs w:val="20"/>
              </w:rPr>
            </w:pPr>
          </w:p>
        </w:tc>
        <w:tc>
          <w:tcPr>
            <w:tcW w:w="0" w:type="auto"/>
            <w:shd w:val="clear" w:color="auto" w:fill="auto"/>
            <w:vAlign w:val="center"/>
          </w:tcPr>
          <w:p w14:paraId="4ACE36C8" w14:textId="77777777" w:rsidR="006F587A" w:rsidRDefault="006F587A">
            <w:pPr>
              <w:rPr>
                <w:rFonts w:ascii="Times New Roman" w:hAnsi="Times New Roman"/>
                <w:sz w:val="20"/>
                <w:szCs w:val="20"/>
              </w:rPr>
            </w:pPr>
          </w:p>
        </w:tc>
      </w:tr>
      <w:tr w:rsidR="006F587A" w14:paraId="4ACE36CC" w14:textId="77777777">
        <w:trPr>
          <w:tblCellSpacing w:w="0" w:type="dxa"/>
        </w:trPr>
        <w:tc>
          <w:tcPr>
            <w:tcW w:w="0" w:type="auto"/>
            <w:shd w:val="clear" w:color="auto" w:fill="auto"/>
          </w:tcPr>
          <w:p w14:paraId="4ACE36CA"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lastRenderedPageBreak/>
              <w:t>•</w:t>
            </w:r>
          </w:p>
        </w:tc>
        <w:tc>
          <w:tcPr>
            <w:tcW w:w="0" w:type="auto"/>
            <w:shd w:val="clear" w:color="auto" w:fill="auto"/>
          </w:tcPr>
          <w:p w14:paraId="4ACE36CB"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alteration of our manufacturing and assembly and test processes;</w:t>
            </w:r>
          </w:p>
        </w:tc>
      </w:tr>
    </w:tbl>
    <w:p w14:paraId="4ACE36CD"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2412"/>
      </w:tblGrid>
      <w:tr w:rsidR="006F587A" w14:paraId="4ACE36D0" w14:textId="77777777">
        <w:trPr>
          <w:tblCellSpacing w:w="0" w:type="dxa"/>
        </w:trPr>
        <w:tc>
          <w:tcPr>
            <w:tcW w:w="480" w:type="dxa"/>
            <w:shd w:val="clear" w:color="auto" w:fill="auto"/>
            <w:vAlign w:val="center"/>
          </w:tcPr>
          <w:p w14:paraId="4ACE36CE" w14:textId="77777777" w:rsidR="006F587A" w:rsidRDefault="006F587A">
            <w:pPr>
              <w:rPr>
                <w:rFonts w:ascii="Times New Roman" w:hAnsi="Times New Roman"/>
                <w:sz w:val="20"/>
                <w:szCs w:val="20"/>
              </w:rPr>
            </w:pPr>
          </w:p>
        </w:tc>
        <w:tc>
          <w:tcPr>
            <w:tcW w:w="0" w:type="auto"/>
            <w:shd w:val="clear" w:color="auto" w:fill="auto"/>
            <w:vAlign w:val="center"/>
          </w:tcPr>
          <w:p w14:paraId="4ACE36CF" w14:textId="77777777" w:rsidR="006F587A" w:rsidRDefault="006F587A">
            <w:pPr>
              <w:rPr>
                <w:rFonts w:ascii="Times New Roman" w:hAnsi="Times New Roman"/>
                <w:sz w:val="20"/>
                <w:szCs w:val="20"/>
              </w:rPr>
            </w:pPr>
          </w:p>
        </w:tc>
      </w:tr>
      <w:tr w:rsidR="006F587A" w14:paraId="4ACE36D3" w14:textId="77777777">
        <w:trPr>
          <w:tblCellSpacing w:w="0" w:type="dxa"/>
        </w:trPr>
        <w:tc>
          <w:tcPr>
            <w:tcW w:w="0" w:type="auto"/>
            <w:shd w:val="clear" w:color="auto" w:fill="auto"/>
          </w:tcPr>
          <w:p w14:paraId="4ACE36D1"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6D2"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damage to our reputation; and</w:t>
            </w:r>
          </w:p>
        </w:tc>
      </w:tr>
    </w:tbl>
    <w:p w14:paraId="4ACE36D4" w14:textId="77777777" w:rsidR="006F587A" w:rsidRDefault="006F587A">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480"/>
        <w:gridCol w:w="3052"/>
      </w:tblGrid>
      <w:tr w:rsidR="006F587A" w14:paraId="4ACE36D7" w14:textId="77777777">
        <w:trPr>
          <w:tblCellSpacing w:w="0" w:type="dxa"/>
        </w:trPr>
        <w:tc>
          <w:tcPr>
            <w:tcW w:w="480" w:type="dxa"/>
            <w:shd w:val="clear" w:color="auto" w:fill="auto"/>
            <w:vAlign w:val="center"/>
          </w:tcPr>
          <w:p w14:paraId="4ACE36D5" w14:textId="77777777" w:rsidR="006F587A" w:rsidRDefault="006F587A">
            <w:pPr>
              <w:rPr>
                <w:rFonts w:ascii="Times New Roman" w:hAnsi="Times New Roman"/>
                <w:sz w:val="20"/>
                <w:szCs w:val="20"/>
              </w:rPr>
            </w:pPr>
          </w:p>
        </w:tc>
        <w:tc>
          <w:tcPr>
            <w:tcW w:w="0" w:type="auto"/>
            <w:shd w:val="clear" w:color="auto" w:fill="auto"/>
            <w:vAlign w:val="center"/>
          </w:tcPr>
          <w:p w14:paraId="4ACE36D6" w14:textId="77777777" w:rsidR="006F587A" w:rsidRDefault="006F587A">
            <w:pPr>
              <w:rPr>
                <w:rFonts w:ascii="Times New Roman" w:hAnsi="Times New Roman"/>
                <w:sz w:val="20"/>
                <w:szCs w:val="20"/>
              </w:rPr>
            </w:pPr>
          </w:p>
        </w:tc>
      </w:tr>
      <w:tr w:rsidR="006F587A" w14:paraId="4ACE36DA" w14:textId="77777777">
        <w:trPr>
          <w:tblCellSpacing w:w="0" w:type="dxa"/>
        </w:trPr>
        <w:tc>
          <w:tcPr>
            <w:tcW w:w="0" w:type="auto"/>
            <w:shd w:val="clear" w:color="auto" w:fill="auto"/>
          </w:tcPr>
          <w:p w14:paraId="4ACE36D8"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6D9"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restrictions on our </w:t>
            </w:r>
            <w:r>
              <w:rPr>
                <w:rFonts w:ascii="Arial" w:eastAsia="宋体" w:hAnsi="Arial" w:cs="Arial"/>
                <w:color w:val="333333"/>
                <w:sz w:val="18"/>
                <w:szCs w:val="18"/>
              </w:rPr>
              <w:t>operations or sales.</w:t>
            </w:r>
          </w:p>
        </w:tc>
      </w:tr>
    </w:tbl>
    <w:p w14:paraId="4ACE36DB"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Our failure to manage the use, transportation, emissions, discharge, storage, recycling, or disposal of hazardous materials can lead to increased costs or future liabilities. Our ability to expand or modify our </w:t>
      </w:r>
      <w:r>
        <w:rPr>
          <w:rFonts w:ascii="Arial" w:eastAsia="宋体" w:hAnsi="Arial" w:cs="Arial"/>
          <w:color w:val="333333"/>
          <w:sz w:val="18"/>
          <w:szCs w:val="18"/>
        </w:rPr>
        <w:t>manufacturing capability in the future may be impeded by environmental regulations, such as air quality and wastewater requirements. Environmental laws and regulations sometimes require us to acquire additional pollution abatement or remediation equipment,</w:t>
      </w:r>
      <w:r>
        <w:rPr>
          <w:rFonts w:ascii="Arial" w:eastAsia="宋体" w:hAnsi="Arial" w:cs="Arial"/>
          <w:color w:val="333333"/>
          <w:sz w:val="18"/>
          <w:szCs w:val="18"/>
        </w:rPr>
        <w:t xml:space="preserve"> modify product designs, or incur other expenses. Regulations in response to climate change could result in increased manufacturing costs associated with air pollution requirements, and increased compliance and energy costs. Many new materials that we are </w:t>
      </w:r>
      <w:r>
        <w:rPr>
          <w:rFonts w:ascii="Arial" w:eastAsia="宋体" w:hAnsi="Arial" w:cs="Arial"/>
          <w:color w:val="333333"/>
          <w:sz w:val="18"/>
          <w:szCs w:val="18"/>
        </w:rPr>
        <w:t>evaluating for use in our operations are subject to regulation under environmental laws and regulations. These restrictions could harm our business and results of operations by increasing our expenses or requiring us to alter manufacturing and assembly and</w:t>
      </w:r>
      <w:r>
        <w:rPr>
          <w:rFonts w:ascii="Arial" w:eastAsia="宋体" w:hAnsi="Arial" w:cs="Arial"/>
          <w:color w:val="333333"/>
          <w:sz w:val="18"/>
          <w:szCs w:val="18"/>
        </w:rPr>
        <w:t xml:space="preserve"> test processes.</w:t>
      </w:r>
    </w:p>
    <w:p w14:paraId="4ACE36DC" w14:textId="77777777" w:rsidR="006F587A" w:rsidRDefault="007B2B61">
      <w:pPr>
        <w:spacing w:line="288" w:lineRule="auto"/>
        <w:rPr>
          <w:rFonts w:ascii="Times New Roman" w:hAnsi="Times New Roman"/>
        </w:rPr>
      </w:pPr>
      <w:r>
        <w:rPr>
          <w:rFonts w:ascii="Arial" w:eastAsia="宋体" w:hAnsi="Arial" w:cs="Arial"/>
          <w:b/>
          <w:bCs/>
          <w:color w:val="0071C5"/>
        </w:rPr>
        <w:t>WE ARE SUBJECT TO CYBERSECURITY AND PRIVACY RISKS.</w:t>
      </w:r>
    </w:p>
    <w:p w14:paraId="4ACE36DD" w14:textId="77777777" w:rsidR="006F587A" w:rsidRDefault="007B2B61">
      <w:pPr>
        <w:spacing w:line="288" w:lineRule="auto"/>
        <w:rPr>
          <w:rFonts w:ascii="Times New Roman" w:hAnsi="Times New Roman"/>
          <w:sz w:val="18"/>
          <w:szCs w:val="18"/>
        </w:rPr>
      </w:pPr>
      <w:r>
        <w:rPr>
          <w:rFonts w:ascii="Arial" w:eastAsia="宋体" w:hAnsi="Arial" w:cs="Arial"/>
          <w:color w:val="0071C5"/>
          <w:sz w:val="18"/>
          <w:szCs w:val="18"/>
        </w:rPr>
        <w:t>We face risks related to cybersecurity threats and incidents.</w:t>
      </w:r>
      <w:r>
        <w:rPr>
          <w:rFonts w:ascii="Arial" w:eastAsia="宋体" w:hAnsi="Arial" w:cs="Arial"/>
          <w:color w:val="333333"/>
          <w:sz w:val="18"/>
          <w:szCs w:val="18"/>
        </w:rPr>
        <w:t xml:space="preserve"> We regularly face attempts by others to gain unauthorized access through the Internet, or to introduce malicious </w:t>
      </w:r>
      <w:r>
        <w:rPr>
          <w:rFonts w:ascii="Arial" w:eastAsia="宋体" w:hAnsi="Arial" w:cs="Arial"/>
          <w:color w:val="333333"/>
          <w:sz w:val="18"/>
          <w:szCs w:val="18"/>
        </w:rPr>
        <w:t xml:space="preserve">software, to our IT systems. Additionally, individuals or organizations, including malicious hackers, state-sponsored organizations, insider threats including employees and third-party service providers, or intruders into our physical facilities, at times </w:t>
      </w:r>
      <w:r>
        <w:rPr>
          <w:rFonts w:ascii="Arial" w:eastAsia="宋体" w:hAnsi="Arial" w:cs="Arial"/>
          <w:color w:val="333333"/>
          <w:sz w:val="18"/>
          <w:szCs w:val="18"/>
        </w:rPr>
        <w:t>attempt to gain unauthorized access and corrupt the processes used to design and manufacture our hardware products and our associated software and services. Due to the widespread use of our products, we are a frequent target of computer hackers and organiz</w:t>
      </w:r>
      <w:r>
        <w:rPr>
          <w:rFonts w:ascii="Arial" w:eastAsia="宋体" w:hAnsi="Arial" w:cs="Arial"/>
          <w:color w:val="333333"/>
          <w:sz w:val="18"/>
          <w:szCs w:val="18"/>
        </w:rPr>
        <w:t>ations that intend to sabotage, take control of, or otherwise corrupt our manufacturing or other processes, products, and services. We are also a target of malicious attackers who attempt to gain access to our network or data centers or those of our custom</w:t>
      </w:r>
      <w:r>
        <w:rPr>
          <w:rFonts w:ascii="Arial" w:eastAsia="宋体" w:hAnsi="Arial" w:cs="Arial"/>
          <w:color w:val="333333"/>
          <w:sz w:val="18"/>
          <w:szCs w:val="18"/>
        </w:rPr>
        <w:t>ers or end users; steal proprietary information related to our business, products, employees, and customers; interrupt our systems and services or those of our customers or others; or demand ransom to return control of such systems and services. Such attem</w:t>
      </w:r>
      <w:r>
        <w:rPr>
          <w:rFonts w:ascii="Arial" w:eastAsia="宋体" w:hAnsi="Arial" w:cs="Arial"/>
          <w:color w:val="333333"/>
          <w:sz w:val="18"/>
          <w:szCs w:val="18"/>
        </w:rPr>
        <w:t xml:space="preserve">pts are increasing in number and in technical sophistication, and if successful, expose us and the affected parties to risk of loss or misuse of proprietary or confidential information or disruptions of our business operations, including our manufacturing </w:t>
      </w:r>
      <w:r>
        <w:rPr>
          <w:rFonts w:ascii="Arial" w:eastAsia="宋体" w:hAnsi="Arial" w:cs="Arial"/>
          <w:color w:val="333333"/>
          <w:sz w:val="18"/>
          <w:szCs w:val="18"/>
        </w:rPr>
        <w:t>operations. Our IT infrastructure also includes products and services provided by third parties, and these providers can experience breaches of their systems and products that impact the security of our systems and our proprietary or confidential informati</w:t>
      </w:r>
      <w:r>
        <w:rPr>
          <w:rFonts w:ascii="Arial" w:eastAsia="宋体" w:hAnsi="Arial" w:cs="Arial"/>
          <w:color w:val="333333"/>
          <w:sz w:val="18"/>
          <w:szCs w:val="18"/>
        </w:rPr>
        <w:t>on.</w:t>
      </w:r>
    </w:p>
    <w:p w14:paraId="4ACE36DE"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From time to time, we encounter intrusions or unauthorized access to our network, products, services, or infrastructure. To date, none have resulted in any material adverse impact to our business or operations. Such incidents, whether or not successful</w:t>
      </w:r>
      <w:r>
        <w:rPr>
          <w:rFonts w:ascii="Arial" w:eastAsia="宋体" w:hAnsi="Arial" w:cs="Arial"/>
          <w:color w:val="333333"/>
          <w:sz w:val="18"/>
          <w:szCs w:val="18"/>
        </w:rPr>
        <w:t>, could result in our incurring significant costs related to, for example, rebuilding internal systems, writing down inventory value, implementing additional threat protection measures, providing modifications to our products and services, defending agains</w:t>
      </w:r>
      <w:r>
        <w:rPr>
          <w:rFonts w:ascii="Arial" w:eastAsia="宋体" w:hAnsi="Arial" w:cs="Arial"/>
          <w:color w:val="333333"/>
          <w:sz w:val="18"/>
          <w:szCs w:val="18"/>
        </w:rPr>
        <w:t>t litigation, responding to regulatory inquiries or actions, paying damages, providing customers with incentives to maintain the business relationship, or taking other remedial steps with respect to third parties, as well as reputational harm. In addition,</w:t>
      </w:r>
      <w:r>
        <w:rPr>
          <w:rFonts w:ascii="Arial" w:eastAsia="宋体" w:hAnsi="Arial" w:cs="Arial"/>
          <w:color w:val="333333"/>
          <w:sz w:val="18"/>
          <w:szCs w:val="18"/>
        </w:rPr>
        <w:t xml:space="preserve"> these threats are constantly evolving, thereby increasing the difficulty of successfully defending against them or implementing adequate preventative measures. While we seek to detect and investigate all unauthorized attempts and attacks against our netwo</w:t>
      </w:r>
      <w:r>
        <w:rPr>
          <w:rFonts w:ascii="Arial" w:eastAsia="宋体" w:hAnsi="Arial" w:cs="Arial"/>
          <w:color w:val="333333"/>
          <w:sz w:val="18"/>
          <w:szCs w:val="18"/>
        </w:rPr>
        <w:t xml:space="preserve">rk, products, and services, and to prevent their recurrence where practicable through changes to our internal processes and tools and changes or updates to our products and services, we remain potentially vulnerable to additional known or unknown threats. </w:t>
      </w:r>
      <w:r>
        <w:rPr>
          <w:rFonts w:ascii="Arial" w:eastAsia="宋体" w:hAnsi="Arial" w:cs="Arial"/>
          <w:color w:val="333333"/>
          <w:sz w:val="18"/>
          <w:szCs w:val="18"/>
        </w:rPr>
        <w:t>In some instances, we, our customers, and the users of our products and services can be unaware of an incident or its magnitude and effects.</w:t>
      </w:r>
    </w:p>
    <w:p w14:paraId="4ACE36DF" w14:textId="77777777" w:rsidR="006F587A" w:rsidRDefault="007B2B61">
      <w:pPr>
        <w:spacing w:line="288" w:lineRule="auto"/>
        <w:rPr>
          <w:rFonts w:ascii="Times New Roman" w:hAnsi="Times New Roman"/>
          <w:sz w:val="18"/>
          <w:szCs w:val="18"/>
        </w:rPr>
      </w:pPr>
      <w:r>
        <w:rPr>
          <w:rFonts w:ascii="Arial" w:eastAsia="宋体" w:hAnsi="Arial" w:cs="Arial"/>
          <w:color w:val="0071C5"/>
          <w:sz w:val="18"/>
          <w:szCs w:val="18"/>
        </w:rPr>
        <w:t>We face risks related to security vulnerabilities in our products.</w:t>
      </w:r>
      <w:r>
        <w:rPr>
          <w:rFonts w:ascii="Arial" w:eastAsia="宋体" w:hAnsi="Arial" w:cs="Arial"/>
          <w:color w:val="333333"/>
          <w:sz w:val="18"/>
          <w:szCs w:val="18"/>
        </w:rPr>
        <w:t xml:space="preserve"> We or third parties regularly identify security </w:t>
      </w:r>
      <w:r>
        <w:rPr>
          <w:rFonts w:ascii="Arial" w:eastAsia="宋体" w:hAnsi="Arial" w:cs="Arial"/>
          <w:color w:val="333333"/>
          <w:sz w:val="18"/>
          <w:szCs w:val="18"/>
        </w:rPr>
        <w:t>vulnerabilities with respect to our processors and other products, as well as the operating systems and workloads that run on them. Components and IP we purchase or license from third parties for use in our products, as well as industry-standard specificat</w:t>
      </w:r>
      <w:r>
        <w:rPr>
          <w:rFonts w:ascii="Arial" w:eastAsia="宋体" w:hAnsi="Arial" w:cs="Arial"/>
          <w:color w:val="333333"/>
          <w:sz w:val="18"/>
          <w:szCs w:val="18"/>
        </w:rPr>
        <w:t xml:space="preserve">ions we implement in our products, are also regularly subject to security vulnerabilities. As we have become a more data-centric company, our processors and other products are being used in additional and new critical application areas that create </w:t>
      </w:r>
      <w:r>
        <w:rPr>
          <w:rFonts w:ascii="Arial" w:eastAsia="宋体" w:hAnsi="Arial" w:cs="Arial"/>
          <w:color w:val="333333"/>
          <w:sz w:val="18"/>
          <w:szCs w:val="18"/>
        </w:rPr>
        <w:lastRenderedPageBreak/>
        <w:t>new or i</w:t>
      </w:r>
      <w:r>
        <w:rPr>
          <w:rFonts w:ascii="Arial" w:eastAsia="宋体" w:hAnsi="Arial" w:cs="Arial"/>
          <w:color w:val="333333"/>
          <w:sz w:val="18"/>
          <w:szCs w:val="18"/>
        </w:rPr>
        <w:t>ncreased cybersecurity and privacy risks, including applications that gather and process large amounts of data, such as the cloud or Internet of Things, and critical infrastructure and automotive applications. The security vulnerabilities identified in our</w:t>
      </w:r>
      <w:r>
        <w:rPr>
          <w:rFonts w:ascii="Arial" w:eastAsia="宋体" w:hAnsi="Arial" w:cs="Arial"/>
          <w:color w:val="333333"/>
          <w:sz w:val="18"/>
          <w:szCs w:val="18"/>
        </w:rPr>
        <w:t xml:space="preserve"> processors include a category known as side-channel exploits, such as the variants referred to as “Spectre” and “Meltdown.” Additional categories and variants have been identified, such as the "MDS" and "TAA" side channel variants, and are expected to con</w:t>
      </w:r>
      <w:r>
        <w:rPr>
          <w:rFonts w:ascii="Arial" w:eastAsia="宋体" w:hAnsi="Arial" w:cs="Arial"/>
          <w:color w:val="333333"/>
          <w:sz w:val="18"/>
          <w:szCs w:val="18"/>
        </w:rPr>
        <w:t>tinue to be identified. Publicity about these and other security vulnerabilities has resulted in, and is expected to continue to result in, increased attempts by third parties to identify additional vulnerabilities. Vulnerabilities are not always mitigated</w:t>
      </w:r>
      <w:r>
        <w:rPr>
          <w:rFonts w:ascii="Arial" w:eastAsia="宋体" w:hAnsi="Arial" w:cs="Arial"/>
          <w:color w:val="333333"/>
          <w:sz w:val="18"/>
          <w:szCs w:val="18"/>
        </w:rPr>
        <w:t xml:space="preserve"> before they become known. We, our customers, and the users of our products do not always promptly learn of or have the ability to fully assess the magnitude or effects of a vulnerability, including the extent, if any, to which a vulnerability has been exp</w:t>
      </w:r>
      <w:r>
        <w:rPr>
          <w:rFonts w:ascii="Arial" w:eastAsia="宋体" w:hAnsi="Arial" w:cs="Arial"/>
          <w:color w:val="333333"/>
          <w:sz w:val="18"/>
          <w:szCs w:val="18"/>
        </w:rPr>
        <w:t>loited. Subsequent events or new information can develop that changes our assessment of the impact of a security vulnerability, including additional information learned as we develop and deploy mitigations or updates, become aware of additional variants, e</w:t>
      </w:r>
      <w:r>
        <w:rPr>
          <w:rFonts w:ascii="Arial" w:eastAsia="宋体" w:hAnsi="Arial" w:cs="Arial"/>
          <w:color w:val="333333"/>
          <w:sz w:val="18"/>
          <w:szCs w:val="18"/>
        </w:rPr>
        <w:t>valuate the competitiveness of existing and new products, and address future warranty or other claims or customer satisfaction considerations, as well as developments in the course of any litigation or regulatory inquiries or actions over these matters.</w:t>
      </w:r>
    </w:p>
    <w:p w14:paraId="4ACE36E0"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243"/>
        <w:gridCol w:w="2658"/>
        <w:gridCol w:w="3405"/>
      </w:tblGrid>
      <w:tr w:rsidR="006F587A" w14:paraId="4ACE36E2" w14:textId="77777777">
        <w:tc>
          <w:tcPr>
            <w:tcW w:w="0" w:type="auto"/>
            <w:gridSpan w:val="3"/>
            <w:shd w:val="clear" w:color="auto" w:fill="auto"/>
            <w:vAlign w:val="center"/>
          </w:tcPr>
          <w:p w14:paraId="4ACE36E1" w14:textId="77777777" w:rsidR="006F587A" w:rsidRDefault="006F587A">
            <w:pPr>
              <w:rPr>
                <w:rFonts w:ascii="Times New Roman" w:hAnsi="Times New Roman"/>
                <w:sz w:val="20"/>
                <w:szCs w:val="20"/>
              </w:rPr>
            </w:pPr>
          </w:p>
        </w:tc>
      </w:tr>
      <w:tr w:rsidR="006F587A" w14:paraId="4ACE36E6" w14:textId="77777777">
        <w:tc>
          <w:tcPr>
            <w:tcW w:w="1350" w:type="pct"/>
            <w:shd w:val="clear" w:color="auto" w:fill="auto"/>
            <w:vAlign w:val="center"/>
          </w:tcPr>
          <w:p w14:paraId="4ACE36E3" w14:textId="77777777" w:rsidR="006F587A" w:rsidRDefault="006F587A">
            <w:pPr>
              <w:rPr>
                <w:rFonts w:ascii="Times New Roman" w:hAnsi="Times New Roman"/>
                <w:sz w:val="20"/>
                <w:szCs w:val="20"/>
              </w:rPr>
            </w:pPr>
          </w:p>
        </w:tc>
        <w:tc>
          <w:tcPr>
            <w:tcW w:w="1600" w:type="pct"/>
            <w:shd w:val="clear" w:color="auto" w:fill="auto"/>
            <w:vAlign w:val="center"/>
          </w:tcPr>
          <w:p w14:paraId="4ACE36E4" w14:textId="77777777" w:rsidR="006F587A" w:rsidRDefault="006F587A">
            <w:pPr>
              <w:rPr>
                <w:rFonts w:ascii="Times New Roman" w:hAnsi="Times New Roman"/>
                <w:sz w:val="20"/>
                <w:szCs w:val="20"/>
              </w:rPr>
            </w:pPr>
          </w:p>
        </w:tc>
        <w:tc>
          <w:tcPr>
            <w:tcW w:w="2050" w:type="pct"/>
            <w:shd w:val="clear" w:color="auto" w:fill="auto"/>
            <w:vAlign w:val="center"/>
          </w:tcPr>
          <w:p w14:paraId="4ACE36E5" w14:textId="77777777" w:rsidR="006F587A" w:rsidRDefault="006F587A">
            <w:pPr>
              <w:rPr>
                <w:rFonts w:ascii="Times New Roman" w:hAnsi="Times New Roman"/>
                <w:sz w:val="20"/>
                <w:szCs w:val="20"/>
              </w:rPr>
            </w:pPr>
          </w:p>
        </w:tc>
      </w:tr>
      <w:tr w:rsidR="006F587A" w14:paraId="4ACE36EA"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36E7" w14:textId="77777777" w:rsidR="006F587A" w:rsidRDefault="007B2B61">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8E" wp14:editId="4ACE6D8F">
                  <wp:extent cx="304800" cy="304800"/>
                  <wp:effectExtent l="0" t="0" r="0" b="0"/>
                  <wp:docPr id="187" name="图片 249"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249"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OTHER KEY INFORMATION</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6E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6E9"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56</w:t>
            </w:r>
          </w:p>
        </w:tc>
      </w:tr>
    </w:tbl>
    <w:p w14:paraId="4ACE36EB" w14:textId="77777777" w:rsidR="006F587A" w:rsidRDefault="007B2B61">
      <w:r>
        <w:pict w14:anchorId="4ACE6D90">
          <v:rect id="_x0000_i1082" style="width:415.3pt;height:1.5pt" o:hralign="center" o:hrstd="t" o:hr="t" fillcolor="#a0a0a0" stroked="f"/>
        </w:pict>
      </w:r>
    </w:p>
    <w:p w14:paraId="4ACE36EC" w14:textId="77777777" w:rsidR="006F587A" w:rsidRDefault="007B2B61">
      <w:pPr>
        <w:spacing w:line="288" w:lineRule="auto"/>
        <w:jc w:val="right"/>
        <w:rPr>
          <w:rFonts w:ascii="Times New Roman" w:hAnsi="Times New Roman"/>
          <w:sz w:val="16"/>
          <w:szCs w:val="16"/>
        </w:rPr>
      </w:pPr>
      <w:hyperlink r:id="rId89" w:anchor="s9DB683E2CF52561EB8A73BE37F5BF9BE" w:history="1">
        <w:r>
          <w:rPr>
            <w:rStyle w:val="a5"/>
            <w:rFonts w:ascii="Arial" w:eastAsia="宋体" w:hAnsi="Arial" w:cs="Arial"/>
            <w:b/>
            <w:bCs/>
            <w:sz w:val="16"/>
            <w:szCs w:val="16"/>
          </w:rPr>
          <w:t>Table of Contents</w:t>
        </w:r>
      </w:hyperlink>
    </w:p>
    <w:p w14:paraId="4ACE36ED" w14:textId="77777777" w:rsidR="006F587A" w:rsidRDefault="006F587A">
      <w:pPr>
        <w:spacing w:line="288" w:lineRule="auto"/>
        <w:jc w:val="right"/>
        <w:rPr>
          <w:rFonts w:ascii="Times New Roman" w:hAnsi="Times New Roman"/>
          <w:sz w:val="16"/>
          <w:szCs w:val="16"/>
        </w:rPr>
      </w:pPr>
    </w:p>
    <w:p w14:paraId="4ACE36EE" w14:textId="77777777" w:rsidR="006F587A" w:rsidRDefault="006F587A">
      <w:pPr>
        <w:rPr>
          <w:rFonts w:ascii="Times New Roman" w:hAnsi="Times New Roman"/>
          <w:sz w:val="20"/>
          <w:szCs w:val="20"/>
        </w:rPr>
      </w:pPr>
    </w:p>
    <w:p w14:paraId="4ACE36EF"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Mitigation techniques designed to address security </w:t>
      </w:r>
      <w:r>
        <w:rPr>
          <w:rFonts w:ascii="Arial" w:eastAsia="宋体" w:hAnsi="Arial" w:cs="Arial"/>
          <w:color w:val="333333"/>
          <w:sz w:val="18"/>
          <w:szCs w:val="18"/>
        </w:rPr>
        <w:t xml:space="preserve">vulnerabilities, including software and firmware updates or other preventative measures, are not always available on a timely basis—or at all—and at times do not operate as intended or effectively resolve vulnerabilities for all applications. In addition, </w:t>
      </w:r>
      <w:r>
        <w:rPr>
          <w:rFonts w:ascii="Arial" w:eastAsia="宋体" w:hAnsi="Arial" w:cs="Arial"/>
          <w:color w:val="333333"/>
          <w:sz w:val="18"/>
          <w:szCs w:val="18"/>
        </w:rPr>
        <w:t>we are often required to rely on third parties, including hardware, software, and services vendors, as well as our customers and end users, to develop and/or deploy mitigation techniques, and the availability, effectiveness, and performance impact of mitig</w:t>
      </w:r>
      <w:r>
        <w:rPr>
          <w:rFonts w:ascii="Arial" w:eastAsia="宋体" w:hAnsi="Arial" w:cs="Arial"/>
          <w:color w:val="333333"/>
          <w:sz w:val="18"/>
          <w:szCs w:val="18"/>
        </w:rPr>
        <w:t xml:space="preserve">ation techniques can depend solely or in part on the actions of these third parties in determining whether and how to develop and deploy mitigations. We and such third parties may make prioritization decisions about which vulnerabilities to address, which </w:t>
      </w:r>
      <w:r>
        <w:rPr>
          <w:rFonts w:ascii="Arial" w:eastAsia="宋体" w:hAnsi="Arial" w:cs="Arial"/>
          <w:color w:val="333333"/>
          <w:sz w:val="18"/>
          <w:szCs w:val="18"/>
        </w:rPr>
        <w:t>can delay or limit development or deployment of a mitigation and harm our reputation. Security vulnerabilities and/or mitigation techniques can result in adverse performance effects, reboots, system instability or unavailability, loss of functionality, dat</w:t>
      </w:r>
      <w:r>
        <w:rPr>
          <w:rFonts w:ascii="Arial" w:eastAsia="宋体" w:hAnsi="Arial" w:cs="Arial"/>
          <w:color w:val="333333"/>
          <w:sz w:val="18"/>
          <w:szCs w:val="18"/>
        </w:rPr>
        <w:t>a loss or corruption, unpredictable system behavior, decisions by customers and end users to limit or change the applications in which they use our products or product features, and/or the misappropriation of data by third parties.</w:t>
      </w:r>
    </w:p>
    <w:p w14:paraId="4ACE36F0"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Security vulnerabilities</w:t>
      </w:r>
      <w:r>
        <w:rPr>
          <w:rFonts w:ascii="Arial" w:eastAsia="宋体" w:hAnsi="Arial" w:cs="Arial"/>
          <w:color w:val="333333"/>
          <w:sz w:val="18"/>
          <w:szCs w:val="18"/>
        </w:rPr>
        <w:t xml:space="preserve"> and any limitations of, or adverse effects resulting from, mitigation techniques can adversely affect our results of operations, financial condition, customer relationships, prospects, and reputation in a number of ways, any of which may be material. For </w:t>
      </w:r>
      <w:r>
        <w:rPr>
          <w:rFonts w:ascii="Arial" w:eastAsia="宋体" w:hAnsi="Arial" w:cs="Arial"/>
          <w:color w:val="333333"/>
          <w:sz w:val="18"/>
          <w:szCs w:val="18"/>
        </w:rPr>
        <w:t>example, whether or not they involve attempted or successful exploits, they may result in our incurring significant costs related to developing and deploying updates and mitigations, writing down inventory value, defending against product claims and litiga</w:t>
      </w:r>
      <w:r>
        <w:rPr>
          <w:rFonts w:ascii="Arial" w:eastAsia="宋体" w:hAnsi="Arial" w:cs="Arial"/>
          <w:color w:val="333333"/>
          <w:sz w:val="18"/>
          <w:szCs w:val="18"/>
        </w:rPr>
        <w:t>tion, responding to regulatory inquiries or actions, paying damages, addressing customer satisfaction considerations, providing product replacements or modifications, or taking other remedial steps with respect to third parties. Adverse publicity about sec</w:t>
      </w:r>
      <w:r>
        <w:rPr>
          <w:rFonts w:ascii="Arial" w:eastAsia="宋体" w:hAnsi="Arial" w:cs="Arial"/>
          <w:color w:val="333333"/>
          <w:sz w:val="18"/>
          <w:szCs w:val="18"/>
        </w:rPr>
        <w:t xml:space="preserve">urity vulnerabilities or mitigations could damage our reputation with customers or users and reduce demand for our products and services. These effects may be greater to the extent that competing products are not susceptible to the same vulnerabilities or </w:t>
      </w:r>
      <w:r>
        <w:rPr>
          <w:rFonts w:ascii="Arial" w:eastAsia="宋体" w:hAnsi="Arial" w:cs="Arial"/>
          <w:color w:val="333333"/>
          <w:sz w:val="18"/>
          <w:szCs w:val="18"/>
        </w:rPr>
        <w:t>if vulnerabilities can be more effectively mitigated in competing products. Moreover, third parties can release information regarding potential vulnerabilities of our products before mitigations are available, which, in turn, could lead to attempted or suc</w:t>
      </w:r>
      <w:r>
        <w:rPr>
          <w:rFonts w:ascii="Arial" w:eastAsia="宋体" w:hAnsi="Arial" w:cs="Arial"/>
          <w:color w:val="333333"/>
          <w:sz w:val="18"/>
          <w:szCs w:val="18"/>
        </w:rPr>
        <w:t>cessful exploits, adversely affect our ability to introduce mitigations, or otherwise harm our business and reputation. For example, information on the “Spectre” and “Meltdown” side-channel variants was prematurely reported publicly before mitigation techn</w:t>
      </w:r>
      <w:r>
        <w:rPr>
          <w:rFonts w:ascii="Arial" w:eastAsia="宋体" w:hAnsi="Arial" w:cs="Arial"/>
          <w:color w:val="333333"/>
          <w:sz w:val="18"/>
          <w:szCs w:val="18"/>
        </w:rPr>
        <w:t>iques to address all vulnerabilities were made widely available, and certain of the mitigation techniques did not operate as intended.</w:t>
      </w:r>
    </w:p>
    <w:p w14:paraId="4ACE36F1" w14:textId="77777777" w:rsidR="006F587A" w:rsidRDefault="007B2B61">
      <w:pPr>
        <w:spacing w:line="288" w:lineRule="auto"/>
        <w:rPr>
          <w:rFonts w:ascii="Times New Roman" w:hAnsi="Times New Roman"/>
          <w:sz w:val="18"/>
          <w:szCs w:val="18"/>
        </w:rPr>
      </w:pPr>
      <w:r>
        <w:rPr>
          <w:rFonts w:ascii="Arial" w:eastAsia="宋体" w:hAnsi="Arial" w:cs="Arial"/>
          <w:color w:val="0071C5"/>
          <w:sz w:val="18"/>
          <w:szCs w:val="18"/>
        </w:rPr>
        <w:lastRenderedPageBreak/>
        <w:t>Theft, loss, or misuse of personal data about our employees, customers, or other third parties could increase our expense</w:t>
      </w:r>
      <w:r>
        <w:rPr>
          <w:rFonts w:ascii="Arial" w:eastAsia="宋体" w:hAnsi="Arial" w:cs="Arial"/>
          <w:color w:val="0071C5"/>
          <w:sz w:val="18"/>
          <w:szCs w:val="18"/>
        </w:rPr>
        <w:t xml:space="preserve">s, damage our reputation, or result in legal or regulatory proceedings. </w:t>
      </w:r>
      <w:r>
        <w:rPr>
          <w:rFonts w:ascii="Arial" w:eastAsia="宋体" w:hAnsi="Arial" w:cs="Arial"/>
          <w:color w:val="333333"/>
          <w:sz w:val="18"/>
          <w:szCs w:val="18"/>
        </w:rPr>
        <w:t>The theft, loss, or misuse of personal data collected, used, stored, or transferred by us to run our business could result in significantly increased business and security costs or cos</w:t>
      </w:r>
      <w:r>
        <w:rPr>
          <w:rFonts w:ascii="Arial" w:eastAsia="宋体" w:hAnsi="Arial" w:cs="Arial"/>
          <w:color w:val="333333"/>
          <w:sz w:val="18"/>
          <w:szCs w:val="18"/>
        </w:rPr>
        <w:t>ts related to defending legal claims. Global privacy legislation, enforcement, and policy activity in this area are rapidly expanding and creating a complex regulatory compliance environment. Costs to comply with and implement these privacy-related and dat</w:t>
      </w:r>
      <w:r>
        <w:rPr>
          <w:rFonts w:ascii="Arial" w:eastAsia="宋体" w:hAnsi="Arial" w:cs="Arial"/>
          <w:color w:val="333333"/>
          <w:sz w:val="18"/>
          <w:szCs w:val="18"/>
        </w:rPr>
        <w:t>a protection measures could be significant, and noncompliance could expose us to significant monetary penalties, damage to our reputation, suspension of online services or sites in certain countries, and even criminal sanctions. Even our inadvertent failur</w:t>
      </w:r>
      <w:r>
        <w:rPr>
          <w:rFonts w:ascii="Arial" w:eastAsia="宋体" w:hAnsi="Arial" w:cs="Arial"/>
          <w:color w:val="333333"/>
          <w:sz w:val="18"/>
          <w:szCs w:val="18"/>
        </w:rPr>
        <w:t>e to comply with federal, state, or international privacy-related or data-protection laws and regulations could result in audits, regulatory inquiries, or proceedings against us by governmental entities or other third parties.</w:t>
      </w:r>
    </w:p>
    <w:p w14:paraId="4ACE36F2" w14:textId="77777777" w:rsidR="006F587A" w:rsidRDefault="007B2B61">
      <w:pPr>
        <w:spacing w:line="288" w:lineRule="auto"/>
        <w:rPr>
          <w:rFonts w:ascii="Times New Roman" w:hAnsi="Times New Roman"/>
        </w:rPr>
      </w:pPr>
      <w:r>
        <w:rPr>
          <w:rFonts w:ascii="Arial" w:eastAsia="宋体" w:hAnsi="Arial" w:cs="Arial"/>
          <w:b/>
          <w:bCs/>
          <w:color w:val="0071C5"/>
        </w:rPr>
        <w:t>WE ARE SUBJECT TO IP RISKS AN</w:t>
      </w:r>
      <w:r>
        <w:rPr>
          <w:rFonts w:ascii="Arial" w:eastAsia="宋体" w:hAnsi="Arial" w:cs="Arial"/>
          <w:b/>
          <w:bCs/>
          <w:color w:val="0071C5"/>
        </w:rPr>
        <w:t>D RISKS ASSOCIATED WITH LITIGATION AND REGULATORY PROCEEDINGS.</w:t>
      </w:r>
    </w:p>
    <w:p w14:paraId="4ACE36F3" w14:textId="77777777" w:rsidR="006F587A" w:rsidRDefault="007B2B61">
      <w:pPr>
        <w:spacing w:line="288" w:lineRule="auto"/>
        <w:rPr>
          <w:rFonts w:ascii="Times New Roman" w:hAnsi="Times New Roman"/>
          <w:sz w:val="18"/>
          <w:szCs w:val="18"/>
        </w:rPr>
      </w:pPr>
      <w:r>
        <w:rPr>
          <w:rFonts w:ascii="Arial" w:eastAsia="宋体" w:hAnsi="Arial" w:cs="Arial"/>
          <w:color w:val="0071C5"/>
          <w:sz w:val="18"/>
          <w:szCs w:val="18"/>
        </w:rPr>
        <w:t xml:space="preserve">We cannot always enforce or protect our IP rights. </w:t>
      </w:r>
      <w:r>
        <w:rPr>
          <w:rFonts w:ascii="Arial" w:eastAsia="宋体" w:hAnsi="Arial" w:cs="Arial"/>
          <w:color w:val="333333"/>
          <w:sz w:val="18"/>
          <w:szCs w:val="18"/>
        </w:rPr>
        <w:t>We regard our patents, copyrights, trade secrets, and other IP rights as important to the success of our business. We rely on IP law—as well a</w:t>
      </w:r>
      <w:r>
        <w:rPr>
          <w:rFonts w:ascii="Arial" w:eastAsia="宋体" w:hAnsi="Arial" w:cs="Arial"/>
          <w:color w:val="333333"/>
          <w:sz w:val="18"/>
          <w:szCs w:val="18"/>
        </w:rPr>
        <w:t>s confidentiality and licensing agreements with our customers, employees, technology development partners, and others—to protect our IP rights. Our ability to enforce these rights is subject to general litigation risks, as well as uncertainty as to the enf</w:t>
      </w:r>
      <w:r>
        <w:rPr>
          <w:rFonts w:ascii="Arial" w:eastAsia="宋体" w:hAnsi="Arial" w:cs="Arial"/>
          <w:color w:val="333333"/>
          <w:sz w:val="18"/>
          <w:szCs w:val="18"/>
        </w:rPr>
        <w:t>orceability of our IP rights in various countries. We are not always able to enforce or protect our IP rights. Enforcement is costly and time-consuming and can divert management attention. When we seek to enforce our rights, we may be subject to claims tha</w:t>
      </w:r>
      <w:r>
        <w:rPr>
          <w:rFonts w:ascii="Arial" w:eastAsia="宋体" w:hAnsi="Arial" w:cs="Arial"/>
          <w:color w:val="333333"/>
          <w:sz w:val="18"/>
          <w:szCs w:val="18"/>
        </w:rPr>
        <w:t xml:space="preserve">t our IP rights are invalid, not enforceable, or licensed to an opposing party. Our assertion of IP rights may result in another party seeking to assert claims against us, which could harm our business. From time to time, governments adopt regulations—and </w:t>
      </w:r>
      <w:r>
        <w:rPr>
          <w:rFonts w:ascii="Arial" w:eastAsia="宋体" w:hAnsi="Arial" w:cs="Arial"/>
          <w:color w:val="333333"/>
          <w:sz w:val="18"/>
          <w:szCs w:val="18"/>
        </w:rPr>
        <w:t>governments or courts render decisions—requiring compulsory licensing of IP rights, or governments require products to meet standards that favor local companies. Our inability to enforce our IP rights under any of these circumstances can harm our competiti</w:t>
      </w:r>
      <w:r>
        <w:rPr>
          <w:rFonts w:ascii="Arial" w:eastAsia="宋体" w:hAnsi="Arial" w:cs="Arial"/>
          <w:color w:val="333333"/>
          <w:sz w:val="18"/>
          <w:szCs w:val="18"/>
        </w:rPr>
        <w:t>ve position and business. In addition, the theft or unauthorized use or publication of our trade secrets and other confidential business information could harm our competitive position and reduce acceptance of our products; as a result, the value of our in</w:t>
      </w:r>
      <w:r>
        <w:rPr>
          <w:rFonts w:ascii="Arial" w:eastAsia="宋体" w:hAnsi="Arial" w:cs="Arial"/>
          <w:color w:val="333333"/>
          <w:sz w:val="18"/>
          <w:szCs w:val="18"/>
        </w:rPr>
        <w:t>vestment in R&amp;D, product development, and marketing could be reduced. This risk is heightened as competitors for technical talent increasingly seek to hire our employees</w:t>
      </w:r>
      <w:r>
        <w:rPr>
          <w:rFonts w:ascii="Times New Roman" w:eastAsia="宋体" w:hAnsi="Times New Roman"/>
          <w:color w:val="333333"/>
          <w:sz w:val="18"/>
          <w:szCs w:val="18"/>
        </w:rPr>
        <w:t>.</w:t>
      </w:r>
    </w:p>
    <w:p w14:paraId="4ACE36F4" w14:textId="77777777" w:rsidR="006F587A" w:rsidRDefault="007B2B61">
      <w:pPr>
        <w:spacing w:line="288" w:lineRule="auto"/>
        <w:rPr>
          <w:rFonts w:ascii="Times New Roman" w:hAnsi="Times New Roman"/>
          <w:sz w:val="18"/>
          <w:szCs w:val="18"/>
        </w:rPr>
      </w:pPr>
      <w:r>
        <w:rPr>
          <w:rFonts w:ascii="Arial" w:eastAsia="宋体" w:hAnsi="Arial" w:cs="Arial"/>
          <w:color w:val="0071C5"/>
          <w:sz w:val="18"/>
          <w:szCs w:val="18"/>
        </w:rPr>
        <w:t xml:space="preserve">Our licenses with other companies and participation in industry initiatives at times </w:t>
      </w:r>
      <w:r>
        <w:rPr>
          <w:rFonts w:ascii="Arial" w:eastAsia="宋体" w:hAnsi="Arial" w:cs="Arial"/>
          <w:color w:val="0071C5"/>
          <w:sz w:val="18"/>
          <w:szCs w:val="18"/>
        </w:rPr>
        <w:t xml:space="preserve">allow competitors to use some of our patent rights. </w:t>
      </w:r>
      <w:r>
        <w:rPr>
          <w:rFonts w:ascii="Arial" w:eastAsia="宋体" w:hAnsi="Arial" w:cs="Arial"/>
          <w:color w:val="333333"/>
          <w:sz w:val="18"/>
          <w:szCs w:val="18"/>
        </w:rPr>
        <w:t>Technology companies often bilaterally license patents between each other to settle disputes or as part of business agreements. Some of our competitors have in the past had, and may in the future have, li</w:t>
      </w:r>
      <w:r>
        <w:rPr>
          <w:rFonts w:ascii="Arial" w:eastAsia="宋体" w:hAnsi="Arial" w:cs="Arial"/>
          <w:color w:val="333333"/>
          <w:sz w:val="18"/>
          <w:szCs w:val="18"/>
        </w:rPr>
        <w:t>censes to some of our patents, and under current case law, some of the licenses can exhaust our patent rights as to licensed product sales under some circumstances. Our participation in industry standards organizations or with other industry initiatives at</w:t>
      </w:r>
      <w:r>
        <w:rPr>
          <w:rFonts w:ascii="Arial" w:eastAsia="宋体" w:hAnsi="Arial" w:cs="Arial"/>
          <w:color w:val="333333"/>
          <w:sz w:val="18"/>
          <w:szCs w:val="18"/>
        </w:rPr>
        <w:t xml:space="preserve"> times requires us to offer to license our patents to companies that adopt industry-standard specifications. Depending on the rules of the organization, government regulations, or court decisions, we sometimes have to grant licenses to some of our patents </w:t>
      </w:r>
      <w:r>
        <w:rPr>
          <w:rFonts w:ascii="Arial" w:eastAsia="宋体" w:hAnsi="Arial" w:cs="Arial"/>
          <w:color w:val="333333"/>
          <w:sz w:val="18"/>
          <w:szCs w:val="18"/>
        </w:rPr>
        <w:t>for little or no cost, and as a result, we may be unable to enforce certain patents against others, and the value of our IP rights may be impaired.</w:t>
      </w:r>
    </w:p>
    <w:p w14:paraId="4ACE36F5"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243"/>
        <w:gridCol w:w="2658"/>
        <w:gridCol w:w="3405"/>
      </w:tblGrid>
      <w:tr w:rsidR="006F587A" w14:paraId="4ACE36F7" w14:textId="77777777">
        <w:tc>
          <w:tcPr>
            <w:tcW w:w="0" w:type="auto"/>
            <w:gridSpan w:val="3"/>
            <w:shd w:val="clear" w:color="auto" w:fill="auto"/>
            <w:vAlign w:val="center"/>
          </w:tcPr>
          <w:p w14:paraId="4ACE36F6" w14:textId="77777777" w:rsidR="006F587A" w:rsidRDefault="006F587A">
            <w:pPr>
              <w:rPr>
                <w:rFonts w:ascii="Times New Roman" w:hAnsi="Times New Roman"/>
                <w:sz w:val="20"/>
                <w:szCs w:val="20"/>
              </w:rPr>
            </w:pPr>
          </w:p>
        </w:tc>
      </w:tr>
      <w:tr w:rsidR="006F587A" w14:paraId="4ACE36FB" w14:textId="77777777">
        <w:tc>
          <w:tcPr>
            <w:tcW w:w="1350" w:type="pct"/>
            <w:shd w:val="clear" w:color="auto" w:fill="auto"/>
            <w:vAlign w:val="center"/>
          </w:tcPr>
          <w:p w14:paraId="4ACE36F8" w14:textId="77777777" w:rsidR="006F587A" w:rsidRDefault="006F587A">
            <w:pPr>
              <w:rPr>
                <w:rFonts w:ascii="Times New Roman" w:hAnsi="Times New Roman"/>
                <w:sz w:val="20"/>
                <w:szCs w:val="20"/>
              </w:rPr>
            </w:pPr>
          </w:p>
        </w:tc>
        <w:tc>
          <w:tcPr>
            <w:tcW w:w="1600" w:type="pct"/>
            <w:shd w:val="clear" w:color="auto" w:fill="auto"/>
            <w:vAlign w:val="center"/>
          </w:tcPr>
          <w:p w14:paraId="4ACE36F9" w14:textId="77777777" w:rsidR="006F587A" w:rsidRDefault="006F587A">
            <w:pPr>
              <w:rPr>
                <w:rFonts w:ascii="Times New Roman" w:hAnsi="Times New Roman"/>
                <w:sz w:val="20"/>
                <w:szCs w:val="20"/>
              </w:rPr>
            </w:pPr>
          </w:p>
        </w:tc>
        <w:tc>
          <w:tcPr>
            <w:tcW w:w="2050" w:type="pct"/>
            <w:shd w:val="clear" w:color="auto" w:fill="auto"/>
            <w:vAlign w:val="center"/>
          </w:tcPr>
          <w:p w14:paraId="4ACE36FA" w14:textId="77777777" w:rsidR="006F587A" w:rsidRDefault="006F587A">
            <w:pPr>
              <w:rPr>
                <w:rFonts w:ascii="Times New Roman" w:hAnsi="Times New Roman"/>
                <w:sz w:val="20"/>
                <w:szCs w:val="20"/>
              </w:rPr>
            </w:pPr>
          </w:p>
        </w:tc>
      </w:tr>
      <w:tr w:rsidR="006F587A" w14:paraId="4ACE36FF"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36FC" w14:textId="77777777" w:rsidR="006F587A" w:rsidRDefault="007B2B61">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91" wp14:editId="4ACE6D92">
                  <wp:extent cx="304800" cy="304800"/>
                  <wp:effectExtent l="0" t="0" r="0" b="0"/>
                  <wp:docPr id="164" name="图片 251"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251"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OTHER KEY INFORMATION</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6F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6FE"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57</w:t>
            </w:r>
          </w:p>
        </w:tc>
      </w:tr>
    </w:tbl>
    <w:p w14:paraId="4ACE3700" w14:textId="77777777" w:rsidR="006F587A" w:rsidRDefault="007B2B61">
      <w:r>
        <w:pict w14:anchorId="4ACE6D93">
          <v:rect id="_x0000_i1083" style="width:415.3pt;height:1.5pt" o:hralign="center" o:hrstd="t" o:hr="t" fillcolor="#a0a0a0" stroked="f"/>
        </w:pict>
      </w:r>
    </w:p>
    <w:p w14:paraId="4ACE3701" w14:textId="77777777" w:rsidR="006F587A" w:rsidRDefault="007B2B61">
      <w:pPr>
        <w:spacing w:line="288" w:lineRule="auto"/>
        <w:jc w:val="right"/>
        <w:rPr>
          <w:rFonts w:ascii="Times New Roman" w:hAnsi="Times New Roman"/>
          <w:sz w:val="16"/>
          <w:szCs w:val="16"/>
        </w:rPr>
      </w:pPr>
      <w:hyperlink r:id="rId90" w:anchor="s9DB683E2CF52561EB8A73BE37F5BF9BE" w:history="1">
        <w:r>
          <w:rPr>
            <w:rStyle w:val="a5"/>
            <w:rFonts w:ascii="Arial" w:eastAsia="宋体" w:hAnsi="Arial" w:cs="Arial"/>
            <w:b/>
            <w:bCs/>
            <w:sz w:val="16"/>
            <w:szCs w:val="16"/>
          </w:rPr>
          <w:t>Table of Contents</w:t>
        </w:r>
      </w:hyperlink>
    </w:p>
    <w:p w14:paraId="4ACE3702" w14:textId="77777777" w:rsidR="006F587A" w:rsidRDefault="006F587A">
      <w:pPr>
        <w:spacing w:line="288" w:lineRule="auto"/>
        <w:jc w:val="right"/>
        <w:rPr>
          <w:rFonts w:ascii="Times New Roman" w:hAnsi="Times New Roman"/>
          <w:sz w:val="16"/>
          <w:szCs w:val="16"/>
        </w:rPr>
      </w:pPr>
    </w:p>
    <w:p w14:paraId="4ACE3703" w14:textId="77777777" w:rsidR="006F587A" w:rsidRDefault="006F587A">
      <w:pPr>
        <w:rPr>
          <w:rFonts w:ascii="Times New Roman" w:hAnsi="Times New Roman"/>
          <w:sz w:val="20"/>
          <w:szCs w:val="20"/>
        </w:rPr>
      </w:pPr>
    </w:p>
    <w:p w14:paraId="4ACE3704" w14:textId="77777777" w:rsidR="006F587A" w:rsidRDefault="007B2B61">
      <w:pPr>
        <w:spacing w:line="288" w:lineRule="auto"/>
        <w:rPr>
          <w:rFonts w:ascii="Times New Roman" w:hAnsi="Times New Roman"/>
          <w:sz w:val="18"/>
          <w:szCs w:val="18"/>
        </w:rPr>
      </w:pPr>
      <w:r>
        <w:rPr>
          <w:rFonts w:ascii="Arial" w:eastAsia="宋体" w:hAnsi="Arial" w:cs="Arial"/>
          <w:color w:val="0071C5"/>
          <w:sz w:val="18"/>
          <w:szCs w:val="18"/>
        </w:rPr>
        <w:t>Third parties assert claims based on IP rights against us and our products, which could harm our business.</w:t>
      </w:r>
      <w:r>
        <w:rPr>
          <w:rFonts w:ascii="Arial" w:eastAsia="宋体" w:hAnsi="Arial" w:cs="Arial"/>
          <w:i/>
          <w:iCs/>
          <w:color w:val="333333"/>
          <w:sz w:val="18"/>
          <w:szCs w:val="18"/>
        </w:rPr>
        <w:t xml:space="preserve"> </w:t>
      </w:r>
      <w:r>
        <w:rPr>
          <w:rFonts w:ascii="Arial" w:eastAsia="宋体" w:hAnsi="Arial" w:cs="Arial"/>
          <w:color w:val="333333"/>
          <w:sz w:val="18"/>
          <w:szCs w:val="18"/>
        </w:rPr>
        <w:t xml:space="preserve">We face claims based on IP </w:t>
      </w:r>
      <w:r>
        <w:rPr>
          <w:rFonts w:ascii="Arial" w:eastAsia="宋体" w:hAnsi="Arial" w:cs="Arial"/>
          <w:color w:val="333333"/>
          <w:sz w:val="18"/>
          <w:szCs w:val="18"/>
        </w:rPr>
        <w:t xml:space="preserve">rights from individuals and companies, including claims from those who have aggregated patents acquired from multiple sources to form a new, larger portfolio to assert claims against us and other companies. Some of these claimants are funded by investment </w:t>
      </w:r>
      <w:r>
        <w:rPr>
          <w:rFonts w:ascii="Arial" w:eastAsia="宋体" w:hAnsi="Arial" w:cs="Arial"/>
          <w:color w:val="333333"/>
          <w:sz w:val="18"/>
          <w:szCs w:val="18"/>
        </w:rPr>
        <w:t xml:space="preserve">firms and have substantial resources, which can increase our defense costs. Additionally, large patent portfolio owners sometimes divest portions of their portfolios to more than one individual or company, increasing </w:t>
      </w:r>
      <w:r>
        <w:rPr>
          <w:rFonts w:ascii="Arial" w:eastAsia="宋体" w:hAnsi="Arial" w:cs="Arial"/>
          <w:color w:val="333333"/>
          <w:sz w:val="18"/>
          <w:szCs w:val="18"/>
        </w:rPr>
        <w:lastRenderedPageBreak/>
        <w:t>the number of parties who own IP rights</w:t>
      </w:r>
      <w:r>
        <w:rPr>
          <w:rFonts w:ascii="Arial" w:eastAsia="宋体" w:hAnsi="Arial" w:cs="Arial"/>
          <w:color w:val="333333"/>
          <w:sz w:val="18"/>
          <w:szCs w:val="18"/>
        </w:rPr>
        <w:t xml:space="preserve"> previously all held by a single party. We are typically engaged in a number of disputes involving IP rights. Claims that our products or processes infringe the IP rights of others, regardless of their merits, cause us to incur large costs to respond to, d</w:t>
      </w:r>
      <w:r>
        <w:rPr>
          <w:rFonts w:ascii="Arial" w:eastAsia="宋体" w:hAnsi="Arial" w:cs="Arial"/>
          <w:color w:val="333333"/>
          <w:sz w:val="18"/>
          <w:szCs w:val="18"/>
        </w:rPr>
        <w:t>efend, and resolve the claims, and they divert the efforts and attention of our management and technical personnel from our business and operations. In addition, we may face claims based on the alleged theft or unauthorized use or disclosure of third-party</w:t>
      </w:r>
      <w:r>
        <w:rPr>
          <w:rFonts w:ascii="Arial" w:eastAsia="宋体" w:hAnsi="Arial" w:cs="Arial"/>
          <w:color w:val="333333"/>
          <w:sz w:val="18"/>
          <w:szCs w:val="18"/>
        </w:rPr>
        <w:t xml:space="preserve"> trade secrets or confidential information or end-user data that we obtain in conducting our business. Any such incidents and claims could severely disrupt our business, and we could suffer losses, including the cost of product recalls and returns, and rep</w:t>
      </w:r>
      <w:r>
        <w:rPr>
          <w:rFonts w:ascii="Arial" w:eastAsia="宋体" w:hAnsi="Arial" w:cs="Arial"/>
          <w:color w:val="333333"/>
          <w:sz w:val="18"/>
          <w:szCs w:val="18"/>
        </w:rPr>
        <w:t>utational harm. Furthermore, we have agreed to indemnify customers for certain IP rights claims against them. IP rights claims against our customers could also limit demand for our products or disrupt our customers’ businesses, which could in turn adversel</w:t>
      </w:r>
      <w:r>
        <w:rPr>
          <w:rFonts w:ascii="Arial" w:eastAsia="宋体" w:hAnsi="Arial" w:cs="Arial"/>
          <w:color w:val="333333"/>
          <w:sz w:val="18"/>
          <w:szCs w:val="18"/>
        </w:rPr>
        <w:t>y affect our results of operations.</w:t>
      </w:r>
    </w:p>
    <w:p w14:paraId="4ACE3705"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As a result of IP rights claims, we could:</w:t>
      </w: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474"/>
      </w:tblGrid>
      <w:tr w:rsidR="006F587A" w14:paraId="4ACE3708" w14:textId="77777777">
        <w:trPr>
          <w:tblCellSpacing w:w="0" w:type="dxa"/>
        </w:trPr>
        <w:tc>
          <w:tcPr>
            <w:tcW w:w="480" w:type="dxa"/>
            <w:shd w:val="clear" w:color="auto" w:fill="auto"/>
            <w:vAlign w:val="center"/>
          </w:tcPr>
          <w:p w14:paraId="4ACE3706" w14:textId="77777777" w:rsidR="006F587A" w:rsidRDefault="006F587A">
            <w:pPr>
              <w:rPr>
                <w:rFonts w:ascii="Times New Roman" w:hAnsi="Times New Roman"/>
                <w:sz w:val="20"/>
                <w:szCs w:val="20"/>
              </w:rPr>
            </w:pPr>
          </w:p>
        </w:tc>
        <w:tc>
          <w:tcPr>
            <w:tcW w:w="0" w:type="auto"/>
            <w:shd w:val="clear" w:color="auto" w:fill="auto"/>
            <w:vAlign w:val="center"/>
          </w:tcPr>
          <w:p w14:paraId="4ACE3707" w14:textId="77777777" w:rsidR="006F587A" w:rsidRDefault="006F587A">
            <w:pPr>
              <w:rPr>
                <w:rFonts w:ascii="Times New Roman" w:hAnsi="Times New Roman"/>
                <w:sz w:val="20"/>
                <w:szCs w:val="20"/>
              </w:rPr>
            </w:pPr>
          </w:p>
        </w:tc>
      </w:tr>
      <w:tr w:rsidR="006F587A" w14:paraId="4ACE370B" w14:textId="77777777">
        <w:trPr>
          <w:tblCellSpacing w:w="0" w:type="dxa"/>
        </w:trPr>
        <w:tc>
          <w:tcPr>
            <w:tcW w:w="0" w:type="auto"/>
            <w:shd w:val="clear" w:color="auto" w:fill="auto"/>
          </w:tcPr>
          <w:p w14:paraId="4ACE3709"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70A"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pay monetary damages, including payments to satisfy indemnification obligations, or royalties;</w:t>
            </w:r>
          </w:p>
        </w:tc>
      </w:tr>
    </w:tbl>
    <w:p w14:paraId="4ACE370C"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6F587A" w14:paraId="4ACE370F" w14:textId="77777777">
        <w:trPr>
          <w:tblCellSpacing w:w="0" w:type="dxa"/>
        </w:trPr>
        <w:tc>
          <w:tcPr>
            <w:tcW w:w="480" w:type="dxa"/>
            <w:shd w:val="clear" w:color="auto" w:fill="auto"/>
            <w:vAlign w:val="center"/>
          </w:tcPr>
          <w:p w14:paraId="4ACE370D" w14:textId="77777777" w:rsidR="006F587A" w:rsidRDefault="006F587A">
            <w:pPr>
              <w:rPr>
                <w:rFonts w:ascii="Times New Roman" w:hAnsi="Times New Roman"/>
                <w:sz w:val="20"/>
                <w:szCs w:val="20"/>
              </w:rPr>
            </w:pPr>
          </w:p>
        </w:tc>
        <w:tc>
          <w:tcPr>
            <w:tcW w:w="0" w:type="auto"/>
            <w:shd w:val="clear" w:color="auto" w:fill="auto"/>
            <w:vAlign w:val="center"/>
          </w:tcPr>
          <w:p w14:paraId="4ACE370E" w14:textId="77777777" w:rsidR="006F587A" w:rsidRDefault="006F587A">
            <w:pPr>
              <w:rPr>
                <w:rFonts w:ascii="Times New Roman" w:hAnsi="Times New Roman"/>
                <w:sz w:val="20"/>
                <w:szCs w:val="20"/>
              </w:rPr>
            </w:pPr>
          </w:p>
        </w:tc>
      </w:tr>
      <w:tr w:rsidR="006F587A" w14:paraId="4ACE3712" w14:textId="77777777">
        <w:trPr>
          <w:tblCellSpacing w:w="0" w:type="dxa"/>
        </w:trPr>
        <w:tc>
          <w:tcPr>
            <w:tcW w:w="0" w:type="auto"/>
            <w:shd w:val="clear" w:color="auto" w:fill="auto"/>
          </w:tcPr>
          <w:p w14:paraId="4ACE3710"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711"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stop manufacturing, using, selling, offering to sell, or </w:t>
            </w:r>
            <w:r>
              <w:rPr>
                <w:rFonts w:ascii="Arial" w:eastAsia="宋体" w:hAnsi="Arial" w:cs="Arial"/>
                <w:color w:val="333333"/>
                <w:sz w:val="18"/>
                <w:szCs w:val="18"/>
              </w:rPr>
              <w:t>importing products or technology subject to claims;    </w:t>
            </w:r>
          </w:p>
        </w:tc>
      </w:tr>
    </w:tbl>
    <w:p w14:paraId="4ACE3713"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6F587A" w14:paraId="4ACE3716" w14:textId="77777777">
        <w:trPr>
          <w:tblCellSpacing w:w="0" w:type="dxa"/>
        </w:trPr>
        <w:tc>
          <w:tcPr>
            <w:tcW w:w="480" w:type="dxa"/>
            <w:shd w:val="clear" w:color="auto" w:fill="auto"/>
            <w:vAlign w:val="center"/>
          </w:tcPr>
          <w:p w14:paraId="4ACE3714" w14:textId="77777777" w:rsidR="006F587A" w:rsidRDefault="006F587A">
            <w:pPr>
              <w:rPr>
                <w:rFonts w:ascii="Times New Roman" w:hAnsi="Times New Roman"/>
                <w:sz w:val="20"/>
                <w:szCs w:val="20"/>
              </w:rPr>
            </w:pPr>
          </w:p>
        </w:tc>
        <w:tc>
          <w:tcPr>
            <w:tcW w:w="0" w:type="auto"/>
            <w:shd w:val="clear" w:color="auto" w:fill="auto"/>
            <w:vAlign w:val="center"/>
          </w:tcPr>
          <w:p w14:paraId="4ACE3715" w14:textId="77777777" w:rsidR="006F587A" w:rsidRDefault="006F587A">
            <w:pPr>
              <w:rPr>
                <w:rFonts w:ascii="Times New Roman" w:hAnsi="Times New Roman"/>
                <w:sz w:val="20"/>
                <w:szCs w:val="20"/>
              </w:rPr>
            </w:pPr>
          </w:p>
        </w:tc>
      </w:tr>
      <w:tr w:rsidR="006F587A" w14:paraId="4ACE3719" w14:textId="77777777">
        <w:trPr>
          <w:tblCellSpacing w:w="0" w:type="dxa"/>
        </w:trPr>
        <w:tc>
          <w:tcPr>
            <w:tcW w:w="0" w:type="auto"/>
            <w:shd w:val="clear" w:color="auto" w:fill="auto"/>
          </w:tcPr>
          <w:p w14:paraId="4ACE3717"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718"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need to develop other products or technology not subject to claims, which could be time-consuming or costly; and/or</w:t>
            </w:r>
          </w:p>
        </w:tc>
      </w:tr>
    </w:tbl>
    <w:p w14:paraId="4ACE371A" w14:textId="77777777" w:rsidR="006F587A" w:rsidRDefault="006F587A">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480"/>
        <w:gridCol w:w="7826"/>
      </w:tblGrid>
      <w:tr w:rsidR="006F587A" w14:paraId="4ACE371D" w14:textId="77777777">
        <w:trPr>
          <w:tblCellSpacing w:w="0" w:type="dxa"/>
        </w:trPr>
        <w:tc>
          <w:tcPr>
            <w:tcW w:w="480" w:type="dxa"/>
            <w:shd w:val="clear" w:color="auto" w:fill="auto"/>
            <w:vAlign w:val="center"/>
          </w:tcPr>
          <w:p w14:paraId="4ACE371B" w14:textId="77777777" w:rsidR="006F587A" w:rsidRDefault="006F587A">
            <w:pPr>
              <w:rPr>
                <w:rFonts w:ascii="Times New Roman" w:hAnsi="Times New Roman"/>
                <w:sz w:val="20"/>
                <w:szCs w:val="20"/>
              </w:rPr>
            </w:pPr>
          </w:p>
        </w:tc>
        <w:tc>
          <w:tcPr>
            <w:tcW w:w="0" w:type="auto"/>
            <w:shd w:val="clear" w:color="auto" w:fill="auto"/>
            <w:vAlign w:val="center"/>
          </w:tcPr>
          <w:p w14:paraId="4ACE371C" w14:textId="77777777" w:rsidR="006F587A" w:rsidRDefault="006F587A">
            <w:pPr>
              <w:rPr>
                <w:rFonts w:ascii="Times New Roman" w:hAnsi="Times New Roman"/>
                <w:sz w:val="20"/>
                <w:szCs w:val="20"/>
              </w:rPr>
            </w:pPr>
          </w:p>
        </w:tc>
      </w:tr>
      <w:tr w:rsidR="006F587A" w14:paraId="4ACE3720" w14:textId="77777777">
        <w:trPr>
          <w:tblCellSpacing w:w="0" w:type="dxa"/>
        </w:trPr>
        <w:tc>
          <w:tcPr>
            <w:tcW w:w="0" w:type="auto"/>
            <w:shd w:val="clear" w:color="auto" w:fill="auto"/>
          </w:tcPr>
          <w:p w14:paraId="4ACE371E"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71F"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enter into settlement or license agreements, which </w:t>
            </w:r>
            <w:r>
              <w:rPr>
                <w:rFonts w:ascii="Arial" w:eastAsia="宋体" w:hAnsi="Arial" w:cs="Arial"/>
                <w:color w:val="333333"/>
                <w:sz w:val="18"/>
                <w:szCs w:val="18"/>
              </w:rPr>
              <w:t>agreements may not be available on commercially reasonable terms.</w:t>
            </w:r>
          </w:p>
        </w:tc>
      </w:tr>
    </w:tbl>
    <w:p w14:paraId="4ACE3721"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These IP rights claims could harm our competitive position, result in expenses, or require us to impair our assets. If we alter or stop production of affected items, our revenue could be </w:t>
      </w:r>
      <w:r>
        <w:rPr>
          <w:rFonts w:ascii="Arial" w:eastAsia="宋体" w:hAnsi="Arial" w:cs="Arial"/>
          <w:color w:val="333333"/>
          <w:sz w:val="18"/>
          <w:szCs w:val="18"/>
        </w:rPr>
        <w:t>harmed.</w:t>
      </w:r>
    </w:p>
    <w:p w14:paraId="4ACE3722" w14:textId="77777777" w:rsidR="006F587A" w:rsidRDefault="007B2B61">
      <w:pPr>
        <w:spacing w:line="288" w:lineRule="auto"/>
        <w:rPr>
          <w:rFonts w:ascii="Times New Roman" w:hAnsi="Times New Roman"/>
          <w:sz w:val="18"/>
          <w:szCs w:val="18"/>
        </w:rPr>
      </w:pPr>
      <w:r>
        <w:rPr>
          <w:rFonts w:ascii="Arial" w:eastAsia="宋体" w:hAnsi="Arial" w:cs="Arial"/>
          <w:color w:val="0071C5"/>
          <w:sz w:val="18"/>
          <w:szCs w:val="18"/>
        </w:rPr>
        <w:t>We rely on access to third-party IP, which may not be available to us on commercially reasonable terms or at all.</w:t>
      </w:r>
      <w:r>
        <w:rPr>
          <w:rFonts w:ascii="Arial" w:eastAsia="宋体" w:hAnsi="Arial" w:cs="Arial"/>
          <w:b/>
          <w:bCs/>
          <w:color w:val="333333"/>
          <w:sz w:val="18"/>
          <w:szCs w:val="18"/>
        </w:rPr>
        <w:t xml:space="preserve"> </w:t>
      </w:r>
      <w:r>
        <w:rPr>
          <w:rFonts w:ascii="Arial" w:eastAsia="宋体" w:hAnsi="Arial" w:cs="Arial"/>
          <w:color w:val="333333"/>
          <w:sz w:val="18"/>
          <w:szCs w:val="18"/>
        </w:rPr>
        <w:t xml:space="preserve">Many of our products include third-party technology or implement industry standards, and may require licenses from third </w:t>
      </w:r>
      <w:r>
        <w:rPr>
          <w:rFonts w:ascii="Arial" w:eastAsia="宋体" w:hAnsi="Arial" w:cs="Arial"/>
          <w:color w:val="333333"/>
          <w:sz w:val="18"/>
          <w:szCs w:val="18"/>
        </w:rPr>
        <w:t xml:space="preserve">parties. Based on past experience and industry practice, we believe such licenses generally can be obtained on commercially reasonable terms. However, there is no assurance that the necessary licenses can be obtained on acceptable terms or at all. Failure </w:t>
      </w:r>
      <w:r>
        <w:rPr>
          <w:rFonts w:ascii="Arial" w:eastAsia="宋体" w:hAnsi="Arial" w:cs="Arial"/>
          <w:color w:val="333333"/>
          <w:sz w:val="18"/>
          <w:szCs w:val="18"/>
        </w:rPr>
        <w:t>to obtain the right to use third-party technology, or to license IP on commercially reasonable terms, could preclude us from selling certain products or otherwise have a material adverse impact on our financial condition and operating results. To the exten</w:t>
      </w:r>
      <w:r>
        <w:rPr>
          <w:rFonts w:ascii="Arial" w:eastAsia="宋体" w:hAnsi="Arial" w:cs="Arial"/>
          <w:color w:val="333333"/>
          <w:sz w:val="18"/>
          <w:szCs w:val="18"/>
        </w:rPr>
        <w:t>t our products include software that contains or is derived from open-source software, we may be required to make the software’s source code publicly available and/or license the software under open-source licensing terms.</w:t>
      </w:r>
    </w:p>
    <w:p w14:paraId="4ACE3723" w14:textId="77777777" w:rsidR="006F587A" w:rsidRDefault="007B2B61">
      <w:pPr>
        <w:spacing w:line="288" w:lineRule="auto"/>
        <w:rPr>
          <w:rFonts w:ascii="Times New Roman" w:hAnsi="Times New Roman"/>
          <w:sz w:val="18"/>
          <w:szCs w:val="18"/>
        </w:rPr>
      </w:pPr>
      <w:r>
        <w:rPr>
          <w:rFonts w:ascii="Arial" w:eastAsia="宋体" w:hAnsi="Arial" w:cs="Arial"/>
          <w:color w:val="0071C5"/>
          <w:sz w:val="18"/>
          <w:szCs w:val="18"/>
        </w:rPr>
        <w:t>We are subject to risks associate</w:t>
      </w:r>
      <w:r>
        <w:rPr>
          <w:rFonts w:ascii="Arial" w:eastAsia="宋体" w:hAnsi="Arial" w:cs="Arial"/>
          <w:color w:val="0071C5"/>
          <w:sz w:val="18"/>
          <w:szCs w:val="18"/>
        </w:rPr>
        <w:t>d with litigation and regulatory proceedings.</w:t>
      </w:r>
      <w:r>
        <w:rPr>
          <w:rFonts w:ascii="Arial" w:eastAsia="宋体" w:hAnsi="Arial" w:cs="Arial"/>
          <w:color w:val="000000"/>
          <w:sz w:val="18"/>
          <w:szCs w:val="18"/>
        </w:rPr>
        <w:t xml:space="preserve"> </w:t>
      </w:r>
      <w:r>
        <w:rPr>
          <w:rFonts w:ascii="Arial" w:eastAsia="宋体" w:hAnsi="Arial" w:cs="Arial"/>
          <w:color w:val="333333"/>
          <w:sz w:val="18"/>
          <w:szCs w:val="18"/>
        </w:rPr>
        <w:t>From time to time,</w:t>
      </w:r>
      <w:r>
        <w:rPr>
          <w:rFonts w:ascii="Arial" w:eastAsia="宋体" w:hAnsi="Arial" w:cs="Arial"/>
          <w:b/>
          <w:bCs/>
          <w:i/>
          <w:iCs/>
          <w:color w:val="333333"/>
          <w:sz w:val="18"/>
          <w:szCs w:val="18"/>
        </w:rPr>
        <w:t xml:space="preserve"> </w:t>
      </w:r>
      <w:r>
        <w:rPr>
          <w:rFonts w:ascii="Arial" w:eastAsia="宋体" w:hAnsi="Arial" w:cs="Arial"/>
          <w:color w:val="333333"/>
          <w:sz w:val="18"/>
          <w:szCs w:val="18"/>
        </w:rPr>
        <w:t>we face legal claims or regulatory matters involving stockholder, consumer, competition, commercial, IP, and other issues on a global basis. As described in "Note 20: Commitments and Continge</w:t>
      </w:r>
      <w:r>
        <w:rPr>
          <w:rFonts w:ascii="Arial" w:eastAsia="宋体" w:hAnsi="Arial" w:cs="Arial"/>
          <w:color w:val="333333"/>
          <w:sz w:val="18"/>
          <w:szCs w:val="18"/>
        </w:rPr>
        <w:t>ncies" within the Consolidated Financial Statements, we are engaged in a number of litigation and regulatory matters. Litigation and regulatory proceedings are inherently uncertain, and adverse rulings could occur, including monetary damages, or an injunct</w:t>
      </w:r>
      <w:r>
        <w:rPr>
          <w:rFonts w:ascii="Arial" w:eastAsia="宋体" w:hAnsi="Arial" w:cs="Arial"/>
          <w:color w:val="333333"/>
          <w:sz w:val="18"/>
          <w:szCs w:val="18"/>
        </w:rPr>
        <w:t>ion stopping us from manufacturing or selling certain products, engaging in certain business practices, or requiring other remedies, such as compulsory licensing of patents. An unfavorable outcome can result in a material adverse impact on our business, fi</w:t>
      </w:r>
      <w:r>
        <w:rPr>
          <w:rFonts w:ascii="Arial" w:eastAsia="宋体" w:hAnsi="Arial" w:cs="Arial"/>
          <w:color w:val="333333"/>
          <w:sz w:val="18"/>
          <w:szCs w:val="18"/>
        </w:rPr>
        <w:t>nancial condition, and results of operations. In addition, regardless of the outcome, litigation and regulatory proceedings can be costly, time-consuming, disruptive to our operations, and distracting to management.</w:t>
      </w:r>
    </w:p>
    <w:p w14:paraId="4ACE3724" w14:textId="77777777" w:rsidR="006F587A" w:rsidRDefault="007B2B61">
      <w:pPr>
        <w:spacing w:line="288" w:lineRule="auto"/>
        <w:rPr>
          <w:rFonts w:ascii="Times New Roman" w:hAnsi="Times New Roman"/>
        </w:rPr>
      </w:pPr>
      <w:r>
        <w:rPr>
          <w:rFonts w:ascii="Arial" w:eastAsia="宋体" w:hAnsi="Arial" w:cs="Arial"/>
          <w:b/>
          <w:bCs/>
          <w:color w:val="0071C5"/>
        </w:rPr>
        <w:t>WE MUST ATTRACT, RETAIN, AND MOTIVATE KE</w:t>
      </w:r>
      <w:r>
        <w:rPr>
          <w:rFonts w:ascii="Arial" w:eastAsia="宋体" w:hAnsi="Arial" w:cs="Arial"/>
          <w:b/>
          <w:bCs/>
          <w:color w:val="0071C5"/>
        </w:rPr>
        <w:t>Y EMPLOYEES.</w:t>
      </w:r>
    </w:p>
    <w:p w14:paraId="4ACE3725"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Hiring and retaining qualified executives, scientists, engineers, technical staff, and sales representatives are critical to our business, and competition for highly skilled employees in our industry is intense. In addition, changes in immigra</w:t>
      </w:r>
      <w:r>
        <w:rPr>
          <w:rFonts w:ascii="Arial" w:eastAsia="宋体" w:hAnsi="Arial" w:cs="Arial"/>
          <w:color w:val="333333"/>
          <w:sz w:val="18"/>
          <w:szCs w:val="18"/>
        </w:rPr>
        <w:t>tion policies may impair our ability to recruit and hire technical and professional talent. Changes in the interpretation and application of employment-related laws to our workforce practices may also result in increased operating costs and less flexibilit</w:t>
      </w:r>
      <w:r>
        <w:rPr>
          <w:rFonts w:ascii="Arial" w:eastAsia="宋体" w:hAnsi="Arial" w:cs="Arial"/>
          <w:color w:val="333333"/>
          <w:sz w:val="18"/>
          <w:szCs w:val="18"/>
        </w:rPr>
        <w:t xml:space="preserve">y in how we meet our changing workforce needs. To help attract, retain, and motivate qualified employees, we use </w:t>
      </w:r>
      <w:r>
        <w:rPr>
          <w:rFonts w:ascii="Arial" w:eastAsia="宋体" w:hAnsi="Arial" w:cs="Arial"/>
          <w:color w:val="333333"/>
          <w:sz w:val="18"/>
          <w:szCs w:val="18"/>
        </w:rPr>
        <w:lastRenderedPageBreak/>
        <w:t xml:space="preserve">share-based awards, such as RSUs, and performance-based cash incentive awards. Our employee hiring and retention also depend on our ability to </w:t>
      </w:r>
      <w:r>
        <w:rPr>
          <w:rFonts w:ascii="Arial" w:eastAsia="宋体" w:hAnsi="Arial" w:cs="Arial"/>
          <w:color w:val="333333"/>
          <w:sz w:val="18"/>
          <w:szCs w:val="18"/>
        </w:rPr>
        <w:t>build and maintain a diverse and inclusive workplace culture and be viewed as an employer of choice. If our share-based or other compensation programs and workplace culture cease to be viewed as competitive, our ability to attract, retain, and motivate emp</w:t>
      </w:r>
      <w:r>
        <w:rPr>
          <w:rFonts w:ascii="Arial" w:eastAsia="宋体" w:hAnsi="Arial" w:cs="Arial"/>
          <w:color w:val="333333"/>
          <w:sz w:val="18"/>
          <w:szCs w:val="18"/>
        </w:rPr>
        <w:t>loyees would be weakened, which could harm our results of operations. Furthermore, changes in our management team can disrupt our business, and the failure to successfully transition and assimilate key employees could adversely affect our results of operat</w:t>
      </w:r>
      <w:r>
        <w:rPr>
          <w:rFonts w:ascii="Arial" w:eastAsia="宋体" w:hAnsi="Arial" w:cs="Arial"/>
          <w:color w:val="333333"/>
          <w:sz w:val="18"/>
          <w:szCs w:val="18"/>
        </w:rPr>
        <w:t>ions.</w:t>
      </w:r>
    </w:p>
    <w:p w14:paraId="4ACE3726"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243"/>
        <w:gridCol w:w="2658"/>
        <w:gridCol w:w="3405"/>
      </w:tblGrid>
      <w:tr w:rsidR="006F587A" w14:paraId="4ACE3728" w14:textId="77777777">
        <w:tc>
          <w:tcPr>
            <w:tcW w:w="0" w:type="auto"/>
            <w:gridSpan w:val="3"/>
            <w:shd w:val="clear" w:color="auto" w:fill="auto"/>
            <w:vAlign w:val="center"/>
          </w:tcPr>
          <w:p w14:paraId="4ACE3727" w14:textId="77777777" w:rsidR="006F587A" w:rsidRDefault="006F587A">
            <w:pPr>
              <w:rPr>
                <w:rFonts w:ascii="Times New Roman" w:hAnsi="Times New Roman"/>
                <w:sz w:val="20"/>
                <w:szCs w:val="20"/>
              </w:rPr>
            </w:pPr>
          </w:p>
        </w:tc>
      </w:tr>
      <w:tr w:rsidR="006F587A" w14:paraId="4ACE372C" w14:textId="77777777">
        <w:tc>
          <w:tcPr>
            <w:tcW w:w="1350" w:type="pct"/>
            <w:shd w:val="clear" w:color="auto" w:fill="auto"/>
            <w:vAlign w:val="center"/>
          </w:tcPr>
          <w:p w14:paraId="4ACE3729" w14:textId="77777777" w:rsidR="006F587A" w:rsidRDefault="006F587A">
            <w:pPr>
              <w:rPr>
                <w:rFonts w:ascii="Times New Roman" w:hAnsi="Times New Roman"/>
                <w:sz w:val="20"/>
                <w:szCs w:val="20"/>
              </w:rPr>
            </w:pPr>
          </w:p>
        </w:tc>
        <w:tc>
          <w:tcPr>
            <w:tcW w:w="1600" w:type="pct"/>
            <w:shd w:val="clear" w:color="auto" w:fill="auto"/>
            <w:vAlign w:val="center"/>
          </w:tcPr>
          <w:p w14:paraId="4ACE372A" w14:textId="77777777" w:rsidR="006F587A" w:rsidRDefault="006F587A">
            <w:pPr>
              <w:rPr>
                <w:rFonts w:ascii="Times New Roman" w:hAnsi="Times New Roman"/>
                <w:sz w:val="20"/>
                <w:szCs w:val="20"/>
              </w:rPr>
            </w:pPr>
          </w:p>
        </w:tc>
        <w:tc>
          <w:tcPr>
            <w:tcW w:w="2050" w:type="pct"/>
            <w:shd w:val="clear" w:color="auto" w:fill="auto"/>
            <w:vAlign w:val="center"/>
          </w:tcPr>
          <w:p w14:paraId="4ACE372B" w14:textId="77777777" w:rsidR="006F587A" w:rsidRDefault="006F587A">
            <w:pPr>
              <w:rPr>
                <w:rFonts w:ascii="Times New Roman" w:hAnsi="Times New Roman"/>
                <w:sz w:val="20"/>
                <w:szCs w:val="20"/>
              </w:rPr>
            </w:pPr>
          </w:p>
        </w:tc>
      </w:tr>
      <w:tr w:rsidR="006F587A" w14:paraId="4ACE3730"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372D" w14:textId="77777777" w:rsidR="006F587A" w:rsidRDefault="007B2B61">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94" wp14:editId="4ACE6D95">
                  <wp:extent cx="304800" cy="304800"/>
                  <wp:effectExtent l="0" t="0" r="0" b="0"/>
                  <wp:docPr id="178" name="图片 253"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253"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OTHER KEY INFORMATION</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72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72F"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58</w:t>
            </w:r>
          </w:p>
        </w:tc>
      </w:tr>
    </w:tbl>
    <w:p w14:paraId="4ACE3731" w14:textId="77777777" w:rsidR="006F587A" w:rsidRDefault="007B2B61">
      <w:r>
        <w:pict w14:anchorId="4ACE6D96">
          <v:rect id="_x0000_i1084" style="width:415.3pt;height:1.5pt" o:hralign="center" o:hrstd="t" o:hr="t" fillcolor="#a0a0a0" stroked="f"/>
        </w:pict>
      </w:r>
    </w:p>
    <w:p w14:paraId="4ACE3732" w14:textId="77777777" w:rsidR="006F587A" w:rsidRDefault="007B2B61">
      <w:pPr>
        <w:spacing w:line="288" w:lineRule="auto"/>
        <w:jc w:val="right"/>
        <w:rPr>
          <w:rFonts w:ascii="Times New Roman" w:hAnsi="Times New Roman"/>
          <w:sz w:val="16"/>
          <w:szCs w:val="16"/>
        </w:rPr>
      </w:pPr>
      <w:hyperlink r:id="rId91" w:anchor="s9DB683E2CF52561EB8A73BE37F5BF9BE" w:history="1">
        <w:r>
          <w:rPr>
            <w:rStyle w:val="a5"/>
            <w:rFonts w:ascii="Arial" w:eastAsia="宋体" w:hAnsi="Arial" w:cs="Arial"/>
            <w:b/>
            <w:bCs/>
            <w:sz w:val="16"/>
            <w:szCs w:val="16"/>
          </w:rPr>
          <w:t>Table of Contents</w:t>
        </w:r>
      </w:hyperlink>
    </w:p>
    <w:p w14:paraId="4ACE3733" w14:textId="77777777" w:rsidR="006F587A" w:rsidRDefault="006F587A">
      <w:pPr>
        <w:spacing w:line="288" w:lineRule="auto"/>
        <w:jc w:val="right"/>
        <w:rPr>
          <w:rFonts w:ascii="Times New Roman" w:hAnsi="Times New Roman"/>
          <w:sz w:val="16"/>
          <w:szCs w:val="16"/>
        </w:rPr>
      </w:pPr>
    </w:p>
    <w:p w14:paraId="4ACE3734" w14:textId="77777777" w:rsidR="006F587A" w:rsidRDefault="006F587A">
      <w:pPr>
        <w:rPr>
          <w:rFonts w:ascii="Times New Roman" w:hAnsi="Times New Roman"/>
          <w:sz w:val="20"/>
          <w:szCs w:val="20"/>
        </w:rPr>
      </w:pPr>
    </w:p>
    <w:p w14:paraId="4ACE3735" w14:textId="77777777" w:rsidR="006F587A" w:rsidRDefault="007B2B61">
      <w:pPr>
        <w:spacing w:line="288" w:lineRule="auto"/>
        <w:rPr>
          <w:rFonts w:ascii="Times New Roman" w:hAnsi="Times New Roman"/>
        </w:rPr>
      </w:pPr>
      <w:r>
        <w:rPr>
          <w:rFonts w:ascii="Arial" w:eastAsia="宋体" w:hAnsi="Arial" w:cs="Arial"/>
          <w:b/>
          <w:bCs/>
          <w:color w:val="0071C5"/>
        </w:rPr>
        <w:t xml:space="preserve">WE ARE SUBJECT TO RISKS ASSOCIATED WITH OUR STRATEGIC </w:t>
      </w:r>
      <w:r>
        <w:rPr>
          <w:rFonts w:ascii="Arial" w:eastAsia="宋体" w:hAnsi="Arial" w:cs="Arial"/>
          <w:b/>
          <w:bCs/>
          <w:color w:val="0071C5"/>
        </w:rPr>
        <w:t>TRANSACTIONS.</w:t>
      </w:r>
    </w:p>
    <w:p w14:paraId="4ACE3736" w14:textId="77777777" w:rsidR="006F587A" w:rsidRDefault="007B2B61">
      <w:pPr>
        <w:spacing w:line="288" w:lineRule="auto"/>
        <w:rPr>
          <w:rFonts w:ascii="Times New Roman" w:hAnsi="Times New Roman"/>
          <w:sz w:val="18"/>
          <w:szCs w:val="18"/>
        </w:rPr>
      </w:pPr>
      <w:r>
        <w:rPr>
          <w:rFonts w:ascii="Arial" w:eastAsia="宋体" w:hAnsi="Arial" w:cs="Arial"/>
          <w:color w:val="0071C5"/>
          <w:sz w:val="18"/>
          <w:szCs w:val="18"/>
        </w:rPr>
        <w:t>Our acquisitions, divestitures, and other strategic transactions could fail to achieve our financial or strategic objectives, disrupt our ongoing business, and adversely impact our results of operations.</w:t>
      </w:r>
      <w:r>
        <w:rPr>
          <w:rFonts w:ascii="Arial" w:eastAsia="宋体" w:hAnsi="Arial" w:cs="Arial"/>
          <w:color w:val="333333"/>
          <w:sz w:val="18"/>
          <w:szCs w:val="18"/>
        </w:rPr>
        <w:t xml:space="preserve"> Strategic transactions are an importan</w:t>
      </w:r>
      <w:r>
        <w:rPr>
          <w:rFonts w:ascii="Arial" w:eastAsia="宋体" w:hAnsi="Arial" w:cs="Arial"/>
          <w:color w:val="333333"/>
          <w:sz w:val="18"/>
          <w:szCs w:val="18"/>
        </w:rPr>
        <w:t>t component of our financial capital allocation strategy. We routinely evaluate opportunities and enter into agreements for possible acquisitions, divestitures, and other strategic transactions. These transactions involve numerous risks, including:</w:t>
      </w:r>
    </w:p>
    <w:tbl>
      <w:tblPr>
        <w:tblW w:w="0" w:type="auto"/>
        <w:tblCellSpacing w:w="0" w:type="dxa"/>
        <w:tblCellMar>
          <w:left w:w="0" w:type="dxa"/>
          <w:bottom w:w="80" w:type="dxa"/>
          <w:right w:w="0" w:type="dxa"/>
        </w:tblCellMar>
        <w:tblLook w:val="04A0" w:firstRow="1" w:lastRow="0" w:firstColumn="1" w:lastColumn="0" w:noHBand="0" w:noVBand="1"/>
      </w:tblPr>
      <w:tblGrid>
        <w:gridCol w:w="480"/>
        <w:gridCol w:w="6704"/>
      </w:tblGrid>
      <w:tr w:rsidR="006F587A" w14:paraId="4ACE3739" w14:textId="77777777">
        <w:trPr>
          <w:tblCellSpacing w:w="0" w:type="dxa"/>
        </w:trPr>
        <w:tc>
          <w:tcPr>
            <w:tcW w:w="480" w:type="dxa"/>
            <w:shd w:val="clear" w:color="auto" w:fill="auto"/>
            <w:vAlign w:val="center"/>
          </w:tcPr>
          <w:p w14:paraId="4ACE3737" w14:textId="77777777" w:rsidR="006F587A" w:rsidRDefault="006F587A">
            <w:pPr>
              <w:rPr>
                <w:rFonts w:ascii="Times New Roman" w:hAnsi="Times New Roman"/>
                <w:sz w:val="20"/>
                <w:szCs w:val="20"/>
              </w:rPr>
            </w:pPr>
          </w:p>
        </w:tc>
        <w:tc>
          <w:tcPr>
            <w:tcW w:w="0" w:type="auto"/>
            <w:shd w:val="clear" w:color="auto" w:fill="auto"/>
            <w:vAlign w:val="center"/>
          </w:tcPr>
          <w:p w14:paraId="4ACE3738" w14:textId="77777777" w:rsidR="006F587A" w:rsidRDefault="006F587A">
            <w:pPr>
              <w:rPr>
                <w:rFonts w:ascii="Times New Roman" w:hAnsi="Times New Roman"/>
                <w:sz w:val="20"/>
                <w:szCs w:val="20"/>
              </w:rPr>
            </w:pPr>
          </w:p>
        </w:tc>
      </w:tr>
      <w:tr w:rsidR="006F587A" w14:paraId="4ACE373C" w14:textId="77777777">
        <w:trPr>
          <w:tblCellSpacing w:w="0" w:type="dxa"/>
        </w:trPr>
        <w:tc>
          <w:tcPr>
            <w:tcW w:w="0" w:type="auto"/>
            <w:shd w:val="clear" w:color="auto" w:fill="auto"/>
          </w:tcPr>
          <w:p w14:paraId="4ACE373A"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73B"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ou</w:t>
            </w:r>
            <w:r>
              <w:rPr>
                <w:rFonts w:ascii="Arial" w:eastAsia="宋体" w:hAnsi="Arial" w:cs="Arial"/>
                <w:color w:val="333333"/>
                <w:sz w:val="18"/>
                <w:szCs w:val="18"/>
              </w:rPr>
              <w:t>r inability to identify opportunities in a timely manner or on terms acceptable to us;</w:t>
            </w:r>
          </w:p>
        </w:tc>
      </w:tr>
    </w:tbl>
    <w:p w14:paraId="4ACE373D"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6F587A" w14:paraId="4ACE3740" w14:textId="77777777">
        <w:trPr>
          <w:tblCellSpacing w:w="0" w:type="dxa"/>
        </w:trPr>
        <w:tc>
          <w:tcPr>
            <w:tcW w:w="480" w:type="dxa"/>
            <w:shd w:val="clear" w:color="auto" w:fill="auto"/>
            <w:vAlign w:val="center"/>
          </w:tcPr>
          <w:p w14:paraId="4ACE373E" w14:textId="77777777" w:rsidR="006F587A" w:rsidRDefault="006F587A">
            <w:pPr>
              <w:rPr>
                <w:rFonts w:ascii="Times New Roman" w:hAnsi="Times New Roman"/>
                <w:sz w:val="20"/>
                <w:szCs w:val="20"/>
              </w:rPr>
            </w:pPr>
          </w:p>
        </w:tc>
        <w:tc>
          <w:tcPr>
            <w:tcW w:w="0" w:type="auto"/>
            <w:shd w:val="clear" w:color="auto" w:fill="auto"/>
            <w:vAlign w:val="center"/>
          </w:tcPr>
          <w:p w14:paraId="4ACE373F" w14:textId="77777777" w:rsidR="006F587A" w:rsidRDefault="006F587A">
            <w:pPr>
              <w:rPr>
                <w:rFonts w:ascii="Times New Roman" w:hAnsi="Times New Roman"/>
                <w:sz w:val="20"/>
                <w:szCs w:val="20"/>
              </w:rPr>
            </w:pPr>
          </w:p>
        </w:tc>
      </w:tr>
      <w:tr w:rsidR="006F587A" w14:paraId="4ACE3743" w14:textId="77777777">
        <w:trPr>
          <w:tblCellSpacing w:w="0" w:type="dxa"/>
        </w:trPr>
        <w:tc>
          <w:tcPr>
            <w:tcW w:w="0" w:type="auto"/>
            <w:shd w:val="clear" w:color="auto" w:fill="auto"/>
          </w:tcPr>
          <w:p w14:paraId="4ACE3741"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742"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failure of the transaction to advance our business strategy and of its anticipated benefits to materialize;</w:t>
            </w:r>
          </w:p>
        </w:tc>
      </w:tr>
    </w:tbl>
    <w:p w14:paraId="4ACE3744"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6525"/>
      </w:tblGrid>
      <w:tr w:rsidR="006F587A" w14:paraId="4ACE3747" w14:textId="77777777">
        <w:trPr>
          <w:tblCellSpacing w:w="0" w:type="dxa"/>
        </w:trPr>
        <w:tc>
          <w:tcPr>
            <w:tcW w:w="480" w:type="dxa"/>
            <w:shd w:val="clear" w:color="auto" w:fill="auto"/>
            <w:vAlign w:val="center"/>
          </w:tcPr>
          <w:p w14:paraId="4ACE3745" w14:textId="77777777" w:rsidR="006F587A" w:rsidRDefault="006F587A">
            <w:pPr>
              <w:rPr>
                <w:rFonts w:ascii="Times New Roman" w:hAnsi="Times New Roman"/>
                <w:sz w:val="20"/>
                <w:szCs w:val="20"/>
              </w:rPr>
            </w:pPr>
          </w:p>
        </w:tc>
        <w:tc>
          <w:tcPr>
            <w:tcW w:w="0" w:type="auto"/>
            <w:shd w:val="clear" w:color="auto" w:fill="auto"/>
            <w:vAlign w:val="center"/>
          </w:tcPr>
          <w:p w14:paraId="4ACE3746" w14:textId="77777777" w:rsidR="006F587A" w:rsidRDefault="006F587A">
            <w:pPr>
              <w:rPr>
                <w:rFonts w:ascii="Times New Roman" w:hAnsi="Times New Roman"/>
                <w:sz w:val="20"/>
                <w:szCs w:val="20"/>
              </w:rPr>
            </w:pPr>
          </w:p>
        </w:tc>
      </w:tr>
      <w:tr w:rsidR="006F587A" w14:paraId="4ACE374A" w14:textId="77777777">
        <w:trPr>
          <w:tblCellSpacing w:w="0" w:type="dxa"/>
        </w:trPr>
        <w:tc>
          <w:tcPr>
            <w:tcW w:w="0" w:type="auto"/>
            <w:shd w:val="clear" w:color="auto" w:fill="auto"/>
          </w:tcPr>
          <w:p w14:paraId="4ACE3748"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749"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disruption of our ongoing operations and </w:t>
            </w:r>
            <w:r>
              <w:rPr>
                <w:rFonts w:ascii="Arial" w:eastAsia="宋体" w:hAnsi="Arial" w:cs="Arial"/>
                <w:color w:val="333333"/>
                <w:sz w:val="18"/>
                <w:szCs w:val="18"/>
              </w:rPr>
              <w:t>diversion of our management’s attention;</w:t>
            </w:r>
          </w:p>
        </w:tc>
      </w:tr>
    </w:tbl>
    <w:p w14:paraId="4ACE374B"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6F587A" w14:paraId="4ACE374E" w14:textId="77777777">
        <w:trPr>
          <w:tblCellSpacing w:w="0" w:type="dxa"/>
        </w:trPr>
        <w:tc>
          <w:tcPr>
            <w:tcW w:w="480" w:type="dxa"/>
            <w:shd w:val="clear" w:color="auto" w:fill="auto"/>
            <w:vAlign w:val="center"/>
          </w:tcPr>
          <w:p w14:paraId="4ACE374C" w14:textId="77777777" w:rsidR="006F587A" w:rsidRDefault="006F587A">
            <w:pPr>
              <w:rPr>
                <w:rFonts w:ascii="Times New Roman" w:hAnsi="Times New Roman"/>
                <w:sz w:val="20"/>
                <w:szCs w:val="20"/>
              </w:rPr>
            </w:pPr>
          </w:p>
        </w:tc>
        <w:tc>
          <w:tcPr>
            <w:tcW w:w="0" w:type="auto"/>
            <w:shd w:val="clear" w:color="auto" w:fill="auto"/>
            <w:vAlign w:val="center"/>
          </w:tcPr>
          <w:p w14:paraId="4ACE374D" w14:textId="77777777" w:rsidR="006F587A" w:rsidRDefault="006F587A">
            <w:pPr>
              <w:rPr>
                <w:rFonts w:ascii="Times New Roman" w:hAnsi="Times New Roman"/>
                <w:sz w:val="20"/>
                <w:szCs w:val="20"/>
              </w:rPr>
            </w:pPr>
          </w:p>
        </w:tc>
      </w:tr>
      <w:tr w:rsidR="006F587A" w14:paraId="4ACE3751" w14:textId="77777777">
        <w:trPr>
          <w:tblCellSpacing w:w="0" w:type="dxa"/>
        </w:trPr>
        <w:tc>
          <w:tcPr>
            <w:tcW w:w="0" w:type="auto"/>
            <w:shd w:val="clear" w:color="auto" w:fill="auto"/>
          </w:tcPr>
          <w:p w14:paraId="4ACE374F"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750"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failure to complete a transaction in a timely manner, if at all, due to our inability to obtain required government or other approvals at all or without materially burdensome conditions, IP disputes or </w:t>
            </w:r>
            <w:r>
              <w:rPr>
                <w:rFonts w:ascii="Arial" w:eastAsia="宋体" w:hAnsi="Arial" w:cs="Arial"/>
                <w:color w:val="333333"/>
                <w:sz w:val="18"/>
                <w:szCs w:val="18"/>
              </w:rPr>
              <w:t>other litigation, difficulty in obtaining financing on terms acceptable to us, or other unforeseen factors;</w:t>
            </w:r>
          </w:p>
        </w:tc>
      </w:tr>
    </w:tbl>
    <w:p w14:paraId="4ACE3752"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6F587A" w14:paraId="4ACE3755" w14:textId="77777777">
        <w:trPr>
          <w:tblCellSpacing w:w="0" w:type="dxa"/>
        </w:trPr>
        <w:tc>
          <w:tcPr>
            <w:tcW w:w="480" w:type="dxa"/>
            <w:shd w:val="clear" w:color="auto" w:fill="auto"/>
            <w:vAlign w:val="center"/>
          </w:tcPr>
          <w:p w14:paraId="4ACE3753" w14:textId="77777777" w:rsidR="006F587A" w:rsidRDefault="006F587A">
            <w:pPr>
              <w:rPr>
                <w:rFonts w:ascii="Times New Roman" w:hAnsi="Times New Roman"/>
                <w:sz w:val="20"/>
                <w:szCs w:val="20"/>
              </w:rPr>
            </w:pPr>
          </w:p>
        </w:tc>
        <w:tc>
          <w:tcPr>
            <w:tcW w:w="0" w:type="auto"/>
            <w:shd w:val="clear" w:color="auto" w:fill="auto"/>
            <w:vAlign w:val="center"/>
          </w:tcPr>
          <w:p w14:paraId="4ACE3754" w14:textId="77777777" w:rsidR="006F587A" w:rsidRDefault="006F587A">
            <w:pPr>
              <w:rPr>
                <w:rFonts w:ascii="Times New Roman" w:hAnsi="Times New Roman"/>
                <w:sz w:val="20"/>
                <w:szCs w:val="20"/>
              </w:rPr>
            </w:pPr>
          </w:p>
        </w:tc>
      </w:tr>
      <w:tr w:rsidR="006F587A" w14:paraId="4ACE3758" w14:textId="77777777">
        <w:trPr>
          <w:tblCellSpacing w:w="0" w:type="dxa"/>
        </w:trPr>
        <w:tc>
          <w:tcPr>
            <w:tcW w:w="0" w:type="auto"/>
            <w:shd w:val="clear" w:color="auto" w:fill="auto"/>
          </w:tcPr>
          <w:p w14:paraId="4ACE3756"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757"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our failure to realize a satisfactory return on our investment, potentially resulting in an impairment of goodwill and other assets, and </w:t>
            </w:r>
            <w:r>
              <w:rPr>
                <w:rFonts w:ascii="Arial" w:eastAsia="宋体" w:hAnsi="Arial" w:cs="Arial"/>
                <w:color w:val="333333"/>
                <w:sz w:val="18"/>
                <w:szCs w:val="18"/>
              </w:rPr>
              <w:t>restructuring charges;</w:t>
            </w:r>
          </w:p>
        </w:tc>
      </w:tr>
    </w:tbl>
    <w:p w14:paraId="4ACE3759"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6F587A" w14:paraId="4ACE375C" w14:textId="77777777">
        <w:trPr>
          <w:tblCellSpacing w:w="0" w:type="dxa"/>
        </w:trPr>
        <w:tc>
          <w:tcPr>
            <w:tcW w:w="480" w:type="dxa"/>
            <w:shd w:val="clear" w:color="auto" w:fill="auto"/>
            <w:vAlign w:val="center"/>
          </w:tcPr>
          <w:p w14:paraId="4ACE375A" w14:textId="77777777" w:rsidR="006F587A" w:rsidRDefault="006F587A">
            <w:pPr>
              <w:rPr>
                <w:rFonts w:ascii="Times New Roman" w:hAnsi="Times New Roman"/>
                <w:sz w:val="20"/>
                <w:szCs w:val="20"/>
              </w:rPr>
            </w:pPr>
          </w:p>
        </w:tc>
        <w:tc>
          <w:tcPr>
            <w:tcW w:w="0" w:type="auto"/>
            <w:shd w:val="clear" w:color="auto" w:fill="auto"/>
            <w:vAlign w:val="center"/>
          </w:tcPr>
          <w:p w14:paraId="4ACE375B" w14:textId="77777777" w:rsidR="006F587A" w:rsidRDefault="006F587A">
            <w:pPr>
              <w:rPr>
                <w:rFonts w:ascii="Times New Roman" w:hAnsi="Times New Roman"/>
                <w:sz w:val="20"/>
                <w:szCs w:val="20"/>
              </w:rPr>
            </w:pPr>
          </w:p>
        </w:tc>
      </w:tr>
      <w:tr w:rsidR="006F587A" w14:paraId="4ACE375F" w14:textId="77777777">
        <w:trPr>
          <w:tblCellSpacing w:w="0" w:type="dxa"/>
        </w:trPr>
        <w:tc>
          <w:tcPr>
            <w:tcW w:w="0" w:type="auto"/>
            <w:shd w:val="clear" w:color="auto" w:fill="auto"/>
          </w:tcPr>
          <w:p w14:paraId="4ACE375D"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75E"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our inability to effectively enter new market segments through our strategic transactions or retain customers and partners of acquired businesses;</w:t>
            </w:r>
          </w:p>
        </w:tc>
      </w:tr>
    </w:tbl>
    <w:p w14:paraId="4ACE3760"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6F587A" w14:paraId="4ACE3763" w14:textId="77777777">
        <w:trPr>
          <w:tblCellSpacing w:w="0" w:type="dxa"/>
        </w:trPr>
        <w:tc>
          <w:tcPr>
            <w:tcW w:w="480" w:type="dxa"/>
            <w:shd w:val="clear" w:color="auto" w:fill="auto"/>
            <w:vAlign w:val="center"/>
          </w:tcPr>
          <w:p w14:paraId="4ACE3761" w14:textId="77777777" w:rsidR="006F587A" w:rsidRDefault="006F587A">
            <w:pPr>
              <w:rPr>
                <w:rFonts w:ascii="Times New Roman" w:hAnsi="Times New Roman"/>
                <w:sz w:val="20"/>
                <w:szCs w:val="20"/>
              </w:rPr>
            </w:pPr>
          </w:p>
        </w:tc>
        <w:tc>
          <w:tcPr>
            <w:tcW w:w="0" w:type="auto"/>
            <w:shd w:val="clear" w:color="auto" w:fill="auto"/>
            <w:vAlign w:val="center"/>
          </w:tcPr>
          <w:p w14:paraId="4ACE3762" w14:textId="77777777" w:rsidR="006F587A" w:rsidRDefault="006F587A">
            <w:pPr>
              <w:rPr>
                <w:rFonts w:ascii="Times New Roman" w:hAnsi="Times New Roman"/>
                <w:sz w:val="20"/>
                <w:szCs w:val="20"/>
              </w:rPr>
            </w:pPr>
          </w:p>
        </w:tc>
      </w:tr>
      <w:tr w:rsidR="006F587A" w14:paraId="4ACE3766" w14:textId="77777777">
        <w:trPr>
          <w:tblCellSpacing w:w="0" w:type="dxa"/>
        </w:trPr>
        <w:tc>
          <w:tcPr>
            <w:tcW w:w="0" w:type="auto"/>
            <w:shd w:val="clear" w:color="auto" w:fill="auto"/>
          </w:tcPr>
          <w:p w14:paraId="4ACE3764"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765"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our inability to retain key personnel of acquired businesses or our </w:t>
            </w:r>
            <w:r>
              <w:rPr>
                <w:rFonts w:ascii="Arial" w:eastAsia="宋体" w:hAnsi="Arial" w:cs="Arial"/>
                <w:color w:val="333333"/>
                <w:sz w:val="18"/>
                <w:szCs w:val="18"/>
              </w:rPr>
              <w:t>difficulty in integrating employees, business systems, and technology;</w:t>
            </w:r>
          </w:p>
        </w:tc>
      </w:tr>
    </w:tbl>
    <w:p w14:paraId="4ACE3767"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6F587A" w14:paraId="4ACE376A" w14:textId="77777777">
        <w:trPr>
          <w:tblCellSpacing w:w="0" w:type="dxa"/>
        </w:trPr>
        <w:tc>
          <w:tcPr>
            <w:tcW w:w="480" w:type="dxa"/>
            <w:shd w:val="clear" w:color="auto" w:fill="auto"/>
            <w:vAlign w:val="center"/>
          </w:tcPr>
          <w:p w14:paraId="4ACE3768" w14:textId="77777777" w:rsidR="006F587A" w:rsidRDefault="006F587A">
            <w:pPr>
              <w:rPr>
                <w:rFonts w:ascii="Times New Roman" w:hAnsi="Times New Roman"/>
                <w:sz w:val="20"/>
                <w:szCs w:val="20"/>
              </w:rPr>
            </w:pPr>
          </w:p>
        </w:tc>
        <w:tc>
          <w:tcPr>
            <w:tcW w:w="0" w:type="auto"/>
            <w:shd w:val="clear" w:color="auto" w:fill="auto"/>
            <w:vAlign w:val="center"/>
          </w:tcPr>
          <w:p w14:paraId="4ACE3769" w14:textId="77777777" w:rsidR="006F587A" w:rsidRDefault="006F587A">
            <w:pPr>
              <w:rPr>
                <w:rFonts w:ascii="Times New Roman" w:hAnsi="Times New Roman"/>
                <w:sz w:val="20"/>
                <w:szCs w:val="20"/>
              </w:rPr>
            </w:pPr>
          </w:p>
        </w:tc>
      </w:tr>
      <w:tr w:rsidR="006F587A" w14:paraId="4ACE376D" w14:textId="77777777">
        <w:trPr>
          <w:tblCellSpacing w:w="0" w:type="dxa"/>
        </w:trPr>
        <w:tc>
          <w:tcPr>
            <w:tcW w:w="0" w:type="auto"/>
            <w:shd w:val="clear" w:color="auto" w:fill="auto"/>
          </w:tcPr>
          <w:p w14:paraId="4ACE376B"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76C"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controls, processes, and procedures of acquired businesses that do not adequately ensure compliance with laws and regulations, and our failure to identify compliance issues or </w:t>
            </w:r>
            <w:r>
              <w:rPr>
                <w:rFonts w:ascii="Arial" w:eastAsia="宋体" w:hAnsi="Arial" w:cs="Arial"/>
                <w:color w:val="333333"/>
                <w:sz w:val="18"/>
                <w:szCs w:val="18"/>
              </w:rPr>
              <w:t>liabilities;</w:t>
            </w:r>
          </w:p>
        </w:tc>
      </w:tr>
    </w:tbl>
    <w:p w14:paraId="4ACE376E"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6F587A" w14:paraId="4ACE3771" w14:textId="77777777">
        <w:trPr>
          <w:tblCellSpacing w:w="0" w:type="dxa"/>
        </w:trPr>
        <w:tc>
          <w:tcPr>
            <w:tcW w:w="480" w:type="dxa"/>
            <w:shd w:val="clear" w:color="auto" w:fill="auto"/>
            <w:vAlign w:val="center"/>
          </w:tcPr>
          <w:p w14:paraId="4ACE376F" w14:textId="77777777" w:rsidR="006F587A" w:rsidRDefault="006F587A">
            <w:pPr>
              <w:rPr>
                <w:rFonts w:ascii="Times New Roman" w:hAnsi="Times New Roman"/>
                <w:sz w:val="20"/>
                <w:szCs w:val="20"/>
              </w:rPr>
            </w:pPr>
          </w:p>
        </w:tc>
        <w:tc>
          <w:tcPr>
            <w:tcW w:w="0" w:type="auto"/>
            <w:shd w:val="clear" w:color="auto" w:fill="auto"/>
            <w:vAlign w:val="center"/>
          </w:tcPr>
          <w:p w14:paraId="4ACE3770" w14:textId="77777777" w:rsidR="006F587A" w:rsidRDefault="006F587A">
            <w:pPr>
              <w:rPr>
                <w:rFonts w:ascii="Times New Roman" w:hAnsi="Times New Roman"/>
                <w:sz w:val="20"/>
                <w:szCs w:val="20"/>
              </w:rPr>
            </w:pPr>
          </w:p>
        </w:tc>
      </w:tr>
      <w:tr w:rsidR="006F587A" w14:paraId="4ACE3774" w14:textId="77777777">
        <w:trPr>
          <w:tblCellSpacing w:w="0" w:type="dxa"/>
        </w:trPr>
        <w:tc>
          <w:tcPr>
            <w:tcW w:w="0" w:type="auto"/>
            <w:shd w:val="clear" w:color="auto" w:fill="auto"/>
          </w:tcPr>
          <w:p w14:paraId="4ACE3772"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773"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our failure to identify, or our underestimation of, commitments, liabilities, and other risks associated </w:t>
            </w:r>
            <w:r>
              <w:rPr>
                <w:rFonts w:ascii="Arial" w:eastAsia="宋体" w:hAnsi="Arial" w:cs="Arial"/>
                <w:color w:val="333333"/>
                <w:sz w:val="18"/>
                <w:szCs w:val="18"/>
              </w:rPr>
              <w:lastRenderedPageBreak/>
              <w:t>with acquired businesses or assets; and</w:t>
            </w:r>
          </w:p>
        </w:tc>
      </w:tr>
    </w:tbl>
    <w:p w14:paraId="4ACE3775" w14:textId="77777777" w:rsidR="006F587A" w:rsidRDefault="006F587A">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480"/>
        <w:gridCol w:w="7826"/>
      </w:tblGrid>
      <w:tr w:rsidR="006F587A" w14:paraId="4ACE3778" w14:textId="77777777">
        <w:trPr>
          <w:tblCellSpacing w:w="0" w:type="dxa"/>
        </w:trPr>
        <w:tc>
          <w:tcPr>
            <w:tcW w:w="480" w:type="dxa"/>
            <w:shd w:val="clear" w:color="auto" w:fill="auto"/>
            <w:vAlign w:val="center"/>
          </w:tcPr>
          <w:p w14:paraId="4ACE3776" w14:textId="77777777" w:rsidR="006F587A" w:rsidRDefault="006F587A">
            <w:pPr>
              <w:rPr>
                <w:rFonts w:ascii="Times New Roman" w:hAnsi="Times New Roman"/>
                <w:sz w:val="20"/>
                <w:szCs w:val="20"/>
              </w:rPr>
            </w:pPr>
          </w:p>
        </w:tc>
        <w:tc>
          <w:tcPr>
            <w:tcW w:w="0" w:type="auto"/>
            <w:shd w:val="clear" w:color="auto" w:fill="auto"/>
            <w:vAlign w:val="center"/>
          </w:tcPr>
          <w:p w14:paraId="4ACE3777" w14:textId="77777777" w:rsidR="006F587A" w:rsidRDefault="006F587A">
            <w:pPr>
              <w:rPr>
                <w:rFonts w:ascii="Times New Roman" w:hAnsi="Times New Roman"/>
                <w:sz w:val="20"/>
                <w:szCs w:val="20"/>
              </w:rPr>
            </w:pPr>
          </w:p>
        </w:tc>
      </w:tr>
      <w:tr w:rsidR="006F587A" w14:paraId="4ACE377B" w14:textId="77777777">
        <w:trPr>
          <w:tblCellSpacing w:w="0" w:type="dxa"/>
        </w:trPr>
        <w:tc>
          <w:tcPr>
            <w:tcW w:w="0" w:type="auto"/>
            <w:shd w:val="clear" w:color="auto" w:fill="auto"/>
          </w:tcPr>
          <w:p w14:paraId="4ACE3779"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77A"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the potential for our acquisitions to result in dilutive issuances of our </w:t>
            </w:r>
            <w:r>
              <w:rPr>
                <w:rFonts w:ascii="Arial" w:eastAsia="宋体" w:hAnsi="Arial" w:cs="Arial"/>
                <w:color w:val="333333"/>
                <w:sz w:val="18"/>
                <w:szCs w:val="18"/>
              </w:rPr>
              <w:t>equity securities or significant additional debt.</w:t>
            </w:r>
          </w:p>
        </w:tc>
      </w:tr>
    </w:tbl>
    <w:p w14:paraId="4ACE377C"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Moreover, our resources are limited and our decision to pursue a transaction has opportunity costs; accordingly, if we pursue a particular transaction, we at times need to forgo the prospect of </w:t>
      </w:r>
      <w:r>
        <w:rPr>
          <w:rFonts w:ascii="Arial" w:eastAsia="宋体" w:hAnsi="Arial" w:cs="Arial"/>
          <w:color w:val="333333"/>
          <w:sz w:val="18"/>
          <w:szCs w:val="18"/>
        </w:rPr>
        <w:t xml:space="preserve">entering into other transactions that could help us achieve our financial or strategic objectives. Where an existing investment does not meet our criteria for success, we routinely evaluate opportunities for possible divestitures and other options. We may </w:t>
      </w:r>
      <w:r>
        <w:rPr>
          <w:rFonts w:ascii="Arial" w:eastAsia="宋体" w:hAnsi="Arial" w:cs="Arial"/>
          <w:color w:val="333333"/>
          <w:sz w:val="18"/>
          <w:szCs w:val="18"/>
        </w:rPr>
        <w:t>not realize the anticipated benefits of divestitures due to risks that include unfavorable prices and terms; changes in market conditions; limitations due to regulatory or governmental approvals, contractual terms, or other conditions; and continued financ</w:t>
      </w:r>
      <w:r>
        <w:rPr>
          <w:rFonts w:ascii="Arial" w:eastAsia="宋体" w:hAnsi="Arial" w:cs="Arial"/>
          <w:color w:val="333333"/>
          <w:sz w:val="18"/>
          <w:szCs w:val="18"/>
        </w:rPr>
        <w:t>ial obligations or unanticipated liabilities associated with such transactions</w:t>
      </w:r>
      <w:r>
        <w:rPr>
          <w:rFonts w:ascii="Times New Roman" w:eastAsia="宋体" w:hAnsi="Times New Roman"/>
          <w:color w:val="333333"/>
          <w:sz w:val="18"/>
          <w:szCs w:val="18"/>
        </w:rPr>
        <w:t xml:space="preserve">. </w:t>
      </w:r>
      <w:r>
        <w:rPr>
          <w:rFonts w:ascii="Arial" w:eastAsia="宋体" w:hAnsi="Arial" w:cs="Arial"/>
          <w:color w:val="333333"/>
          <w:sz w:val="18"/>
          <w:szCs w:val="18"/>
        </w:rPr>
        <w:t>In some cases, we are not able to divest investments on acceptable terms or at all</w:t>
      </w:r>
      <w:r>
        <w:rPr>
          <w:rFonts w:ascii="Times New Roman" w:eastAsia="宋体" w:hAnsi="Times New Roman"/>
          <w:color w:val="333333"/>
          <w:sz w:val="18"/>
          <w:szCs w:val="18"/>
        </w:rPr>
        <w:t>.</w:t>
      </w:r>
    </w:p>
    <w:p w14:paraId="4ACE377D"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Any of these risks could have a material adverse effect on our business, results of operatio</w:t>
      </w:r>
      <w:r>
        <w:rPr>
          <w:rFonts w:ascii="Arial" w:eastAsia="宋体" w:hAnsi="Arial" w:cs="Arial"/>
          <w:color w:val="333333"/>
          <w:sz w:val="18"/>
          <w:szCs w:val="18"/>
        </w:rPr>
        <w:t>ns, financial condition, or cash flows, particularly in the case of a large acquisition or several concurrent acquisitions.</w:t>
      </w:r>
    </w:p>
    <w:p w14:paraId="4ACE377E" w14:textId="77777777" w:rsidR="006F587A" w:rsidRDefault="007B2B61">
      <w:pPr>
        <w:spacing w:line="288" w:lineRule="auto"/>
        <w:rPr>
          <w:rFonts w:ascii="Times New Roman" w:hAnsi="Times New Roman"/>
          <w:sz w:val="18"/>
          <w:szCs w:val="18"/>
        </w:rPr>
      </w:pPr>
      <w:r>
        <w:rPr>
          <w:rFonts w:ascii="Arial" w:eastAsia="宋体" w:hAnsi="Arial" w:cs="Arial"/>
          <w:color w:val="0071C5"/>
          <w:sz w:val="18"/>
          <w:szCs w:val="18"/>
        </w:rPr>
        <w:t>We invest in public and private companies and do not always realize a return on our investments.</w:t>
      </w:r>
      <w:r>
        <w:rPr>
          <w:rFonts w:ascii="Arial" w:eastAsia="宋体" w:hAnsi="Arial" w:cs="Arial"/>
          <w:b/>
          <w:bCs/>
          <w:color w:val="333333"/>
          <w:sz w:val="18"/>
          <w:szCs w:val="18"/>
        </w:rPr>
        <w:t xml:space="preserve"> </w:t>
      </w:r>
      <w:r>
        <w:rPr>
          <w:rFonts w:ascii="Arial" w:eastAsia="宋体" w:hAnsi="Arial" w:cs="Arial"/>
          <w:color w:val="333333"/>
          <w:sz w:val="18"/>
          <w:szCs w:val="18"/>
        </w:rPr>
        <w:t xml:space="preserve">We make investments in public </w:t>
      </w:r>
      <w:r>
        <w:rPr>
          <w:rFonts w:ascii="Arial" w:eastAsia="宋体" w:hAnsi="Arial" w:cs="Arial"/>
          <w:color w:val="333333"/>
          <w:sz w:val="18"/>
          <w:szCs w:val="18"/>
        </w:rPr>
        <w:t>and private companies around the world to further our strategic and financial objectives and to support certain key business initiatives. Companies in which we invest range from early-stage companies still defining their strategic direction to mature compa</w:t>
      </w:r>
      <w:r>
        <w:rPr>
          <w:rFonts w:ascii="Arial" w:eastAsia="宋体" w:hAnsi="Arial" w:cs="Arial"/>
          <w:color w:val="333333"/>
          <w:sz w:val="18"/>
          <w:szCs w:val="18"/>
        </w:rPr>
        <w:t xml:space="preserve">nies with established revenue streams and business models. Many of the instruments in which we invest are non-marketable and illiquid at the time of our initial investment, and we are not always able to achieve a return in a timely fashion, if at all. Our </w:t>
      </w:r>
      <w:r>
        <w:rPr>
          <w:rFonts w:ascii="Arial" w:eastAsia="宋体" w:hAnsi="Arial" w:cs="Arial"/>
          <w:color w:val="333333"/>
          <w:sz w:val="18"/>
          <w:szCs w:val="18"/>
        </w:rPr>
        <w:t>ability to realize a return on our investment in a private company, if any, is typically dependent on the company participating in a liquidity event, such as a public offering or acquisition. To the extent our investments are in marketable equity securitie</w:t>
      </w:r>
      <w:r>
        <w:rPr>
          <w:rFonts w:ascii="Arial" w:eastAsia="宋体" w:hAnsi="Arial" w:cs="Arial"/>
          <w:color w:val="333333"/>
          <w:sz w:val="18"/>
          <w:szCs w:val="18"/>
        </w:rPr>
        <w:t>s, as is typically the case for our public company investments, fluctuations in the fair value of those securities are recognized as gains or losses in our income statement, and consequently, declines in the fair value of these investments can reduce our n</w:t>
      </w:r>
      <w:r>
        <w:rPr>
          <w:rFonts w:ascii="Arial" w:eastAsia="宋体" w:hAnsi="Arial" w:cs="Arial"/>
          <w:color w:val="333333"/>
          <w:sz w:val="18"/>
          <w:szCs w:val="18"/>
        </w:rPr>
        <w:t>et income. To the extent any of the companies in which we invest are not successful, which can include failures to achieve business objectives as well as bankruptcy, we could recognize an impairment and/or lose all or part of our investment.</w:t>
      </w:r>
    </w:p>
    <w:p w14:paraId="4ACE377F" w14:textId="77777777" w:rsidR="006F587A" w:rsidRDefault="007B2B61">
      <w:pPr>
        <w:spacing w:line="288" w:lineRule="auto"/>
        <w:rPr>
          <w:rFonts w:ascii="Times New Roman" w:hAnsi="Times New Roman"/>
        </w:rPr>
      </w:pPr>
      <w:r>
        <w:rPr>
          <w:rFonts w:ascii="Arial" w:eastAsia="宋体" w:hAnsi="Arial" w:cs="Arial"/>
          <w:b/>
          <w:bCs/>
          <w:color w:val="0071C5"/>
        </w:rPr>
        <w:t>WE ARE SUBJECT</w:t>
      </w:r>
      <w:r>
        <w:rPr>
          <w:rFonts w:ascii="Arial" w:eastAsia="宋体" w:hAnsi="Arial" w:cs="Arial"/>
          <w:b/>
          <w:bCs/>
          <w:color w:val="0071C5"/>
        </w:rPr>
        <w:t xml:space="preserve"> TO SALES-RELATED RISKS.</w:t>
      </w:r>
    </w:p>
    <w:p w14:paraId="4ACE3780" w14:textId="77777777" w:rsidR="006F587A" w:rsidRDefault="007B2B61">
      <w:pPr>
        <w:spacing w:line="288" w:lineRule="auto"/>
        <w:rPr>
          <w:rFonts w:ascii="Times New Roman" w:hAnsi="Times New Roman"/>
          <w:sz w:val="18"/>
          <w:szCs w:val="18"/>
        </w:rPr>
      </w:pPr>
      <w:r>
        <w:rPr>
          <w:rFonts w:ascii="Arial" w:eastAsia="宋体" w:hAnsi="Arial" w:cs="Arial"/>
          <w:color w:val="006EBF"/>
          <w:sz w:val="18"/>
          <w:szCs w:val="18"/>
        </w:rPr>
        <w:t>We face risks related to sales through distributors and other third parties.</w:t>
      </w:r>
      <w:r>
        <w:rPr>
          <w:rFonts w:ascii="Arial" w:eastAsia="宋体" w:hAnsi="Arial" w:cs="Arial"/>
          <w:color w:val="333333"/>
          <w:sz w:val="18"/>
          <w:szCs w:val="18"/>
        </w:rPr>
        <w:t xml:space="preserve"> We sell a significant portion of our products through third parties such as distributors, value-added resellers, and channel partners (collectively referr</w:t>
      </w:r>
      <w:r>
        <w:rPr>
          <w:rFonts w:ascii="Arial" w:eastAsia="宋体" w:hAnsi="Arial" w:cs="Arial"/>
          <w:color w:val="333333"/>
          <w:sz w:val="18"/>
          <w:szCs w:val="18"/>
        </w:rPr>
        <w:t>ed to as distributors), as well as OEMs and ODMs. We depend on many distributors to help us create end-customer demand, provide technical support and other value-added services to customers, fill customer orders, and stock our products. At times, we rely o</w:t>
      </w:r>
      <w:r>
        <w:rPr>
          <w:rFonts w:ascii="Arial" w:eastAsia="宋体" w:hAnsi="Arial" w:cs="Arial"/>
          <w:color w:val="333333"/>
          <w:sz w:val="18"/>
          <w:szCs w:val="18"/>
        </w:rPr>
        <w:t>n one or more key distributors for a product, and a material change in our relationship with one or more of these distributors or their failure to perform as expected could reduce our revenue. Our ability to add or replace distributors for some of our prod</w:t>
      </w:r>
      <w:r>
        <w:rPr>
          <w:rFonts w:ascii="Arial" w:eastAsia="宋体" w:hAnsi="Arial" w:cs="Arial"/>
          <w:color w:val="333333"/>
          <w:sz w:val="18"/>
          <w:szCs w:val="18"/>
        </w:rPr>
        <w:t>ucts is limited. In addition, our distributors' expertise in the determination and stocking of acceptable inventory levels for some of our products is not always easily transferable to a new distributor; as a result, end customers may be hesitant to accept</w:t>
      </w:r>
      <w:r>
        <w:rPr>
          <w:rFonts w:ascii="Arial" w:eastAsia="宋体" w:hAnsi="Arial" w:cs="Arial"/>
          <w:color w:val="333333"/>
          <w:sz w:val="18"/>
          <w:szCs w:val="18"/>
        </w:rPr>
        <w:t xml:space="preserve"> the addition or replacement of a distributor. Using third parties for distribution exposes us to many risks, including competitive pressure and concentration, credit, and compliance risks. Distributors and other third parties sell products that compete wi</w:t>
      </w:r>
      <w:r>
        <w:rPr>
          <w:rFonts w:ascii="Arial" w:eastAsia="宋体" w:hAnsi="Arial" w:cs="Arial"/>
          <w:color w:val="333333"/>
          <w:sz w:val="18"/>
          <w:szCs w:val="18"/>
        </w:rPr>
        <w:t>th our products, and we sometimes need to provide financial and other incentives to focus them on the sale of our products. From time to time, they face financial difficulties, including bankruptcy, which could harm our collection of accounts receivable an</w:t>
      </w:r>
      <w:r>
        <w:rPr>
          <w:rFonts w:ascii="Arial" w:eastAsia="宋体" w:hAnsi="Arial" w:cs="Arial"/>
          <w:color w:val="333333"/>
          <w:sz w:val="18"/>
          <w:szCs w:val="18"/>
        </w:rPr>
        <w:t>d financial results. Violations of the Foreign Corrupt Practices Act or similar laws by distributors or other third-party intermediaries could have a material impact on our business. Failure to manage risks related to our use of distributors and other thir</w:t>
      </w:r>
      <w:r>
        <w:rPr>
          <w:rFonts w:ascii="Arial" w:eastAsia="宋体" w:hAnsi="Arial" w:cs="Arial"/>
          <w:color w:val="333333"/>
          <w:sz w:val="18"/>
          <w:szCs w:val="18"/>
        </w:rPr>
        <w:t>d parties may reduce sales, increase expenses, and weaken our competitive position.</w:t>
      </w:r>
    </w:p>
    <w:p w14:paraId="4ACE3781"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243"/>
        <w:gridCol w:w="2658"/>
        <w:gridCol w:w="3405"/>
      </w:tblGrid>
      <w:tr w:rsidR="006F587A" w14:paraId="4ACE3783" w14:textId="77777777">
        <w:tc>
          <w:tcPr>
            <w:tcW w:w="0" w:type="auto"/>
            <w:gridSpan w:val="3"/>
            <w:shd w:val="clear" w:color="auto" w:fill="auto"/>
            <w:vAlign w:val="center"/>
          </w:tcPr>
          <w:p w14:paraId="4ACE3782" w14:textId="77777777" w:rsidR="006F587A" w:rsidRDefault="006F587A">
            <w:pPr>
              <w:rPr>
                <w:rFonts w:ascii="Times New Roman" w:hAnsi="Times New Roman"/>
                <w:sz w:val="20"/>
                <w:szCs w:val="20"/>
              </w:rPr>
            </w:pPr>
          </w:p>
        </w:tc>
      </w:tr>
      <w:tr w:rsidR="006F587A" w14:paraId="4ACE3787" w14:textId="77777777">
        <w:tc>
          <w:tcPr>
            <w:tcW w:w="1350" w:type="pct"/>
            <w:shd w:val="clear" w:color="auto" w:fill="auto"/>
            <w:vAlign w:val="center"/>
          </w:tcPr>
          <w:p w14:paraId="4ACE3784" w14:textId="77777777" w:rsidR="006F587A" w:rsidRDefault="006F587A">
            <w:pPr>
              <w:rPr>
                <w:rFonts w:ascii="Times New Roman" w:hAnsi="Times New Roman"/>
                <w:sz w:val="20"/>
                <w:szCs w:val="20"/>
              </w:rPr>
            </w:pPr>
          </w:p>
        </w:tc>
        <w:tc>
          <w:tcPr>
            <w:tcW w:w="1600" w:type="pct"/>
            <w:shd w:val="clear" w:color="auto" w:fill="auto"/>
            <w:vAlign w:val="center"/>
          </w:tcPr>
          <w:p w14:paraId="4ACE3785" w14:textId="77777777" w:rsidR="006F587A" w:rsidRDefault="006F587A">
            <w:pPr>
              <w:rPr>
                <w:rFonts w:ascii="Times New Roman" w:hAnsi="Times New Roman"/>
                <w:sz w:val="20"/>
                <w:szCs w:val="20"/>
              </w:rPr>
            </w:pPr>
          </w:p>
        </w:tc>
        <w:tc>
          <w:tcPr>
            <w:tcW w:w="2050" w:type="pct"/>
            <w:shd w:val="clear" w:color="auto" w:fill="auto"/>
            <w:vAlign w:val="center"/>
          </w:tcPr>
          <w:p w14:paraId="4ACE3786" w14:textId="77777777" w:rsidR="006F587A" w:rsidRDefault="006F587A">
            <w:pPr>
              <w:rPr>
                <w:rFonts w:ascii="Times New Roman" w:hAnsi="Times New Roman"/>
                <w:sz w:val="20"/>
                <w:szCs w:val="20"/>
              </w:rPr>
            </w:pPr>
          </w:p>
        </w:tc>
      </w:tr>
      <w:tr w:rsidR="006F587A" w14:paraId="4ACE378B"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3788" w14:textId="77777777" w:rsidR="006F587A" w:rsidRDefault="007B2B61">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97" wp14:editId="4ACE6D98">
                  <wp:extent cx="304800" cy="304800"/>
                  <wp:effectExtent l="0" t="0" r="0" b="0"/>
                  <wp:docPr id="161" name="图片 255"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255"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xml:space="preserve">  OTHER KEY </w:t>
            </w:r>
            <w:r>
              <w:rPr>
                <w:rFonts w:ascii="Arial" w:eastAsia="宋体" w:hAnsi="Arial" w:cs="Arial"/>
                <w:color w:val="333333"/>
                <w:sz w:val="16"/>
                <w:szCs w:val="16"/>
              </w:rPr>
              <w:lastRenderedPageBreak/>
              <w:t>INFORMATION</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78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lastRenderedPageBreak/>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78A"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59</w:t>
            </w:r>
          </w:p>
        </w:tc>
      </w:tr>
    </w:tbl>
    <w:p w14:paraId="4ACE378C" w14:textId="77777777" w:rsidR="006F587A" w:rsidRDefault="007B2B61">
      <w:r>
        <w:pict w14:anchorId="4ACE6D99">
          <v:rect id="_x0000_i1085" style="width:415.3pt;height:1.5pt" o:hralign="center" o:hrstd="t" o:hr="t" fillcolor="#a0a0a0" stroked="f"/>
        </w:pict>
      </w:r>
    </w:p>
    <w:p w14:paraId="4ACE378D" w14:textId="77777777" w:rsidR="006F587A" w:rsidRDefault="007B2B61">
      <w:pPr>
        <w:spacing w:line="288" w:lineRule="auto"/>
        <w:jc w:val="right"/>
        <w:rPr>
          <w:rFonts w:ascii="Times New Roman" w:hAnsi="Times New Roman"/>
          <w:sz w:val="16"/>
          <w:szCs w:val="16"/>
        </w:rPr>
      </w:pPr>
      <w:hyperlink r:id="rId92" w:anchor="s9DB683E2CF52561EB8A73BE37F5BF9BE" w:history="1">
        <w:r>
          <w:rPr>
            <w:rStyle w:val="a5"/>
            <w:rFonts w:ascii="Arial" w:eastAsia="宋体" w:hAnsi="Arial" w:cs="Arial"/>
            <w:b/>
            <w:bCs/>
            <w:sz w:val="16"/>
            <w:szCs w:val="16"/>
          </w:rPr>
          <w:t>Table of Contents</w:t>
        </w:r>
      </w:hyperlink>
    </w:p>
    <w:p w14:paraId="4ACE378E" w14:textId="77777777" w:rsidR="006F587A" w:rsidRDefault="006F587A">
      <w:pPr>
        <w:spacing w:line="288" w:lineRule="auto"/>
        <w:jc w:val="right"/>
        <w:rPr>
          <w:rFonts w:ascii="Times New Roman" w:hAnsi="Times New Roman"/>
          <w:sz w:val="16"/>
          <w:szCs w:val="16"/>
        </w:rPr>
      </w:pPr>
    </w:p>
    <w:p w14:paraId="4ACE378F" w14:textId="77777777" w:rsidR="006F587A" w:rsidRDefault="006F587A">
      <w:pPr>
        <w:rPr>
          <w:rFonts w:ascii="Times New Roman" w:hAnsi="Times New Roman"/>
          <w:sz w:val="20"/>
          <w:szCs w:val="20"/>
        </w:rPr>
      </w:pPr>
    </w:p>
    <w:p w14:paraId="4ACE3790"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From time to time, our products are resold by third parties in an </w:t>
      </w:r>
      <w:r>
        <w:rPr>
          <w:rFonts w:ascii="Arial" w:eastAsia="宋体" w:hAnsi="Arial" w:cs="Arial"/>
          <w:color w:val="333333"/>
          <w:sz w:val="18"/>
          <w:szCs w:val="18"/>
        </w:rPr>
        <w:t xml:space="preserve">unauthorized “gray market.” Gray market products can distort demand and pricing dynamics in our distribution channel and certain geographies, which could adversely affect our revenue opportunities. Gray market activity is difficult to monitor and can make </w:t>
      </w:r>
      <w:r>
        <w:rPr>
          <w:rFonts w:ascii="Arial" w:eastAsia="宋体" w:hAnsi="Arial" w:cs="Arial"/>
          <w:color w:val="333333"/>
          <w:sz w:val="18"/>
          <w:szCs w:val="18"/>
        </w:rPr>
        <w:t>forecasting demand more challenging. Gray market products also sometimes include parts that have been altered or damaged, and our reputation may be harmed when these products fail or are found to be substandard.</w:t>
      </w:r>
    </w:p>
    <w:p w14:paraId="4ACE3791" w14:textId="77777777" w:rsidR="006F587A" w:rsidRDefault="007B2B61">
      <w:pPr>
        <w:spacing w:line="288" w:lineRule="auto"/>
        <w:rPr>
          <w:rFonts w:ascii="Times New Roman" w:hAnsi="Times New Roman"/>
          <w:sz w:val="18"/>
          <w:szCs w:val="18"/>
        </w:rPr>
      </w:pPr>
      <w:r>
        <w:rPr>
          <w:rFonts w:ascii="Arial" w:eastAsia="宋体" w:hAnsi="Arial" w:cs="Arial"/>
          <w:color w:val="0071C5"/>
          <w:sz w:val="18"/>
          <w:szCs w:val="18"/>
        </w:rPr>
        <w:t>We receive a significant portion of our reve</w:t>
      </w:r>
      <w:r>
        <w:rPr>
          <w:rFonts w:ascii="Arial" w:eastAsia="宋体" w:hAnsi="Arial" w:cs="Arial"/>
          <w:color w:val="0071C5"/>
          <w:sz w:val="18"/>
          <w:szCs w:val="18"/>
        </w:rPr>
        <w:t>nue from a limited number of customers.</w:t>
      </w:r>
      <w:r>
        <w:rPr>
          <w:rFonts w:ascii="Arial" w:eastAsia="宋体" w:hAnsi="Arial" w:cs="Arial"/>
          <w:color w:val="333333"/>
          <w:sz w:val="18"/>
          <w:szCs w:val="18"/>
        </w:rPr>
        <w:t xml:space="preserve"> Collectively, our three largest customers accounted for approximately 41% of our net revenue in 2019 and 39% of our net revenue in 2018. We expect a small number of customers will continue to account for a significant portion of our revenue in the foresee</w:t>
      </w:r>
      <w:r>
        <w:rPr>
          <w:rFonts w:ascii="Arial" w:eastAsia="宋体" w:hAnsi="Arial" w:cs="Arial"/>
          <w:color w:val="333333"/>
          <w:sz w:val="18"/>
          <w:szCs w:val="18"/>
        </w:rPr>
        <w:t>able future. Industry trends, such as the increasing shift of data center workloads to the public cloud, have increased the significance of certain customers, particularly cloud service providers, to some of our data-centric businesses. The cloud and cloud</w:t>
      </w:r>
      <w:r>
        <w:rPr>
          <w:rFonts w:ascii="Arial" w:eastAsia="宋体" w:hAnsi="Arial" w:cs="Arial"/>
          <w:color w:val="333333"/>
          <w:sz w:val="18"/>
          <w:szCs w:val="18"/>
        </w:rPr>
        <w:t xml:space="preserve"> applications represent a new and increasingly demanding computing environment. The further consolidation of computing workloads in the cloud, and consolidation among cloud service providers, can heighten the competitive importance of factors such as colla</w:t>
      </w:r>
      <w:r>
        <w:rPr>
          <w:rFonts w:ascii="Arial" w:eastAsia="宋体" w:hAnsi="Arial" w:cs="Arial"/>
          <w:color w:val="333333"/>
          <w:sz w:val="18"/>
          <w:szCs w:val="18"/>
        </w:rPr>
        <w:t>boration and customization with cloud service provider customers to optimize products for their environments; product performance; energy efficiency; feature differentiation; product quality, reliability, and factors affecting server uptime; and product se</w:t>
      </w:r>
      <w:r>
        <w:rPr>
          <w:rFonts w:ascii="Arial" w:eastAsia="宋体" w:hAnsi="Arial" w:cs="Arial"/>
          <w:color w:val="333333"/>
          <w:sz w:val="18"/>
          <w:szCs w:val="18"/>
        </w:rPr>
        <w:t>curity and security features. To the extent we do not execute effectively across these factors, our competitive position and market segment share may be adversely affected. Some cloud service provider customers have also internally developed, and may conti</w:t>
      </w:r>
      <w:r>
        <w:rPr>
          <w:rFonts w:ascii="Arial" w:eastAsia="宋体" w:hAnsi="Arial" w:cs="Arial"/>
          <w:color w:val="333333"/>
          <w:sz w:val="18"/>
          <w:szCs w:val="18"/>
        </w:rPr>
        <w:t>nue to develop, their own semiconductors, including designs customized for their specific computing workloads. The shift of data center workloads to the cloud has also adversely affected, and may continue to affect, sales to enterprise and government marke</w:t>
      </w:r>
      <w:r>
        <w:rPr>
          <w:rFonts w:ascii="Arial" w:eastAsia="宋体" w:hAnsi="Arial" w:cs="Arial"/>
          <w:color w:val="333333"/>
          <w:sz w:val="18"/>
          <w:szCs w:val="18"/>
        </w:rPr>
        <w:t xml:space="preserve">t segment customers when end users have elected to migrate workloads. To the extent we differentiate our products through customization to meet customer specifications, order changes, delays, or cancellations may result in non-recoverable costs. </w:t>
      </w:r>
    </w:p>
    <w:p w14:paraId="4ACE3792"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If one of</w:t>
      </w:r>
      <w:r>
        <w:rPr>
          <w:rFonts w:ascii="Arial" w:eastAsia="宋体" w:hAnsi="Arial" w:cs="Arial"/>
          <w:color w:val="333333"/>
          <w:sz w:val="18"/>
          <w:szCs w:val="18"/>
        </w:rPr>
        <w:t xml:space="preserve"> our key customers stops purchasing from us, materially reduces its demand for our products, or delays its orders for our products, we may experience a reduction in revenue, which could harm our results of operations and financial condition. For more infor</w:t>
      </w:r>
      <w:r>
        <w:rPr>
          <w:rFonts w:ascii="Arial" w:eastAsia="宋体" w:hAnsi="Arial" w:cs="Arial"/>
          <w:color w:val="333333"/>
          <w:sz w:val="18"/>
          <w:szCs w:val="18"/>
        </w:rPr>
        <w:t>mation about our customers, including customers who accounted for greater than 10% of our net consolidated revenue, see "Note 4: Operating Segments" within the Consolidated Financial Statements.</w:t>
      </w:r>
    </w:p>
    <w:p w14:paraId="4ACE3793" w14:textId="77777777" w:rsidR="006F587A" w:rsidRDefault="007B2B61">
      <w:pPr>
        <w:spacing w:line="288" w:lineRule="auto"/>
        <w:rPr>
          <w:rFonts w:ascii="Times New Roman" w:hAnsi="Times New Roman"/>
          <w:sz w:val="18"/>
          <w:szCs w:val="18"/>
        </w:rPr>
      </w:pPr>
      <w:r>
        <w:rPr>
          <w:rFonts w:ascii="Arial" w:eastAsia="宋体" w:hAnsi="Arial" w:cs="Arial"/>
          <w:color w:val="006EBF"/>
          <w:sz w:val="18"/>
          <w:szCs w:val="18"/>
        </w:rPr>
        <w:t>We face risks related to transactions with government entitie</w:t>
      </w:r>
      <w:r>
        <w:rPr>
          <w:rFonts w:ascii="Arial" w:eastAsia="宋体" w:hAnsi="Arial" w:cs="Arial"/>
          <w:color w:val="006EBF"/>
          <w:sz w:val="18"/>
          <w:szCs w:val="18"/>
        </w:rPr>
        <w:t>s.</w:t>
      </w:r>
      <w:r>
        <w:rPr>
          <w:rFonts w:ascii="Arial" w:eastAsia="宋体" w:hAnsi="Arial" w:cs="Arial"/>
          <w:color w:val="333333"/>
          <w:sz w:val="18"/>
          <w:szCs w:val="18"/>
        </w:rPr>
        <w:t xml:space="preserve"> We receive proceeds from U.S. federal, state, local and foreign government entities associated with grants, incentives, and sales of our products and services. Government demand and payment are often affected by public sector budgetary cycles and fundin</w:t>
      </w:r>
      <w:r>
        <w:rPr>
          <w:rFonts w:ascii="Arial" w:eastAsia="宋体" w:hAnsi="Arial" w:cs="Arial"/>
          <w:color w:val="333333"/>
          <w:sz w:val="18"/>
          <w:szCs w:val="18"/>
        </w:rPr>
        <w:t>g authorizations, including, with respect to U.S. government contracts, congressional approval of appropriations. Government contracts are subject to procurement laws and regulations relating to the award, administration and performance of those contracts,</w:t>
      </w:r>
      <w:r>
        <w:rPr>
          <w:rFonts w:ascii="Arial" w:eastAsia="宋体" w:hAnsi="Arial" w:cs="Arial"/>
          <w:color w:val="333333"/>
          <w:sz w:val="18"/>
          <w:szCs w:val="18"/>
        </w:rPr>
        <w:t xml:space="preserve"> as well as oversight and penalties for violations. For example, U.S. government contracts are subject to special rules on accounting, IP rights, expenses, reviews, information handling, and security, and failure to comply with these rules could result in </w:t>
      </w:r>
      <w:r>
        <w:rPr>
          <w:rFonts w:ascii="Arial" w:eastAsia="宋体" w:hAnsi="Arial" w:cs="Arial"/>
          <w:color w:val="333333"/>
          <w:sz w:val="18"/>
          <w:szCs w:val="18"/>
        </w:rPr>
        <w:t>civil and criminal penalties and sanctions, including termination of contracts, fines, and suspension or debarment from future business with the U.S. government.</w:t>
      </w:r>
    </w:p>
    <w:p w14:paraId="4ACE3794" w14:textId="77777777" w:rsidR="006F587A" w:rsidRDefault="007B2B61">
      <w:pPr>
        <w:spacing w:line="288" w:lineRule="auto"/>
        <w:rPr>
          <w:rFonts w:ascii="Times New Roman" w:hAnsi="Times New Roman"/>
        </w:rPr>
      </w:pPr>
      <w:r>
        <w:rPr>
          <w:rFonts w:ascii="Arial" w:eastAsia="宋体" w:hAnsi="Arial" w:cs="Arial"/>
          <w:b/>
          <w:bCs/>
          <w:color w:val="0071C5"/>
        </w:rPr>
        <w:t>CHANGES IN OUR EFFECTIVE TAX RATE MAY REDUCE OUR NET INCOME.</w:t>
      </w:r>
    </w:p>
    <w:p w14:paraId="4ACE3795"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A number of factors can increase </w:t>
      </w:r>
      <w:r>
        <w:rPr>
          <w:rFonts w:ascii="Arial" w:eastAsia="宋体" w:hAnsi="Arial" w:cs="Arial"/>
          <w:color w:val="333333"/>
          <w:sz w:val="18"/>
          <w:szCs w:val="18"/>
        </w:rPr>
        <w:t>our effective tax rates, which could reduce our net income, including:    </w:t>
      </w: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194"/>
      </w:tblGrid>
      <w:tr w:rsidR="006F587A" w14:paraId="4ACE3798" w14:textId="77777777">
        <w:trPr>
          <w:tblCellSpacing w:w="0" w:type="dxa"/>
        </w:trPr>
        <w:tc>
          <w:tcPr>
            <w:tcW w:w="480" w:type="dxa"/>
            <w:shd w:val="clear" w:color="auto" w:fill="auto"/>
            <w:vAlign w:val="center"/>
          </w:tcPr>
          <w:p w14:paraId="4ACE3796" w14:textId="77777777" w:rsidR="006F587A" w:rsidRDefault="006F587A">
            <w:pPr>
              <w:rPr>
                <w:rFonts w:ascii="Times New Roman" w:hAnsi="Times New Roman"/>
                <w:sz w:val="20"/>
                <w:szCs w:val="20"/>
              </w:rPr>
            </w:pPr>
          </w:p>
        </w:tc>
        <w:tc>
          <w:tcPr>
            <w:tcW w:w="0" w:type="auto"/>
            <w:shd w:val="clear" w:color="auto" w:fill="auto"/>
            <w:vAlign w:val="center"/>
          </w:tcPr>
          <w:p w14:paraId="4ACE3797" w14:textId="77777777" w:rsidR="006F587A" w:rsidRDefault="006F587A">
            <w:pPr>
              <w:rPr>
                <w:rFonts w:ascii="Times New Roman" w:hAnsi="Times New Roman"/>
                <w:sz w:val="20"/>
                <w:szCs w:val="20"/>
              </w:rPr>
            </w:pPr>
          </w:p>
        </w:tc>
      </w:tr>
      <w:tr w:rsidR="006F587A" w14:paraId="4ACE379B" w14:textId="77777777">
        <w:trPr>
          <w:tblCellSpacing w:w="0" w:type="dxa"/>
        </w:trPr>
        <w:tc>
          <w:tcPr>
            <w:tcW w:w="0" w:type="auto"/>
            <w:shd w:val="clear" w:color="auto" w:fill="auto"/>
          </w:tcPr>
          <w:p w14:paraId="4ACE3799"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79A"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changes in the volume and mix of profits earned across jurisdictions with varying tax rates;</w:t>
            </w:r>
          </w:p>
        </w:tc>
      </w:tr>
    </w:tbl>
    <w:p w14:paraId="4ACE379C"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214"/>
      </w:tblGrid>
      <w:tr w:rsidR="006F587A" w14:paraId="4ACE379F" w14:textId="77777777">
        <w:trPr>
          <w:tblCellSpacing w:w="0" w:type="dxa"/>
        </w:trPr>
        <w:tc>
          <w:tcPr>
            <w:tcW w:w="480" w:type="dxa"/>
            <w:shd w:val="clear" w:color="auto" w:fill="auto"/>
            <w:vAlign w:val="center"/>
          </w:tcPr>
          <w:p w14:paraId="4ACE379D" w14:textId="77777777" w:rsidR="006F587A" w:rsidRDefault="006F587A">
            <w:pPr>
              <w:rPr>
                <w:rFonts w:ascii="Times New Roman" w:hAnsi="Times New Roman"/>
                <w:sz w:val="20"/>
                <w:szCs w:val="20"/>
              </w:rPr>
            </w:pPr>
          </w:p>
        </w:tc>
        <w:tc>
          <w:tcPr>
            <w:tcW w:w="0" w:type="auto"/>
            <w:shd w:val="clear" w:color="auto" w:fill="auto"/>
            <w:vAlign w:val="center"/>
          </w:tcPr>
          <w:p w14:paraId="4ACE379E" w14:textId="77777777" w:rsidR="006F587A" w:rsidRDefault="006F587A">
            <w:pPr>
              <w:rPr>
                <w:rFonts w:ascii="Times New Roman" w:hAnsi="Times New Roman"/>
                <w:sz w:val="20"/>
                <w:szCs w:val="20"/>
              </w:rPr>
            </w:pPr>
          </w:p>
        </w:tc>
      </w:tr>
      <w:tr w:rsidR="006F587A" w14:paraId="4ACE37A2" w14:textId="77777777">
        <w:trPr>
          <w:tblCellSpacing w:w="0" w:type="dxa"/>
        </w:trPr>
        <w:tc>
          <w:tcPr>
            <w:tcW w:w="0" w:type="auto"/>
            <w:shd w:val="clear" w:color="auto" w:fill="auto"/>
          </w:tcPr>
          <w:p w14:paraId="4ACE37A0"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7A1"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the resolution of issues arising from tax audits, including payment of </w:t>
            </w:r>
            <w:r>
              <w:rPr>
                <w:rFonts w:ascii="Arial" w:eastAsia="宋体" w:hAnsi="Arial" w:cs="Arial"/>
                <w:color w:val="333333"/>
                <w:sz w:val="18"/>
                <w:szCs w:val="18"/>
              </w:rPr>
              <w:t>interest and penalties;</w:t>
            </w:r>
          </w:p>
        </w:tc>
      </w:tr>
    </w:tbl>
    <w:p w14:paraId="4ACE37A3"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6F587A" w14:paraId="4ACE37A6" w14:textId="77777777">
        <w:trPr>
          <w:tblCellSpacing w:w="0" w:type="dxa"/>
        </w:trPr>
        <w:tc>
          <w:tcPr>
            <w:tcW w:w="480" w:type="dxa"/>
            <w:shd w:val="clear" w:color="auto" w:fill="auto"/>
            <w:vAlign w:val="center"/>
          </w:tcPr>
          <w:p w14:paraId="4ACE37A4" w14:textId="77777777" w:rsidR="006F587A" w:rsidRDefault="006F587A">
            <w:pPr>
              <w:rPr>
                <w:rFonts w:ascii="Times New Roman" w:hAnsi="Times New Roman"/>
                <w:sz w:val="20"/>
                <w:szCs w:val="20"/>
              </w:rPr>
            </w:pPr>
          </w:p>
        </w:tc>
        <w:tc>
          <w:tcPr>
            <w:tcW w:w="0" w:type="auto"/>
            <w:shd w:val="clear" w:color="auto" w:fill="auto"/>
            <w:vAlign w:val="center"/>
          </w:tcPr>
          <w:p w14:paraId="4ACE37A5" w14:textId="77777777" w:rsidR="006F587A" w:rsidRDefault="006F587A">
            <w:pPr>
              <w:rPr>
                <w:rFonts w:ascii="Times New Roman" w:hAnsi="Times New Roman"/>
                <w:sz w:val="20"/>
                <w:szCs w:val="20"/>
              </w:rPr>
            </w:pPr>
          </w:p>
        </w:tc>
      </w:tr>
      <w:tr w:rsidR="006F587A" w14:paraId="4ACE37A9" w14:textId="77777777">
        <w:trPr>
          <w:tblCellSpacing w:w="0" w:type="dxa"/>
        </w:trPr>
        <w:tc>
          <w:tcPr>
            <w:tcW w:w="0" w:type="auto"/>
            <w:shd w:val="clear" w:color="auto" w:fill="auto"/>
          </w:tcPr>
          <w:p w14:paraId="4ACE37A7"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lastRenderedPageBreak/>
              <w:t>•</w:t>
            </w:r>
          </w:p>
        </w:tc>
        <w:tc>
          <w:tcPr>
            <w:tcW w:w="0" w:type="auto"/>
            <w:shd w:val="clear" w:color="auto" w:fill="auto"/>
          </w:tcPr>
          <w:p w14:paraId="4ACE37A8"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changes in the valuation of our deferred tax assets and liabilities, and in deferred tax valuation allowances;</w:t>
            </w:r>
          </w:p>
        </w:tc>
      </w:tr>
    </w:tbl>
    <w:p w14:paraId="4ACE37AA"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4783"/>
      </w:tblGrid>
      <w:tr w:rsidR="006F587A" w14:paraId="4ACE37AD" w14:textId="77777777">
        <w:trPr>
          <w:tblCellSpacing w:w="0" w:type="dxa"/>
        </w:trPr>
        <w:tc>
          <w:tcPr>
            <w:tcW w:w="480" w:type="dxa"/>
            <w:shd w:val="clear" w:color="auto" w:fill="auto"/>
            <w:vAlign w:val="center"/>
          </w:tcPr>
          <w:p w14:paraId="4ACE37AB" w14:textId="77777777" w:rsidR="006F587A" w:rsidRDefault="006F587A">
            <w:pPr>
              <w:rPr>
                <w:rFonts w:ascii="Times New Roman" w:hAnsi="Times New Roman"/>
                <w:sz w:val="20"/>
                <w:szCs w:val="20"/>
              </w:rPr>
            </w:pPr>
          </w:p>
        </w:tc>
        <w:tc>
          <w:tcPr>
            <w:tcW w:w="0" w:type="auto"/>
            <w:shd w:val="clear" w:color="auto" w:fill="auto"/>
            <w:vAlign w:val="center"/>
          </w:tcPr>
          <w:p w14:paraId="4ACE37AC" w14:textId="77777777" w:rsidR="006F587A" w:rsidRDefault="006F587A">
            <w:pPr>
              <w:rPr>
                <w:rFonts w:ascii="Times New Roman" w:hAnsi="Times New Roman"/>
                <w:sz w:val="20"/>
                <w:szCs w:val="20"/>
              </w:rPr>
            </w:pPr>
          </w:p>
        </w:tc>
      </w:tr>
      <w:tr w:rsidR="006F587A" w14:paraId="4ACE37B0" w14:textId="77777777">
        <w:trPr>
          <w:tblCellSpacing w:w="0" w:type="dxa"/>
        </w:trPr>
        <w:tc>
          <w:tcPr>
            <w:tcW w:w="0" w:type="auto"/>
            <w:shd w:val="clear" w:color="auto" w:fill="auto"/>
          </w:tcPr>
          <w:p w14:paraId="4ACE37AE"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7AF"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adjustments to income taxes upon finalization of tax returns;</w:t>
            </w:r>
          </w:p>
        </w:tc>
      </w:tr>
    </w:tbl>
    <w:p w14:paraId="4ACE37B1"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084"/>
      </w:tblGrid>
      <w:tr w:rsidR="006F587A" w14:paraId="4ACE37B4" w14:textId="77777777">
        <w:trPr>
          <w:tblCellSpacing w:w="0" w:type="dxa"/>
        </w:trPr>
        <w:tc>
          <w:tcPr>
            <w:tcW w:w="480" w:type="dxa"/>
            <w:shd w:val="clear" w:color="auto" w:fill="auto"/>
            <w:vAlign w:val="center"/>
          </w:tcPr>
          <w:p w14:paraId="4ACE37B2" w14:textId="77777777" w:rsidR="006F587A" w:rsidRDefault="006F587A">
            <w:pPr>
              <w:rPr>
                <w:rFonts w:ascii="Times New Roman" w:hAnsi="Times New Roman"/>
                <w:sz w:val="20"/>
                <w:szCs w:val="20"/>
              </w:rPr>
            </w:pPr>
          </w:p>
        </w:tc>
        <w:tc>
          <w:tcPr>
            <w:tcW w:w="0" w:type="auto"/>
            <w:shd w:val="clear" w:color="auto" w:fill="auto"/>
            <w:vAlign w:val="center"/>
          </w:tcPr>
          <w:p w14:paraId="4ACE37B3" w14:textId="77777777" w:rsidR="006F587A" w:rsidRDefault="006F587A">
            <w:pPr>
              <w:rPr>
                <w:rFonts w:ascii="Times New Roman" w:hAnsi="Times New Roman"/>
                <w:sz w:val="20"/>
                <w:szCs w:val="20"/>
              </w:rPr>
            </w:pPr>
          </w:p>
        </w:tc>
      </w:tr>
      <w:tr w:rsidR="006F587A" w14:paraId="4ACE37B7" w14:textId="77777777">
        <w:trPr>
          <w:tblCellSpacing w:w="0" w:type="dxa"/>
        </w:trPr>
        <w:tc>
          <w:tcPr>
            <w:tcW w:w="0" w:type="auto"/>
            <w:shd w:val="clear" w:color="auto" w:fill="auto"/>
          </w:tcPr>
          <w:p w14:paraId="4ACE37B5"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7B6"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increases in expenses not </w:t>
            </w:r>
            <w:r>
              <w:rPr>
                <w:rFonts w:ascii="Arial" w:eastAsia="宋体" w:hAnsi="Arial" w:cs="Arial"/>
                <w:color w:val="333333"/>
                <w:sz w:val="18"/>
                <w:szCs w:val="18"/>
              </w:rPr>
              <w:t>deductible for tax purposes, including impairments of goodwill;</w:t>
            </w:r>
          </w:p>
        </w:tc>
      </w:tr>
    </w:tbl>
    <w:p w14:paraId="4ACE37B8"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2552"/>
      </w:tblGrid>
      <w:tr w:rsidR="006F587A" w14:paraId="4ACE37BB" w14:textId="77777777">
        <w:trPr>
          <w:tblCellSpacing w:w="0" w:type="dxa"/>
        </w:trPr>
        <w:tc>
          <w:tcPr>
            <w:tcW w:w="480" w:type="dxa"/>
            <w:shd w:val="clear" w:color="auto" w:fill="auto"/>
            <w:vAlign w:val="center"/>
          </w:tcPr>
          <w:p w14:paraId="4ACE37B9" w14:textId="77777777" w:rsidR="006F587A" w:rsidRDefault="006F587A">
            <w:pPr>
              <w:rPr>
                <w:rFonts w:ascii="Times New Roman" w:hAnsi="Times New Roman"/>
                <w:sz w:val="20"/>
                <w:szCs w:val="20"/>
              </w:rPr>
            </w:pPr>
          </w:p>
        </w:tc>
        <w:tc>
          <w:tcPr>
            <w:tcW w:w="0" w:type="auto"/>
            <w:shd w:val="clear" w:color="auto" w:fill="auto"/>
            <w:vAlign w:val="center"/>
          </w:tcPr>
          <w:p w14:paraId="4ACE37BA" w14:textId="77777777" w:rsidR="006F587A" w:rsidRDefault="006F587A">
            <w:pPr>
              <w:rPr>
                <w:rFonts w:ascii="Times New Roman" w:hAnsi="Times New Roman"/>
                <w:sz w:val="20"/>
                <w:szCs w:val="20"/>
              </w:rPr>
            </w:pPr>
          </w:p>
        </w:tc>
      </w:tr>
      <w:tr w:rsidR="006F587A" w14:paraId="4ACE37BE" w14:textId="77777777">
        <w:trPr>
          <w:tblCellSpacing w:w="0" w:type="dxa"/>
        </w:trPr>
        <w:tc>
          <w:tcPr>
            <w:tcW w:w="0" w:type="auto"/>
            <w:shd w:val="clear" w:color="auto" w:fill="auto"/>
          </w:tcPr>
          <w:p w14:paraId="4ACE37BC"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7BD"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changes in available tax credits;</w:t>
            </w:r>
          </w:p>
        </w:tc>
      </w:tr>
    </w:tbl>
    <w:p w14:paraId="4ACE37BF"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6624"/>
      </w:tblGrid>
      <w:tr w:rsidR="006F587A" w14:paraId="4ACE37C2" w14:textId="77777777">
        <w:trPr>
          <w:tblCellSpacing w:w="0" w:type="dxa"/>
        </w:trPr>
        <w:tc>
          <w:tcPr>
            <w:tcW w:w="480" w:type="dxa"/>
            <w:shd w:val="clear" w:color="auto" w:fill="auto"/>
            <w:vAlign w:val="center"/>
          </w:tcPr>
          <w:p w14:paraId="4ACE37C0" w14:textId="77777777" w:rsidR="006F587A" w:rsidRDefault="006F587A">
            <w:pPr>
              <w:rPr>
                <w:rFonts w:ascii="Times New Roman" w:hAnsi="Times New Roman"/>
                <w:sz w:val="20"/>
                <w:szCs w:val="20"/>
              </w:rPr>
            </w:pPr>
          </w:p>
        </w:tc>
        <w:tc>
          <w:tcPr>
            <w:tcW w:w="0" w:type="auto"/>
            <w:shd w:val="clear" w:color="auto" w:fill="auto"/>
            <w:vAlign w:val="center"/>
          </w:tcPr>
          <w:p w14:paraId="4ACE37C1" w14:textId="77777777" w:rsidR="006F587A" w:rsidRDefault="006F587A">
            <w:pPr>
              <w:rPr>
                <w:rFonts w:ascii="Times New Roman" w:hAnsi="Times New Roman"/>
                <w:sz w:val="20"/>
                <w:szCs w:val="20"/>
              </w:rPr>
            </w:pPr>
          </w:p>
        </w:tc>
      </w:tr>
      <w:tr w:rsidR="006F587A" w14:paraId="4ACE37C5" w14:textId="77777777">
        <w:trPr>
          <w:tblCellSpacing w:w="0" w:type="dxa"/>
        </w:trPr>
        <w:tc>
          <w:tcPr>
            <w:tcW w:w="0" w:type="auto"/>
            <w:shd w:val="clear" w:color="auto" w:fill="auto"/>
          </w:tcPr>
          <w:p w14:paraId="4ACE37C3"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7C4"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changes in our ability to secure new, or renew existing, tax holidays and incentives;</w:t>
            </w:r>
          </w:p>
        </w:tc>
      </w:tr>
    </w:tbl>
    <w:p w14:paraId="4ACE37C6"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6F587A" w14:paraId="4ACE37C9" w14:textId="77777777">
        <w:trPr>
          <w:tblCellSpacing w:w="0" w:type="dxa"/>
        </w:trPr>
        <w:tc>
          <w:tcPr>
            <w:tcW w:w="480" w:type="dxa"/>
            <w:shd w:val="clear" w:color="auto" w:fill="auto"/>
            <w:vAlign w:val="center"/>
          </w:tcPr>
          <w:p w14:paraId="4ACE37C7" w14:textId="77777777" w:rsidR="006F587A" w:rsidRDefault="006F587A">
            <w:pPr>
              <w:rPr>
                <w:rFonts w:ascii="Times New Roman" w:hAnsi="Times New Roman"/>
                <w:sz w:val="20"/>
                <w:szCs w:val="20"/>
              </w:rPr>
            </w:pPr>
          </w:p>
        </w:tc>
        <w:tc>
          <w:tcPr>
            <w:tcW w:w="0" w:type="auto"/>
            <w:shd w:val="clear" w:color="auto" w:fill="auto"/>
            <w:vAlign w:val="center"/>
          </w:tcPr>
          <w:p w14:paraId="4ACE37C8" w14:textId="77777777" w:rsidR="006F587A" w:rsidRDefault="006F587A">
            <w:pPr>
              <w:rPr>
                <w:rFonts w:ascii="Times New Roman" w:hAnsi="Times New Roman"/>
                <w:sz w:val="20"/>
                <w:szCs w:val="20"/>
              </w:rPr>
            </w:pPr>
          </w:p>
        </w:tc>
      </w:tr>
      <w:tr w:rsidR="006F587A" w14:paraId="4ACE37CC" w14:textId="77777777">
        <w:trPr>
          <w:tblCellSpacing w:w="0" w:type="dxa"/>
        </w:trPr>
        <w:tc>
          <w:tcPr>
            <w:tcW w:w="0" w:type="auto"/>
            <w:shd w:val="clear" w:color="auto" w:fill="auto"/>
          </w:tcPr>
          <w:p w14:paraId="4ACE37CA"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7CB"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changes in U.S. federal, state, or foreign tax </w:t>
            </w:r>
            <w:r>
              <w:rPr>
                <w:rFonts w:ascii="Arial" w:eastAsia="宋体" w:hAnsi="Arial" w:cs="Arial"/>
                <w:color w:val="333333"/>
                <w:sz w:val="18"/>
                <w:szCs w:val="18"/>
              </w:rPr>
              <w:t>laws or their interpretation, including changes in the U.S. to the taxation of manufacturing enterprises and of non-U.S. income and expenses and changes resulting from the adoption by countries of OECD recommendations or other legislative actions;</w:t>
            </w:r>
          </w:p>
        </w:tc>
      </w:tr>
    </w:tbl>
    <w:p w14:paraId="4ACE37CD"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3033"/>
      </w:tblGrid>
      <w:tr w:rsidR="006F587A" w14:paraId="4ACE37D0" w14:textId="77777777">
        <w:trPr>
          <w:tblCellSpacing w:w="0" w:type="dxa"/>
        </w:trPr>
        <w:tc>
          <w:tcPr>
            <w:tcW w:w="480" w:type="dxa"/>
            <w:shd w:val="clear" w:color="auto" w:fill="auto"/>
            <w:vAlign w:val="center"/>
          </w:tcPr>
          <w:p w14:paraId="4ACE37CE" w14:textId="77777777" w:rsidR="006F587A" w:rsidRDefault="006F587A">
            <w:pPr>
              <w:rPr>
                <w:rFonts w:ascii="Times New Roman" w:hAnsi="Times New Roman"/>
                <w:sz w:val="20"/>
                <w:szCs w:val="20"/>
              </w:rPr>
            </w:pPr>
          </w:p>
        </w:tc>
        <w:tc>
          <w:tcPr>
            <w:tcW w:w="0" w:type="auto"/>
            <w:shd w:val="clear" w:color="auto" w:fill="auto"/>
            <w:vAlign w:val="center"/>
          </w:tcPr>
          <w:p w14:paraId="4ACE37CF" w14:textId="77777777" w:rsidR="006F587A" w:rsidRDefault="006F587A">
            <w:pPr>
              <w:rPr>
                <w:rFonts w:ascii="Times New Roman" w:hAnsi="Times New Roman"/>
                <w:sz w:val="20"/>
                <w:szCs w:val="20"/>
              </w:rPr>
            </w:pPr>
          </w:p>
        </w:tc>
      </w:tr>
      <w:tr w:rsidR="006F587A" w14:paraId="4ACE37D3" w14:textId="77777777">
        <w:trPr>
          <w:tblCellSpacing w:w="0" w:type="dxa"/>
        </w:trPr>
        <w:tc>
          <w:tcPr>
            <w:tcW w:w="0" w:type="auto"/>
            <w:shd w:val="clear" w:color="auto" w:fill="auto"/>
          </w:tcPr>
          <w:p w14:paraId="4ACE37D1"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7D2"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changes in accounting standards; and</w:t>
            </w:r>
          </w:p>
        </w:tc>
      </w:tr>
    </w:tbl>
    <w:p w14:paraId="4ACE37D4" w14:textId="77777777" w:rsidR="006F587A" w:rsidRDefault="006F587A">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480"/>
        <w:gridCol w:w="7826"/>
      </w:tblGrid>
      <w:tr w:rsidR="006F587A" w14:paraId="4ACE37D7" w14:textId="77777777">
        <w:trPr>
          <w:tblCellSpacing w:w="0" w:type="dxa"/>
        </w:trPr>
        <w:tc>
          <w:tcPr>
            <w:tcW w:w="480" w:type="dxa"/>
            <w:shd w:val="clear" w:color="auto" w:fill="auto"/>
            <w:vAlign w:val="center"/>
          </w:tcPr>
          <w:p w14:paraId="4ACE37D5" w14:textId="77777777" w:rsidR="006F587A" w:rsidRDefault="006F587A">
            <w:pPr>
              <w:rPr>
                <w:rFonts w:ascii="Times New Roman" w:hAnsi="Times New Roman"/>
                <w:sz w:val="20"/>
                <w:szCs w:val="20"/>
              </w:rPr>
            </w:pPr>
          </w:p>
        </w:tc>
        <w:tc>
          <w:tcPr>
            <w:tcW w:w="0" w:type="auto"/>
            <w:shd w:val="clear" w:color="auto" w:fill="auto"/>
            <w:vAlign w:val="center"/>
          </w:tcPr>
          <w:p w14:paraId="4ACE37D6" w14:textId="77777777" w:rsidR="006F587A" w:rsidRDefault="006F587A">
            <w:pPr>
              <w:rPr>
                <w:rFonts w:ascii="Times New Roman" w:hAnsi="Times New Roman"/>
                <w:sz w:val="20"/>
                <w:szCs w:val="20"/>
              </w:rPr>
            </w:pPr>
          </w:p>
        </w:tc>
      </w:tr>
      <w:tr w:rsidR="006F587A" w14:paraId="4ACE37DA" w14:textId="77777777">
        <w:trPr>
          <w:tblCellSpacing w:w="0" w:type="dxa"/>
        </w:trPr>
        <w:tc>
          <w:tcPr>
            <w:tcW w:w="0" w:type="auto"/>
            <w:shd w:val="clear" w:color="auto" w:fill="auto"/>
          </w:tcPr>
          <w:p w14:paraId="4ACE37D8"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37D9"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our decision to repatriate non-U.S. earnings for which we have not previously provided for local country withholding taxes incurred upon repatriation.</w:t>
            </w:r>
          </w:p>
        </w:tc>
      </w:tr>
    </w:tbl>
    <w:p w14:paraId="4ACE37DB" w14:textId="77777777" w:rsidR="006F587A" w:rsidRDefault="007B2B61">
      <w:pPr>
        <w:spacing w:line="288" w:lineRule="auto"/>
        <w:rPr>
          <w:rFonts w:ascii="Times New Roman" w:hAnsi="Times New Roman"/>
        </w:rPr>
      </w:pPr>
      <w:r>
        <w:rPr>
          <w:rFonts w:ascii="Arial" w:eastAsia="宋体" w:hAnsi="Arial" w:cs="Arial"/>
          <w:b/>
          <w:bCs/>
          <w:color w:val="0071C5"/>
        </w:rPr>
        <w:t xml:space="preserve">WE HAVE FLUCTUATIONS IN THE AMOUNT AND FREQUENCY OF OUR </w:t>
      </w:r>
      <w:r>
        <w:rPr>
          <w:rFonts w:ascii="Arial" w:eastAsia="宋体" w:hAnsi="Arial" w:cs="Arial"/>
          <w:b/>
          <w:bCs/>
          <w:color w:val="0071C5"/>
        </w:rPr>
        <w:t>STOCK REPURCHASES.</w:t>
      </w:r>
    </w:p>
    <w:p w14:paraId="4ACE37DC"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We are not obligated to make repurchases under our stock repurchase program, and the amount, timing, and execution of our repurchases fluctuate based on our priorities for the use of cash for other purposes—such as investing in our </w:t>
      </w:r>
      <w:r>
        <w:rPr>
          <w:rFonts w:ascii="Arial" w:eastAsia="宋体" w:hAnsi="Arial" w:cs="Arial"/>
          <w:color w:val="333333"/>
          <w:sz w:val="18"/>
          <w:szCs w:val="18"/>
        </w:rPr>
        <w:t xml:space="preserve">business, including operational spending, capital spending, and acquisitions, and returning cash to our stockholders as dividend payments. Changes in cash flows, tax laws and other laws, and the market price of our common stock can also limit or alter the </w:t>
      </w:r>
      <w:r>
        <w:rPr>
          <w:rFonts w:ascii="Arial" w:eastAsia="宋体" w:hAnsi="Arial" w:cs="Arial"/>
          <w:color w:val="333333"/>
          <w:sz w:val="18"/>
          <w:szCs w:val="18"/>
        </w:rPr>
        <w:t>amount and frequency of our stock repurchases.</w:t>
      </w:r>
    </w:p>
    <w:p w14:paraId="4ACE37DD" w14:textId="77777777" w:rsidR="006F587A" w:rsidRDefault="006F587A">
      <w:pPr>
        <w:spacing w:line="288" w:lineRule="auto"/>
        <w:rPr>
          <w:rFonts w:ascii="Times New Roman" w:hAnsi="Times New Roman"/>
          <w:sz w:val="18"/>
          <w:szCs w:val="18"/>
        </w:rPr>
      </w:pPr>
    </w:p>
    <w:p w14:paraId="4ACE37DE"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243"/>
        <w:gridCol w:w="2658"/>
        <w:gridCol w:w="3405"/>
      </w:tblGrid>
      <w:tr w:rsidR="006F587A" w14:paraId="4ACE37E0" w14:textId="77777777">
        <w:tc>
          <w:tcPr>
            <w:tcW w:w="0" w:type="auto"/>
            <w:gridSpan w:val="3"/>
            <w:shd w:val="clear" w:color="auto" w:fill="auto"/>
            <w:vAlign w:val="center"/>
          </w:tcPr>
          <w:p w14:paraId="4ACE37DF" w14:textId="77777777" w:rsidR="006F587A" w:rsidRDefault="006F587A">
            <w:pPr>
              <w:rPr>
                <w:rFonts w:ascii="Times New Roman" w:hAnsi="Times New Roman"/>
                <w:sz w:val="20"/>
                <w:szCs w:val="20"/>
              </w:rPr>
            </w:pPr>
          </w:p>
        </w:tc>
      </w:tr>
      <w:tr w:rsidR="006F587A" w14:paraId="4ACE37E4" w14:textId="77777777">
        <w:tc>
          <w:tcPr>
            <w:tcW w:w="1350" w:type="pct"/>
            <w:shd w:val="clear" w:color="auto" w:fill="auto"/>
            <w:vAlign w:val="center"/>
          </w:tcPr>
          <w:p w14:paraId="4ACE37E1" w14:textId="77777777" w:rsidR="006F587A" w:rsidRDefault="006F587A">
            <w:pPr>
              <w:rPr>
                <w:rFonts w:ascii="Times New Roman" w:hAnsi="Times New Roman"/>
                <w:sz w:val="20"/>
                <w:szCs w:val="20"/>
              </w:rPr>
            </w:pPr>
          </w:p>
        </w:tc>
        <w:tc>
          <w:tcPr>
            <w:tcW w:w="1600" w:type="pct"/>
            <w:shd w:val="clear" w:color="auto" w:fill="auto"/>
            <w:vAlign w:val="center"/>
          </w:tcPr>
          <w:p w14:paraId="4ACE37E2" w14:textId="77777777" w:rsidR="006F587A" w:rsidRDefault="006F587A">
            <w:pPr>
              <w:rPr>
                <w:rFonts w:ascii="Times New Roman" w:hAnsi="Times New Roman"/>
                <w:sz w:val="20"/>
                <w:szCs w:val="20"/>
              </w:rPr>
            </w:pPr>
          </w:p>
        </w:tc>
        <w:tc>
          <w:tcPr>
            <w:tcW w:w="2050" w:type="pct"/>
            <w:shd w:val="clear" w:color="auto" w:fill="auto"/>
            <w:vAlign w:val="center"/>
          </w:tcPr>
          <w:p w14:paraId="4ACE37E3" w14:textId="77777777" w:rsidR="006F587A" w:rsidRDefault="006F587A">
            <w:pPr>
              <w:rPr>
                <w:rFonts w:ascii="Times New Roman" w:hAnsi="Times New Roman"/>
                <w:sz w:val="20"/>
                <w:szCs w:val="20"/>
              </w:rPr>
            </w:pPr>
          </w:p>
        </w:tc>
      </w:tr>
      <w:tr w:rsidR="006F587A" w14:paraId="4ACE37E8"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37E5" w14:textId="77777777" w:rsidR="006F587A" w:rsidRDefault="007B2B61">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9A" wp14:editId="4ACE6D9B">
                  <wp:extent cx="304800" cy="304800"/>
                  <wp:effectExtent l="0" t="0" r="0" b="0"/>
                  <wp:docPr id="162" name="图片 257"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257"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OTHER KEY INFORMATION</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7E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7E7"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60</w:t>
            </w:r>
          </w:p>
        </w:tc>
      </w:tr>
    </w:tbl>
    <w:p w14:paraId="4ACE37E9" w14:textId="77777777" w:rsidR="006F587A" w:rsidRDefault="007B2B61">
      <w:r>
        <w:pict w14:anchorId="4ACE6D9C">
          <v:rect id="_x0000_i1086" style="width:415.3pt;height:1.5pt" o:hralign="center" o:hrstd="t" o:hr="t" fillcolor="#a0a0a0" stroked="f"/>
        </w:pict>
      </w:r>
    </w:p>
    <w:p w14:paraId="4ACE37EA" w14:textId="77777777" w:rsidR="006F587A" w:rsidRDefault="007B2B61">
      <w:pPr>
        <w:spacing w:line="288" w:lineRule="auto"/>
        <w:jc w:val="right"/>
        <w:rPr>
          <w:rFonts w:ascii="Times New Roman" w:hAnsi="Times New Roman"/>
          <w:sz w:val="16"/>
          <w:szCs w:val="16"/>
        </w:rPr>
      </w:pPr>
      <w:hyperlink r:id="rId93" w:anchor="s9DB683E2CF52561EB8A73BE37F5BF9BE" w:history="1">
        <w:r>
          <w:rPr>
            <w:rStyle w:val="a5"/>
            <w:rFonts w:ascii="Arial" w:eastAsia="宋体" w:hAnsi="Arial" w:cs="Arial"/>
            <w:b/>
            <w:bCs/>
            <w:sz w:val="16"/>
            <w:szCs w:val="16"/>
          </w:rPr>
          <w:t>Table of Contents</w:t>
        </w:r>
      </w:hyperlink>
    </w:p>
    <w:p w14:paraId="4ACE37EB" w14:textId="77777777" w:rsidR="006F587A" w:rsidRDefault="006F587A">
      <w:pPr>
        <w:spacing w:line="288" w:lineRule="auto"/>
        <w:jc w:val="right"/>
        <w:rPr>
          <w:rFonts w:ascii="Times New Roman" w:hAnsi="Times New Roman"/>
          <w:sz w:val="16"/>
          <w:szCs w:val="16"/>
        </w:rPr>
      </w:pPr>
    </w:p>
    <w:p w14:paraId="4ACE37EC" w14:textId="77777777" w:rsidR="006F587A" w:rsidRDefault="006F587A">
      <w:pPr>
        <w:rPr>
          <w:rFonts w:ascii="Times New Roman" w:hAnsi="Times New Roman"/>
          <w:sz w:val="20"/>
          <w:szCs w:val="20"/>
        </w:rPr>
      </w:pPr>
    </w:p>
    <w:p w14:paraId="4ACE37ED" w14:textId="77777777" w:rsidR="006F587A" w:rsidRDefault="007B2B61">
      <w:pPr>
        <w:spacing w:line="288" w:lineRule="auto"/>
        <w:rPr>
          <w:rFonts w:ascii="Times New Roman" w:hAnsi="Times New Roman"/>
          <w:sz w:val="28"/>
          <w:szCs w:val="28"/>
        </w:rPr>
      </w:pPr>
      <w:r>
        <w:rPr>
          <w:rFonts w:ascii="Arial" w:eastAsia="宋体" w:hAnsi="Arial" w:cs="Arial"/>
          <w:b/>
          <w:bCs/>
          <w:color w:val="0071C5"/>
          <w:sz w:val="28"/>
          <w:szCs w:val="28"/>
        </w:rPr>
        <w:t>PROPERTIES</w:t>
      </w:r>
    </w:p>
    <w:p w14:paraId="4ACE37EE" w14:textId="77777777" w:rsidR="006F587A" w:rsidRDefault="007B2B61">
      <w:pPr>
        <w:spacing w:line="288" w:lineRule="auto"/>
        <w:rPr>
          <w:rFonts w:ascii="Times New Roman" w:hAnsi="Times New Roman"/>
          <w:sz w:val="20"/>
          <w:szCs w:val="20"/>
        </w:rPr>
      </w:pPr>
      <w:r>
        <w:rPr>
          <w:rFonts w:ascii="Arial" w:eastAsia="宋体" w:hAnsi="Arial" w:cs="Arial"/>
          <w:color w:val="333333"/>
          <w:sz w:val="18"/>
          <w:szCs w:val="18"/>
        </w:rPr>
        <w:t>As of December 28, 2019, our major facilities consisted of:</w:t>
      </w:r>
    </w:p>
    <w:tbl>
      <w:tblPr>
        <w:tblW w:w="5000" w:type="pct"/>
        <w:tblCellMar>
          <w:left w:w="0" w:type="dxa"/>
          <w:right w:w="0" w:type="dxa"/>
        </w:tblCellMar>
        <w:tblLook w:val="04A0" w:firstRow="1" w:lastRow="0" w:firstColumn="1" w:lastColumn="0" w:noHBand="0" w:noVBand="1"/>
      </w:tblPr>
      <w:tblGrid>
        <w:gridCol w:w="5046"/>
        <w:gridCol w:w="130"/>
        <w:gridCol w:w="893"/>
        <w:gridCol w:w="63"/>
        <w:gridCol w:w="130"/>
        <w:gridCol w:w="894"/>
        <w:gridCol w:w="76"/>
        <w:gridCol w:w="130"/>
        <w:gridCol w:w="881"/>
        <w:gridCol w:w="63"/>
      </w:tblGrid>
      <w:tr w:rsidR="006F587A" w14:paraId="4ACE37F0" w14:textId="77777777">
        <w:tc>
          <w:tcPr>
            <w:tcW w:w="0" w:type="auto"/>
            <w:gridSpan w:val="10"/>
            <w:shd w:val="clear" w:color="auto" w:fill="auto"/>
            <w:vAlign w:val="center"/>
          </w:tcPr>
          <w:p w14:paraId="4ACE37EF" w14:textId="77777777" w:rsidR="006F587A" w:rsidRDefault="006F587A">
            <w:pPr>
              <w:rPr>
                <w:rFonts w:ascii="Times New Roman" w:hAnsi="Times New Roman"/>
                <w:sz w:val="20"/>
                <w:szCs w:val="20"/>
              </w:rPr>
            </w:pPr>
          </w:p>
        </w:tc>
      </w:tr>
      <w:tr w:rsidR="006F587A" w14:paraId="4ACE37FB" w14:textId="77777777">
        <w:tc>
          <w:tcPr>
            <w:tcW w:w="3050" w:type="pct"/>
            <w:shd w:val="clear" w:color="auto" w:fill="auto"/>
            <w:vAlign w:val="center"/>
          </w:tcPr>
          <w:p w14:paraId="4ACE37F1" w14:textId="77777777" w:rsidR="006F587A" w:rsidRDefault="006F587A">
            <w:pPr>
              <w:rPr>
                <w:rFonts w:ascii="Times New Roman" w:hAnsi="Times New Roman"/>
                <w:sz w:val="20"/>
                <w:szCs w:val="20"/>
              </w:rPr>
            </w:pPr>
          </w:p>
        </w:tc>
        <w:tc>
          <w:tcPr>
            <w:tcW w:w="50" w:type="pct"/>
            <w:shd w:val="clear" w:color="auto" w:fill="auto"/>
            <w:vAlign w:val="center"/>
          </w:tcPr>
          <w:p w14:paraId="4ACE37F2" w14:textId="77777777" w:rsidR="006F587A" w:rsidRDefault="006F587A">
            <w:pPr>
              <w:rPr>
                <w:rFonts w:ascii="Times New Roman" w:hAnsi="Times New Roman"/>
                <w:sz w:val="20"/>
                <w:szCs w:val="20"/>
              </w:rPr>
            </w:pPr>
          </w:p>
        </w:tc>
        <w:tc>
          <w:tcPr>
            <w:tcW w:w="550" w:type="pct"/>
            <w:shd w:val="clear" w:color="auto" w:fill="auto"/>
            <w:vAlign w:val="center"/>
          </w:tcPr>
          <w:p w14:paraId="4ACE37F3" w14:textId="77777777" w:rsidR="006F587A" w:rsidRDefault="006F587A">
            <w:pPr>
              <w:rPr>
                <w:rFonts w:ascii="Times New Roman" w:hAnsi="Times New Roman"/>
                <w:sz w:val="20"/>
                <w:szCs w:val="20"/>
              </w:rPr>
            </w:pPr>
          </w:p>
        </w:tc>
        <w:tc>
          <w:tcPr>
            <w:tcW w:w="50" w:type="pct"/>
            <w:shd w:val="clear" w:color="auto" w:fill="auto"/>
            <w:vAlign w:val="center"/>
          </w:tcPr>
          <w:p w14:paraId="4ACE37F4" w14:textId="77777777" w:rsidR="006F587A" w:rsidRDefault="006F587A">
            <w:pPr>
              <w:rPr>
                <w:rFonts w:ascii="Times New Roman" w:hAnsi="Times New Roman"/>
                <w:sz w:val="20"/>
                <w:szCs w:val="20"/>
              </w:rPr>
            </w:pPr>
          </w:p>
        </w:tc>
        <w:tc>
          <w:tcPr>
            <w:tcW w:w="50" w:type="pct"/>
            <w:shd w:val="clear" w:color="auto" w:fill="auto"/>
            <w:vAlign w:val="center"/>
          </w:tcPr>
          <w:p w14:paraId="4ACE37F5" w14:textId="77777777" w:rsidR="006F587A" w:rsidRDefault="006F587A">
            <w:pPr>
              <w:rPr>
                <w:rFonts w:ascii="Times New Roman" w:hAnsi="Times New Roman"/>
                <w:sz w:val="20"/>
                <w:szCs w:val="20"/>
              </w:rPr>
            </w:pPr>
          </w:p>
        </w:tc>
        <w:tc>
          <w:tcPr>
            <w:tcW w:w="550" w:type="pct"/>
            <w:shd w:val="clear" w:color="auto" w:fill="auto"/>
            <w:vAlign w:val="center"/>
          </w:tcPr>
          <w:p w14:paraId="4ACE37F6" w14:textId="77777777" w:rsidR="006F587A" w:rsidRDefault="006F587A">
            <w:pPr>
              <w:rPr>
                <w:rFonts w:ascii="Times New Roman" w:hAnsi="Times New Roman"/>
                <w:sz w:val="20"/>
                <w:szCs w:val="20"/>
              </w:rPr>
            </w:pPr>
          </w:p>
        </w:tc>
        <w:tc>
          <w:tcPr>
            <w:tcW w:w="50" w:type="pct"/>
            <w:shd w:val="clear" w:color="auto" w:fill="auto"/>
            <w:vAlign w:val="center"/>
          </w:tcPr>
          <w:p w14:paraId="4ACE37F7" w14:textId="77777777" w:rsidR="006F587A" w:rsidRDefault="006F587A">
            <w:pPr>
              <w:rPr>
                <w:rFonts w:ascii="Times New Roman" w:hAnsi="Times New Roman"/>
                <w:sz w:val="20"/>
                <w:szCs w:val="20"/>
              </w:rPr>
            </w:pPr>
          </w:p>
        </w:tc>
        <w:tc>
          <w:tcPr>
            <w:tcW w:w="50" w:type="pct"/>
            <w:shd w:val="clear" w:color="auto" w:fill="auto"/>
            <w:vAlign w:val="center"/>
          </w:tcPr>
          <w:p w14:paraId="4ACE37F8" w14:textId="77777777" w:rsidR="006F587A" w:rsidRDefault="006F587A">
            <w:pPr>
              <w:rPr>
                <w:rFonts w:ascii="Times New Roman" w:hAnsi="Times New Roman"/>
                <w:sz w:val="20"/>
                <w:szCs w:val="20"/>
              </w:rPr>
            </w:pPr>
          </w:p>
        </w:tc>
        <w:tc>
          <w:tcPr>
            <w:tcW w:w="550" w:type="pct"/>
            <w:shd w:val="clear" w:color="auto" w:fill="auto"/>
            <w:vAlign w:val="center"/>
          </w:tcPr>
          <w:p w14:paraId="4ACE37F9" w14:textId="77777777" w:rsidR="006F587A" w:rsidRDefault="006F587A">
            <w:pPr>
              <w:rPr>
                <w:rFonts w:ascii="Times New Roman" w:hAnsi="Times New Roman"/>
                <w:sz w:val="20"/>
                <w:szCs w:val="20"/>
              </w:rPr>
            </w:pPr>
          </w:p>
        </w:tc>
        <w:tc>
          <w:tcPr>
            <w:tcW w:w="50" w:type="pct"/>
            <w:shd w:val="clear" w:color="auto" w:fill="auto"/>
            <w:vAlign w:val="center"/>
          </w:tcPr>
          <w:p w14:paraId="4ACE37FA" w14:textId="77777777" w:rsidR="006F587A" w:rsidRDefault="006F587A">
            <w:pPr>
              <w:rPr>
                <w:rFonts w:ascii="Times New Roman" w:hAnsi="Times New Roman"/>
                <w:sz w:val="20"/>
                <w:szCs w:val="20"/>
              </w:rPr>
            </w:pPr>
          </w:p>
        </w:tc>
      </w:tr>
      <w:tr w:rsidR="006F587A" w14:paraId="4ACE3805"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37FC"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(Square Feet in Millions)</w:t>
            </w:r>
          </w:p>
        </w:tc>
        <w:tc>
          <w:tcPr>
            <w:tcW w:w="0" w:type="auto"/>
            <w:shd w:val="clear" w:color="auto" w:fill="auto"/>
            <w:tcMar>
              <w:top w:w="40" w:type="dxa"/>
              <w:left w:w="40" w:type="dxa"/>
              <w:bottom w:w="40" w:type="dxa"/>
              <w:right w:w="40" w:type="dxa"/>
            </w:tcMar>
            <w:vAlign w:val="bottom"/>
          </w:tcPr>
          <w:p w14:paraId="4ACE37F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71C5"/>
            </w:tcBorders>
            <w:shd w:val="clear" w:color="auto" w:fill="auto"/>
            <w:tcMar>
              <w:top w:w="40" w:type="dxa"/>
              <w:left w:w="40" w:type="dxa"/>
              <w:bottom w:w="40" w:type="dxa"/>
              <w:right w:w="40" w:type="dxa"/>
            </w:tcMar>
            <w:vAlign w:val="bottom"/>
          </w:tcPr>
          <w:p w14:paraId="4ACE37FE"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United</w:t>
            </w:r>
          </w:p>
          <w:p w14:paraId="4ACE37FF"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States</w:t>
            </w:r>
          </w:p>
        </w:tc>
        <w:tc>
          <w:tcPr>
            <w:tcW w:w="0" w:type="auto"/>
            <w:shd w:val="clear" w:color="auto" w:fill="auto"/>
            <w:tcMar>
              <w:top w:w="40" w:type="dxa"/>
              <w:left w:w="40" w:type="dxa"/>
              <w:bottom w:w="40" w:type="dxa"/>
              <w:right w:w="40" w:type="dxa"/>
            </w:tcMar>
            <w:vAlign w:val="bottom"/>
          </w:tcPr>
          <w:p w14:paraId="4ACE380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71C5"/>
            </w:tcBorders>
            <w:shd w:val="clear" w:color="auto" w:fill="auto"/>
            <w:tcMar>
              <w:top w:w="40" w:type="dxa"/>
              <w:left w:w="40" w:type="dxa"/>
              <w:bottom w:w="40" w:type="dxa"/>
              <w:right w:w="40" w:type="dxa"/>
            </w:tcMar>
            <w:vAlign w:val="bottom"/>
          </w:tcPr>
          <w:p w14:paraId="4ACE3801"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Other</w:t>
            </w:r>
          </w:p>
          <w:p w14:paraId="4ACE3802"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Countries</w:t>
            </w:r>
          </w:p>
        </w:tc>
        <w:tc>
          <w:tcPr>
            <w:tcW w:w="0" w:type="auto"/>
            <w:shd w:val="clear" w:color="auto" w:fill="auto"/>
            <w:tcMar>
              <w:top w:w="40" w:type="dxa"/>
              <w:left w:w="40" w:type="dxa"/>
              <w:bottom w:w="40" w:type="dxa"/>
              <w:right w:w="40" w:type="dxa"/>
            </w:tcMar>
            <w:vAlign w:val="bottom"/>
          </w:tcPr>
          <w:p w14:paraId="4ACE380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71C5"/>
            </w:tcBorders>
            <w:shd w:val="clear" w:color="auto" w:fill="auto"/>
            <w:tcMar>
              <w:top w:w="40" w:type="dxa"/>
              <w:left w:w="40" w:type="dxa"/>
              <w:bottom w:w="40" w:type="dxa"/>
              <w:right w:w="40" w:type="dxa"/>
            </w:tcMar>
            <w:vAlign w:val="bottom"/>
          </w:tcPr>
          <w:p w14:paraId="4ACE3804"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Total</w:t>
            </w:r>
          </w:p>
        </w:tc>
      </w:tr>
      <w:tr w:rsidR="006F587A" w14:paraId="4ACE3810" w14:textId="77777777">
        <w:tc>
          <w:tcPr>
            <w:tcW w:w="0" w:type="auto"/>
            <w:shd w:val="clear" w:color="auto" w:fill="auto"/>
            <w:tcMar>
              <w:top w:w="40" w:type="dxa"/>
              <w:left w:w="40" w:type="dxa"/>
              <w:bottom w:w="40" w:type="dxa"/>
              <w:right w:w="40" w:type="dxa"/>
            </w:tcMar>
            <w:vAlign w:val="bottom"/>
          </w:tcPr>
          <w:p w14:paraId="4ACE380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Owned facilities</w:t>
            </w:r>
          </w:p>
        </w:tc>
        <w:tc>
          <w:tcPr>
            <w:tcW w:w="0" w:type="auto"/>
            <w:shd w:val="clear" w:color="auto" w:fill="auto"/>
            <w:tcMar>
              <w:top w:w="40" w:type="dxa"/>
              <w:left w:w="40" w:type="dxa"/>
              <w:bottom w:w="40" w:type="dxa"/>
              <w:right w:w="40" w:type="dxa"/>
            </w:tcMar>
            <w:vAlign w:val="bottom"/>
          </w:tcPr>
          <w:p w14:paraId="4ACE380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808"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31.3</w:t>
            </w:r>
          </w:p>
        </w:tc>
        <w:tc>
          <w:tcPr>
            <w:tcW w:w="0" w:type="auto"/>
            <w:shd w:val="clear" w:color="auto" w:fill="auto"/>
            <w:vAlign w:val="bottom"/>
          </w:tcPr>
          <w:p w14:paraId="4ACE380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80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80B"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22.3</w:t>
            </w:r>
          </w:p>
        </w:tc>
        <w:tc>
          <w:tcPr>
            <w:tcW w:w="0" w:type="auto"/>
            <w:shd w:val="clear" w:color="auto" w:fill="auto"/>
            <w:vAlign w:val="bottom"/>
          </w:tcPr>
          <w:p w14:paraId="4ACE380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80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80E"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53.6</w:t>
            </w:r>
          </w:p>
        </w:tc>
        <w:tc>
          <w:tcPr>
            <w:tcW w:w="0" w:type="auto"/>
            <w:shd w:val="clear" w:color="auto" w:fill="auto"/>
            <w:vAlign w:val="bottom"/>
          </w:tcPr>
          <w:p w14:paraId="4ACE380F" w14:textId="77777777" w:rsidR="006F587A" w:rsidRDefault="006F587A">
            <w:pPr>
              <w:textAlignment w:val="bottom"/>
              <w:rPr>
                <w:rFonts w:ascii="Times New Roman" w:hAnsi="Times New Roman"/>
                <w:sz w:val="20"/>
                <w:szCs w:val="20"/>
              </w:rPr>
            </w:pPr>
          </w:p>
        </w:tc>
      </w:tr>
      <w:tr w:rsidR="006F587A" w14:paraId="4ACE381B" w14:textId="77777777">
        <w:tc>
          <w:tcPr>
            <w:tcW w:w="0" w:type="auto"/>
            <w:shd w:val="clear" w:color="auto" w:fill="auto"/>
            <w:tcMar>
              <w:top w:w="40" w:type="dxa"/>
              <w:left w:w="40" w:type="dxa"/>
              <w:bottom w:w="40" w:type="dxa"/>
              <w:right w:w="40" w:type="dxa"/>
            </w:tcMar>
            <w:vAlign w:val="bottom"/>
          </w:tcPr>
          <w:p w14:paraId="4ACE381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Leased facilities</w:t>
            </w:r>
          </w:p>
        </w:tc>
        <w:tc>
          <w:tcPr>
            <w:tcW w:w="0" w:type="auto"/>
            <w:shd w:val="clear" w:color="auto" w:fill="auto"/>
            <w:tcMar>
              <w:top w:w="40" w:type="dxa"/>
              <w:left w:w="40" w:type="dxa"/>
              <w:bottom w:w="40" w:type="dxa"/>
              <w:right w:w="40" w:type="dxa"/>
            </w:tcMar>
            <w:vAlign w:val="bottom"/>
          </w:tcPr>
          <w:p w14:paraId="4ACE381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81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0.8</w:t>
            </w:r>
          </w:p>
        </w:tc>
        <w:tc>
          <w:tcPr>
            <w:tcW w:w="0" w:type="auto"/>
            <w:shd w:val="clear" w:color="auto" w:fill="auto"/>
            <w:vAlign w:val="bottom"/>
          </w:tcPr>
          <w:p w14:paraId="4ACE381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81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816"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5.4</w:t>
            </w:r>
          </w:p>
        </w:tc>
        <w:tc>
          <w:tcPr>
            <w:tcW w:w="0" w:type="auto"/>
            <w:shd w:val="clear" w:color="auto" w:fill="auto"/>
            <w:vAlign w:val="bottom"/>
          </w:tcPr>
          <w:p w14:paraId="4ACE381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81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819"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6.2</w:t>
            </w:r>
          </w:p>
        </w:tc>
        <w:tc>
          <w:tcPr>
            <w:tcW w:w="0" w:type="auto"/>
            <w:shd w:val="clear" w:color="auto" w:fill="auto"/>
            <w:vAlign w:val="bottom"/>
          </w:tcPr>
          <w:p w14:paraId="4ACE381A" w14:textId="77777777" w:rsidR="006F587A" w:rsidRDefault="006F587A">
            <w:pPr>
              <w:textAlignment w:val="bottom"/>
              <w:rPr>
                <w:rFonts w:ascii="Times New Roman" w:hAnsi="Times New Roman"/>
                <w:sz w:val="20"/>
                <w:szCs w:val="20"/>
              </w:rPr>
            </w:pPr>
          </w:p>
        </w:tc>
      </w:tr>
      <w:tr w:rsidR="006F587A" w14:paraId="4ACE3826" w14:textId="77777777">
        <w:tc>
          <w:tcPr>
            <w:tcW w:w="0" w:type="auto"/>
            <w:shd w:val="clear" w:color="auto" w:fill="auto"/>
            <w:tcMar>
              <w:top w:w="40" w:type="dxa"/>
              <w:left w:w="40" w:type="dxa"/>
              <w:bottom w:w="40" w:type="dxa"/>
              <w:right w:w="40" w:type="dxa"/>
            </w:tcMar>
            <w:vAlign w:val="bottom"/>
          </w:tcPr>
          <w:p w14:paraId="4ACE381C"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Total facilities</w:t>
            </w:r>
          </w:p>
        </w:tc>
        <w:tc>
          <w:tcPr>
            <w:tcW w:w="0" w:type="auto"/>
            <w:shd w:val="clear" w:color="auto" w:fill="auto"/>
            <w:tcMar>
              <w:top w:w="40" w:type="dxa"/>
              <w:left w:w="40" w:type="dxa"/>
              <w:bottom w:w="40" w:type="dxa"/>
              <w:right w:w="40" w:type="dxa"/>
            </w:tcMar>
            <w:vAlign w:val="bottom"/>
          </w:tcPr>
          <w:p w14:paraId="4ACE381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381E"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32.1</w:t>
            </w:r>
          </w:p>
        </w:tc>
        <w:tc>
          <w:tcPr>
            <w:tcW w:w="0" w:type="auto"/>
            <w:tcBorders>
              <w:top w:val="single" w:sz="8" w:space="0" w:color="333333"/>
              <w:bottom w:val="double" w:sz="6" w:space="0" w:color="333333"/>
            </w:tcBorders>
            <w:shd w:val="clear" w:color="auto" w:fill="auto"/>
            <w:vAlign w:val="bottom"/>
          </w:tcPr>
          <w:p w14:paraId="4ACE381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82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3821"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27.7</w:t>
            </w:r>
          </w:p>
        </w:tc>
        <w:tc>
          <w:tcPr>
            <w:tcW w:w="0" w:type="auto"/>
            <w:tcBorders>
              <w:top w:val="single" w:sz="8" w:space="0" w:color="333333"/>
              <w:bottom w:val="double" w:sz="6" w:space="0" w:color="333333"/>
            </w:tcBorders>
            <w:shd w:val="clear" w:color="auto" w:fill="auto"/>
            <w:vAlign w:val="bottom"/>
          </w:tcPr>
          <w:p w14:paraId="4ACE382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82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3824"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59.8</w:t>
            </w:r>
          </w:p>
        </w:tc>
        <w:tc>
          <w:tcPr>
            <w:tcW w:w="0" w:type="auto"/>
            <w:tcBorders>
              <w:top w:val="single" w:sz="8" w:space="0" w:color="333333"/>
              <w:bottom w:val="double" w:sz="6" w:space="0" w:color="333333"/>
            </w:tcBorders>
            <w:shd w:val="clear" w:color="auto" w:fill="auto"/>
            <w:vAlign w:val="bottom"/>
          </w:tcPr>
          <w:p w14:paraId="4ACE3825" w14:textId="77777777" w:rsidR="006F587A" w:rsidRDefault="006F587A">
            <w:pPr>
              <w:textAlignment w:val="bottom"/>
              <w:rPr>
                <w:rFonts w:ascii="Times New Roman" w:hAnsi="Times New Roman"/>
                <w:sz w:val="20"/>
                <w:szCs w:val="20"/>
              </w:rPr>
            </w:pPr>
          </w:p>
        </w:tc>
      </w:tr>
    </w:tbl>
    <w:p w14:paraId="4ACE3827"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lastRenderedPageBreak/>
        <w:t xml:space="preserve">Our principal executive offices are located in the U.S. For more information on our wafer fabrication and our </w:t>
      </w:r>
      <w:r>
        <w:rPr>
          <w:rFonts w:ascii="Arial" w:eastAsia="宋体" w:hAnsi="Arial" w:cs="Arial"/>
          <w:color w:val="333333"/>
          <w:sz w:val="18"/>
          <w:szCs w:val="18"/>
        </w:rPr>
        <w:t>assembly and test facilities, see "Manufacturing Capital" within Fundamentals of Our Business.</w:t>
      </w:r>
    </w:p>
    <w:p w14:paraId="4ACE3828"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The facilities described above are suitable for our present purposes, and the productive capacity in our facilities is being utilized or being prepared for utili</w:t>
      </w:r>
      <w:r>
        <w:rPr>
          <w:rFonts w:ascii="Arial" w:eastAsia="宋体" w:hAnsi="Arial" w:cs="Arial"/>
          <w:color w:val="333333"/>
          <w:sz w:val="18"/>
          <w:szCs w:val="18"/>
        </w:rPr>
        <w:t>zation as we continue to make investments to expand our manufacturing capacity. See "Manufacturing Capital" within Fundamentals of Our Business for a discussion of our investments in capacity expansion to meet customer expectations.</w:t>
      </w:r>
    </w:p>
    <w:p w14:paraId="4ACE3829"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do not identify or a</w:t>
      </w:r>
      <w:r>
        <w:rPr>
          <w:rFonts w:ascii="Arial" w:eastAsia="宋体" w:hAnsi="Arial" w:cs="Arial"/>
          <w:color w:val="333333"/>
          <w:sz w:val="18"/>
          <w:szCs w:val="18"/>
        </w:rPr>
        <w:t>llocate assets by operating segment, as they are interchangeable in nature and used by multiple operating segments. For information on net property, plant and equipment by country, see "Note 7: Other Financial Statement Details" within the Consolidated Fin</w:t>
      </w:r>
      <w:r>
        <w:rPr>
          <w:rFonts w:ascii="Arial" w:eastAsia="宋体" w:hAnsi="Arial" w:cs="Arial"/>
          <w:color w:val="333333"/>
          <w:sz w:val="18"/>
          <w:szCs w:val="18"/>
        </w:rPr>
        <w:t>ancial Statements.</w:t>
      </w:r>
    </w:p>
    <w:p w14:paraId="4ACE382A" w14:textId="77777777" w:rsidR="006F587A" w:rsidRDefault="007B2B61">
      <w:pPr>
        <w:spacing w:line="288" w:lineRule="auto"/>
        <w:rPr>
          <w:rFonts w:ascii="Times New Roman" w:hAnsi="Times New Roman"/>
          <w:sz w:val="28"/>
          <w:szCs w:val="28"/>
        </w:rPr>
      </w:pPr>
      <w:r>
        <w:rPr>
          <w:rFonts w:ascii="Arial" w:eastAsia="宋体" w:hAnsi="Arial" w:cs="Arial"/>
          <w:b/>
          <w:bCs/>
          <w:color w:val="0071C5"/>
          <w:sz w:val="28"/>
          <w:szCs w:val="28"/>
        </w:rPr>
        <w:t>MARKET FOR OUR COMMON STOCK</w:t>
      </w:r>
    </w:p>
    <w:p w14:paraId="4ACE382B"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The principal U.S. market on which Intel’s common stock (symbol INTC) is traded is the Nasdaq Global Select Market. For dividend information, see "Financial Information by Quarter (Unaudited)" within Financial</w:t>
      </w:r>
      <w:r>
        <w:rPr>
          <w:rFonts w:ascii="Arial" w:eastAsia="宋体" w:hAnsi="Arial" w:cs="Arial"/>
          <w:color w:val="333333"/>
          <w:sz w:val="18"/>
          <w:szCs w:val="18"/>
        </w:rPr>
        <w:t xml:space="preserve"> Statements and Supplemental Details.</w:t>
      </w:r>
    </w:p>
    <w:p w14:paraId="4ACE382C"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As of January 17, 2020, there were approximately 110,978 registered holders of record of Intel’s common stock. A substantially greater number of holders of Intel common stock are "street name" or beneficial holders, wh</w:t>
      </w:r>
      <w:r>
        <w:rPr>
          <w:rFonts w:ascii="Arial" w:eastAsia="宋体" w:hAnsi="Arial" w:cs="Arial"/>
          <w:color w:val="333333"/>
          <w:sz w:val="18"/>
          <w:szCs w:val="18"/>
        </w:rPr>
        <w:t>ose shares of record are held by banks, brokers, and other financial institutions.</w:t>
      </w:r>
    </w:p>
    <w:p w14:paraId="4ACE382D" w14:textId="77777777" w:rsidR="006F587A" w:rsidRDefault="007B2B61">
      <w:pPr>
        <w:spacing w:line="288" w:lineRule="auto"/>
        <w:rPr>
          <w:rFonts w:ascii="Times New Roman" w:hAnsi="Times New Roman"/>
        </w:rPr>
      </w:pPr>
      <w:r>
        <w:rPr>
          <w:rFonts w:ascii="Arial" w:eastAsia="宋体" w:hAnsi="Arial" w:cs="Arial"/>
          <w:b/>
          <w:bCs/>
          <w:color w:val="0071C5"/>
        </w:rPr>
        <w:t>STOCK PERFORMANCE GRAPH</w:t>
      </w:r>
    </w:p>
    <w:p w14:paraId="4ACE382E"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The graph and table that follow compare the cumulative TSR of Intel's common stock with the cumulative total return of the S&amp;P 100 Index*, the S&amp;P </w:t>
      </w:r>
      <w:r>
        <w:rPr>
          <w:rFonts w:ascii="Arial" w:eastAsia="宋体" w:hAnsi="Arial" w:cs="Arial"/>
          <w:color w:val="333333"/>
          <w:sz w:val="18"/>
          <w:szCs w:val="18"/>
        </w:rPr>
        <w:t>500 Index*, the S&amp;P 500 IT Index*, and the SOX Index*</w:t>
      </w:r>
      <w:r>
        <w:rPr>
          <w:rFonts w:ascii="Arial" w:eastAsia="宋体" w:hAnsi="Arial" w:cs="Arial"/>
          <w:color w:val="333333"/>
          <w:sz w:val="12"/>
          <w:szCs w:val="12"/>
        </w:rPr>
        <w:t>1</w:t>
      </w:r>
      <w:r>
        <w:rPr>
          <w:rFonts w:ascii="Arial" w:eastAsia="宋体" w:hAnsi="Arial" w:cs="Arial"/>
          <w:color w:val="333333"/>
          <w:sz w:val="18"/>
          <w:szCs w:val="18"/>
        </w:rPr>
        <w:t xml:space="preserve"> for the five years ended December 28, 2019. The cumulative returns shown on the graph are based on Intel's fiscal year. </w:t>
      </w:r>
    </w:p>
    <w:p w14:paraId="4ACE382F" w14:textId="77777777" w:rsidR="006F587A" w:rsidRDefault="007B2B61">
      <w:pPr>
        <w:spacing w:line="288" w:lineRule="auto"/>
        <w:jc w:val="center"/>
        <w:rPr>
          <w:rFonts w:ascii="Times New Roman" w:hAnsi="Times New Roman"/>
          <w:sz w:val="20"/>
          <w:szCs w:val="20"/>
        </w:rPr>
      </w:pPr>
      <w:r>
        <w:rPr>
          <w:rFonts w:ascii="Arial" w:eastAsia="宋体" w:hAnsi="Arial" w:cs="Arial"/>
          <w:b/>
          <w:bCs/>
          <w:color w:val="333333"/>
          <w:sz w:val="20"/>
          <w:szCs w:val="20"/>
        </w:rPr>
        <w:t>Comparison of Five-Year Cumulative Return for</w:t>
      </w:r>
    </w:p>
    <w:p w14:paraId="4ACE3830" w14:textId="77777777" w:rsidR="006F587A" w:rsidRDefault="007B2B61">
      <w:pPr>
        <w:spacing w:line="288" w:lineRule="auto"/>
        <w:jc w:val="center"/>
        <w:rPr>
          <w:rFonts w:ascii="Times New Roman" w:hAnsi="Times New Roman"/>
          <w:sz w:val="20"/>
          <w:szCs w:val="20"/>
        </w:rPr>
      </w:pPr>
      <w:r>
        <w:rPr>
          <w:rFonts w:ascii="Arial" w:eastAsia="宋体" w:hAnsi="Arial" w:cs="Arial"/>
          <w:b/>
          <w:bCs/>
          <w:color w:val="333333"/>
          <w:sz w:val="20"/>
          <w:szCs w:val="20"/>
        </w:rPr>
        <w:t>Intel, S&amp;P 100 Index, S&amp;P 500 Inde</w:t>
      </w:r>
      <w:r>
        <w:rPr>
          <w:rFonts w:ascii="Arial" w:eastAsia="宋体" w:hAnsi="Arial" w:cs="Arial"/>
          <w:b/>
          <w:bCs/>
          <w:color w:val="333333"/>
          <w:sz w:val="20"/>
          <w:szCs w:val="20"/>
        </w:rPr>
        <w:t>x, S&amp;P 500 IT Index, and SOX Index</w:t>
      </w:r>
    </w:p>
    <w:p w14:paraId="4ACE3831" w14:textId="77777777" w:rsidR="006F587A" w:rsidRDefault="007B2B61">
      <w:pPr>
        <w:spacing w:line="288" w:lineRule="auto"/>
        <w:jc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Viewer12_files/chart34_stockperformance.jpg"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D9D" wp14:editId="4ACE6D9E">
            <wp:extent cx="304800" cy="304800"/>
            <wp:effectExtent l="0" t="0" r="0" b="0"/>
            <wp:docPr id="128" name="图片 259" descr="IMG_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259" descr="IMG_41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4ACE3832"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243"/>
        <w:gridCol w:w="2658"/>
        <w:gridCol w:w="3405"/>
      </w:tblGrid>
      <w:tr w:rsidR="006F587A" w14:paraId="4ACE3834" w14:textId="77777777">
        <w:tc>
          <w:tcPr>
            <w:tcW w:w="0" w:type="auto"/>
            <w:gridSpan w:val="3"/>
            <w:shd w:val="clear" w:color="auto" w:fill="auto"/>
            <w:vAlign w:val="center"/>
          </w:tcPr>
          <w:p w14:paraId="4ACE3833" w14:textId="77777777" w:rsidR="006F587A" w:rsidRDefault="006F587A">
            <w:pPr>
              <w:rPr>
                <w:rFonts w:ascii="Times New Roman" w:hAnsi="Times New Roman"/>
                <w:sz w:val="20"/>
                <w:szCs w:val="20"/>
              </w:rPr>
            </w:pPr>
          </w:p>
        </w:tc>
      </w:tr>
      <w:tr w:rsidR="006F587A" w14:paraId="4ACE3838" w14:textId="77777777">
        <w:tc>
          <w:tcPr>
            <w:tcW w:w="1350" w:type="pct"/>
            <w:shd w:val="clear" w:color="auto" w:fill="auto"/>
            <w:vAlign w:val="center"/>
          </w:tcPr>
          <w:p w14:paraId="4ACE3835" w14:textId="77777777" w:rsidR="006F587A" w:rsidRDefault="006F587A">
            <w:pPr>
              <w:rPr>
                <w:rFonts w:ascii="Times New Roman" w:hAnsi="Times New Roman"/>
                <w:sz w:val="20"/>
                <w:szCs w:val="20"/>
              </w:rPr>
            </w:pPr>
          </w:p>
        </w:tc>
        <w:tc>
          <w:tcPr>
            <w:tcW w:w="1600" w:type="pct"/>
            <w:shd w:val="clear" w:color="auto" w:fill="auto"/>
            <w:vAlign w:val="center"/>
          </w:tcPr>
          <w:p w14:paraId="4ACE3836" w14:textId="77777777" w:rsidR="006F587A" w:rsidRDefault="006F587A">
            <w:pPr>
              <w:rPr>
                <w:rFonts w:ascii="Times New Roman" w:hAnsi="Times New Roman"/>
                <w:sz w:val="20"/>
                <w:szCs w:val="20"/>
              </w:rPr>
            </w:pPr>
          </w:p>
        </w:tc>
        <w:tc>
          <w:tcPr>
            <w:tcW w:w="2050" w:type="pct"/>
            <w:shd w:val="clear" w:color="auto" w:fill="auto"/>
            <w:vAlign w:val="center"/>
          </w:tcPr>
          <w:p w14:paraId="4ACE3837" w14:textId="77777777" w:rsidR="006F587A" w:rsidRDefault="006F587A">
            <w:pPr>
              <w:rPr>
                <w:rFonts w:ascii="Times New Roman" w:hAnsi="Times New Roman"/>
                <w:sz w:val="20"/>
                <w:szCs w:val="20"/>
              </w:rPr>
            </w:pPr>
          </w:p>
        </w:tc>
      </w:tr>
      <w:tr w:rsidR="006F587A" w14:paraId="4ACE383C"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3839" w14:textId="77777777" w:rsidR="006F587A" w:rsidRDefault="007B2B61">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9F" wp14:editId="4ACE6DA0">
                  <wp:extent cx="304800" cy="304800"/>
                  <wp:effectExtent l="0" t="0" r="0" b="0"/>
                  <wp:docPr id="108" name="图片 260"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260"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OTHER KEY INFORMATION</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83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83B"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61</w:t>
            </w:r>
          </w:p>
        </w:tc>
      </w:tr>
    </w:tbl>
    <w:p w14:paraId="4ACE383D" w14:textId="77777777" w:rsidR="006F587A" w:rsidRDefault="007B2B61">
      <w:r>
        <w:pict w14:anchorId="4ACE6DA1">
          <v:rect id="_x0000_i1087" style="width:415.3pt;height:1.5pt" o:hralign="center" o:hrstd="t" o:hr="t" fillcolor="#a0a0a0" stroked="f"/>
        </w:pict>
      </w:r>
    </w:p>
    <w:p w14:paraId="4ACE383E" w14:textId="77777777" w:rsidR="006F587A" w:rsidRDefault="007B2B61">
      <w:pPr>
        <w:spacing w:line="288" w:lineRule="auto"/>
        <w:jc w:val="right"/>
        <w:rPr>
          <w:rFonts w:ascii="Times New Roman" w:hAnsi="Times New Roman"/>
          <w:sz w:val="16"/>
          <w:szCs w:val="16"/>
        </w:rPr>
      </w:pPr>
      <w:hyperlink r:id="rId94" w:anchor="s9DB683E2CF52561EB8A73BE37F5BF9BE" w:history="1">
        <w:r>
          <w:rPr>
            <w:rStyle w:val="a5"/>
            <w:rFonts w:ascii="Arial" w:eastAsia="宋体" w:hAnsi="Arial" w:cs="Arial"/>
            <w:b/>
            <w:bCs/>
            <w:sz w:val="16"/>
            <w:szCs w:val="16"/>
          </w:rPr>
          <w:t>Table of Contents</w:t>
        </w:r>
      </w:hyperlink>
    </w:p>
    <w:p w14:paraId="4ACE383F" w14:textId="77777777" w:rsidR="006F587A" w:rsidRDefault="006F587A">
      <w:pPr>
        <w:spacing w:line="288" w:lineRule="auto"/>
        <w:jc w:val="right"/>
        <w:rPr>
          <w:rFonts w:ascii="Times New Roman" w:hAnsi="Times New Roman"/>
          <w:sz w:val="16"/>
          <w:szCs w:val="16"/>
        </w:rPr>
      </w:pPr>
    </w:p>
    <w:p w14:paraId="4ACE3840"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271"/>
        <w:gridCol w:w="130"/>
        <w:gridCol w:w="142"/>
        <w:gridCol w:w="694"/>
        <w:gridCol w:w="64"/>
        <w:gridCol w:w="130"/>
        <w:gridCol w:w="142"/>
        <w:gridCol w:w="665"/>
        <w:gridCol w:w="64"/>
        <w:gridCol w:w="130"/>
        <w:gridCol w:w="142"/>
        <w:gridCol w:w="665"/>
        <w:gridCol w:w="64"/>
        <w:gridCol w:w="130"/>
        <w:gridCol w:w="142"/>
        <w:gridCol w:w="665"/>
        <w:gridCol w:w="64"/>
        <w:gridCol w:w="130"/>
        <w:gridCol w:w="142"/>
        <w:gridCol w:w="665"/>
        <w:gridCol w:w="64"/>
        <w:gridCol w:w="130"/>
        <w:gridCol w:w="142"/>
        <w:gridCol w:w="665"/>
        <w:gridCol w:w="64"/>
      </w:tblGrid>
      <w:tr w:rsidR="006F587A" w14:paraId="4ACE3842" w14:textId="77777777">
        <w:tc>
          <w:tcPr>
            <w:tcW w:w="0" w:type="auto"/>
            <w:gridSpan w:val="25"/>
            <w:shd w:val="clear" w:color="auto" w:fill="auto"/>
            <w:vAlign w:val="center"/>
          </w:tcPr>
          <w:p w14:paraId="4ACE3841" w14:textId="77777777" w:rsidR="006F587A" w:rsidRDefault="006F587A">
            <w:pPr>
              <w:rPr>
                <w:rFonts w:ascii="Times New Roman" w:hAnsi="Times New Roman"/>
                <w:sz w:val="20"/>
                <w:szCs w:val="20"/>
              </w:rPr>
            </w:pPr>
          </w:p>
        </w:tc>
      </w:tr>
      <w:tr w:rsidR="006F587A" w14:paraId="4ACE385C" w14:textId="77777777">
        <w:tc>
          <w:tcPr>
            <w:tcW w:w="1400" w:type="pct"/>
            <w:shd w:val="clear" w:color="auto" w:fill="auto"/>
            <w:vAlign w:val="center"/>
          </w:tcPr>
          <w:p w14:paraId="4ACE3843" w14:textId="77777777" w:rsidR="006F587A" w:rsidRDefault="006F587A">
            <w:pPr>
              <w:rPr>
                <w:rFonts w:ascii="Times New Roman" w:hAnsi="Times New Roman"/>
                <w:sz w:val="20"/>
                <w:szCs w:val="20"/>
              </w:rPr>
            </w:pPr>
          </w:p>
        </w:tc>
        <w:tc>
          <w:tcPr>
            <w:tcW w:w="50" w:type="pct"/>
            <w:shd w:val="clear" w:color="auto" w:fill="auto"/>
            <w:vAlign w:val="center"/>
          </w:tcPr>
          <w:p w14:paraId="4ACE3844" w14:textId="77777777" w:rsidR="006F587A" w:rsidRDefault="006F587A">
            <w:pPr>
              <w:rPr>
                <w:rFonts w:ascii="Times New Roman" w:hAnsi="Times New Roman"/>
                <w:sz w:val="20"/>
                <w:szCs w:val="20"/>
              </w:rPr>
            </w:pPr>
          </w:p>
        </w:tc>
        <w:tc>
          <w:tcPr>
            <w:tcW w:w="50" w:type="pct"/>
            <w:shd w:val="clear" w:color="auto" w:fill="auto"/>
            <w:vAlign w:val="center"/>
          </w:tcPr>
          <w:p w14:paraId="4ACE3845" w14:textId="77777777" w:rsidR="006F587A" w:rsidRDefault="006F587A">
            <w:pPr>
              <w:rPr>
                <w:rFonts w:ascii="Times New Roman" w:hAnsi="Times New Roman"/>
                <w:sz w:val="20"/>
                <w:szCs w:val="20"/>
              </w:rPr>
            </w:pPr>
          </w:p>
        </w:tc>
        <w:tc>
          <w:tcPr>
            <w:tcW w:w="450" w:type="pct"/>
            <w:shd w:val="clear" w:color="auto" w:fill="auto"/>
            <w:vAlign w:val="center"/>
          </w:tcPr>
          <w:p w14:paraId="4ACE3846" w14:textId="77777777" w:rsidR="006F587A" w:rsidRDefault="006F587A">
            <w:pPr>
              <w:rPr>
                <w:rFonts w:ascii="Times New Roman" w:hAnsi="Times New Roman"/>
                <w:sz w:val="20"/>
                <w:szCs w:val="20"/>
              </w:rPr>
            </w:pPr>
          </w:p>
        </w:tc>
        <w:tc>
          <w:tcPr>
            <w:tcW w:w="50" w:type="pct"/>
            <w:shd w:val="clear" w:color="auto" w:fill="auto"/>
            <w:vAlign w:val="center"/>
          </w:tcPr>
          <w:p w14:paraId="4ACE3847" w14:textId="77777777" w:rsidR="006F587A" w:rsidRDefault="006F587A">
            <w:pPr>
              <w:rPr>
                <w:rFonts w:ascii="Times New Roman" w:hAnsi="Times New Roman"/>
                <w:sz w:val="20"/>
                <w:szCs w:val="20"/>
              </w:rPr>
            </w:pPr>
          </w:p>
        </w:tc>
        <w:tc>
          <w:tcPr>
            <w:tcW w:w="50" w:type="pct"/>
            <w:shd w:val="clear" w:color="auto" w:fill="auto"/>
            <w:vAlign w:val="center"/>
          </w:tcPr>
          <w:p w14:paraId="4ACE3848" w14:textId="77777777" w:rsidR="006F587A" w:rsidRDefault="006F587A">
            <w:pPr>
              <w:rPr>
                <w:rFonts w:ascii="Times New Roman" w:hAnsi="Times New Roman"/>
                <w:sz w:val="20"/>
                <w:szCs w:val="20"/>
              </w:rPr>
            </w:pPr>
          </w:p>
        </w:tc>
        <w:tc>
          <w:tcPr>
            <w:tcW w:w="50" w:type="pct"/>
            <w:shd w:val="clear" w:color="auto" w:fill="auto"/>
            <w:vAlign w:val="center"/>
          </w:tcPr>
          <w:p w14:paraId="4ACE3849" w14:textId="77777777" w:rsidR="006F587A" w:rsidRDefault="006F587A">
            <w:pPr>
              <w:rPr>
                <w:rFonts w:ascii="Times New Roman" w:hAnsi="Times New Roman"/>
                <w:sz w:val="20"/>
                <w:szCs w:val="20"/>
              </w:rPr>
            </w:pPr>
          </w:p>
        </w:tc>
        <w:tc>
          <w:tcPr>
            <w:tcW w:w="450" w:type="pct"/>
            <w:shd w:val="clear" w:color="auto" w:fill="auto"/>
            <w:vAlign w:val="center"/>
          </w:tcPr>
          <w:p w14:paraId="4ACE384A" w14:textId="77777777" w:rsidR="006F587A" w:rsidRDefault="006F587A">
            <w:pPr>
              <w:rPr>
                <w:rFonts w:ascii="Times New Roman" w:hAnsi="Times New Roman"/>
                <w:sz w:val="20"/>
                <w:szCs w:val="20"/>
              </w:rPr>
            </w:pPr>
          </w:p>
        </w:tc>
        <w:tc>
          <w:tcPr>
            <w:tcW w:w="50" w:type="pct"/>
            <w:shd w:val="clear" w:color="auto" w:fill="auto"/>
            <w:vAlign w:val="center"/>
          </w:tcPr>
          <w:p w14:paraId="4ACE384B" w14:textId="77777777" w:rsidR="006F587A" w:rsidRDefault="006F587A">
            <w:pPr>
              <w:rPr>
                <w:rFonts w:ascii="Times New Roman" w:hAnsi="Times New Roman"/>
                <w:sz w:val="20"/>
                <w:szCs w:val="20"/>
              </w:rPr>
            </w:pPr>
          </w:p>
        </w:tc>
        <w:tc>
          <w:tcPr>
            <w:tcW w:w="50" w:type="pct"/>
            <w:shd w:val="clear" w:color="auto" w:fill="auto"/>
            <w:vAlign w:val="center"/>
          </w:tcPr>
          <w:p w14:paraId="4ACE384C" w14:textId="77777777" w:rsidR="006F587A" w:rsidRDefault="006F587A">
            <w:pPr>
              <w:rPr>
                <w:rFonts w:ascii="Times New Roman" w:hAnsi="Times New Roman"/>
                <w:sz w:val="20"/>
                <w:szCs w:val="20"/>
              </w:rPr>
            </w:pPr>
          </w:p>
        </w:tc>
        <w:tc>
          <w:tcPr>
            <w:tcW w:w="50" w:type="pct"/>
            <w:shd w:val="clear" w:color="auto" w:fill="auto"/>
            <w:vAlign w:val="center"/>
          </w:tcPr>
          <w:p w14:paraId="4ACE384D" w14:textId="77777777" w:rsidR="006F587A" w:rsidRDefault="006F587A">
            <w:pPr>
              <w:rPr>
                <w:rFonts w:ascii="Times New Roman" w:hAnsi="Times New Roman"/>
                <w:sz w:val="20"/>
                <w:szCs w:val="20"/>
              </w:rPr>
            </w:pPr>
          </w:p>
        </w:tc>
        <w:tc>
          <w:tcPr>
            <w:tcW w:w="450" w:type="pct"/>
            <w:shd w:val="clear" w:color="auto" w:fill="auto"/>
            <w:vAlign w:val="center"/>
          </w:tcPr>
          <w:p w14:paraId="4ACE384E" w14:textId="77777777" w:rsidR="006F587A" w:rsidRDefault="006F587A">
            <w:pPr>
              <w:rPr>
                <w:rFonts w:ascii="Times New Roman" w:hAnsi="Times New Roman"/>
                <w:sz w:val="20"/>
                <w:szCs w:val="20"/>
              </w:rPr>
            </w:pPr>
          </w:p>
        </w:tc>
        <w:tc>
          <w:tcPr>
            <w:tcW w:w="50" w:type="pct"/>
            <w:shd w:val="clear" w:color="auto" w:fill="auto"/>
            <w:vAlign w:val="center"/>
          </w:tcPr>
          <w:p w14:paraId="4ACE384F" w14:textId="77777777" w:rsidR="006F587A" w:rsidRDefault="006F587A">
            <w:pPr>
              <w:rPr>
                <w:rFonts w:ascii="Times New Roman" w:hAnsi="Times New Roman"/>
                <w:sz w:val="20"/>
                <w:szCs w:val="20"/>
              </w:rPr>
            </w:pPr>
          </w:p>
        </w:tc>
        <w:tc>
          <w:tcPr>
            <w:tcW w:w="50" w:type="pct"/>
            <w:shd w:val="clear" w:color="auto" w:fill="auto"/>
            <w:vAlign w:val="center"/>
          </w:tcPr>
          <w:p w14:paraId="4ACE3850" w14:textId="77777777" w:rsidR="006F587A" w:rsidRDefault="006F587A">
            <w:pPr>
              <w:rPr>
                <w:rFonts w:ascii="Times New Roman" w:hAnsi="Times New Roman"/>
                <w:sz w:val="20"/>
                <w:szCs w:val="20"/>
              </w:rPr>
            </w:pPr>
          </w:p>
        </w:tc>
        <w:tc>
          <w:tcPr>
            <w:tcW w:w="50" w:type="pct"/>
            <w:shd w:val="clear" w:color="auto" w:fill="auto"/>
            <w:vAlign w:val="center"/>
          </w:tcPr>
          <w:p w14:paraId="4ACE3851" w14:textId="77777777" w:rsidR="006F587A" w:rsidRDefault="006F587A">
            <w:pPr>
              <w:rPr>
                <w:rFonts w:ascii="Times New Roman" w:hAnsi="Times New Roman"/>
                <w:sz w:val="20"/>
                <w:szCs w:val="20"/>
              </w:rPr>
            </w:pPr>
          </w:p>
        </w:tc>
        <w:tc>
          <w:tcPr>
            <w:tcW w:w="450" w:type="pct"/>
            <w:shd w:val="clear" w:color="auto" w:fill="auto"/>
            <w:vAlign w:val="center"/>
          </w:tcPr>
          <w:p w14:paraId="4ACE3852" w14:textId="77777777" w:rsidR="006F587A" w:rsidRDefault="006F587A">
            <w:pPr>
              <w:rPr>
                <w:rFonts w:ascii="Times New Roman" w:hAnsi="Times New Roman"/>
                <w:sz w:val="20"/>
                <w:szCs w:val="20"/>
              </w:rPr>
            </w:pPr>
          </w:p>
        </w:tc>
        <w:tc>
          <w:tcPr>
            <w:tcW w:w="50" w:type="pct"/>
            <w:shd w:val="clear" w:color="auto" w:fill="auto"/>
            <w:vAlign w:val="center"/>
          </w:tcPr>
          <w:p w14:paraId="4ACE3853" w14:textId="77777777" w:rsidR="006F587A" w:rsidRDefault="006F587A">
            <w:pPr>
              <w:rPr>
                <w:rFonts w:ascii="Times New Roman" w:hAnsi="Times New Roman"/>
                <w:sz w:val="20"/>
                <w:szCs w:val="20"/>
              </w:rPr>
            </w:pPr>
          </w:p>
        </w:tc>
        <w:tc>
          <w:tcPr>
            <w:tcW w:w="50" w:type="pct"/>
            <w:shd w:val="clear" w:color="auto" w:fill="auto"/>
            <w:vAlign w:val="center"/>
          </w:tcPr>
          <w:p w14:paraId="4ACE3854" w14:textId="77777777" w:rsidR="006F587A" w:rsidRDefault="006F587A">
            <w:pPr>
              <w:rPr>
                <w:rFonts w:ascii="Times New Roman" w:hAnsi="Times New Roman"/>
                <w:sz w:val="20"/>
                <w:szCs w:val="20"/>
              </w:rPr>
            </w:pPr>
          </w:p>
        </w:tc>
        <w:tc>
          <w:tcPr>
            <w:tcW w:w="50" w:type="pct"/>
            <w:shd w:val="clear" w:color="auto" w:fill="auto"/>
            <w:vAlign w:val="center"/>
          </w:tcPr>
          <w:p w14:paraId="4ACE3855" w14:textId="77777777" w:rsidR="006F587A" w:rsidRDefault="006F587A">
            <w:pPr>
              <w:rPr>
                <w:rFonts w:ascii="Times New Roman" w:hAnsi="Times New Roman"/>
                <w:sz w:val="20"/>
                <w:szCs w:val="20"/>
              </w:rPr>
            </w:pPr>
          </w:p>
        </w:tc>
        <w:tc>
          <w:tcPr>
            <w:tcW w:w="450" w:type="pct"/>
            <w:shd w:val="clear" w:color="auto" w:fill="auto"/>
            <w:vAlign w:val="center"/>
          </w:tcPr>
          <w:p w14:paraId="4ACE3856" w14:textId="77777777" w:rsidR="006F587A" w:rsidRDefault="006F587A">
            <w:pPr>
              <w:rPr>
                <w:rFonts w:ascii="Times New Roman" w:hAnsi="Times New Roman"/>
                <w:sz w:val="20"/>
                <w:szCs w:val="20"/>
              </w:rPr>
            </w:pPr>
          </w:p>
        </w:tc>
        <w:tc>
          <w:tcPr>
            <w:tcW w:w="50" w:type="pct"/>
            <w:shd w:val="clear" w:color="auto" w:fill="auto"/>
            <w:vAlign w:val="center"/>
          </w:tcPr>
          <w:p w14:paraId="4ACE3857" w14:textId="77777777" w:rsidR="006F587A" w:rsidRDefault="006F587A">
            <w:pPr>
              <w:rPr>
                <w:rFonts w:ascii="Times New Roman" w:hAnsi="Times New Roman"/>
                <w:sz w:val="20"/>
                <w:szCs w:val="20"/>
              </w:rPr>
            </w:pPr>
          </w:p>
        </w:tc>
        <w:tc>
          <w:tcPr>
            <w:tcW w:w="50" w:type="pct"/>
            <w:shd w:val="clear" w:color="auto" w:fill="auto"/>
            <w:vAlign w:val="center"/>
          </w:tcPr>
          <w:p w14:paraId="4ACE3858" w14:textId="77777777" w:rsidR="006F587A" w:rsidRDefault="006F587A">
            <w:pPr>
              <w:rPr>
                <w:rFonts w:ascii="Times New Roman" w:hAnsi="Times New Roman"/>
                <w:sz w:val="20"/>
                <w:szCs w:val="20"/>
              </w:rPr>
            </w:pPr>
          </w:p>
        </w:tc>
        <w:tc>
          <w:tcPr>
            <w:tcW w:w="50" w:type="pct"/>
            <w:shd w:val="clear" w:color="auto" w:fill="auto"/>
            <w:vAlign w:val="center"/>
          </w:tcPr>
          <w:p w14:paraId="4ACE3859" w14:textId="77777777" w:rsidR="006F587A" w:rsidRDefault="006F587A">
            <w:pPr>
              <w:rPr>
                <w:rFonts w:ascii="Times New Roman" w:hAnsi="Times New Roman"/>
                <w:sz w:val="20"/>
                <w:szCs w:val="20"/>
              </w:rPr>
            </w:pPr>
          </w:p>
        </w:tc>
        <w:tc>
          <w:tcPr>
            <w:tcW w:w="450" w:type="pct"/>
            <w:shd w:val="clear" w:color="auto" w:fill="auto"/>
            <w:vAlign w:val="center"/>
          </w:tcPr>
          <w:p w14:paraId="4ACE385A" w14:textId="77777777" w:rsidR="006F587A" w:rsidRDefault="006F587A">
            <w:pPr>
              <w:rPr>
                <w:rFonts w:ascii="Times New Roman" w:hAnsi="Times New Roman"/>
                <w:sz w:val="20"/>
                <w:szCs w:val="20"/>
              </w:rPr>
            </w:pPr>
          </w:p>
        </w:tc>
        <w:tc>
          <w:tcPr>
            <w:tcW w:w="50" w:type="pct"/>
            <w:shd w:val="clear" w:color="auto" w:fill="auto"/>
            <w:vAlign w:val="center"/>
          </w:tcPr>
          <w:p w14:paraId="4ACE385B" w14:textId="77777777" w:rsidR="006F587A" w:rsidRDefault="006F587A">
            <w:pPr>
              <w:rPr>
                <w:rFonts w:ascii="Times New Roman" w:hAnsi="Times New Roman"/>
                <w:sz w:val="20"/>
                <w:szCs w:val="20"/>
              </w:rPr>
            </w:pPr>
          </w:p>
        </w:tc>
      </w:tr>
      <w:tr w:rsidR="006F587A" w14:paraId="4ACE386A"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385D"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Years Ended</w:t>
            </w:r>
          </w:p>
        </w:tc>
        <w:tc>
          <w:tcPr>
            <w:tcW w:w="0" w:type="auto"/>
            <w:shd w:val="clear" w:color="auto" w:fill="auto"/>
            <w:tcMar>
              <w:top w:w="40" w:type="dxa"/>
              <w:left w:w="40" w:type="dxa"/>
              <w:bottom w:w="40" w:type="dxa"/>
              <w:right w:w="40" w:type="dxa"/>
            </w:tcMar>
            <w:vAlign w:val="bottom"/>
          </w:tcPr>
          <w:p w14:paraId="4ACE385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385F"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27, </w:t>
            </w:r>
            <w:r>
              <w:rPr>
                <w:rFonts w:ascii="Arial" w:eastAsia="宋体" w:hAnsi="Arial" w:cs="Arial"/>
                <w:b/>
                <w:bCs/>
                <w:color w:val="333333"/>
                <w:sz w:val="18"/>
                <w:szCs w:val="18"/>
              </w:rPr>
              <w:br/>
              <w:t>2014</w:t>
            </w:r>
          </w:p>
        </w:tc>
        <w:tc>
          <w:tcPr>
            <w:tcW w:w="0" w:type="auto"/>
            <w:shd w:val="clear" w:color="auto" w:fill="auto"/>
            <w:tcMar>
              <w:top w:w="40" w:type="dxa"/>
              <w:left w:w="40" w:type="dxa"/>
              <w:bottom w:w="40" w:type="dxa"/>
              <w:right w:w="40" w:type="dxa"/>
            </w:tcMar>
            <w:vAlign w:val="bottom"/>
          </w:tcPr>
          <w:p w14:paraId="4ACE386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3861"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26, </w:t>
            </w:r>
            <w:r>
              <w:rPr>
                <w:rFonts w:ascii="Arial" w:eastAsia="宋体" w:hAnsi="Arial" w:cs="Arial"/>
                <w:b/>
                <w:bCs/>
                <w:color w:val="333333"/>
                <w:sz w:val="18"/>
                <w:szCs w:val="18"/>
              </w:rPr>
              <w:br/>
              <w:t>2015</w:t>
            </w:r>
          </w:p>
        </w:tc>
        <w:tc>
          <w:tcPr>
            <w:tcW w:w="0" w:type="auto"/>
            <w:shd w:val="clear" w:color="auto" w:fill="auto"/>
            <w:tcMar>
              <w:top w:w="40" w:type="dxa"/>
              <w:left w:w="40" w:type="dxa"/>
              <w:bottom w:w="40" w:type="dxa"/>
              <w:right w:w="40" w:type="dxa"/>
            </w:tcMar>
            <w:vAlign w:val="bottom"/>
          </w:tcPr>
          <w:p w14:paraId="4ACE386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3863"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31, </w:t>
            </w:r>
            <w:r>
              <w:rPr>
                <w:rFonts w:ascii="Arial" w:eastAsia="宋体" w:hAnsi="Arial" w:cs="Arial"/>
                <w:b/>
                <w:bCs/>
                <w:color w:val="333333"/>
                <w:sz w:val="18"/>
                <w:szCs w:val="18"/>
              </w:rPr>
              <w:br/>
              <w:t>2016</w:t>
            </w:r>
          </w:p>
        </w:tc>
        <w:tc>
          <w:tcPr>
            <w:tcW w:w="0" w:type="auto"/>
            <w:shd w:val="clear" w:color="auto" w:fill="auto"/>
            <w:tcMar>
              <w:top w:w="40" w:type="dxa"/>
              <w:left w:w="40" w:type="dxa"/>
              <w:bottom w:w="40" w:type="dxa"/>
              <w:right w:w="40" w:type="dxa"/>
            </w:tcMar>
            <w:vAlign w:val="bottom"/>
          </w:tcPr>
          <w:p w14:paraId="4ACE386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3865"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30, </w:t>
            </w:r>
            <w:r>
              <w:rPr>
                <w:rFonts w:ascii="Arial" w:eastAsia="宋体" w:hAnsi="Arial" w:cs="Arial"/>
                <w:b/>
                <w:bCs/>
                <w:color w:val="333333"/>
                <w:sz w:val="18"/>
                <w:szCs w:val="18"/>
              </w:rPr>
              <w:br/>
              <w:t>2017</w:t>
            </w:r>
          </w:p>
        </w:tc>
        <w:tc>
          <w:tcPr>
            <w:tcW w:w="0" w:type="auto"/>
            <w:shd w:val="clear" w:color="auto" w:fill="auto"/>
            <w:tcMar>
              <w:top w:w="40" w:type="dxa"/>
              <w:left w:w="40" w:type="dxa"/>
              <w:bottom w:w="40" w:type="dxa"/>
              <w:right w:w="40" w:type="dxa"/>
            </w:tcMar>
            <w:vAlign w:val="bottom"/>
          </w:tcPr>
          <w:p w14:paraId="4ACE386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3867"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29, </w:t>
            </w:r>
            <w:r>
              <w:rPr>
                <w:rFonts w:ascii="Arial" w:eastAsia="宋体" w:hAnsi="Arial" w:cs="Arial"/>
                <w:b/>
                <w:bCs/>
                <w:color w:val="333333"/>
                <w:sz w:val="18"/>
                <w:szCs w:val="18"/>
              </w:rPr>
              <w:br/>
              <w:t>2018</w:t>
            </w:r>
          </w:p>
        </w:tc>
        <w:tc>
          <w:tcPr>
            <w:tcW w:w="0" w:type="auto"/>
            <w:shd w:val="clear" w:color="auto" w:fill="auto"/>
            <w:tcMar>
              <w:top w:w="40" w:type="dxa"/>
              <w:left w:w="40" w:type="dxa"/>
              <w:bottom w:w="40" w:type="dxa"/>
              <w:right w:w="40" w:type="dxa"/>
            </w:tcMar>
            <w:vAlign w:val="bottom"/>
          </w:tcPr>
          <w:p w14:paraId="4ACE386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3869"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28, </w:t>
            </w:r>
            <w:r>
              <w:rPr>
                <w:rFonts w:ascii="Arial" w:eastAsia="宋体" w:hAnsi="Arial" w:cs="Arial"/>
                <w:b/>
                <w:bCs/>
                <w:color w:val="333333"/>
                <w:sz w:val="18"/>
                <w:szCs w:val="18"/>
              </w:rPr>
              <w:br/>
              <w:t>2019</w:t>
            </w:r>
          </w:p>
        </w:tc>
      </w:tr>
      <w:tr w:rsidR="006F587A" w14:paraId="4ACE3884" w14:textId="77777777">
        <w:tc>
          <w:tcPr>
            <w:tcW w:w="0" w:type="auto"/>
            <w:shd w:val="clear" w:color="auto" w:fill="auto"/>
            <w:tcMar>
              <w:top w:w="40" w:type="dxa"/>
              <w:left w:w="40" w:type="dxa"/>
              <w:bottom w:w="40" w:type="dxa"/>
              <w:right w:w="40" w:type="dxa"/>
            </w:tcMar>
            <w:vAlign w:val="bottom"/>
          </w:tcPr>
          <w:p w14:paraId="4ACE386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Intel Corporation</w:t>
            </w:r>
          </w:p>
        </w:tc>
        <w:tc>
          <w:tcPr>
            <w:tcW w:w="0" w:type="auto"/>
            <w:shd w:val="clear" w:color="auto" w:fill="auto"/>
            <w:tcMar>
              <w:top w:w="40" w:type="dxa"/>
              <w:left w:w="40" w:type="dxa"/>
              <w:bottom w:w="40" w:type="dxa"/>
              <w:right w:w="40" w:type="dxa"/>
            </w:tcMar>
            <w:vAlign w:val="bottom"/>
          </w:tcPr>
          <w:p w14:paraId="4ACE386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386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tcMar>
            <w:vAlign w:val="bottom"/>
          </w:tcPr>
          <w:p w14:paraId="4ACE386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100</w:t>
            </w:r>
          </w:p>
        </w:tc>
        <w:tc>
          <w:tcPr>
            <w:tcW w:w="0" w:type="auto"/>
            <w:tcBorders>
              <w:top w:val="single" w:sz="8" w:space="0" w:color="0071C5"/>
            </w:tcBorders>
            <w:shd w:val="clear" w:color="auto" w:fill="auto"/>
            <w:vAlign w:val="bottom"/>
          </w:tcPr>
          <w:p w14:paraId="4ACE386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87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387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tcMar>
            <w:vAlign w:val="bottom"/>
          </w:tcPr>
          <w:p w14:paraId="4ACE387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96</w:t>
            </w:r>
          </w:p>
        </w:tc>
        <w:tc>
          <w:tcPr>
            <w:tcW w:w="0" w:type="auto"/>
            <w:tcBorders>
              <w:top w:val="single" w:sz="8" w:space="0" w:color="0071C5"/>
            </w:tcBorders>
            <w:shd w:val="clear" w:color="auto" w:fill="auto"/>
            <w:vAlign w:val="bottom"/>
          </w:tcPr>
          <w:p w14:paraId="4ACE387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87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387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tcMar>
            <w:vAlign w:val="bottom"/>
          </w:tcPr>
          <w:p w14:paraId="4ACE387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103</w:t>
            </w:r>
          </w:p>
        </w:tc>
        <w:tc>
          <w:tcPr>
            <w:tcW w:w="0" w:type="auto"/>
            <w:tcBorders>
              <w:top w:val="single" w:sz="8" w:space="0" w:color="0071C5"/>
            </w:tcBorders>
            <w:shd w:val="clear" w:color="auto" w:fill="auto"/>
            <w:vAlign w:val="bottom"/>
          </w:tcPr>
          <w:p w14:paraId="4ACE387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87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387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tcMar>
            <w:vAlign w:val="bottom"/>
          </w:tcPr>
          <w:p w14:paraId="4ACE387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135</w:t>
            </w:r>
          </w:p>
        </w:tc>
        <w:tc>
          <w:tcPr>
            <w:tcW w:w="0" w:type="auto"/>
            <w:tcBorders>
              <w:top w:val="single" w:sz="8" w:space="0" w:color="0071C5"/>
            </w:tcBorders>
            <w:shd w:val="clear" w:color="auto" w:fill="auto"/>
            <w:vAlign w:val="bottom"/>
          </w:tcPr>
          <w:p w14:paraId="4ACE387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87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387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tcMar>
            <w:vAlign w:val="bottom"/>
          </w:tcPr>
          <w:p w14:paraId="4ACE387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140</w:t>
            </w:r>
          </w:p>
        </w:tc>
        <w:tc>
          <w:tcPr>
            <w:tcW w:w="0" w:type="auto"/>
            <w:tcBorders>
              <w:top w:val="single" w:sz="8" w:space="0" w:color="0071C5"/>
            </w:tcBorders>
            <w:shd w:val="clear" w:color="auto" w:fill="auto"/>
            <w:vAlign w:val="bottom"/>
          </w:tcPr>
          <w:p w14:paraId="4ACE387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88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881" w14:textId="77777777" w:rsidR="006F587A" w:rsidRDefault="007B2B61">
            <w:pPr>
              <w:textAlignment w:val="bottom"/>
              <w:rPr>
                <w:rFonts w:ascii="Times New Roman" w:hAnsi="Times New Roman"/>
                <w:sz w:val="18"/>
                <w:szCs w:val="18"/>
              </w:rPr>
            </w:pPr>
            <w:r>
              <w:rPr>
                <w:rFonts w:ascii="Arial" w:eastAsia="宋体" w:hAnsi="Arial" w:cs="Arial"/>
                <w:color w:val="0860A8"/>
                <w:sz w:val="18"/>
                <w:szCs w:val="18"/>
              </w:rPr>
              <w:t>$</w:t>
            </w:r>
          </w:p>
        </w:tc>
        <w:tc>
          <w:tcPr>
            <w:tcW w:w="0" w:type="auto"/>
            <w:shd w:val="clear" w:color="auto" w:fill="auto"/>
            <w:tcMar>
              <w:top w:w="40" w:type="dxa"/>
              <w:bottom w:w="40" w:type="dxa"/>
            </w:tcMar>
            <w:vAlign w:val="bottom"/>
          </w:tcPr>
          <w:p w14:paraId="4ACE3882" w14:textId="77777777" w:rsidR="006F587A" w:rsidRDefault="007B2B61">
            <w:pPr>
              <w:jc w:val="right"/>
              <w:textAlignment w:val="bottom"/>
              <w:rPr>
                <w:rFonts w:ascii="Times New Roman" w:hAnsi="Times New Roman"/>
                <w:sz w:val="18"/>
                <w:szCs w:val="18"/>
              </w:rPr>
            </w:pPr>
            <w:r>
              <w:rPr>
                <w:rFonts w:ascii="Arial" w:eastAsia="宋体" w:hAnsi="Arial" w:cs="Arial"/>
                <w:color w:val="0860A8"/>
                <w:sz w:val="18"/>
                <w:szCs w:val="18"/>
              </w:rPr>
              <w:t>184</w:t>
            </w:r>
          </w:p>
        </w:tc>
        <w:tc>
          <w:tcPr>
            <w:tcW w:w="0" w:type="auto"/>
            <w:shd w:val="clear" w:color="auto" w:fill="auto"/>
            <w:vAlign w:val="bottom"/>
          </w:tcPr>
          <w:p w14:paraId="4ACE3883" w14:textId="77777777" w:rsidR="006F587A" w:rsidRDefault="006F587A">
            <w:pPr>
              <w:textAlignment w:val="bottom"/>
              <w:rPr>
                <w:rFonts w:ascii="Times New Roman" w:hAnsi="Times New Roman"/>
                <w:sz w:val="20"/>
                <w:szCs w:val="20"/>
              </w:rPr>
            </w:pPr>
          </w:p>
        </w:tc>
      </w:tr>
      <w:tr w:rsidR="006F587A" w14:paraId="4ACE389E" w14:textId="77777777">
        <w:tc>
          <w:tcPr>
            <w:tcW w:w="0" w:type="auto"/>
            <w:shd w:val="clear" w:color="auto" w:fill="auto"/>
            <w:tcMar>
              <w:top w:w="40" w:type="dxa"/>
              <w:left w:w="40" w:type="dxa"/>
              <w:bottom w:w="40" w:type="dxa"/>
              <w:right w:w="40" w:type="dxa"/>
            </w:tcMar>
            <w:vAlign w:val="bottom"/>
          </w:tcPr>
          <w:p w14:paraId="4ACE388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S&amp;P 100 Index</w:t>
            </w:r>
          </w:p>
        </w:tc>
        <w:tc>
          <w:tcPr>
            <w:tcW w:w="0" w:type="auto"/>
            <w:shd w:val="clear" w:color="auto" w:fill="auto"/>
            <w:tcMar>
              <w:top w:w="40" w:type="dxa"/>
              <w:left w:w="40" w:type="dxa"/>
              <w:bottom w:w="40" w:type="dxa"/>
              <w:right w:w="40" w:type="dxa"/>
            </w:tcMar>
            <w:vAlign w:val="bottom"/>
          </w:tcPr>
          <w:p w14:paraId="4ACE388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88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88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100</w:t>
            </w:r>
          </w:p>
        </w:tc>
        <w:tc>
          <w:tcPr>
            <w:tcW w:w="0" w:type="auto"/>
            <w:shd w:val="clear" w:color="auto" w:fill="auto"/>
            <w:vAlign w:val="bottom"/>
          </w:tcPr>
          <w:p w14:paraId="4ACE388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88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88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88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102</w:t>
            </w:r>
          </w:p>
        </w:tc>
        <w:tc>
          <w:tcPr>
            <w:tcW w:w="0" w:type="auto"/>
            <w:shd w:val="clear" w:color="auto" w:fill="auto"/>
            <w:vAlign w:val="bottom"/>
          </w:tcPr>
          <w:p w14:paraId="4ACE388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88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88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890"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113</w:t>
            </w:r>
          </w:p>
        </w:tc>
        <w:tc>
          <w:tcPr>
            <w:tcW w:w="0" w:type="auto"/>
            <w:shd w:val="clear" w:color="auto" w:fill="auto"/>
            <w:vAlign w:val="bottom"/>
          </w:tcPr>
          <w:p w14:paraId="4ACE389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89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89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89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137</w:t>
            </w:r>
          </w:p>
        </w:tc>
        <w:tc>
          <w:tcPr>
            <w:tcW w:w="0" w:type="auto"/>
            <w:shd w:val="clear" w:color="auto" w:fill="auto"/>
            <w:vAlign w:val="bottom"/>
          </w:tcPr>
          <w:p w14:paraId="4ACE389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89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89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89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131</w:t>
            </w:r>
          </w:p>
        </w:tc>
        <w:tc>
          <w:tcPr>
            <w:tcW w:w="0" w:type="auto"/>
            <w:shd w:val="clear" w:color="auto" w:fill="auto"/>
            <w:vAlign w:val="bottom"/>
          </w:tcPr>
          <w:p w14:paraId="4ACE389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89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89B" w14:textId="77777777" w:rsidR="006F587A" w:rsidRDefault="007B2B61">
            <w:pPr>
              <w:textAlignment w:val="bottom"/>
              <w:rPr>
                <w:rFonts w:ascii="Times New Roman" w:hAnsi="Times New Roman"/>
                <w:sz w:val="18"/>
                <w:szCs w:val="18"/>
              </w:rPr>
            </w:pPr>
            <w:r>
              <w:rPr>
                <w:rFonts w:ascii="Arial" w:eastAsia="宋体" w:hAnsi="Arial" w:cs="Arial"/>
                <w:color w:val="0860A8"/>
                <w:sz w:val="18"/>
                <w:szCs w:val="18"/>
              </w:rPr>
              <w:t>$</w:t>
            </w:r>
          </w:p>
        </w:tc>
        <w:tc>
          <w:tcPr>
            <w:tcW w:w="0" w:type="auto"/>
            <w:shd w:val="clear" w:color="auto" w:fill="auto"/>
            <w:tcMar>
              <w:top w:w="40" w:type="dxa"/>
              <w:bottom w:w="40" w:type="dxa"/>
            </w:tcMar>
            <w:vAlign w:val="bottom"/>
          </w:tcPr>
          <w:p w14:paraId="4ACE389C" w14:textId="77777777" w:rsidR="006F587A" w:rsidRDefault="007B2B61">
            <w:pPr>
              <w:jc w:val="right"/>
              <w:textAlignment w:val="bottom"/>
              <w:rPr>
                <w:rFonts w:ascii="Times New Roman" w:hAnsi="Times New Roman"/>
                <w:sz w:val="18"/>
                <w:szCs w:val="18"/>
              </w:rPr>
            </w:pPr>
            <w:r>
              <w:rPr>
                <w:rFonts w:ascii="Arial" w:eastAsia="宋体" w:hAnsi="Arial" w:cs="Arial"/>
                <w:color w:val="0860A8"/>
                <w:sz w:val="18"/>
                <w:szCs w:val="18"/>
              </w:rPr>
              <w:t>175</w:t>
            </w:r>
          </w:p>
        </w:tc>
        <w:tc>
          <w:tcPr>
            <w:tcW w:w="0" w:type="auto"/>
            <w:shd w:val="clear" w:color="auto" w:fill="auto"/>
            <w:vAlign w:val="bottom"/>
          </w:tcPr>
          <w:p w14:paraId="4ACE389D" w14:textId="77777777" w:rsidR="006F587A" w:rsidRDefault="006F587A">
            <w:pPr>
              <w:textAlignment w:val="bottom"/>
              <w:rPr>
                <w:rFonts w:ascii="Times New Roman" w:hAnsi="Times New Roman"/>
                <w:sz w:val="20"/>
                <w:szCs w:val="20"/>
              </w:rPr>
            </w:pPr>
          </w:p>
        </w:tc>
      </w:tr>
      <w:tr w:rsidR="006F587A" w14:paraId="4ACE38B8" w14:textId="77777777">
        <w:tc>
          <w:tcPr>
            <w:tcW w:w="0" w:type="auto"/>
            <w:shd w:val="clear" w:color="auto" w:fill="auto"/>
            <w:tcMar>
              <w:top w:w="40" w:type="dxa"/>
              <w:left w:w="40" w:type="dxa"/>
              <w:bottom w:w="40" w:type="dxa"/>
              <w:right w:w="40" w:type="dxa"/>
            </w:tcMar>
            <w:vAlign w:val="bottom"/>
          </w:tcPr>
          <w:p w14:paraId="4ACE389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S&amp;P 500 Index</w:t>
            </w:r>
          </w:p>
        </w:tc>
        <w:tc>
          <w:tcPr>
            <w:tcW w:w="0" w:type="auto"/>
            <w:shd w:val="clear" w:color="auto" w:fill="auto"/>
            <w:tcMar>
              <w:top w:w="40" w:type="dxa"/>
              <w:left w:w="40" w:type="dxa"/>
              <w:bottom w:w="40" w:type="dxa"/>
              <w:right w:w="40" w:type="dxa"/>
            </w:tcMar>
            <w:vAlign w:val="bottom"/>
          </w:tcPr>
          <w:p w14:paraId="4ACE38A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8A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8A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100</w:t>
            </w:r>
          </w:p>
        </w:tc>
        <w:tc>
          <w:tcPr>
            <w:tcW w:w="0" w:type="auto"/>
            <w:shd w:val="clear" w:color="auto" w:fill="auto"/>
            <w:vAlign w:val="bottom"/>
          </w:tcPr>
          <w:p w14:paraId="4ACE38A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8A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8A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8A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101</w:t>
            </w:r>
          </w:p>
        </w:tc>
        <w:tc>
          <w:tcPr>
            <w:tcW w:w="0" w:type="auto"/>
            <w:shd w:val="clear" w:color="auto" w:fill="auto"/>
            <w:vAlign w:val="bottom"/>
          </w:tcPr>
          <w:p w14:paraId="4ACE38A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8A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8A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8A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112</w:t>
            </w:r>
          </w:p>
        </w:tc>
        <w:tc>
          <w:tcPr>
            <w:tcW w:w="0" w:type="auto"/>
            <w:shd w:val="clear" w:color="auto" w:fill="auto"/>
            <w:vAlign w:val="bottom"/>
          </w:tcPr>
          <w:p w14:paraId="4ACE38A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8A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8A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8A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136</w:t>
            </w:r>
          </w:p>
        </w:tc>
        <w:tc>
          <w:tcPr>
            <w:tcW w:w="0" w:type="auto"/>
            <w:shd w:val="clear" w:color="auto" w:fill="auto"/>
            <w:vAlign w:val="bottom"/>
          </w:tcPr>
          <w:p w14:paraId="4ACE38A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8B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8B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8B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129</w:t>
            </w:r>
          </w:p>
        </w:tc>
        <w:tc>
          <w:tcPr>
            <w:tcW w:w="0" w:type="auto"/>
            <w:shd w:val="clear" w:color="auto" w:fill="auto"/>
            <w:vAlign w:val="bottom"/>
          </w:tcPr>
          <w:p w14:paraId="4ACE38B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8B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8B5" w14:textId="77777777" w:rsidR="006F587A" w:rsidRDefault="007B2B61">
            <w:pPr>
              <w:textAlignment w:val="bottom"/>
              <w:rPr>
                <w:rFonts w:ascii="Times New Roman" w:hAnsi="Times New Roman"/>
                <w:sz w:val="18"/>
                <w:szCs w:val="18"/>
              </w:rPr>
            </w:pPr>
            <w:r>
              <w:rPr>
                <w:rFonts w:ascii="Arial" w:eastAsia="宋体" w:hAnsi="Arial" w:cs="Arial"/>
                <w:color w:val="0860A8"/>
                <w:sz w:val="18"/>
                <w:szCs w:val="18"/>
              </w:rPr>
              <w:t>$</w:t>
            </w:r>
          </w:p>
        </w:tc>
        <w:tc>
          <w:tcPr>
            <w:tcW w:w="0" w:type="auto"/>
            <w:shd w:val="clear" w:color="auto" w:fill="auto"/>
            <w:tcMar>
              <w:top w:w="40" w:type="dxa"/>
              <w:bottom w:w="40" w:type="dxa"/>
            </w:tcMar>
            <w:vAlign w:val="bottom"/>
          </w:tcPr>
          <w:p w14:paraId="4ACE38B6" w14:textId="77777777" w:rsidR="006F587A" w:rsidRDefault="007B2B61">
            <w:pPr>
              <w:jc w:val="right"/>
              <w:textAlignment w:val="bottom"/>
              <w:rPr>
                <w:rFonts w:ascii="Times New Roman" w:hAnsi="Times New Roman"/>
                <w:sz w:val="18"/>
                <w:szCs w:val="18"/>
              </w:rPr>
            </w:pPr>
            <w:r>
              <w:rPr>
                <w:rFonts w:ascii="Arial" w:eastAsia="宋体" w:hAnsi="Arial" w:cs="Arial"/>
                <w:color w:val="0860A8"/>
                <w:sz w:val="18"/>
                <w:szCs w:val="18"/>
              </w:rPr>
              <w:t>172</w:t>
            </w:r>
          </w:p>
        </w:tc>
        <w:tc>
          <w:tcPr>
            <w:tcW w:w="0" w:type="auto"/>
            <w:shd w:val="clear" w:color="auto" w:fill="auto"/>
            <w:vAlign w:val="bottom"/>
          </w:tcPr>
          <w:p w14:paraId="4ACE38B7" w14:textId="77777777" w:rsidR="006F587A" w:rsidRDefault="006F587A">
            <w:pPr>
              <w:textAlignment w:val="bottom"/>
              <w:rPr>
                <w:rFonts w:ascii="Times New Roman" w:hAnsi="Times New Roman"/>
                <w:sz w:val="20"/>
                <w:szCs w:val="20"/>
              </w:rPr>
            </w:pPr>
          </w:p>
        </w:tc>
      </w:tr>
      <w:tr w:rsidR="006F587A" w14:paraId="4ACE38D2" w14:textId="77777777">
        <w:tc>
          <w:tcPr>
            <w:tcW w:w="0" w:type="auto"/>
            <w:shd w:val="clear" w:color="auto" w:fill="auto"/>
            <w:tcMar>
              <w:top w:w="40" w:type="dxa"/>
              <w:left w:w="40" w:type="dxa"/>
              <w:bottom w:w="40" w:type="dxa"/>
              <w:right w:w="40" w:type="dxa"/>
            </w:tcMar>
            <w:vAlign w:val="bottom"/>
          </w:tcPr>
          <w:p w14:paraId="4ACE38B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S&amp;P 500 IT Index</w:t>
            </w:r>
          </w:p>
        </w:tc>
        <w:tc>
          <w:tcPr>
            <w:tcW w:w="0" w:type="auto"/>
            <w:shd w:val="clear" w:color="auto" w:fill="auto"/>
            <w:tcMar>
              <w:top w:w="40" w:type="dxa"/>
              <w:left w:w="40" w:type="dxa"/>
              <w:bottom w:w="40" w:type="dxa"/>
              <w:right w:w="40" w:type="dxa"/>
            </w:tcMar>
            <w:vAlign w:val="bottom"/>
          </w:tcPr>
          <w:p w14:paraId="4ACE38B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8B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8B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100</w:t>
            </w:r>
          </w:p>
        </w:tc>
        <w:tc>
          <w:tcPr>
            <w:tcW w:w="0" w:type="auto"/>
            <w:shd w:val="clear" w:color="auto" w:fill="auto"/>
            <w:vAlign w:val="bottom"/>
          </w:tcPr>
          <w:p w14:paraId="4ACE38B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8B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8B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8C0"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104</w:t>
            </w:r>
          </w:p>
        </w:tc>
        <w:tc>
          <w:tcPr>
            <w:tcW w:w="0" w:type="auto"/>
            <w:shd w:val="clear" w:color="auto" w:fill="auto"/>
            <w:vAlign w:val="bottom"/>
          </w:tcPr>
          <w:p w14:paraId="4ACE38C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8C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8C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8C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118</w:t>
            </w:r>
          </w:p>
        </w:tc>
        <w:tc>
          <w:tcPr>
            <w:tcW w:w="0" w:type="auto"/>
            <w:shd w:val="clear" w:color="auto" w:fill="auto"/>
            <w:vAlign w:val="bottom"/>
          </w:tcPr>
          <w:p w14:paraId="4ACE38C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8C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8C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8C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163</w:t>
            </w:r>
          </w:p>
        </w:tc>
        <w:tc>
          <w:tcPr>
            <w:tcW w:w="0" w:type="auto"/>
            <w:shd w:val="clear" w:color="auto" w:fill="auto"/>
            <w:vAlign w:val="bottom"/>
          </w:tcPr>
          <w:p w14:paraId="4ACE38C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8C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8C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8C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161</w:t>
            </w:r>
          </w:p>
        </w:tc>
        <w:tc>
          <w:tcPr>
            <w:tcW w:w="0" w:type="auto"/>
            <w:shd w:val="clear" w:color="auto" w:fill="auto"/>
            <w:vAlign w:val="bottom"/>
          </w:tcPr>
          <w:p w14:paraId="4ACE38C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8C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8CF" w14:textId="77777777" w:rsidR="006F587A" w:rsidRDefault="007B2B61">
            <w:pPr>
              <w:textAlignment w:val="bottom"/>
              <w:rPr>
                <w:rFonts w:ascii="Times New Roman" w:hAnsi="Times New Roman"/>
                <w:sz w:val="18"/>
                <w:szCs w:val="18"/>
              </w:rPr>
            </w:pPr>
            <w:r>
              <w:rPr>
                <w:rFonts w:ascii="Arial" w:eastAsia="宋体" w:hAnsi="Arial" w:cs="Arial"/>
                <w:color w:val="0860A8"/>
                <w:sz w:val="18"/>
                <w:szCs w:val="18"/>
              </w:rPr>
              <w:t>$</w:t>
            </w:r>
          </w:p>
        </w:tc>
        <w:tc>
          <w:tcPr>
            <w:tcW w:w="0" w:type="auto"/>
            <w:shd w:val="clear" w:color="auto" w:fill="auto"/>
            <w:tcMar>
              <w:top w:w="40" w:type="dxa"/>
              <w:bottom w:w="40" w:type="dxa"/>
            </w:tcMar>
            <w:vAlign w:val="bottom"/>
          </w:tcPr>
          <w:p w14:paraId="4ACE38D0" w14:textId="77777777" w:rsidR="006F587A" w:rsidRDefault="007B2B61">
            <w:pPr>
              <w:jc w:val="right"/>
              <w:textAlignment w:val="bottom"/>
              <w:rPr>
                <w:rFonts w:ascii="Times New Roman" w:hAnsi="Times New Roman"/>
                <w:sz w:val="18"/>
                <w:szCs w:val="18"/>
              </w:rPr>
            </w:pPr>
            <w:r>
              <w:rPr>
                <w:rFonts w:ascii="Arial" w:eastAsia="宋体" w:hAnsi="Arial" w:cs="Arial"/>
                <w:color w:val="0860A8"/>
                <w:sz w:val="18"/>
                <w:szCs w:val="18"/>
              </w:rPr>
              <w:t>246</w:t>
            </w:r>
          </w:p>
        </w:tc>
        <w:tc>
          <w:tcPr>
            <w:tcW w:w="0" w:type="auto"/>
            <w:shd w:val="clear" w:color="auto" w:fill="auto"/>
            <w:vAlign w:val="bottom"/>
          </w:tcPr>
          <w:p w14:paraId="4ACE38D1" w14:textId="77777777" w:rsidR="006F587A" w:rsidRDefault="006F587A">
            <w:pPr>
              <w:textAlignment w:val="bottom"/>
              <w:rPr>
                <w:rFonts w:ascii="Times New Roman" w:hAnsi="Times New Roman"/>
                <w:sz w:val="20"/>
                <w:szCs w:val="20"/>
              </w:rPr>
            </w:pPr>
          </w:p>
        </w:tc>
      </w:tr>
      <w:tr w:rsidR="006F587A" w14:paraId="4ACE38EC" w14:textId="77777777">
        <w:tc>
          <w:tcPr>
            <w:tcW w:w="0" w:type="auto"/>
            <w:shd w:val="clear" w:color="auto" w:fill="auto"/>
            <w:tcMar>
              <w:top w:w="40" w:type="dxa"/>
              <w:left w:w="40" w:type="dxa"/>
              <w:bottom w:w="40" w:type="dxa"/>
              <w:right w:w="40" w:type="dxa"/>
            </w:tcMar>
            <w:vAlign w:val="bottom"/>
          </w:tcPr>
          <w:p w14:paraId="4ACE38D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SOX Index</w:t>
            </w:r>
          </w:p>
        </w:tc>
        <w:tc>
          <w:tcPr>
            <w:tcW w:w="0" w:type="auto"/>
            <w:shd w:val="clear" w:color="auto" w:fill="auto"/>
            <w:tcMar>
              <w:top w:w="40" w:type="dxa"/>
              <w:left w:w="40" w:type="dxa"/>
              <w:bottom w:w="40" w:type="dxa"/>
              <w:right w:w="40" w:type="dxa"/>
            </w:tcMar>
            <w:vAlign w:val="bottom"/>
          </w:tcPr>
          <w:p w14:paraId="4ACE38D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8D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8D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100</w:t>
            </w:r>
          </w:p>
        </w:tc>
        <w:tc>
          <w:tcPr>
            <w:tcW w:w="0" w:type="auto"/>
            <w:shd w:val="clear" w:color="auto" w:fill="auto"/>
            <w:vAlign w:val="bottom"/>
          </w:tcPr>
          <w:p w14:paraId="4ACE38D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8D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8D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8D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99</w:t>
            </w:r>
          </w:p>
        </w:tc>
        <w:tc>
          <w:tcPr>
            <w:tcW w:w="0" w:type="auto"/>
            <w:shd w:val="clear" w:color="auto" w:fill="auto"/>
            <w:vAlign w:val="bottom"/>
          </w:tcPr>
          <w:p w14:paraId="4ACE38D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8D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8D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8D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135</w:t>
            </w:r>
          </w:p>
        </w:tc>
        <w:tc>
          <w:tcPr>
            <w:tcW w:w="0" w:type="auto"/>
            <w:shd w:val="clear" w:color="auto" w:fill="auto"/>
            <w:vAlign w:val="bottom"/>
          </w:tcPr>
          <w:p w14:paraId="4ACE38D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8E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8E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8E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190</w:t>
            </w:r>
          </w:p>
        </w:tc>
        <w:tc>
          <w:tcPr>
            <w:tcW w:w="0" w:type="auto"/>
            <w:shd w:val="clear" w:color="auto" w:fill="auto"/>
            <w:vAlign w:val="bottom"/>
          </w:tcPr>
          <w:p w14:paraId="4ACE38E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8E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8E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8E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177</w:t>
            </w:r>
          </w:p>
        </w:tc>
        <w:tc>
          <w:tcPr>
            <w:tcW w:w="0" w:type="auto"/>
            <w:shd w:val="clear" w:color="auto" w:fill="auto"/>
            <w:vAlign w:val="bottom"/>
          </w:tcPr>
          <w:p w14:paraId="4ACE38E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8E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8E9" w14:textId="77777777" w:rsidR="006F587A" w:rsidRDefault="007B2B61">
            <w:pPr>
              <w:textAlignment w:val="bottom"/>
              <w:rPr>
                <w:rFonts w:ascii="Times New Roman" w:hAnsi="Times New Roman"/>
                <w:sz w:val="18"/>
                <w:szCs w:val="18"/>
              </w:rPr>
            </w:pPr>
            <w:r>
              <w:rPr>
                <w:rFonts w:ascii="Arial" w:eastAsia="宋体" w:hAnsi="Arial" w:cs="Arial"/>
                <w:color w:val="0860A8"/>
                <w:sz w:val="18"/>
                <w:szCs w:val="18"/>
              </w:rPr>
              <w:t>$</w:t>
            </w:r>
          </w:p>
        </w:tc>
        <w:tc>
          <w:tcPr>
            <w:tcW w:w="0" w:type="auto"/>
            <w:shd w:val="clear" w:color="auto" w:fill="auto"/>
            <w:tcMar>
              <w:top w:w="40" w:type="dxa"/>
              <w:bottom w:w="40" w:type="dxa"/>
            </w:tcMar>
            <w:vAlign w:val="bottom"/>
          </w:tcPr>
          <w:p w14:paraId="4ACE38EA" w14:textId="77777777" w:rsidR="006F587A" w:rsidRDefault="007B2B61">
            <w:pPr>
              <w:jc w:val="right"/>
              <w:textAlignment w:val="bottom"/>
              <w:rPr>
                <w:rFonts w:ascii="Times New Roman" w:hAnsi="Times New Roman"/>
                <w:sz w:val="18"/>
                <w:szCs w:val="18"/>
              </w:rPr>
            </w:pPr>
            <w:r>
              <w:rPr>
                <w:rFonts w:ascii="Arial" w:eastAsia="宋体" w:hAnsi="Arial" w:cs="Arial"/>
                <w:color w:val="0860A8"/>
                <w:sz w:val="18"/>
                <w:szCs w:val="18"/>
              </w:rPr>
              <w:t>293</w:t>
            </w:r>
          </w:p>
        </w:tc>
        <w:tc>
          <w:tcPr>
            <w:tcW w:w="0" w:type="auto"/>
            <w:shd w:val="clear" w:color="auto" w:fill="auto"/>
            <w:vAlign w:val="bottom"/>
          </w:tcPr>
          <w:p w14:paraId="4ACE38EB" w14:textId="77777777" w:rsidR="006F587A" w:rsidRDefault="006F587A">
            <w:pPr>
              <w:textAlignment w:val="bottom"/>
              <w:rPr>
                <w:rFonts w:ascii="Times New Roman" w:hAnsi="Times New Roman"/>
                <w:sz w:val="20"/>
                <w:szCs w:val="20"/>
              </w:rPr>
            </w:pPr>
          </w:p>
        </w:tc>
      </w:tr>
    </w:tbl>
    <w:p w14:paraId="4ACE38ED" w14:textId="77777777" w:rsidR="006F587A" w:rsidRDefault="006F587A">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6F587A" w14:paraId="4ACE38F0" w14:textId="77777777">
        <w:trPr>
          <w:tblCellSpacing w:w="0" w:type="dxa"/>
        </w:trPr>
        <w:tc>
          <w:tcPr>
            <w:tcW w:w="720" w:type="dxa"/>
            <w:shd w:val="clear" w:color="auto" w:fill="auto"/>
            <w:vAlign w:val="center"/>
          </w:tcPr>
          <w:p w14:paraId="4ACE38EE" w14:textId="77777777" w:rsidR="006F587A" w:rsidRDefault="006F587A">
            <w:pPr>
              <w:rPr>
                <w:rFonts w:ascii="Times New Roman" w:hAnsi="Times New Roman"/>
                <w:sz w:val="20"/>
                <w:szCs w:val="20"/>
              </w:rPr>
            </w:pPr>
          </w:p>
        </w:tc>
        <w:tc>
          <w:tcPr>
            <w:tcW w:w="0" w:type="auto"/>
            <w:shd w:val="clear" w:color="auto" w:fill="auto"/>
            <w:vAlign w:val="center"/>
          </w:tcPr>
          <w:p w14:paraId="4ACE38EF" w14:textId="77777777" w:rsidR="006F587A" w:rsidRDefault="006F587A">
            <w:pPr>
              <w:rPr>
                <w:rFonts w:ascii="Times New Roman" w:hAnsi="Times New Roman"/>
                <w:sz w:val="20"/>
                <w:szCs w:val="20"/>
              </w:rPr>
            </w:pPr>
          </w:p>
        </w:tc>
      </w:tr>
      <w:tr w:rsidR="006F587A" w14:paraId="4ACE38F3" w14:textId="77777777">
        <w:trPr>
          <w:tblCellSpacing w:w="0" w:type="dxa"/>
        </w:trPr>
        <w:tc>
          <w:tcPr>
            <w:tcW w:w="0" w:type="auto"/>
            <w:shd w:val="clear" w:color="auto" w:fill="auto"/>
          </w:tcPr>
          <w:p w14:paraId="4ACE38F1"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0"/>
                <w:szCs w:val="10"/>
              </w:rPr>
              <w:t xml:space="preserve">1 </w:t>
            </w:r>
            <w:r>
              <w:rPr>
                <w:rFonts w:ascii="Arial" w:eastAsia="宋体" w:hAnsi="Arial" w:cs="Arial"/>
                <w:i/>
                <w:iCs/>
                <w:color w:val="333333"/>
                <w:sz w:val="16"/>
                <w:szCs w:val="16"/>
              </w:rPr>
              <w:t> </w:t>
            </w:r>
          </w:p>
        </w:tc>
        <w:tc>
          <w:tcPr>
            <w:tcW w:w="0" w:type="auto"/>
            <w:shd w:val="clear" w:color="auto" w:fill="auto"/>
          </w:tcPr>
          <w:p w14:paraId="4ACE38F2"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6"/>
                <w:szCs w:val="16"/>
              </w:rPr>
              <w:t xml:space="preserve">The graph and table assume that $100 was invested on the last day of trading for the fiscal year ended December 27, 2014 in Intel's common stock, the S&amp;P 100 Index, S&amp;P 500 Index, S&amp;P </w:t>
            </w:r>
            <w:r>
              <w:rPr>
                <w:rFonts w:ascii="Arial" w:eastAsia="宋体" w:hAnsi="Arial" w:cs="Arial"/>
                <w:i/>
                <w:iCs/>
                <w:color w:val="333333"/>
                <w:sz w:val="16"/>
                <w:szCs w:val="16"/>
              </w:rPr>
              <w:t>500 IT Index, and PHLX Semiconductor Sector Index (SOX), and that all dividends were reinvested.</w:t>
            </w:r>
          </w:p>
        </w:tc>
      </w:tr>
    </w:tbl>
    <w:p w14:paraId="4ACE38F4" w14:textId="77777777" w:rsidR="006F587A" w:rsidRDefault="007B2B61">
      <w:pPr>
        <w:spacing w:line="288" w:lineRule="auto"/>
        <w:rPr>
          <w:rFonts w:ascii="Times New Roman" w:hAnsi="Times New Roman"/>
        </w:rPr>
      </w:pPr>
      <w:r>
        <w:rPr>
          <w:rFonts w:ascii="Arial" w:eastAsia="宋体" w:hAnsi="Arial" w:cs="Arial"/>
          <w:b/>
          <w:bCs/>
          <w:color w:val="0071C5"/>
        </w:rPr>
        <w:t>ISSUER PURCHASES OF EQUITY SECURITIES</w:t>
      </w:r>
    </w:p>
    <w:p w14:paraId="4ACE38F5" w14:textId="77777777" w:rsidR="006F587A" w:rsidRDefault="007B2B61">
      <w:pPr>
        <w:spacing w:line="288" w:lineRule="auto"/>
        <w:rPr>
          <w:rFonts w:ascii="Times New Roman" w:hAnsi="Times New Roman"/>
          <w:sz w:val="20"/>
          <w:szCs w:val="20"/>
        </w:rPr>
      </w:pPr>
      <w:r>
        <w:rPr>
          <w:rFonts w:ascii="Arial" w:eastAsia="宋体" w:hAnsi="Arial" w:cs="Arial"/>
          <w:color w:val="333333"/>
          <w:sz w:val="18"/>
          <w:szCs w:val="18"/>
        </w:rPr>
        <w:t xml:space="preserve">We have an ongoing authorization, originally approved by our Board of Directors in 2005, and subsequently </w:t>
      </w:r>
      <w:r>
        <w:rPr>
          <w:rFonts w:ascii="Arial" w:eastAsia="宋体" w:hAnsi="Arial" w:cs="Arial"/>
          <w:color w:val="333333"/>
          <w:sz w:val="18"/>
          <w:szCs w:val="18"/>
        </w:rPr>
        <w:t>amended, to repurchase shares of our common stock in open market or negotiated transactions.</w:t>
      </w:r>
      <w:r>
        <w:rPr>
          <w:rFonts w:ascii="Times New Roman" w:eastAsia="宋体" w:hAnsi="Times New Roman"/>
          <w:sz w:val="20"/>
          <w:szCs w:val="20"/>
        </w:rPr>
        <w:t xml:space="preserve"> </w:t>
      </w:r>
      <w:r>
        <w:rPr>
          <w:rFonts w:ascii="Arial" w:eastAsia="宋体" w:hAnsi="Arial" w:cs="Arial"/>
          <w:color w:val="333333"/>
          <w:sz w:val="18"/>
          <w:szCs w:val="18"/>
        </w:rPr>
        <w:t xml:space="preserve">As of December 28, 2019, we were authorized to repurchase up to $110.0 billion, of which </w:t>
      </w:r>
      <w:r>
        <w:rPr>
          <w:rFonts w:ascii="Arial" w:eastAsia="宋体" w:hAnsi="Arial" w:cs="Arial"/>
          <w:color w:val="333333"/>
          <w:sz w:val="18"/>
          <w:szCs w:val="18"/>
        </w:rPr>
        <w:lastRenderedPageBreak/>
        <w:t>$23.8 billion remained available. This amount includes an increase of $20.</w:t>
      </w:r>
      <w:r>
        <w:rPr>
          <w:rFonts w:ascii="Arial" w:eastAsia="宋体" w:hAnsi="Arial" w:cs="Arial"/>
          <w:color w:val="333333"/>
          <w:sz w:val="18"/>
          <w:szCs w:val="18"/>
        </w:rPr>
        <w:t xml:space="preserve">0 billion in the authorization limit approved by our Board of Directors in October 2019. </w:t>
      </w:r>
    </w:p>
    <w:p w14:paraId="4ACE38F6" w14:textId="77777777" w:rsidR="006F587A" w:rsidRDefault="007B2B61">
      <w:pPr>
        <w:spacing w:line="288" w:lineRule="auto"/>
        <w:rPr>
          <w:rFonts w:ascii="Times New Roman" w:hAnsi="Times New Roman"/>
          <w:sz w:val="20"/>
          <w:szCs w:val="20"/>
        </w:rPr>
      </w:pPr>
      <w:r>
        <w:rPr>
          <w:rFonts w:ascii="Arial" w:eastAsia="宋体" w:hAnsi="Arial" w:cs="Arial"/>
          <w:color w:val="333333"/>
          <w:sz w:val="18"/>
          <w:szCs w:val="18"/>
        </w:rPr>
        <w:t>Common stock repurchase activity under our publicly announced stock repurchase program during each quarter of 2019 was as follows:</w:t>
      </w:r>
    </w:p>
    <w:tbl>
      <w:tblPr>
        <w:tblW w:w="5000" w:type="pct"/>
        <w:tblCellMar>
          <w:left w:w="0" w:type="dxa"/>
          <w:right w:w="0" w:type="dxa"/>
        </w:tblCellMar>
        <w:tblLook w:val="04A0" w:firstRow="1" w:lastRow="0" w:firstColumn="1" w:lastColumn="0" w:noHBand="0" w:noVBand="1"/>
      </w:tblPr>
      <w:tblGrid>
        <w:gridCol w:w="4277"/>
        <w:gridCol w:w="130"/>
        <w:gridCol w:w="1121"/>
        <w:gridCol w:w="66"/>
        <w:gridCol w:w="130"/>
        <w:gridCol w:w="142"/>
        <w:gridCol w:w="1018"/>
        <w:gridCol w:w="52"/>
        <w:gridCol w:w="130"/>
        <w:gridCol w:w="142"/>
        <w:gridCol w:w="1032"/>
        <w:gridCol w:w="66"/>
      </w:tblGrid>
      <w:tr w:rsidR="006F587A" w14:paraId="4ACE38F8" w14:textId="77777777">
        <w:tc>
          <w:tcPr>
            <w:tcW w:w="0" w:type="auto"/>
            <w:gridSpan w:val="12"/>
            <w:shd w:val="clear" w:color="auto" w:fill="auto"/>
            <w:vAlign w:val="center"/>
          </w:tcPr>
          <w:p w14:paraId="4ACE38F7" w14:textId="77777777" w:rsidR="006F587A" w:rsidRDefault="006F587A">
            <w:pPr>
              <w:rPr>
                <w:rFonts w:ascii="Times New Roman" w:hAnsi="Times New Roman"/>
                <w:sz w:val="20"/>
                <w:szCs w:val="20"/>
              </w:rPr>
            </w:pPr>
          </w:p>
        </w:tc>
      </w:tr>
      <w:tr w:rsidR="006F587A" w14:paraId="4ACE3905" w14:textId="77777777">
        <w:tc>
          <w:tcPr>
            <w:tcW w:w="2600" w:type="pct"/>
            <w:shd w:val="clear" w:color="auto" w:fill="auto"/>
            <w:vAlign w:val="center"/>
          </w:tcPr>
          <w:p w14:paraId="4ACE38F9" w14:textId="77777777" w:rsidR="006F587A" w:rsidRDefault="006F587A">
            <w:pPr>
              <w:rPr>
                <w:rFonts w:ascii="Times New Roman" w:hAnsi="Times New Roman"/>
                <w:sz w:val="20"/>
                <w:szCs w:val="20"/>
              </w:rPr>
            </w:pPr>
          </w:p>
        </w:tc>
        <w:tc>
          <w:tcPr>
            <w:tcW w:w="50" w:type="pct"/>
            <w:shd w:val="clear" w:color="auto" w:fill="auto"/>
            <w:vAlign w:val="center"/>
          </w:tcPr>
          <w:p w14:paraId="4ACE38FA" w14:textId="77777777" w:rsidR="006F587A" w:rsidRDefault="006F587A">
            <w:pPr>
              <w:rPr>
                <w:rFonts w:ascii="Times New Roman" w:hAnsi="Times New Roman"/>
                <w:sz w:val="20"/>
                <w:szCs w:val="20"/>
              </w:rPr>
            </w:pPr>
          </w:p>
        </w:tc>
        <w:tc>
          <w:tcPr>
            <w:tcW w:w="700" w:type="pct"/>
            <w:shd w:val="clear" w:color="auto" w:fill="auto"/>
            <w:vAlign w:val="center"/>
          </w:tcPr>
          <w:p w14:paraId="4ACE38FB" w14:textId="77777777" w:rsidR="006F587A" w:rsidRDefault="006F587A">
            <w:pPr>
              <w:rPr>
                <w:rFonts w:ascii="Times New Roman" w:hAnsi="Times New Roman"/>
                <w:sz w:val="20"/>
                <w:szCs w:val="20"/>
              </w:rPr>
            </w:pPr>
          </w:p>
        </w:tc>
        <w:tc>
          <w:tcPr>
            <w:tcW w:w="50" w:type="pct"/>
            <w:shd w:val="clear" w:color="auto" w:fill="auto"/>
            <w:vAlign w:val="center"/>
          </w:tcPr>
          <w:p w14:paraId="4ACE38FC" w14:textId="77777777" w:rsidR="006F587A" w:rsidRDefault="006F587A">
            <w:pPr>
              <w:rPr>
                <w:rFonts w:ascii="Times New Roman" w:hAnsi="Times New Roman"/>
                <w:sz w:val="20"/>
                <w:szCs w:val="20"/>
              </w:rPr>
            </w:pPr>
          </w:p>
        </w:tc>
        <w:tc>
          <w:tcPr>
            <w:tcW w:w="50" w:type="pct"/>
            <w:shd w:val="clear" w:color="auto" w:fill="auto"/>
            <w:vAlign w:val="center"/>
          </w:tcPr>
          <w:p w14:paraId="4ACE38FD" w14:textId="77777777" w:rsidR="006F587A" w:rsidRDefault="006F587A">
            <w:pPr>
              <w:rPr>
                <w:rFonts w:ascii="Times New Roman" w:hAnsi="Times New Roman"/>
                <w:sz w:val="20"/>
                <w:szCs w:val="20"/>
              </w:rPr>
            </w:pPr>
          </w:p>
        </w:tc>
        <w:tc>
          <w:tcPr>
            <w:tcW w:w="50" w:type="pct"/>
            <w:shd w:val="clear" w:color="auto" w:fill="auto"/>
            <w:vAlign w:val="center"/>
          </w:tcPr>
          <w:p w14:paraId="4ACE38FE" w14:textId="77777777" w:rsidR="006F587A" w:rsidRDefault="006F587A">
            <w:pPr>
              <w:rPr>
                <w:rFonts w:ascii="Times New Roman" w:hAnsi="Times New Roman"/>
                <w:sz w:val="20"/>
                <w:szCs w:val="20"/>
              </w:rPr>
            </w:pPr>
          </w:p>
        </w:tc>
        <w:tc>
          <w:tcPr>
            <w:tcW w:w="650" w:type="pct"/>
            <w:shd w:val="clear" w:color="auto" w:fill="auto"/>
            <w:vAlign w:val="center"/>
          </w:tcPr>
          <w:p w14:paraId="4ACE38FF" w14:textId="77777777" w:rsidR="006F587A" w:rsidRDefault="006F587A">
            <w:pPr>
              <w:rPr>
                <w:rFonts w:ascii="Times New Roman" w:hAnsi="Times New Roman"/>
                <w:sz w:val="20"/>
                <w:szCs w:val="20"/>
              </w:rPr>
            </w:pPr>
          </w:p>
        </w:tc>
        <w:tc>
          <w:tcPr>
            <w:tcW w:w="50" w:type="pct"/>
            <w:shd w:val="clear" w:color="auto" w:fill="auto"/>
            <w:vAlign w:val="center"/>
          </w:tcPr>
          <w:p w14:paraId="4ACE3900" w14:textId="77777777" w:rsidR="006F587A" w:rsidRDefault="006F587A">
            <w:pPr>
              <w:rPr>
                <w:rFonts w:ascii="Times New Roman" w:hAnsi="Times New Roman"/>
                <w:sz w:val="20"/>
                <w:szCs w:val="20"/>
              </w:rPr>
            </w:pPr>
          </w:p>
        </w:tc>
        <w:tc>
          <w:tcPr>
            <w:tcW w:w="50" w:type="pct"/>
            <w:shd w:val="clear" w:color="auto" w:fill="auto"/>
            <w:vAlign w:val="center"/>
          </w:tcPr>
          <w:p w14:paraId="4ACE3901" w14:textId="77777777" w:rsidR="006F587A" w:rsidRDefault="006F587A">
            <w:pPr>
              <w:rPr>
                <w:rFonts w:ascii="Times New Roman" w:hAnsi="Times New Roman"/>
                <w:sz w:val="20"/>
                <w:szCs w:val="20"/>
              </w:rPr>
            </w:pPr>
          </w:p>
        </w:tc>
        <w:tc>
          <w:tcPr>
            <w:tcW w:w="50" w:type="pct"/>
            <w:shd w:val="clear" w:color="auto" w:fill="auto"/>
            <w:vAlign w:val="center"/>
          </w:tcPr>
          <w:p w14:paraId="4ACE3902" w14:textId="77777777" w:rsidR="006F587A" w:rsidRDefault="006F587A">
            <w:pPr>
              <w:rPr>
                <w:rFonts w:ascii="Times New Roman" w:hAnsi="Times New Roman"/>
                <w:sz w:val="20"/>
                <w:szCs w:val="20"/>
              </w:rPr>
            </w:pPr>
          </w:p>
        </w:tc>
        <w:tc>
          <w:tcPr>
            <w:tcW w:w="650" w:type="pct"/>
            <w:shd w:val="clear" w:color="auto" w:fill="auto"/>
            <w:vAlign w:val="center"/>
          </w:tcPr>
          <w:p w14:paraId="4ACE3903" w14:textId="77777777" w:rsidR="006F587A" w:rsidRDefault="006F587A">
            <w:pPr>
              <w:rPr>
                <w:rFonts w:ascii="Times New Roman" w:hAnsi="Times New Roman"/>
                <w:sz w:val="20"/>
                <w:szCs w:val="20"/>
              </w:rPr>
            </w:pPr>
          </w:p>
        </w:tc>
        <w:tc>
          <w:tcPr>
            <w:tcW w:w="50" w:type="pct"/>
            <w:shd w:val="clear" w:color="auto" w:fill="auto"/>
            <w:vAlign w:val="center"/>
          </w:tcPr>
          <w:p w14:paraId="4ACE3904" w14:textId="77777777" w:rsidR="006F587A" w:rsidRDefault="006F587A">
            <w:pPr>
              <w:rPr>
                <w:rFonts w:ascii="Times New Roman" w:hAnsi="Times New Roman"/>
                <w:sz w:val="20"/>
                <w:szCs w:val="20"/>
              </w:rPr>
            </w:pPr>
          </w:p>
        </w:tc>
      </w:tr>
      <w:tr w:rsidR="006F587A" w14:paraId="4ACE3913"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3906"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Period</w:t>
            </w:r>
          </w:p>
        </w:tc>
        <w:tc>
          <w:tcPr>
            <w:tcW w:w="0" w:type="auto"/>
            <w:shd w:val="clear" w:color="auto" w:fill="auto"/>
            <w:tcMar>
              <w:top w:w="40" w:type="dxa"/>
              <w:left w:w="40" w:type="dxa"/>
              <w:bottom w:w="40" w:type="dxa"/>
              <w:right w:w="40" w:type="dxa"/>
            </w:tcMar>
            <w:vAlign w:val="bottom"/>
          </w:tcPr>
          <w:p w14:paraId="4ACE390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71C5"/>
            </w:tcBorders>
            <w:shd w:val="clear" w:color="auto" w:fill="auto"/>
            <w:tcMar>
              <w:top w:w="40" w:type="dxa"/>
              <w:left w:w="40" w:type="dxa"/>
              <w:bottom w:w="40" w:type="dxa"/>
              <w:right w:w="40" w:type="dxa"/>
            </w:tcMar>
            <w:vAlign w:val="bottom"/>
          </w:tcPr>
          <w:p w14:paraId="4ACE3908"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Total </w:t>
            </w:r>
            <w:r>
              <w:rPr>
                <w:rFonts w:ascii="Arial" w:eastAsia="宋体" w:hAnsi="Arial" w:cs="Arial"/>
                <w:b/>
                <w:bCs/>
                <w:color w:val="333333"/>
                <w:sz w:val="18"/>
                <w:szCs w:val="18"/>
              </w:rPr>
              <w:t>Number of</w:t>
            </w:r>
          </w:p>
          <w:p w14:paraId="4ACE3909"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Shares Purchased</w:t>
            </w:r>
          </w:p>
          <w:p w14:paraId="4ACE390A"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4ACE390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390C"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Average Price</w:t>
            </w:r>
          </w:p>
          <w:p w14:paraId="4ACE390D"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Paid Per Share</w:t>
            </w:r>
          </w:p>
        </w:tc>
        <w:tc>
          <w:tcPr>
            <w:tcW w:w="0" w:type="auto"/>
            <w:shd w:val="clear" w:color="auto" w:fill="auto"/>
            <w:tcMar>
              <w:top w:w="40" w:type="dxa"/>
              <w:left w:w="40" w:type="dxa"/>
              <w:bottom w:w="40" w:type="dxa"/>
              <w:right w:w="40" w:type="dxa"/>
            </w:tcMar>
            <w:vAlign w:val="bottom"/>
          </w:tcPr>
          <w:p w14:paraId="4ACE390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390F"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Dollar Value of</w:t>
            </w:r>
          </w:p>
          <w:p w14:paraId="4ACE3910"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Shares That May</w:t>
            </w:r>
          </w:p>
          <w:p w14:paraId="4ACE3911"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Yet Be Purchased Under the Program</w:t>
            </w:r>
          </w:p>
          <w:p w14:paraId="4ACE3912"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(In Millions)</w:t>
            </w:r>
          </w:p>
        </w:tc>
      </w:tr>
      <w:tr w:rsidR="006F587A" w14:paraId="4ACE3920" w14:textId="77777777">
        <w:tc>
          <w:tcPr>
            <w:tcW w:w="0" w:type="auto"/>
            <w:shd w:val="clear" w:color="auto" w:fill="auto"/>
            <w:tcMar>
              <w:top w:w="40" w:type="dxa"/>
              <w:left w:w="40" w:type="dxa"/>
              <w:bottom w:w="40" w:type="dxa"/>
              <w:right w:w="40" w:type="dxa"/>
            </w:tcMar>
            <w:vAlign w:val="bottom"/>
          </w:tcPr>
          <w:p w14:paraId="4ACE391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December 30, 2018 - March 30, 2019</w:t>
            </w:r>
          </w:p>
        </w:tc>
        <w:tc>
          <w:tcPr>
            <w:tcW w:w="0" w:type="auto"/>
            <w:shd w:val="clear" w:color="auto" w:fill="auto"/>
            <w:tcMar>
              <w:top w:w="40" w:type="dxa"/>
              <w:left w:w="40" w:type="dxa"/>
              <w:bottom w:w="40" w:type="dxa"/>
              <w:right w:w="40" w:type="dxa"/>
            </w:tcMar>
            <w:vAlign w:val="bottom"/>
          </w:tcPr>
          <w:p w14:paraId="4ACE391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916"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49.5</w:t>
            </w:r>
          </w:p>
        </w:tc>
        <w:tc>
          <w:tcPr>
            <w:tcW w:w="0" w:type="auto"/>
            <w:shd w:val="clear" w:color="auto" w:fill="auto"/>
            <w:vAlign w:val="bottom"/>
          </w:tcPr>
          <w:p w14:paraId="4ACE391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91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919"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391A"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49.49</w:t>
            </w:r>
          </w:p>
        </w:tc>
        <w:tc>
          <w:tcPr>
            <w:tcW w:w="0" w:type="auto"/>
            <w:shd w:val="clear" w:color="auto" w:fill="auto"/>
            <w:vAlign w:val="bottom"/>
          </w:tcPr>
          <w:p w14:paraId="4ACE391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91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91D"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bottom w:w="40" w:type="dxa"/>
            </w:tcMar>
            <w:vAlign w:val="bottom"/>
          </w:tcPr>
          <w:p w14:paraId="4ACE391E"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14,883</w:t>
            </w:r>
          </w:p>
        </w:tc>
        <w:tc>
          <w:tcPr>
            <w:tcW w:w="0" w:type="auto"/>
            <w:shd w:val="clear" w:color="auto" w:fill="auto"/>
            <w:vAlign w:val="bottom"/>
          </w:tcPr>
          <w:p w14:paraId="4ACE391F" w14:textId="77777777" w:rsidR="006F587A" w:rsidRDefault="006F587A">
            <w:pPr>
              <w:textAlignment w:val="bottom"/>
              <w:rPr>
                <w:rFonts w:ascii="Times New Roman" w:hAnsi="Times New Roman"/>
                <w:sz w:val="20"/>
                <w:szCs w:val="20"/>
              </w:rPr>
            </w:pPr>
          </w:p>
        </w:tc>
      </w:tr>
      <w:tr w:rsidR="006F587A" w14:paraId="4ACE392D" w14:textId="77777777">
        <w:tc>
          <w:tcPr>
            <w:tcW w:w="0" w:type="auto"/>
            <w:shd w:val="clear" w:color="auto" w:fill="auto"/>
            <w:tcMar>
              <w:top w:w="40" w:type="dxa"/>
              <w:left w:w="40" w:type="dxa"/>
              <w:bottom w:w="40" w:type="dxa"/>
              <w:right w:w="40" w:type="dxa"/>
            </w:tcMar>
            <w:vAlign w:val="bottom"/>
          </w:tcPr>
          <w:p w14:paraId="4ACE392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March 31, 2019 - June 29, </w:t>
            </w:r>
            <w:r>
              <w:rPr>
                <w:rFonts w:ascii="Arial" w:eastAsia="宋体" w:hAnsi="Arial" w:cs="Arial"/>
                <w:color w:val="333333"/>
                <w:sz w:val="18"/>
                <w:szCs w:val="18"/>
              </w:rPr>
              <w:t>2019</w:t>
            </w:r>
          </w:p>
        </w:tc>
        <w:tc>
          <w:tcPr>
            <w:tcW w:w="0" w:type="auto"/>
            <w:shd w:val="clear" w:color="auto" w:fill="auto"/>
            <w:tcMar>
              <w:top w:w="40" w:type="dxa"/>
              <w:left w:w="40" w:type="dxa"/>
              <w:bottom w:w="40" w:type="dxa"/>
              <w:right w:w="40" w:type="dxa"/>
            </w:tcMar>
            <w:vAlign w:val="bottom"/>
          </w:tcPr>
          <w:p w14:paraId="4ACE392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92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67.2</w:t>
            </w:r>
          </w:p>
        </w:tc>
        <w:tc>
          <w:tcPr>
            <w:tcW w:w="0" w:type="auto"/>
            <w:shd w:val="clear" w:color="auto" w:fill="auto"/>
            <w:vAlign w:val="bottom"/>
          </w:tcPr>
          <w:p w14:paraId="4ACE392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92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926"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3927"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46.78</w:t>
            </w:r>
          </w:p>
        </w:tc>
        <w:tc>
          <w:tcPr>
            <w:tcW w:w="0" w:type="auto"/>
            <w:shd w:val="clear" w:color="auto" w:fill="auto"/>
            <w:vAlign w:val="bottom"/>
          </w:tcPr>
          <w:p w14:paraId="4ACE392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92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92A"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bottom w:w="40" w:type="dxa"/>
            </w:tcMar>
            <w:vAlign w:val="bottom"/>
          </w:tcPr>
          <w:p w14:paraId="4ACE392B"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11,739</w:t>
            </w:r>
          </w:p>
        </w:tc>
        <w:tc>
          <w:tcPr>
            <w:tcW w:w="0" w:type="auto"/>
            <w:shd w:val="clear" w:color="auto" w:fill="auto"/>
            <w:vAlign w:val="bottom"/>
          </w:tcPr>
          <w:p w14:paraId="4ACE392C" w14:textId="77777777" w:rsidR="006F587A" w:rsidRDefault="006F587A">
            <w:pPr>
              <w:textAlignment w:val="bottom"/>
              <w:rPr>
                <w:rFonts w:ascii="Times New Roman" w:hAnsi="Times New Roman"/>
                <w:sz w:val="20"/>
                <w:szCs w:val="20"/>
              </w:rPr>
            </w:pPr>
          </w:p>
        </w:tc>
      </w:tr>
      <w:tr w:rsidR="006F587A" w14:paraId="4ACE393A" w14:textId="77777777">
        <w:tc>
          <w:tcPr>
            <w:tcW w:w="0" w:type="auto"/>
            <w:shd w:val="clear" w:color="auto" w:fill="auto"/>
            <w:tcMar>
              <w:top w:w="40" w:type="dxa"/>
              <w:left w:w="40" w:type="dxa"/>
              <w:bottom w:w="40" w:type="dxa"/>
              <w:right w:w="40" w:type="dxa"/>
            </w:tcMar>
            <w:vAlign w:val="bottom"/>
          </w:tcPr>
          <w:p w14:paraId="4ACE392E"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June 30, 2019 - September 28, 2019</w:t>
            </w:r>
          </w:p>
        </w:tc>
        <w:tc>
          <w:tcPr>
            <w:tcW w:w="0" w:type="auto"/>
            <w:shd w:val="clear" w:color="auto" w:fill="auto"/>
            <w:tcMar>
              <w:top w:w="40" w:type="dxa"/>
              <w:left w:w="40" w:type="dxa"/>
              <w:bottom w:w="40" w:type="dxa"/>
              <w:right w:w="40" w:type="dxa"/>
            </w:tcMar>
            <w:vAlign w:val="bottom"/>
          </w:tcPr>
          <w:p w14:paraId="4ACE392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930"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92.0</w:t>
            </w:r>
          </w:p>
        </w:tc>
        <w:tc>
          <w:tcPr>
            <w:tcW w:w="0" w:type="auto"/>
            <w:shd w:val="clear" w:color="auto" w:fill="auto"/>
            <w:vAlign w:val="bottom"/>
          </w:tcPr>
          <w:p w14:paraId="4ACE393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93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933"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3934"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48.78</w:t>
            </w:r>
          </w:p>
        </w:tc>
        <w:tc>
          <w:tcPr>
            <w:tcW w:w="0" w:type="auto"/>
            <w:shd w:val="clear" w:color="auto" w:fill="auto"/>
            <w:vAlign w:val="bottom"/>
          </w:tcPr>
          <w:p w14:paraId="4ACE393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93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937"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bottom w:w="40" w:type="dxa"/>
            </w:tcMar>
            <w:vAlign w:val="bottom"/>
          </w:tcPr>
          <w:p w14:paraId="4ACE3938"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7,249</w:t>
            </w:r>
          </w:p>
        </w:tc>
        <w:tc>
          <w:tcPr>
            <w:tcW w:w="0" w:type="auto"/>
            <w:shd w:val="clear" w:color="auto" w:fill="auto"/>
            <w:vAlign w:val="bottom"/>
          </w:tcPr>
          <w:p w14:paraId="4ACE3939" w14:textId="77777777" w:rsidR="006F587A" w:rsidRDefault="006F587A">
            <w:pPr>
              <w:textAlignment w:val="bottom"/>
              <w:rPr>
                <w:rFonts w:ascii="Times New Roman" w:hAnsi="Times New Roman"/>
                <w:sz w:val="20"/>
                <w:szCs w:val="20"/>
              </w:rPr>
            </w:pPr>
          </w:p>
        </w:tc>
      </w:tr>
      <w:tr w:rsidR="006F587A" w14:paraId="4ACE3947" w14:textId="77777777">
        <w:tc>
          <w:tcPr>
            <w:tcW w:w="0" w:type="auto"/>
            <w:shd w:val="clear" w:color="auto" w:fill="auto"/>
            <w:tcMar>
              <w:top w:w="40" w:type="dxa"/>
              <w:left w:w="40" w:type="dxa"/>
              <w:bottom w:w="40" w:type="dxa"/>
              <w:right w:w="40" w:type="dxa"/>
            </w:tcMar>
            <w:vAlign w:val="bottom"/>
          </w:tcPr>
          <w:p w14:paraId="4ACE393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September 29, 2019 - December 28, 2019</w:t>
            </w:r>
          </w:p>
        </w:tc>
        <w:tc>
          <w:tcPr>
            <w:tcW w:w="0" w:type="auto"/>
            <w:shd w:val="clear" w:color="auto" w:fill="auto"/>
            <w:tcMar>
              <w:top w:w="40" w:type="dxa"/>
              <w:left w:w="40" w:type="dxa"/>
              <w:bottom w:w="40" w:type="dxa"/>
              <w:right w:w="40" w:type="dxa"/>
            </w:tcMar>
            <w:vAlign w:val="bottom"/>
          </w:tcPr>
          <w:p w14:paraId="4ACE393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93D"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63.0</w:t>
            </w:r>
          </w:p>
        </w:tc>
        <w:tc>
          <w:tcPr>
            <w:tcW w:w="0" w:type="auto"/>
            <w:shd w:val="clear" w:color="auto" w:fill="auto"/>
            <w:vAlign w:val="bottom"/>
          </w:tcPr>
          <w:p w14:paraId="4ACE393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93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940"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3941"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55.32</w:t>
            </w:r>
          </w:p>
        </w:tc>
        <w:tc>
          <w:tcPr>
            <w:tcW w:w="0" w:type="auto"/>
            <w:shd w:val="clear" w:color="auto" w:fill="auto"/>
            <w:vAlign w:val="bottom"/>
          </w:tcPr>
          <w:p w14:paraId="4ACE394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94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944"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bottom w:w="40" w:type="dxa"/>
            </w:tcMar>
            <w:vAlign w:val="bottom"/>
          </w:tcPr>
          <w:p w14:paraId="4ACE3945"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23,768</w:t>
            </w:r>
          </w:p>
        </w:tc>
        <w:tc>
          <w:tcPr>
            <w:tcW w:w="0" w:type="auto"/>
            <w:shd w:val="clear" w:color="auto" w:fill="auto"/>
            <w:vAlign w:val="bottom"/>
          </w:tcPr>
          <w:p w14:paraId="4ACE3946" w14:textId="77777777" w:rsidR="006F587A" w:rsidRDefault="006F587A">
            <w:pPr>
              <w:textAlignment w:val="bottom"/>
              <w:rPr>
                <w:rFonts w:ascii="Times New Roman" w:hAnsi="Times New Roman"/>
                <w:sz w:val="20"/>
                <w:szCs w:val="20"/>
              </w:rPr>
            </w:pPr>
          </w:p>
        </w:tc>
      </w:tr>
      <w:tr w:rsidR="006F587A" w14:paraId="4ACE3950" w14:textId="77777777">
        <w:tc>
          <w:tcPr>
            <w:tcW w:w="0" w:type="auto"/>
            <w:shd w:val="clear" w:color="auto" w:fill="auto"/>
            <w:tcMar>
              <w:top w:w="40" w:type="dxa"/>
              <w:left w:w="40" w:type="dxa"/>
              <w:bottom w:w="40" w:type="dxa"/>
              <w:right w:w="40" w:type="dxa"/>
            </w:tcMar>
          </w:tcPr>
          <w:p w14:paraId="4ACE3948" w14:textId="77777777" w:rsidR="006F587A" w:rsidRDefault="007B2B61">
            <w:pPr>
              <w:textAlignment w:val="top"/>
              <w:rPr>
                <w:rFonts w:ascii="Times New Roman" w:hAnsi="Times New Roman"/>
                <w:sz w:val="18"/>
                <w:szCs w:val="18"/>
              </w:rPr>
            </w:pPr>
            <w:r>
              <w:rPr>
                <w:rFonts w:ascii="Arial" w:eastAsia="宋体" w:hAnsi="Arial" w:cs="Arial"/>
                <w:b/>
                <w:bCs/>
                <w:color w:val="333333"/>
                <w:sz w:val="18"/>
                <w:szCs w:val="18"/>
              </w:rPr>
              <w:t>Total</w:t>
            </w:r>
          </w:p>
        </w:tc>
        <w:tc>
          <w:tcPr>
            <w:tcW w:w="0" w:type="auto"/>
            <w:shd w:val="clear" w:color="auto" w:fill="auto"/>
            <w:tcMar>
              <w:top w:w="40" w:type="dxa"/>
              <w:left w:w="40" w:type="dxa"/>
              <w:bottom w:w="40" w:type="dxa"/>
              <w:right w:w="40" w:type="dxa"/>
            </w:tcMar>
            <w:vAlign w:val="bottom"/>
          </w:tcPr>
          <w:p w14:paraId="4ACE394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394A"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271.7</w:t>
            </w:r>
          </w:p>
        </w:tc>
        <w:tc>
          <w:tcPr>
            <w:tcW w:w="0" w:type="auto"/>
            <w:tcBorders>
              <w:top w:val="single" w:sz="8" w:space="0" w:color="333333"/>
              <w:bottom w:val="double" w:sz="6" w:space="0" w:color="333333"/>
            </w:tcBorders>
            <w:shd w:val="clear" w:color="auto" w:fill="auto"/>
            <w:vAlign w:val="bottom"/>
          </w:tcPr>
          <w:p w14:paraId="4ACE394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94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94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94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94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bl>
    <w:p w14:paraId="4ACE3951"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Common stock repurchase activity under our stock </w:t>
      </w:r>
      <w:r>
        <w:rPr>
          <w:rFonts w:ascii="Arial" w:eastAsia="宋体" w:hAnsi="Arial" w:cs="Arial"/>
          <w:color w:val="333333"/>
          <w:sz w:val="18"/>
          <w:szCs w:val="18"/>
        </w:rPr>
        <w:t>repurchase program during Q4 2019 was as follows:</w:t>
      </w:r>
    </w:p>
    <w:tbl>
      <w:tblPr>
        <w:tblW w:w="5000" w:type="pct"/>
        <w:jc w:val="center"/>
        <w:tblCellMar>
          <w:left w:w="0" w:type="dxa"/>
          <w:right w:w="0" w:type="dxa"/>
        </w:tblCellMar>
        <w:tblLook w:val="04A0" w:firstRow="1" w:lastRow="0" w:firstColumn="1" w:lastColumn="0" w:noHBand="0" w:noVBand="1"/>
      </w:tblPr>
      <w:tblGrid>
        <w:gridCol w:w="3628"/>
        <w:gridCol w:w="130"/>
        <w:gridCol w:w="1159"/>
        <w:gridCol w:w="82"/>
        <w:gridCol w:w="130"/>
        <w:gridCol w:w="142"/>
        <w:gridCol w:w="1170"/>
        <w:gridCol w:w="90"/>
        <w:gridCol w:w="130"/>
        <w:gridCol w:w="142"/>
        <w:gridCol w:w="1396"/>
        <w:gridCol w:w="107"/>
      </w:tblGrid>
      <w:tr w:rsidR="006F587A" w14:paraId="4ACE3953" w14:textId="77777777">
        <w:trPr>
          <w:jc w:val="center"/>
        </w:trPr>
        <w:tc>
          <w:tcPr>
            <w:tcW w:w="0" w:type="auto"/>
            <w:gridSpan w:val="12"/>
            <w:shd w:val="clear" w:color="auto" w:fill="auto"/>
            <w:vAlign w:val="center"/>
          </w:tcPr>
          <w:p w14:paraId="4ACE3952" w14:textId="77777777" w:rsidR="006F587A" w:rsidRDefault="006F587A">
            <w:pPr>
              <w:rPr>
                <w:rFonts w:ascii="Times New Roman" w:hAnsi="Times New Roman"/>
                <w:sz w:val="20"/>
                <w:szCs w:val="20"/>
              </w:rPr>
            </w:pPr>
          </w:p>
        </w:tc>
      </w:tr>
      <w:tr w:rsidR="006F587A" w14:paraId="4ACE3960" w14:textId="77777777">
        <w:trPr>
          <w:jc w:val="center"/>
        </w:trPr>
        <w:tc>
          <w:tcPr>
            <w:tcW w:w="2600" w:type="pct"/>
            <w:shd w:val="clear" w:color="auto" w:fill="auto"/>
            <w:vAlign w:val="center"/>
          </w:tcPr>
          <w:p w14:paraId="4ACE3954" w14:textId="77777777" w:rsidR="006F587A" w:rsidRDefault="006F587A">
            <w:pPr>
              <w:rPr>
                <w:rFonts w:ascii="Times New Roman" w:hAnsi="Times New Roman"/>
                <w:sz w:val="20"/>
                <w:szCs w:val="20"/>
              </w:rPr>
            </w:pPr>
          </w:p>
        </w:tc>
        <w:tc>
          <w:tcPr>
            <w:tcW w:w="50" w:type="pct"/>
            <w:shd w:val="clear" w:color="auto" w:fill="auto"/>
            <w:vAlign w:val="center"/>
          </w:tcPr>
          <w:p w14:paraId="4ACE3955" w14:textId="77777777" w:rsidR="006F587A" w:rsidRDefault="006F587A">
            <w:pPr>
              <w:rPr>
                <w:rFonts w:ascii="Times New Roman" w:hAnsi="Times New Roman"/>
                <w:sz w:val="20"/>
                <w:szCs w:val="20"/>
              </w:rPr>
            </w:pPr>
          </w:p>
        </w:tc>
        <w:tc>
          <w:tcPr>
            <w:tcW w:w="700" w:type="pct"/>
            <w:shd w:val="clear" w:color="auto" w:fill="auto"/>
            <w:vAlign w:val="center"/>
          </w:tcPr>
          <w:p w14:paraId="4ACE3956" w14:textId="77777777" w:rsidR="006F587A" w:rsidRDefault="006F587A">
            <w:pPr>
              <w:rPr>
                <w:rFonts w:ascii="Times New Roman" w:hAnsi="Times New Roman"/>
                <w:sz w:val="20"/>
                <w:szCs w:val="20"/>
              </w:rPr>
            </w:pPr>
          </w:p>
        </w:tc>
        <w:tc>
          <w:tcPr>
            <w:tcW w:w="50" w:type="pct"/>
            <w:shd w:val="clear" w:color="auto" w:fill="auto"/>
            <w:vAlign w:val="center"/>
          </w:tcPr>
          <w:p w14:paraId="4ACE3957" w14:textId="77777777" w:rsidR="006F587A" w:rsidRDefault="006F587A">
            <w:pPr>
              <w:rPr>
                <w:rFonts w:ascii="Times New Roman" w:hAnsi="Times New Roman"/>
                <w:sz w:val="20"/>
                <w:szCs w:val="20"/>
              </w:rPr>
            </w:pPr>
          </w:p>
        </w:tc>
        <w:tc>
          <w:tcPr>
            <w:tcW w:w="50" w:type="pct"/>
            <w:shd w:val="clear" w:color="auto" w:fill="auto"/>
            <w:vAlign w:val="center"/>
          </w:tcPr>
          <w:p w14:paraId="4ACE3958" w14:textId="77777777" w:rsidR="006F587A" w:rsidRDefault="006F587A">
            <w:pPr>
              <w:rPr>
                <w:rFonts w:ascii="Times New Roman" w:hAnsi="Times New Roman"/>
                <w:sz w:val="20"/>
                <w:szCs w:val="20"/>
              </w:rPr>
            </w:pPr>
          </w:p>
        </w:tc>
        <w:tc>
          <w:tcPr>
            <w:tcW w:w="50" w:type="pct"/>
            <w:shd w:val="clear" w:color="auto" w:fill="auto"/>
            <w:vAlign w:val="center"/>
          </w:tcPr>
          <w:p w14:paraId="4ACE3959" w14:textId="77777777" w:rsidR="006F587A" w:rsidRDefault="006F587A">
            <w:pPr>
              <w:rPr>
                <w:rFonts w:ascii="Times New Roman" w:hAnsi="Times New Roman"/>
                <w:sz w:val="20"/>
                <w:szCs w:val="20"/>
              </w:rPr>
            </w:pPr>
          </w:p>
        </w:tc>
        <w:tc>
          <w:tcPr>
            <w:tcW w:w="650" w:type="pct"/>
            <w:shd w:val="clear" w:color="auto" w:fill="auto"/>
            <w:vAlign w:val="center"/>
          </w:tcPr>
          <w:p w14:paraId="4ACE395A" w14:textId="77777777" w:rsidR="006F587A" w:rsidRDefault="006F587A">
            <w:pPr>
              <w:rPr>
                <w:rFonts w:ascii="Times New Roman" w:hAnsi="Times New Roman"/>
                <w:sz w:val="20"/>
                <w:szCs w:val="20"/>
              </w:rPr>
            </w:pPr>
          </w:p>
        </w:tc>
        <w:tc>
          <w:tcPr>
            <w:tcW w:w="50" w:type="pct"/>
            <w:shd w:val="clear" w:color="auto" w:fill="auto"/>
            <w:vAlign w:val="center"/>
          </w:tcPr>
          <w:p w14:paraId="4ACE395B" w14:textId="77777777" w:rsidR="006F587A" w:rsidRDefault="006F587A">
            <w:pPr>
              <w:rPr>
                <w:rFonts w:ascii="Times New Roman" w:hAnsi="Times New Roman"/>
                <w:sz w:val="20"/>
                <w:szCs w:val="20"/>
              </w:rPr>
            </w:pPr>
          </w:p>
        </w:tc>
        <w:tc>
          <w:tcPr>
            <w:tcW w:w="50" w:type="pct"/>
            <w:shd w:val="clear" w:color="auto" w:fill="auto"/>
            <w:vAlign w:val="center"/>
          </w:tcPr>
          <w:p w14:paraId="4ACE395C" w14:textId="77777777" w:rsidR="006F587A" w:rsidRDefault="006F587A">
            <w:pPr>
              <w:rPr>
                <w:rFonts w:ascii="Times New Roman" w:hAnsi="Times New Roman"/>
                <w:sz w:val="20"/>
                <w:szCs w:val="20"/>
              </w:rPr>
            </w:pPr>
          </w:p>
        </w:tc>
        <w:tc>
          <w:tcPr>
            <w:tcW w:w="50" w:type="pct"/>
            <w:shd w:val="clear" w:color="auto" w:fill="auto"/>
            <w:vAlign w:val="center"/>
          </w:tcPr>
          <w:p w14:paraId="4ACE395D" w14:textId="77777777" w:rsidR="006F587A" w:rsidRDefault="006F587A">
            <w:pPr>
              <w:rPr>
                <w:rFonts w:ascii="Times New Roman" w:hAnsi="Times New Roman"/>
                <w:sz w:val="20"/>
                <w:szCs w:val="20"/>
              </w:rPr>
            </w:pPr>
          </w:p>
        </w:tc>
        <w:tc>
          <w:tcPr>
            <w:tcW w:w="650" w:type="pct"/>
            <w:shd w:val="clear" w:color="auto" w:fill="auto"/>
            <w:vAlign w:val="center"/>
          </w:tcPr>
          <w:p w14:paraId="4ACE395E" w14:textId="77777777" w:rsidR="006F587A" w:rsidRDefault="006F587A">
            <w:pPr>
              <w:rPr>
                <w:rFonts w:ascii="Times New Roman" w:hAnsi="Times New Roman"/>
                <w:sz w:val="20"/>
                <w:szCs w:val="20"/>
              </w:rPr>
            </w:pPr>
          </w:p>
        </w:tc>
        <w:tc>
          <w:tcPr>
            <w:tcW w:w="50" w:type="pct"/>
            <w:shd w:val="clear" w:color="auto" w:fill="auto"/>
            <w:vAlign w:val="center"/>
          </w:tcPr>
          <w:p w14:paraId="4ACE395F" w14:textId="77777777" w:rsidR="006F587A" w:rsidRDefault="006F587A">
            <w:pPr>
              <w:rPr>
                <w:rFonts w:ascii="Times New Roman" w:hAnsi="Times New Roman"/>
                <w:sz w:val="20"/>
                <w:szCs w:val="20"/>
              </w:rPr>
            </w:pPr>
          </w:p>
        </w:tc>
      </w:tr>
      <w:tr w:rsidR="006F587A" w14:paraId="4ACE3968" w14:textId="77777777">
        <w:trPr>
          <w:jc w:val="center"/>
        </w:trPr>
        <w:tc>
          <w:tcPr>
            <w:tcW w:w="0" w:type="auto"/>
            <w:tcBorders>
              <w:bottom w:val="single" w:sz="8" w:space="0" w:color="0071C5"/>
            </w:tcBorders>
            <w:shd w:val="clear" w:color="auto" w:fill="auto"/>
            <w:tcMar>
              <w:top w:w="40" w:type="dxa"/>
              <w:left w:w="40" w:type="dxa"/>
              <w:bottom w:w="40" w:type="dxa"/>
              <w:right w:w="40" w:type="dxa"/>
            </w:tcMar>
            <w:vAlign w:val="bottom"/>
          </w:tcPr>
          <w:p w14:paraId="4ACE3961"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Period</w:t>
            </w:r>
          </w:p>
        </w:tc>
        <w:tc>
          <w:tcPr>
            <w:tcW w:w="0" w:type="auto"/>
            <w:shd w:val="clear" w:color="auto" w:fill="auto"/>
            <w:tcMar>
              <w:top w:w="40" w:type="dxa"/>
              <w:left w:w="40" w:type="dxa"/>
              <w:bottom w:w="40" w:type="dxa"/>
              <w:right w:w="40" w:type="dxa"/>
            </w:tcMar>
            <w:vAlign w:val="bottom"/>
          </w:tcPr>
          <w:p w14:paraId="4ACE396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71C5"/>
            </w:tcBorders>
            <w:shd w:val="clear" w:color="auto" w:fill="auto"/>
            <w:tcMar>
              <w:top w:w="40" w:type="dxa"/>
              <w:left w:w="40" w:type="dxa"/>
              <w:bottom w:w="40" w:type="dxa"/>
              <w:right w:w="40" w:type="dxa"/>
            </w:tcMar>
            <w:vAlign w:val="bottom"/>
          </w:tcPr>
          <w:p w14:paraId="4ACE3963"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Total Number</w:t>
            </w:r>
            <w:r>
              <w:rPr>
                <w:rFonts w:ascii="Arial" w:eastAsia="宋体" w:hAnsi="Arial" w:cs="Arial"/>
                <w:b/>
                <w:bCs/>
                <w:color w:val="333333"/>
                <w:sz w:val="18"/>
                <w:szCs w:val="18"/>
              </w:rPr>
              <w:br/>
              <w:t>of Shares</w:t>
            </w:r>
            <w:r>
              <w:rPr>
                <w:rFonts w:ascii="Arial" w:eastAsia="宋体" w:hAnsi="Arial" w:cs="Arial"/>
                <w:b/>
                <w:bCs/>
                <w:color w:val="333333"/>
                <w:sz w:val="18"/>
                <w:szCs w:val="18"/>
              </w:rPr>
              <w:br/>
              <w:t>Purchased</w:t>
            </w:r>
            <w:r>
              <w:rPr>
                <w:rFonts w:ascii="Arial" w:eastAsia="宋体" w:hAnsi="Arial" w:cs="Arial"/>
                <w:b/>
                <w:bCs/>
                <w:color w:val="333333"/>
                <w:sz w:val="18"/>
                <w:szCs w:val="18"/>
              </w:rPr>
              <w:br/>
              <w:t>(In Millions)</w:t>
            </w:r>
          </w:p>
        </w:tc>
        <w:tc>
          <w:tcPr>
            <w:tcW w:w="0" w:type="auto"/>
            <w:shd w:val="clear" w:color="auto" w:fill="auto"/>
            <w:tcMar>
              <w:top w:w="40" w:type="dxa"/>
              <w:left w:w="40" w:type="dxa"/>
              <w:bottom w:w="40" w:type="dxa"/>
              <w:right w:w="40" w:type="dxa"/>
            </w:tcMar>
            <w:vAlign w:val="bottom"/>
          </w:tcPr>
          <w:p w14:paraId="4ACE396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3965"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Average Price</w:t>
            </w:r>
            <w:r>
              <w:rPr>
                <w:rFonts w:ascii="Arial" w:eastAsia="宋体" w:hAnsi="Arial" w:cs="Arial"/>
                <w:b/>
                <w:bCs/>
                <w:color w:val="333333"/>
                <w:sz w:val="18"/>
                <w:szCs w:val="18"/>
              </w:rPr>
              <w:br/>
              <w:t>Paid Per Share</w:t>
            </w:r>
          </w:p>
        </w:tc>
        <w:tc>
          <w:tcPr>
            <w:tcW w:w="0" w:type="auto"/>
            <w:shd w:val="clear" w:color="auto" w:fill="auto"/>
            <w:tcMar>
              <w:top w:w="40" w:type="dxa"/>
              <w:left w:w="40" w:type="dxa"/>
              <w:bottom w:w="40" w:type="dxa"/>
              <w:right w:w="40" w:type="dxa"/>
            </w:tcMar>
            <w:vAlign w:val="bottom"/>
          </w:tcPr>
          <w:p w14:paraId="4ACE396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3967"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Dollar Value of</w:t>
            </w:r>
            <w:r>
              <w:rPr>
                <w:rFonts w:ascii="Arial" w:eastAsia="宋体" w:hAnsi="Arial" w:cs="Arial"/>
                <w:b/>
                <w:bCs/>
                <w:color w:val="333333"/>
                <w:sz w:val="18"/>
                <w:szCs w:val="18"/>
              </w:rPr>
              <w:br/>
              <w:t>Shares That May</w:t>
            </w:r>
            <w:r>
              <w:rPr>
                <w:rFonts w:ascii="Arial" w:eastAsia="宋体" w:hAnsi="Arial" w:cs="Arial"/>
                <w:b/>
                <w:bCs/>
                <w:color w:val="333333"/>
                <w:sz w:val="18"/>
                <w:szCs w:val="18"/>
              </w:rPr>
              <w:br/>
              <w:t>Yet Be Purchased</w:t>
            </w:r>
            <w:r>
              <w:rPr>
                <w:rFonts w:ascii="Arial" w:eastAsia="宋体" w:hAnsi="Arial" w:cs="Arial"/>
                <w:b/>
                <w:bCs/>
                <w:color w:val="333333"/>
                <w:sz w:val="18"/>
                <w:szCs w:val="18"/>
              </w:rPr>
              <w:br/>
              <w:t>Under the </w:t>
            </w:r>
            <w:r>
              <w:rPr>
                <w:rFonts w:ascii="Arial" w:eastAsia="宋体" w:hAnsi="Arial" w:cs="Arial"/>
                <w:b/>
                <w:bCs/>
                <w:color w:val="333333"/>
                <w:sz w:val="18"/>
                <w:szCs w:val="18"/>
              </w:rPr>
              <w:br/>
              <w:t>Program</w:t>
            </w:r>
            <w:r>
              <w:rPr>
                <w:rFonts w:ascii="Arial" w:eastAsia="宋体" w:hAnsi="Arial" w:cs="Arial"/>
                <w:b/>
                <w:bCs/>
                <w:color w:val="333333"/>
                <w:sz w:val="18"/>
                <w:szCs w:val="18"/>
              </w:rPr>
              <w:br/>
              <w:t>(In Millions)</w:t>
            </w:r>
          </w:p>
        </w:tc>
      </w:tr>
      <w:tr w:rsidR="006F587A" w14:paraId="4ACE3975" w14:textId="77777777">
        <w:trPr>
          <w:jc w:val="center"/>
        </w:trPr>
        <w:tc>
          <w:tcPr>
            <w:tcW w:w="0" w:type="auto"/>
            <w:shd w:val="clear" w:color="auto" w:fill="auto"/>
            <w:tcMar>
              <w:top w:w="40" w:type="dxa"/>
              <w:left w:w="40" w:type="dxa"/>
              <w:bottom w:w="40" w:type="dxa"/>
              <w:right w:w="40" w:type="dxa"/>
            </w:tcMar>
            <w:vAlign w:val="bottom"/>
          </w:tcPr>
          <w:p w14:paraId="4ACE396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September 29, </w:t>
            </w:r>
            <w:r>
              <w:rPr>
                <w:rFonts w:ascii="Arial" w:eastAsia="宋体" w:hAnsi="Arial" w:cs="Arial"/>
                <w:color w:val="333333"/>
                <w:sz w:val="18"/>
                <w:szCs w:val="18"/>
              </w:rPr>
              <w:t>2019 - October 26, 2019</w:t>
            </w:r>
          </w:p>
        </w:tc>
        <w:tc>
          <w:tcPr>
            <w:tcW w:w="0" w:type="auto"/>
            <w:shd w:val="clear" w:color="auto" w:fill="auto"/>
            <w:tcMar>
              <w:top w:w="40" w:type="dxa"/>
              <w:left w:w="40" w:type="dxa"/>
              <w:bottom w:w="40" w:type="dxa"/>
              <w:right w:w="40" w:type="dxa"/>
            </w:tcMar>
            <w:vAlign w:val="bottom"/>
          </w:tcPr>
          <w:p w14:paraId="4ACE396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96B"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24.0</w:t>
            </w:r>
          </w:p>
        </w:tc>
        <w:tc>
          <w:tcPr>
            <w:tcW w:w="0" w:type="auto"/>
            <w:shd w:val="clear" w:color="auto" w:fill="auto"/>
            <w:vAlign w:val="bottom"/>
          </w:tcPr>
          <w:p w14:paraId="4ACE396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96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96E"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396F"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51.37</w:t>
            </w:r>
          </w:p>
        </w:tc>
        <w:tc>
          <w:tcPr>
            <w:tcW w:w="0" w:type="auto"/>
            <w:shd w:val="clear" w:color="auto" w:fill="auto"/>
            <w:vAlign w:val="bottom"/>
          </w:tcPr>
          <w:p w14:paraId="4ACE397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97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972"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bottom w:w="40" w:type="dxa"/>
            </w:tcMar>
            <w:vAlign w:val="bottom"/>
          </w:tcPr>
          <w:p w14:paraId="4ACE3973"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26,021</w:t>
            </w:r>
          </w:p>
        </w:tc>
        <w:tc>
          <w:tcPr>
            <w:tcW w:w="0" w:type="auto"/>
            <w:shd w:val="clear" w:color="auto" w:fill="auto"/>
            <w:vAlign w:val="bottom"/>
          </w:tcPr>
          <w:p w14:paraId="4ACE3974" w14:textId="77777777" w:rsidR="006F587A" w:rsidRDefault="006F587A">
            <w:pPr>
              <w:textAlignment w:val="bottom"/>
              <w:rPr>
                <w:rFonts w:ascii="Times New Roman" w:hAnsi="Times New Roman"/>
                <w:sz w:val="20"/>
                <w:szCs w:val="20"/>
              </w:rPr>
            </w:pPr>
          </w:p>
        </w:tc>
      </w:tr>
      <w:tr w:rsidR="006F587A" w14:paraId="4ACE3982" w14:textId="77777777">
        <w:trPr>
          <w:jc w:val="center"/>
        </w:trPr>
        <w:tc>
          <w:tcPr>
            <w:tcW w:w="0" w:type="auto"/>
            <w:shd w:val="clear" w:color="auto" w:fill="auto"/>
            <w:tcMar>
              <w:top w:w="40" w:type="dxa"/>
              <w:left w:w="40" w:type="dxa"/>
              <w:bottom w:w="40" w:type="dxa"/>
              <w:right w:w="40" w:type="dxa"/>
            </w:tcMar>
            <w:vAlign w:val="bottom"/>
          </w:tcPr>
          <w:p w14:paraId="4ACE397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October 27, 2019 - November 23, 2019</w:t>
            </w:r>
          </w:p>
        </w:tc>
        <w:tc>
          <w:tcPr>
            <w:tcW w:w="0" w:type="auto"/>
            <w:shd w:val="clear" w:color="auto" w:fill="auto"/>
            <w:tcMar>
              <w:top w:w="40" w:type="dxa"/>
              <w:left w:w="40" w:type="dxa"/>
              <w:bottom w:w="40" w:type="dxa"/>
              <w:right w:w="40" w:type="dxa"/>
            </w:tcMar>
            <w:vAlign w:val="bottom"/>
          </w:tcPr>
          <w:p w14:paraId="4ACE397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978"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16.2</w:t>
            </w:r>
          </w:p>
        </w:tc>
        <w:tc>
          <w:tcPr>
            <w:tcW w:w="0" w:type="auto"/>
            <w:shd w:val="clear" w:color="auto" w:fill="auto"/>
            <w:vAlign w:val="bottom"/>
          </w:tcPr>
          <w:p w14:paraId="4ACE397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97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97B"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397C"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57.67</w:t>
            </w:r>
          </w:p>
        </w:tc>
        <w:tc>
          <w:tcPr>
            <w:tcW w:w="0" w:type="auto"/>
            <w:shd w:val="clear" w:color="auto" w:fill="auto"/>
            <w:vAlign w:val="bottom"/>
          </w:tcPr>
          <w:p w14:paraId="4ACE397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97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97F"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bottom w:w="40" w:type="dxa"/>
            </w:tcMar>
            <w:vAlign w:val="bottom"/>
          </w:tcPr>
          <w:p w14:paraId="4ACE3980"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25,088</w:t>
            </w:r>
          </w:p>
        </w:tc>
        <w:tc>
          <w:tcPr>
            <w:tcW w:w="0" w:type="auto"/>
            <w:shd w:val="clear" w:color="auto" w:fill="auto"/>
            <w:vAlign w:val="bottom"/>
          </w:tcPr>
          <w:p w14:paraId="4ACE3981" w14:textId="77777777" w:rsidR="006F587A" w:rsidRDefault="006F587A">
            <w:pPr>
              <w:textAlignment w:val="bottom"/>
              <w:rPr>
                <w:rFonts w:ascii="Times New Roman" w:hAnsi="Times New Roman"/>
                <w:sz w:val="20"/>
                <w:szCs w:val="20"/>
              </w:rPr>
            </w:pPr>
          </w:p>
        </w:tc>
      </w:tr>
      <w:tr w:rsidR="006F587A" w14:paraId="4ACE398F" w14:textId="77777777">
        <w:trPr>
          <w:jc w:val="center"/>
        </w:trPr>
        <w:tc>
          <w:tcPr>
            <w:tcW w:w="0" w:type="auto"/>
            <w:shd w:val="clear" w:color="auto" w:fill="auto"/>
            <w:tcMar>
              <w:top w:w="40" w:type="dxa"/>
              <w:left w:w="40" w:type="dxa"/>
              <w:bottom w:w="40" w:type="dxa"/>
              <w:right w:w="40" w:type="dxa"/>
            </w:tcMar>
            <w:vAlign w:val="bottom"/>
          </w:tcPr>
          <w:p w14:paraId="4ACE398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November 24, 2019 - December 28, 2019</w:t>
            </w:r>
          </w:p>
        </w:tc>
        <w:tc>
          <w:tcPr>
            <w:tcW w:w="0" w:type="auto"/>
            <w:shd w:val="clear" w:color="auto" w:fill="auto"/>
            <w:tcMar>
              <w:top w:w="40" w:type="dxa"/>
              <w:left w:w="40" w:type="dxa"/>
              <w:bottom w:w="40" w:type="dxa"/>
              <w:right w:w="40" w:type="dxa"/>
            </w:tcMar>
            <w:vAlign w:val="bottom"/>
          </w:tcPr>
          <w:p w14:paraId="4ACE398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985"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22.8</w:t>
            </w:r>
          </w:p>
        </w:tc>
        <w:tc>
          <w:tcPr>
            <w:tcW w:w="0" w:type="auto"/>
            <w:shd w:val="clear" w:color="auto" w:fill="auto"/>
            <w:vAlign w:val="bottom"/>
          </w:tcPr>
          <w:p w14:paraId="4ACE398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98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988"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3989"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57.79</w:t>
            </w:r>
          </w:p>
        </w:tc>
        <w:tc>
          <w:tcPr>
            <w:tcW w:w="0" w:type="auto"/>
            <w:shd w:val="clear" w:color="auto" w:fill="auto"/>
            <w:vAlign w:val="bottom"/>
          </w:tcPr>
          <w:p w14:paraId="4ACE398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98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98C"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bottom w:w="40" w:type="dxa"/>
            </w:tcMar>
            <w:vAlign w:val="bottom"/>
          </w:tcPr>
          <w:p w14:paraId="4ACE398D"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23,768</w:t>
            </w:r>
          </w:p>
        </w:tc>
        <w:tc>
          <w:tcPr>
            <w:tcW w:w="0" w:type="auto"/>
            <w:shd w:val="clear" w:color="auto" w:fill="auto"/>
            <w:vAlign w:val="bottom"/>
          </w:tcPr>
          <w:p w14:paraId="4ACE398E" w14:textId="77777777" w:rsidR="006F587A" w:rsidRDefault="006F587A">
            <w:pPr>
              <w:textAlignment w:val="bottom"/>
              <w:rPr>
                <w:rFonts w:ascii="Times New Roman" w:hAnsi="Times New Roman"/>
                <w:sz w:val="20"/>
                <w:szCs w:val="20"/>
              </w:rPr>
            </w:pPr>
          </w:p>
        </w:tc>
      </w:tr>
      <w:tr w:rsidR="006F587A" w14:paraId="4ACE3998" w14:textId="77777777">
        <w:trPr>
          <w:jc w:val="center"/>
        </w:trPr>
        <w:tc>
          <w:tcPr>
            <w:tcW w:w="0" w:type="auto"/>
            <w:shd w:val="clear" w:color="auto" w:fill="auto"/>
            <w:tcMar>
              <w:top w:w="40" w:type="dxa"/>
              <w:left w:w="40" w:type="dxa"/>
              <w:bottom w:w="40" w:type="dxa"/>
              <w:right w:w="40" w:type="dxa"/>
            </w:tcMar>
            <w:vAlign w:val="bottom"/>
          </w:tcPr>
          <w:p w14:paraId="4ACE399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Total</w:t>
            </w:r>
          </w:p>
        </w:tc>
        <w:tc>
          <w:tcPr>
            <w:tcW w:w="0" w:type="auto"/>
            <w:shd w:val="clear" w:color="auto" w:fill="auto"/>
            <w:tcMar>
              <w:top w:w="40" w:type="dxa"/>
              <w:left w:w="40" w:type="dxa"/>
              <w:bottom w:w="40" w:type="dxa"/>
              <w:right w:w="40" w:type="dxa"/>
            </w:tcMar>
            <w:vAlign w:val="bottom"/>
          </w:tcPr>
          <w:p w14:paraId="4ACE399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3992"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63.0</w:t>
            </w:r>
          </w:p>
        </w:tc>
        <w:tc>
          <w:tcPr>
            <w:tcW w:w="0" w:type="auto"/>
            <w:tcBorders>
              <w:top w:val="single" w:sz="8" w:space="0" w:color="333333"/>
              <w:bottom w:val="double" w:sz="6" w:space="0" w:color="333333"/>
            </w:tcBorders>
            <w:shd w:val="clear" w:color="auto" w:fill="auto"/>
            <w:vAlign w:val="bottom"/>
          </w:tcPr>
          <w:p w14:paraId="4ACE399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99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99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99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99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bl>
    <w:p w14:paraId="4ACE3999"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issue RSUs as part of our equity incentive plans. In our Consolidated Financial Statements, we treat shares of common stock withheld for tax purposes on behalf of our employees in connection with the vesting of RSUs as common stock repurchases because t</w:t>
      </w:r>
      <w:r>
        <w:rPr>
          <w:rFonts w:ascii="Arial" w:eastAsia="宋体" w:hAnsi="Arial" w:cs="Arial"/>
          <w:color w:val="333333"/>
          <w:sz w:val="18"/>
          <w:szCs w:val="18"/>
        </w:rPr>
        <w:t>hey reduce the number of shares that would have been issued upon vesting. These withheld shares of common stock are not considered common stock repurchases under our authorized common stock repurchase plan, and accordingly are not included in the common st</w:t>
      </w:r>
      <w:r>
        <w:rPr>
          <w:rFonts w:ascii="Arial" w:eastAsia="宋体" w:hAnsi="Arial" w:cs="Arial"/>
          <w:color w:val="333333"/>
          <w:sz w:val="18"/>
          <w:szCs w:val="18"/>
        </w:rPr>
        <w:t xml:space="preserve">ock repurchase totals in the preceding table. </w:t>
      </w:r>
    </w:p>
    <w:p w14:paraId="4ACE399A"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243"/>
        <w:gridCol w:w="2658"/>
        <w:gridCol w:w="3405"/>
      </w:tblGrid>
      <w:tr w:rsidR="006F587A" w14:paraId="4ACE399C" w14:textId="77777777">
        <w:tc>
          <w:tcPr>
            <w:tcW w:w="0" w:type="auto"/>
            <w:gridSpan w:val="3"/>
            <w:shd w:val="clear" w:color="auto" w:fill="auto"/>
            <w:vAlign w:val="center"/>
          </w:tcPr>
          <w:p w14:paraId="4ACE399B" w14:textId="77777777" w:rsidR="006F587A" w:rsidRDefault="006F587A">
            <w:pPr>
              <w:rPr>
                <w:rFonts w:ascii="Times New Roman" w:hAnsi="Times New Roman"/>
                <w:sz w:val="20"/>
                <w:szCs w:val="20"/>
              </w:rPr>
            </w:pPr>
          </w:p>
        </w:tc>
      </w:tr>
      <w:tr w:rsidR="006F587A" w14:paraId="4ACE39A0" w14:textId="77777777">
        <w:tc>
          <w:tcPr>
            <w:tcW w:w="1350" w:type="pct"/>
            <w:shd w:val="clear" w:color="auto" w:fill="auto"/>
            <w:vAlign w:val="center"/>
          </w:tcPr>
          <w:p w14:paraId="4ACE399D" w14:textId="77777777" w:rsidR="006F587A" w:rsidRDefault="006F587A">
            <w:pPr>
              <w:rPr>
                <w:rFonts w:ascii="Times New Roman" w:hAnsi="Times New Roman"/>
                <w:sz w:val="20"/>
                <w:szCs w:val="20"/>
              </w:rPr>
            </w:pPr>
          </w:p>
        </w:tc>
        <w:tc>
          <w:tcPr>
            <w:tcW w:w="1600" w:type="pct"/>
            <w:shd w:val="clear" w:color="auto" w:fill="auto"/>
            <w:vAlign w:val="center"/>
          </w:tcPr>
          <w:p w14:paraId="4ACE399E" w14:textId="77777777" w:rsidR="006F587A" w:rsidRDefault="006F587A">
            <w:pPr>
              <w:rPr>
                <w:rFonts w:ascii="Times New Roman" w:hAnsi="Times New Roman"/>
                <w:sz w:val="20"/>
                <w:szCs w:val="20"/>
              </w:rPr>
            </w:pPr>
          </w:p>
        </w:tc>
        <w:tc>
          <w:tcPr>
            <w:tcW w:w="2050" w:type="pct"/>
            <w:shd w:val="clear" w:color="auto" w:fill="auto"/>
            <w:vAlign w:val="center"/>
          </w:tcPr>
          <w:p w14:paraId="4ACE399F" w14:textId="77777777" w:rsidR="006F587A" w:rsidRDefault="006F587A">
            <w:pPr>
              <w:rPr>
                <w:rFonts w:ascii="Times New Roman" w:hAnsi="Times New Roman"/>
                <w:sz w:val="20"/>
                <w:szCs w:val="20"/>
              </w:rPr>
            </w:pPr>
          </w:p>
        </w:tc>
      </w:tr>
      <w:tr w:rsidR="006F587A" w14:paraId="4ACE39A4"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39A1" w14:textId="77777777" w:rsidR="006F587A" w:rsidRDefault="007B2B61">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A2" wp14:editId="4ACE6DA3">
                  <wp:extent cx="304800" cy="304800"/>
                  <wp:effectExtent l="0" t="0" r="0" b="0"/>
                  <wp:docPr id="197" name="图片 262"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262"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OTHER KEY INFORMATION</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9A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9A3"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62</w:t>
            </w:r>
          </w:p>
        </w:tc>
      </w:tr>
    </w:tbl>
    <w:p w14:paraId="4ACE39A5" w14:textId="77777777" w:rsidR="006F587A" w:rsidRDefault="007B2B61">
      <w:r>
        <w:pict w14:anchorId="4ACE6DA4">
          <v:rect id="_x0000_i1088" style="width:415.3pt;height:1.5pt" o:hralign="center" o:hrstd="t" o:hr="t" fillcolor="#a0a0a0" stroked="f"/>
        </w:pict>
      </w:r>
    </w:p>
    <w:p w14:paraId="4ACE39A6" w14:textId="77777777" w:rsidR="006F587A" w:rsidRDefault="007B2B61">
      <w:pPr>
        <w:spacing w:line="288" w:lineRule="auto"/>
        <w:jc w:val="right"/>
        <w:rPr>
          <w:rFonts w:ascii="Times New Roman" w:hAnsi="Times New Roman"/>
          <w:sz w:val="16"/>
          <w:szCs w:val="16"/>
        </w:rPr>
      </w:pPr>
      <w:hyperlink r:id="rId95" w:anchor="s9DB683E2CF52561EB8A73BE37F5BF9BE" w:history="1">
        <w:r>
          <w:rPr>
            <w:rStyle w:val="a5"/>
            <w:rFonts w:ascii="Arial" w:eastAsia="宋体" w:hAnsi="Arial" w:cs="Arial"/>
            <w:b/>
            <w:bCs/>
            <w:sz w:val="16"/>
            <w:szCs w:val="16"/>
          </w:rPr>
          <w:t>Table of Contents</w:t>
        </w:r>
      </w:hyperlink>
    </w:p>
    <w:p w14:paraId="4ACE39A7" w14:textId="77777777" w:rsidR="006F587A" w:rsidRDefault="006F587A">
      <w:pPr>
        <w:spacing w:line="288" w:lineRule="auto"/>
        <w:jc w:val="right"/>
        <w:rPr>
          <w:rFonts w:ascii="Times New Roman" w:hAnsi="Times New Roman"/>
          <w:sz w:val="16"/>
          <w:szCs w:val="16"/>
        </w:rPr>
      </w:pPr>
    </w:p>
    <w:p w14:paraId="4ACE39A8" w14:textId="77777777" w:rsidR="006F587A" w:rsidRDefault="006F587A">
      <w:pPr>
        <w:rPr>
          <w:rFonts w:ascii="Times New Roman" w:hAnsi="Times New Roman"/>
          <w:sz w:val="20"/>
          <w:szCs w:val="20"/>
        </w:rPr>
      </w:pPr>
    </w:p>
    <w:p w14:paraId="4ACE39A9" w14:textId="77777777" w:rsidR="006F587A" w:rsidRDefault="007B2B61">
      <w:pPr>
        <w:spacing w:line="288" w:lineRule="auto"/>
        <w:rPr>
          <w:rFonts w:ascii="Times New Roman" w:hAnsi="Times New Roman"/>
          <w:sz w:val="28"/>
          <w:szCs w:val="28"/>
        </w:rPr>
      </w:pPr>
      <w:r>
        <w:rPr>
          <w:rFonts w:ascii="Arial" w:eastAsia="宋体" w:hAnsi="Arial" w:cs="Arial"/>
          <w:b/>
          <w:bCs/>
          <w:color w:val="0071C5"/>
          <w:sz w:val="28"/>
          <w:szCs w:val="28"/>
        </w:rPr>
        <w:t>INFORMATION ABOUT OUR EXECUTIVE OFFICERS</w:t>
      </w:r>
    </w:p>
    <w:tbl>
      <w:tblPr>
        <w:tblW w:w="5000" w:type="pct"/>
        <w:tblCellMar>
          <w:left w:w="0" w:type="dxa"/>
          <w:right w:w="0" w:type="dxa"/>
        </w:tblCellMar>
        <w:tblLook w:val="04A0" w:firstRow="1" w:lastRow="0" w:firstColumn="1" w:lastColumn="0" w:noHBand="0" w:noVBand="1"/>
      </w:tblPr>
      <w:tblGrid>
        <w:gridCol w:w="3042"/>
        <w:gridCol w:w="130"/>
        <w:gridCol w:w="550"/>
        <w:gridCol w:w="130"/>
        <w:gridCol w:w="4454"/>
      </w:tblGrid>
      <w:tr w:rsidR="006F587A" w14:paraId="4ACE39AB" w14:textId="77777777">
        <w:tc>
          <w:tcPr>
            <w:tcW w:w="0" w:type="auto"/>
            <w:gridSpan w:val="5"/>
            <w:shd w:val="clear" w:color="auto" w:fill="auto"/>
            <w:vAlign w:val="center"/>
          </w:tcPr>
          <w:p w14:paraId="4ACE39AA" w14:textId="77777777" w:rsidR="006F587A" w:rsidRDefault="006F587A">
            <w:pPr>
              <w:rPr>
                <w:rFonts w:ascii="Times New Roman" w:hAnsi="Times New Roman"/>
                <w:sz w:val="20"/>
                <w:szCs w:val="20"/>
              </w:rPr>
            </w:pPr>
          </w:p>
        </w:tc>
      </w:tr>
      <w:tr w:rsidR="006F587A" w14:paraId="4ACE39B1" w14:textId="77777777">
        <w:tc>
          <w:tcPr>
            <w:tcW w:w="1850" w:type="pct"/>
            <w:shd w:val="clear" w:color="auto" w:fill="auto"/>
            <w:vAlign w:val="center"/>
          </w:tcPr>
          <w:p w14:paraId="4ACE39AC" w14:textId="77777777" w:rsidR="006F587A" w:rsidRDefault="006F587A">
            <w:pPr>
              <w:rPr>
                <w:rFonts w:ascii="Times New Roman" w:hAnsi="Times New Roman"/>
                <w:sz w:val="20"/>
                <w:szCs w:val="20"/>
              </w:rPr>
            </w:pPr>
          </w:p>
        </w:tc>
        <w:tc>
          <w:tcPr>
            <w:tcW w:w="50" w:type="pct"/>
            <w:shd w:val="clear" w:color="auto" w:fill="auto"/>
            <w:vAlign w:val="center"/>
          </w:tcPr>
          <w:p w14:paraId="4ACE39AD" w14:textId="77777777" w:rsidR="006F587A" w:rsidRDefault="006F587A">
            <w:pPr>
              <w:rPr>
                <w:rFonts w:ascii="Times New Roman" w:hAnsi="Times New Roman"/>
                <w:sz w:val="20"/>
                <w:szCs w:val="20"/>
              </w:rPr>
            </w:pPr>
          </w:p>
        </w:tc>
        <w:tc>
          <w:tcPr>
            <w:tcW w:w="350" w:type="pct"/>
            <w:shd w:val="clear" w:color="auto" w:fill="auto"/>
            <w:vAlign w:val="center"/>
          </w:tcPr>
          <w:p w14:paraId="4ACE39AE" w14:textId="77777777" w:rsidR="006F587A" w:rsidRDefault="006F587A">
            <w:pPr>
              <w:rPr>
                <w:rFonts w:ascii="Times New Roman" w:hAnsi="Times New Roman"/>
                <w:sz w:val="20"/>
                <w:szCs w:val="20"/>
              </w:rPr>
            </w:pPr>
          </w:p>
        </w:tc>
        <w:tc>
          <w:tcPr>
            <w:tcW w:w="50" w:type="pct"/>
            <w:shd w:val="clear" w:color="auto" w:fill="auto"/>
            <w:vAlign w:val="center"/>
          </w:tcPr>
          <w:p w14:paraId="4ACE39AF" w14:textId="77777777" w:rsidR="006F587A" w:rsidRDefault="006F587A">
            <w:pPr>
              <w:rPr>
                <w:rFonts w:ascii="Times New Roman" w:hAnsi="Times New Roman"/>
                <w:sz w:val="20"/>
                <w:szCs w:val="20"/>
              </w:rPr>
            </w:pPr>
          </w:p>
        </w:tc>
        <w:tc>
          <w:tcPr>
            <w:tcW w:w="2700" w:type="pct"/>
            <w:shd w:val="clear" w:color="auto" w:fill="auto"/>
            <w:vAlign w:val="center"/>
          </w:tcPr>
          <w:p w14:paraId="4ACE39B0" w14:textId="77777777" w:rsidR="006F587A" w:rsidRDefault="006F587A">
            <w:pPr>
              <w:rPr>
                <w:rFonts w:ascii="Times New Roman" w:hAnsi="Times New Roman"/>
                <w:sz w:val="20"/>
                <w:szCs w:val="20"/>
              </w:rPr>
            </w:pPr>
          </w:p>
        </w:tc>
      </w:tr>
      <w:tr w:rsidR="006F587A" w14:paraId="4ACE39B7"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39B2"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EXECUTIVE OFFICERS</w:t>
            </w:r>
            <w:r>
              <w:rPr>
                <w:rFonts w:ascii="Arial" w:eastAsia="宋体" w:hAnsi="Arial" w:cs="Arial"/>
                <w:color w:val="333333"/>
                <w:sz w:val="18"/>
                <w:szCs w:val="18"/>
              </w:rPr>
              <w:t xml:space="preserve"> (as </w:t>
            </w:r>
            <w:r>
              <w:rPr>
                <w:rFonts w:ascii="Arial" w:eastAsia="宋体" w:hAnsi="Arial" w:cs="Arial"/>
                <w:color w:val="333333"/>
                <w:sz w:val="18"/>
                <w:szCs w:val="18"/>
              </w:rPr>
              <w:t>of January 23, 2020)</w:t>
            </w:r>
          </w:p>
        </w:tc>
        <w:tc>
          <w:tcPr>
            <w:tcW w:w="0" w:type="auto"/>
            <w:shd w:val="clear" w:color="auto" w:fill="auto"/>
            <w:tcMar>
              <w:top w:w="40" w:type="dxa"/>
              <w:left w:w="40" w:type="dxa"/>
              <w:bottom w:w="40" w:type="dxa"/>
              <w:right w:w="40" w:type="dxa"/>
            </w:tcMar>
            <w:vAlign w:val="bottom"/>
          </w:tcPr>
          <w:p w14:paraId="4ACE39B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71C5"/>
            </w:tcBorders>
            <w:shd w:val="clear" w:color="auto" w:fill="auto"/>
            <w:tcMar>
              <w:top w:w="40" w:type="dxa"/>
              <w:left w:w="40" w:type="dxa"/>
              <w:bottom w:w="40" w:type="dxa"/>
              <w:right w:w="40" w:type="dxa"/>
            </w:tcMar>
            <w:vAlign w:val="bottom"/>
          </w:tcPr>
          <w:p w14:paraId="4ACE39B4"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AGE</w:t>
            </w:r>
          </w:p>
        </w:tc>
        <w:tc>
          <w:tcPr>
            <w:tcW w:w="0" w:type="auto"/>
            <w:shd w:val="clear" w:color="auto" w:fill="auto"/>
            <w:tcMar>
              <w:top w:w="40" w:type="dxa"/>
              <w:left w:w="40" w:type="dxa"/>
              <w:bottom w:w="40" w:type="dxa"/>
              <w:right w:w="40" w:type="dxa"/>
            </w:tcMar>
            <w:vAlign w:val="bottom"/>
          </w:tcPr>
          <w:p w14:paraId="4ACE39B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71C5"/>
            </w:tcBorders>
            <w:shd w:val="clear" w:color="auto" w:fill="auto"/>
            <w:tcMar>
              <w:top w:w="40" w:type="dxa"/>
              <w:left w:w="40" w:type="dxa"/>
              <w:bottom w:w="40" w:type="dxa"/>
              <w:right w:w="40" w:type="dxa"/>
            </w:tcMar>
            <w:vAlign w:val="bottom"/>
          </w:tcPr>
          <w:p w14:paraId="4ACE39B6"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OFFICE(S)</w:t>
            </w:r>
          </w:p>
        </w:tc>
      </w:tr>
      <w:tr w:rsidR="006F587A" w14:paraId="4ACE39BD" w14:textId="77777777">
        <w:tc>
          <w:tcPr>
            <w:tcW w:w="0" w:type="auto"/>
            <w:shd w:val="clear" w:color="auto" w:fill="auto"/>
            <w:tcMar>
              <w:top w:w="40" w:type="dxa"/>
              <w:left w:w="40" w:type="dxa"/>
              <w:bottom w:w="40" w:type="dxa"/>
              <w:right w:w="40" w:type="dxa"/>
            </w:tcMar>
          </w:tcPr>
          <w:p w14:paraId="4ACE39B8" w14:textId="77777777" w:rsidR="006F587A" w:rsidRDefault="007B2B61">
            <w:pPr>
              <w:ind w:hanging="240"/>
              <w:textAlignment w:val="top"/>
              <w:rPr>
                <w:rFonts w:ascii="Times New Roman" w:hAnsi="Times New Roman"/>
                <w:sz w:val="18"/>
                <w:szCs w:val="18"/>
              </w:rPr>
            </w:pPr>
            <w:r>
              <w:rPr>
                <w:rFonts w:ascii="Arial" w:eastAsia="宋体" w:hAnsi="Arial" w:cs="Arial"/>
                <w:color w:val="333333"/>
                <w:sz w:val="18"/>
                <w:szCs w:val="18"/>
              </w:rPr>
              <w:t>Gregory M. Bryant</w:t>
            </w:r>
          </w:p>
        </w:tc>
        <w:tc>
          <w:tcPr>
            <w:tcW w:w="0" w:type="auto"/>
            <w:shd w:val="clear" w:color="auto" w:fill="auto"/>
            <w:tcMar>
              <w:top w:w="40" w:type="dxa"/>
              <w:left w:w="40" w:type="dxa"/>
              <w:bottom w:w="40" w:type="dxa"/>
              <w:right w:w="40" w:type="dxa"/>
            </w:tcMar>
            <w:vAlign w:val="bottom"/>
          </w:tcPr>
          <w:p w14:paraId="4ACE39B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39BA" w14:textId="77777777" w:rsidR="006F587A" w:rsidRDefault="007B2B61">
            <w:pPr>
              <w:jc w:val="center"/>
              <w:textAlignment w:val="top"/>
              <w:rPr>
                <w:rFonts w:ascii="Times New Roman" w:hAnsi="Times New Roman"/>
                <w:sz w:val="18"/>
                <w:szCs w:val="18"/>
              </w:rPr>
            </w:pPr>
            <w:r>
              <w:rPr>
                <w:rFonts w:ascii="Arial" w:eastAsia="宋体" w:hAnsi="Arial" w:cs="Arial"/>
                <w:color w:val="333333"/>
                <w:sz w:val="18"/>
                <w:szCs w:val="18"/>
              </w:rPr>
              <w:t>51</w:t>
            </w:r>
          </w:p>
        </w:tc>
        <w:tc>
          <w:tcPr>
            <w:tcW w:w="0" w:type="auto"/>
            <w:shd w:val="clear" w:color="auto" w:fill="auto"/>
            <w:tcMar>
              <w:top w:w="40" w:type="dxa"/>
              <w:left w:w="40" w:type="dxa"/>
              <w:bottom w:w="40" w:type="dxa"/>
              <w:right w:w="40" w:type="dxa"/>
            </w:tcMar>
            <w:vAlign w:val="bottom"/>
          </w:tcPr>
          <w:p w14:paraId="4ACE39B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39BC" w14:textId="77777777" w:rsidR="006F587A" w:rsidRDefault="007B2B61">
            <w:pPr>
              <w:ind w:hanging="240"/>
              <w:textAlignment w:val="top"/>
              <w:rPr>
                <w:rFonts w:ascii="Times New Roman" w:hAnsi="Times New Roman"/>
                <w:sz w:val="18"/>
                <w:szCs w:val="18"/>
              </w:rPr>
            </w:pPr>
            <w:r>
              <w:rPr>
                <w:rFonts w:ascii="Arial" w:eastAsia="宋体" w:hAnsi="Arial" w:cs="Arial"/>
                <w:color w:val="333333"/>
                <w:sz w:val="18"/>
                <w:szCs w:val="18"/>
              </w:rPr>
              <w:t xml:space="preserve">Executive Vice President; General Manager, Client </w:t>
            </w:r>
            <w:r>
              <w:rPr>
                <w:rFonts w:ascii="Arial" w:eastAsia="宋体" w:hAnsi="Arial" w:cs="Arial"/>
                <w:color w:val="333333"/>
                <w:sz w:val="18"/>
                <w:szCs w:val="18"/>
              </w:rPr>
              <w:lastRenderedPageBreak/>
              <w:t>Computing Group</w:t>
            </w:r>
          </w:p>
        </w:tc>
      </w:tr>
      <w:tr w:rsidR="006F587A" w14:paraId="4ACE39C3" w14:textId="77777777">
        <w:tc>
          <w:tcPr>
            <w:tcW w:w="0" w:type="auto"/>
            <w:shd w:val="clear" w:color="auto" w:fill="auto"/>
            <w:tcMar>
              <w:top w:w="40" w:type="dxa"/>
              <w:left w:w="40" w:type="dxa"/>
              <w:bottom w:w="40" w:type="dxa"/>
              <w:right w:w="40" w:type="dxa"/>
            </w:tcMar>
          </w:tcPr>
          <w:p w14:paraId="4ACE39BE" w14:textId="77777777" w:rsidR="006F587A" w:rsidRDefault="007B2B61">
            <w:pPr>
              <w:ind w:hanging="240"/>
              <w:textAlignment w:val="top"/>
              <w:rPr>
                <w:rFonts w:ascii="Times New Roman" w:hAnsi="Times New Roman"/>
                <w:sz w:val="18"/>
                <w:szCs w:val="18"/>
              </w:rPr>
            </w:pPr>
            <w:r>
              <w:rPr>
                <w:rFonts w:ascii="Arial" w:eastAsia="宋体" w:hAnsi="Arial" w:cs="Arial"/>
                <w:color w:val="333333"/>
                <w:sz w:val="18"/>
                <w:szCs w:val="18"/>
              </w:rPr>
              <w:lastRenderedPageBreak/>
              <w:t>George S. Davis</w:t>
            </w:r>
          </w:p>
        </w:tc>
        <w:tc>
          <w:tcPr>
            <w:tcW w:w="0" w:type="auto"/>
            <w:shd w:val="clear" w:color="auto" w:fill="auto"/>
            <w:tcMar>
              <w:top w:w="40" w:type="dxa"/>
              <w:left w:w="40" w:type="dxa"/>
              <w:bottom w:w="40" w:type="dxa"/>
              <w:right w:w="40" w:type="dxa"/>
            </w:tcMar>
            <w:vAlign w:val="bottom"/>
          </w:tcPr>
          <w:p w14:paraId="4ACE39B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39C0" w14:textId="77777777" w:rsidR="006F587A" w:rsidRDefault="007B2B61">
            <w:pPr>
              <w:jc w:val="center"/>
              <w:textAlignment w:val="top"/>
              <w:rPr>
                <w:rFonts w:ascii="Times New Roman" w:hAnsi="Times New Roman"/>
                <w:sz w:val="18"/>
                <w:szCs w:val="18"/>
              </w:rPr>
            </w:pPr>
            <w:r>
              <w:rPr>
                <w:rFonts w:ascii="Arial" w:eastAsia="宋体" w:hAnsi="Arial" w:cs="Arial"/>
                <w:color w:val="333333"/>
                <w:sz w:val="18"/>
                <w:szCs w:val="18"/>
              </w:rPr>
              <w:t>62</w:t>
            </w:r>
          </w:p>
        </w:tc>
        <w:tc>
          <w:tcPr>
            <w:tcW w:w="0" w:type="auto"/>
            <w:shd w:val="clear" w:color="auto" w:fill="auto"/>
            <w:tcMar>
              <w:top w:w="40" w:type="dxa"/>
              <w:left w:w="40" w:type="dxa"/>
              <w:bottom w:w="40" w:type="dxa"/>
              <w:right w:w="40" w:type="dxa"/>
            </w:tcMar>
            <w:vAlign w:val="bottom"/>
          </w:tcPr>
          <w:p w14:paraId="4ACE39C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39C2" w14:textId="77777777" w:rsidR="006F587A" w:rsidRDefault="007B2B61">
            <w:pPr>
              <w:ind w:hanging="240"/>
              <w:textAlignment w:val="top"/>
              <w:rPr>
                <w:rFonts w:ascii="Times New Roman" w:hAnsi="Times New Roman"/>
                <w:sz w:val="18"/>
                <w:szCs w:val="18"/>
              </w:rPr>
            </w:pPr>
            <w:r>
              <w:rPr>
                <w:rFonts w:ascii="Arial" w:eastAsia="宋体" w:hAnsi="Arial" w:cs="Arial"/>
                <w:color w:val="333333"/>
                <w:sz w:val="18"/>
                <w:szCs w:val="18"/>
              </w:rPr>
              <w:t>Chief Financial Officer</w:t>
            </w:r>
          </w:p>
        </w:tc>
      </w:tr>
      <w:tr w:rsidR="006F587A" w14:paraId="4ACE39C9" w14:textId="77777777">
        <w:tc>
          <w:tcPr>
            <w:tcW w:w="0" w:type="auto"/>
            <w:shd w:val="clear" w:color="auto" w:fill="auto"/>
            <w:tcMar>
              <w:top w:w="40" w:type="dxa"/>
              <w:left w:w="40" w:type="dxa"/>
              <w:bottom w:w="40" w:type="dxa"/>
              <w:right w:w="40" w:type="dxa"/>
            </w:tcMar>
          </w:tcPr>
          <w:p w14:paraId="4ACE39C4" w14:textId="77777777" w:rsidR="006F587A" w:rsidRDefault="007B2B61">
            <w:pPr>
              <w:ind w:hanging="240"/>
              <w:textAlignment w:val="top"/>
              <w:rPr>
                <w:rFonts w:ascii="Times New Roman" w:hAnsi="Times New Roman"/>
                <w:sz w:val="18"/>
                <w:szCs w:val="18"/>
              </w:rPr>
            </w:pPr>
            <w:r>
              <w:rPr>
                <w:rFonts w:ascii="Arial" w:eastAsia="宋体" w:hAnsi="Arial" w:cs="Arial"/>
                <w:color w:val="333333"/>
                <w:sz w:val="18"/>
                <w:szCs w:val="18"/>
              </w:rPr>
              <w:t>Dr. Venkata S.M. Renduchintala</w:t>
            </w:r>
          </w:p>
        </w:tc>
        <w:tc>
          <w:tcPr>
            <w:tcW w:w="0" w:type="auto"/>
            <w:shd w:val="clear" w:color="auto" w:fill="auto"/>
            <w:tcMar>
              <w:top w:w="40" w:type="dxa"/>
              <w:left w:w="40" w:type="dxa"/>
              <w:bottom w:w="40" w:type="dxa"/>
              <w:right w:w="40" w:type="dxa"/>
            </w:tcMar>
            <w:vAlign w:val="bottom"/>
          </w:tcPr>
          <w:p w14:paraId="4ACE39C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39C6" w14:textId="77777777" w:rsidR="006F587A" w:rsidRDefault="007B2B61">
            <w:pPr>
              <w:jc w:val="center"/>
              <w:textAlignment w:val="top"/>
              <w:rPr>
                <w:rFonts w:ascii="Times New Roman" w:hAnsi="Times New Roman"/>
                <w:sz w:val="18"/>
                <w:szCs w:val="18"/>
              </w:rPr>
            </w:pPr>
            <w:r>
              <w:rPr>
                <w:rFonts w:ascii="Arial" w:eastAsia="宋体" w:hAnsi="Arial" w:cs="Arial"/>
                <w:color w:val="333333"/>
                <w:sz w:val="18"/>
                <w:szCs w:val="18"/>
              </w:rPr>
              <w:t>54</w:t>
            </w:r>
          </w:p>
        </w:tc>
        <w:tc>
          <w:tcPr>
            <w:tcW w:w="0" w:type="auto"/>
            <w:shd w:val="clear" w:color="auto" w:fill="auto"/>
            <w:tcMar>
              <w:top w:w="40" w:type="dxa"/>
              <w:left w:w="40" w:type="dxa"/>
              <w:bottom w:w="40" w:type="dxa"/>
              <w:right w:w="40" w:type="dxa"/>
            </w:tcMar>
            <w:vAlign w:val="bottom"/>
          </w:tcPr>
          <w:p w14:paraId="4ACE39C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39C8" w14:textId="77777777" w:rsidR="006F587A" w:rsidRDefault="007B2B61">
            <w:pPr>
              <w:ind w:hanging="240"/>
              <w:textAlignment w:val="top"/>
              <w:rPr>
                <w:rFonts w:ascii="Times New Roman" w:hAnsi="Times New Roman"/>
                <w:sz w:val="18"/>
                <w:szCs w:val="18"/>
              </w:rPr>
            </w:pPr>
            <w:r>
              <w:rPr>
                <w:rFonts w:ascii="Arial" w:eastAsia="宋体" w:hAnsi="Arial" w:cs="Arial"/>
                <w:color w:val="333333"/>
                <w:sz w:val="18"/>
                <w:szCs w:val="18"/>
              </w:rPr>
              <w:t xml:space="preserve">Executive Vice President; Group President, Technology, Systems Architecture and Client Group; Chief Engineering Officer </w:t>
            </w:r>
          </w:p>
        </w:tc>
      </w:tr>
      <w:tr w:rsidR="006F587A" w14:paraId="4ACE39CF" w14:textId="77777777">
        <w:tc>
          <w:tcPr>
            <w:tcW w:w="0" w:type="auto"/>
            <w:shd w:val="clear" w:color="auto" w:fill="auto"/>
            <w:tcMar>
              <w:top w:w="40" w:type="dxa"/>
              <w:left w:w="40" w:type="dxa"/>
              <w:bottom w:w="40" w:type="dxa"/>
              <w:right w:w="40" w:type="dxa"/>
            </w:tcMar>
          </w:tcPr>
          <w:p w14:paraId="4ACE39CA" w14:textId="77777777" w:rsidR="006F587A" w:rsidRDefault="007B2B61">
            <w:pPr>
              <w:ind w:hanging="240"/>
              <w:textAlignment w:val="top"/>
              <w:rPr>
                <w:rFonts w:ascii="Times New Roman" w:hAnsi="Times New Roman"/>
                <w:sz w:val="18"/>
                <w:szCs w:val="18"/>
              </w:rPr>
            </w:pPr>
            <w:r>
              <w:rPr>
                <w:rFonts w:ascii="Arial" w:eastAsia="宋体" w:hAnsi="Arial" w:cs="Arial"/>
                <w:color w:val="333333"/>
                <w:sz w:val="18"/>
                <w:szCs w:val="18"/>
              </w:rPr>
              <w:t>Steven R. Rodgers</w:t>
            </w:r>
          </w:p>
        </w:tc>
        <w:tc>
          <w:tcPr>
            <w:tcW w:w="0" w:type="auto"/>
            <w:shd w:val="clear" w:color="auto" w:fill="auto"/>
            <w:tcMar>
              <w:top w:w="40" w:type="dxa"/>
              <w:left w:w="40" w:type="dxa"/>
              <w:bottom w:w="40" w:type="dxa"/>
              <w:right w:w="40" w:type="dxa"/>
            </w:tcMar>
            <w:vAlign w:val="bottom"/>
          </w:tcPr>
          <w:p w14:paraId="4ACE39C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39CC" w14:textId="77777777" w:rsidR="006F587A" w:rsidRDefault="007B2B61">
            <w:pPr>
              <w:jc w:val="center"/>
              <w:textAlignment w:val="top"/>
              <w:rPr>
                <w:rFonts w:ascii="Times New Roman" w:hAnsi="Times New Roman"/>
                <w:sz w:val="18"/>
                <w:szCs w:val="18"/>
              </w:rPr>
            </w:pPr>
            <w:r>
              <w:rPr>
                <w:rFonts w:ascii="Arial" w:eastAsia="宋体" w:hAnsi="Arial" w:cs="Arial"/>
                <w:color w:val="333333"/>
                <w:sz w:val="18"/>
                <w:szCs w:val="18"/>
              </w:rPr>
              <w:t>54</w:t>
            </w:r>
          </w:p>
        </w:tc>
        <w:tc>
          <w:tcPr>
            <w:tcW w:w="0" w:type="auto"/>
            <w:shd w:val="clear" w:color="auto" w:fill="auto"/>
            <w:tcMar>
              <w:top w:w="40" w:type="dxa"/>
              <w:left w:w="40" w:type="dxa"/>
              <w:bottom w:w="40" w:type="dxa"/>
              <w:right w:w="40" w:type="dxa"/>
            </w:tcMar>
            <w:vAlign w:val="bottom"/>
          </w:tcPr>
          <w:p w14:paraId="4ACE39C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39CE" w14:textId="77777777" w:rsidR="006F587A" w:rsidRDefault="007B2B61">
            <w:pPr>
              <w:ind w:hanging="240"/>
              <w:textAlignment w:val="top"/>
              <w:rPr>
                <w:rFonts w:ascii="Times New Roman" w:hAnsi="Times New Roman"/>
                <w:sz w:val="18"/>
                <w:szCs w:val="18"/>
              </w:rPr>
            </w:pPr>
            <w:r>
              <w:rPr>
                <w:rFonts w:ascii="Arial" w:eastAsia="宋体" w:hAnsi="Arial" w:cs="Arial"/>
                <w:color w:val="333333"/>
                <w:sz w:val="18"/>
                <w:szCs w:val="18"/>
              </w:rPr>
              <w:t>Executive Vice President; General Counsel</w:t>
            </w:r>
          </w:p>
        </w:tc>
      </w:tr>
      <w:tr w:rsidR="006F587A" w14:paraId="4ACE39D5" w14:textId="77777777">
        <w:tc>
          <w:tcPr>
            <w:tcW w:w="0" w:type="auto"/>
            <w:shd w:val="clear" w:color="auto" w:fill="auto"/>
            <w:tcMar>
              <w:top w:w="40" w:type="dxa"/>
              <w:left w:w="40" w:type="dxa"/>
              <w:bottom w:w="40" w:type="dxa"/>
              <w:right w:w="40" w:type="dxa"/>
            </w:tcMar>
          </w:tcPr>
          <w:p w14:paraId="4ACE39D0" w14:textId="77777777" w:rsidR="006F587A" w:rsidRDefault="007B2B61">
            <w:pPr>
              <w:ind w:hanging="240"/>
              <w:textAlignment w:val="top"/>
              <w:rPr>
                <w:rFonts w:ascii="Times New Roman" w:hAnsi="Times New Roman"/>
                <w:sz w:val="18"/>
                <w:szCs w:val="18"/>
              </w:rPr>
            </w:pPr>
            <w:r>
              <w:rPr>
                <w:rFonts w:ascii="Arial" w:eastAsia="宋体" w:hAnsi="Arial" w:cs="Arial"/>
                <w:color w:val="333333"/>
                <w:sz w:val="18"/>
                <w:szCs w:val="18"/>
              </w:rPr>
              <w:t>Navin Shenoy</w:t>
            </w:r>
          </w:p>
        </w:tc>
        <w:tc>
          <w:tcPr>
            <w:tcW w:w="0" w:type="auto"/>
            <w:shd w:val="clear" w:color="auto" w:fill="auto"/>
            <w:tcMar>
              <w:top w:w="40" w:type="dxa"/>
              <w:left w:w="40" w:type="dxa"/>
              <w:bottom w:w="40" w:type="dxa"/>
              <w:right w:w="40" w:type="dxa"/>
            </w:tcMar>
            <w:vAlign w:val="bottom"/>
          </w:tcPr>
          <w:p w14:paraId="4ACE39D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39D2" w14:textId="77777777" w:rsidR="006F587A" w:rsidRDefault="007B2B61">
            <w:pPr>
              <w:jc w:val="center"/>
              <w:textAlignment w:val="top"/>
              <w:rPr>
                <w:rFonts w:ascii="Times New Roman" w:hAnsi="Times New Roman"/>
                <w:sz w:val="18"/>
                <w:szCs w:val="18"/>
              </w:rPr>
            </w:pPr>
            <w:r>
              <w:rPr>
                <w:rFonts w:ascii="Arial" w:eastAsia="宋体" w:hAnsi="Arial" w:cs="Arial"/>
                <w:color w:val="333333"/>
                <w:sz w:val="18"/>
                <w:szCs w:val="18"/>
              </w:rPr>
              <w:t>46</w:t>
            </w:r>
          </w:p>
        </w:tc>
        <w:tc>
          <w:tcPr>
            <w:tcW w:w="0" w:type="auto"/>
            <w:shd w:val="clear" w:color="auto" w:fill="auto"/>
            <w:tcMar>
              <w:top w:w="40" w:type="dxa"/>
              <w:left w:w="40" w:type="dxa"/>
              <w:bottom w:w="40" w:type="dxa"/>
              <w:right w:w="40" w:type="dxa"/>
            </w:tcMar>
            <w:vAlign w:val="bottom"/>
          </w:tcPr>
          <w:p w14:paraId="4ACE39D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39D4" w14:textId="77777777" w:rsidR="006F587A" w:rsidRDefault="007B2B61">
            <w:pPr>
              <w:ind w:hanging="240"/>
              <w:textAlignment w:val="top"/>
              <w:rPr>
                <w:rFonts w:ascii="Times New Roman" w:hAnsi="Times New Roman"/>
                <w:sz w:val="18"/>
                <w:szCs w:val="18"/>
              </w:rPr>
            </w:pPr>
            <w:r>
              <w:rPr>
                <w:rFonts w:ascii="Arial" w:eastAsia="宋体" w:hAnsi="Arial" w:cs="Arial"/>
                <w:color w:val="333333"/>
                <w:sz w:val="18"/>
                <w:szCs w:val="18"/>
              </w:rPr>
              <w:t xml:space="preserve">Executive Vice President; General </w:t>
            </w:r>
            <w:r>
              <w:rPr>
                <w:rFonts w:ascii="Arial" w:eastAsia="宋体" w:hAnsi="Arial" w:cs="Arial"/>
                <w:color w:val="333333"/>
                <w:sz w:val="18"/>
                <w:szCs w:val="18"/>
              </w:rPr>
              <w:t>Manager, Data Platforms Group</w:t>
            </w:r>
          </w:p>
        </w:tc>
      </w:tr>
      <w:tr w:rsidR="006F587A" w14:paraId="4ACE39DB" w14:textId="77777777">
        <w:tc>
          <w:tcPr>
            <w:tcW w:w="0" w:type="auto"/>
            <w:shd w:val="clear" w:color="auto" w:fill="auto"/>
            <w:tcMar>
              <w:top w:w="40" w:type="dxa"/>
              <w:left w:w="40" w:type="dxa"/>
              <w:bottom w:w="40" w:type="dxa"/>
              <w:right w:w="40" w:type="dxa"/>
            </w:tcMar>
          </w:tcPr>
          <w:p w14:paraId="4ACE39D6" w14:textId="77777777" w:rsidR="006F587A" w:rsidRDefault="007B2B61">
            <w:pPr>
              <w:ind w:hanging="240"/>
              <w:textAlignment w:val="top"/>
              <w:rPr>
                <w:rFonts w:ascii="Times New Roman" w:hAnsi="Times New Roman"/>
                <w:sz w:val="18"/>
                <w:szCs w:val="18"/>
              </w:rPr>
            </w:pPr>
            <w:r>
              <w:rPr>
                <w:rFonts w:ascii="Arial" w:eastAsia="宋体" w:hAnsi="Arial" w:cs="Arial"/>
                <w:color w:val="333333"/>
                <w:sz w:val="18"/>
                <w:szCs w:val="18"/>
              </w:rPr>
              <w:t>Robert H. Swan</w:t>
            </w:r>
          </w:p>
        </w:tc>
        <w:tc>
          <w:tcPr>
            <w:tcW w:w="0" w:type="auto"/>
            <w:shd w:val="clear" w:color="auto" w:fill="auto"/>
            <w:tcMar>
              <w:top w:w="40" w:type="dxa"/>
              <w:left w:w="40" w:type="dxa"/>
              <w:bottom w:w="40" w:type="dxa"/>
              <w:right w:w="40" w:type="dxa"/>
            </w:tcMar>
            <w:vAlign w:val="bottom"/>
          </w:tcPr>
          <w:p w14:paraId="4ACE39D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39D8" w14:textId="77777777" w:rsidR="006F587A" w:rsidRDefault="007B2B61">
            <w:pPr>
              <w:jc w:val="center"/>
              <w:textAlignment w:val="top"/>
              <w:rPr>
                <w:rFonts w:ascii="Times New Roman" w:hAnsi="Times New Roman"/>
                <w:sz w:val="18"/>
                <w:szCs w:val="18"/>
              </w:rPr>
            </w:pPr>
            <w:r>
              <w:rPr>
                <w:rFonts w:ascii="Arial" w:eastAsia="宋体" w:hAnsi="Arial" w:cs="Arial"/>
                <w:color w:val="333333"/>
                <w:sz w:val="18"/>
                <w:szCs w:val="18"/>
              </w:rPr>
              <w:t>59</w:t>
            </w:r>
          </w:p>
        </w:tc>
        <w:tc>
          <w:tcPr>
            <w:tcW w:w="0" w:type="auto"/>
            <w:shd w:val="clear" w:color="auto" w:fill="auto"/>
            <w:tcMar>
              <w:top w:w="40" w:type="dxa"/>
              <w:left w:w="40" w:type="dxa"/>
              <w:bottom w:w="40" w:type="dxa"/>
              <w:right w:w="40" w:type="dxa"/>
            </w:tcMar>
            <w:vAlign w:val="bottom"/>
          </w:tcPr>
          <w:p w14:paraId="4ACE39D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39DA" w14:textId="77777777" w:rsidR="006F587A" w:rsidRDefault="007B2B61">
            <w:pPr>
              <w:ind w:hanging="240"/>
              <w:textAlignment w:val="top"/>
              <w:rPr>
                <w:rFonts w:ascii="Times New Roman" w:hAnsi="Times New Roman"/>
                <w:sz w:val="18"/>
                <w:szCs w:val="18"/>
              </w:rPr>
            </w:pPr>
            <w:r>
              <w:rPr>
                <w:rFonts w:ascii="Arial" w:eastAsia="宋体" w:hAnsi="Arial" w:cs="Arial"/>
                <w:color w:val="333333"/>
                <w:sz w:val="18"/>
                <w:szCs w:val="18"/>
              </w:rPr>
              <w:t>Chief Executive Officer</w:t>
            </w:r>
          </w:p>
        </w:tc>
      </w:tr>
    </w:tbl>
    <w:p w14:paraId="4ACE39DC" w14:textId="77777777" w:rsidR="006F587A" w:rsidRDefault="007B2B61">
      <w:pPr>
        <w:spacing w:line="288" w:lineRule="auto"/>
        <w:rPr>
          <w:rFonts w:ascii="Times New Roman" w:hAnsi="Times New Roman"/>
          <w:sz w:val="20"/>
          <w:szCs w:val="20"/>
        </w:rPr>
      </w:pPr>
      <w:r>
        <w:rPr>
          <w:rFonts w:ascii="Arial" w:eastAsia="宋体" w:hAnsi="Arial" w:cs="Arial"/>
          <w:b/>
          <w:bCs/>
          <w:color w:val="0071C5"/>
          <w:sz w:val="20"/>
          <w:szCs w:val="20"/>
        </w:rPr>
        <w:t xml:space="preserve">Gregory M. Bryant </w:t>
      </w:r>
      <w:r>
        <w:rPr>
          <w:rFonts w:ascii="Arial" w:eastAsia="宋体" w:hAnsi="Arial" w:cs="Arial"/>
          <w:color w:val="333333"/>
          <w:sz w:val="18"/>
          <w:szCs w:val="18"/>
        </w:rPr>
        <w:t xml:space="preserve">is our Executive Vice President and General Manager of the Client Computing Group, leading strategy and product development for client computing </w:t>
      </w:r>
      <w:r>
        <w:rPr>
          <w:rFonts w:ascii="Arial" w:eastAsia="宋体" w:hAnsi="Arial" w:cs="Arial"/>
          <w:color w:val="333333"/>
          <w:sz w:val="18"/>
          <w:szCs w:val="18"/>
        </w:rPr>
        <w:t>end-user solutions, including notebooks, desktops, and client adjacencies. Mr. Bryant served as Senior Vice President and General Manager of CCG from June 2017 to September 2019. From January 2015 to June 2017, he served as Corporate Vice President and Gen</w:t>
      </w:r>
      <w:r>
        <w:rPr>
          <w:rFonts w:ascii="Arial" w:eastAsia="宋体" w:hAnsi="Arial" w:cs="Arial"/>
          <w:color w:val="333333"/>
          <w:sz w:val="18"/>
          <w:szCs w:val="18"/>
        </w:rPr>
        <w:t>eral Manager of the Connected Home and Commercial Client Group within CCG. Prior to that, he was Vice President and General Manager for the Asia Pacific and Japan region from 2012 to 2015. From 2010 to 2012, he was a Vice President in the Sales and Marketi</w:t>
      </w:r>
      <w:r>
        <w:rPr>
          <w:rFonts w:ascii="Arial" w:eastAsia="宋体" w:hAnsi="Arial" w:cs="Arial"/>
          <w:color w:val="333333"/>
          <w:sz w:val="18"/>
          <w:szCs w:val="18"/>
        </w:rPr>
        <w:t>ng Group, and from 2007 to 2010, he was a Vice President in the Digital Enterprise Group. Mr. Bryant joined Intel in 1992 and has also held engineering, operations, and director roles in Intel’s information technology organization.</w:t>
      </w:r>
    </w:p>
    <w:p w14:paraId="4ACE39DD" w14:textId="77777777" w:rsidR="006F587A" w:rsidRDefault="007B2B61">
      <w:pPr>
        <w:spacing w:line="288" w:lineRule="auto"/>
        <w:rPr>
          <w:rFonts w:ascii="Times New Roman" w:hAnsi="Times New Roman"/>
          <w:sz w:val="20"/>
          <w:szCs w:val="20"/>
        </w:rPr>
      </w:pPr>
      <w:r>
        <w:rPr>
          <w:rFonts w:ascii="Arial" w:eastAsia="宋体" w:hAnsi="Arial" w:cs="Arial"/>
          <w:b/>
          <w:bCs/>
          <w:color w:val="0071C5"/>
          <w:sz w:val="20"/>
          <w:szCs w:val="20"/>
        </w:rPr>
        <w:t xml:space="preserve">George S. Davis </w:t>
      </w:r>
      <w:r>
        <w:rPr>
          <w:rFonts w:ascii="Arial" w:eastAsia="宋体" w:hAnsi="Arial" w:cs="Arial"/>
          <w:color w:val="333333"/>
          <w:sz w:val="18"/>
          <w:szCs w:val="18"/>
        </w:rPr>
        <w:t>joined I</w:t>
      </w:r>
      <w:r>
        <w:rPr>
          <w:rFonts w:ascii="Arial" w:eastAsia="宋体" w:hAnsi="Arial" w:cs="Arial"/>
          <w:color w:val="333333"/>
          <w:sz w:val="18"/>
          <w:szCs w:val="18"/>
        </w:rPr>
        <w:t>ntel in April 2019 as our Executive Vice President and Chief Financial Officer. He oversees Intel’s global finance and information technology organizations. Prior to joining Intel, Mr. Davis was Executive Vice President and Chief Financial Officer of Qualc</w:t>
      </w:r>
      <w:r>
        <w:rPr>
          <w:rFonts w:ascii="Arial" w:eastAsia="宋体" w:hAnsi="Arial" w:cs="Arial"/>
          <w:color w:val="333333"/>
          <w:sz w:val="18"/>
          <w:szCs w:val="18"/>
        </w:rPr>
        <w:t>omm, a global provider of wireless technologies, from March 2013 to April 2019, where he led the finance, information technology, and investor relations organizations. Before that, Mr. Davis was Chief Financial Officer of Applied Materials, Inc. from Novem</w:t>
      </w:r>
      <w:r>
        <w:rPr>
          <w:rFonts w:ascii="Arial" w:eastAsia="宋体" w:hAnsi="Arial" w:cs="Arial"/>
          <w:color w:val="333333"/>
          <w:sz w:val="18"/>
          <w:szCs w:val="18"/>
        </w:rPr>
        <w:t xml:space="preserve">ber 2006 to March 2013. He held several other leadership positions at Applied Materials from November 1999 to November 2006. Prior to joining Applied Materials, Mr. Davis served for 19 years with Atlantic Richfield Company in a number of finance and other </w:t>
      </w:r>
      <w:r>
        <w:rPr>
          <w:rFonts w:ascii="Arial" w:eastAsia="宋体" w:hAnsi="Arial" w:cs="Arial"/>
          <w:color w:val="333333"/>
          <w:sz w:val="18"/>
          <w:szCs w:val="18"/>
        </w:rPr>
        <w:t>corporate positions.</w:t>
      </w:r>
    </w:p>
    <w:p w14:paraId="4ACE39DE" w14:textId="77777777" w:rsidR="006F587A" w:rsidRDefault="007B2B61">
      <w:pPr>
        <w:spacing w:line="288" w:lineRule="auto"/>
        <w:rPr>
          <w:rFonts w:ascii="Times New Roman" w:hAnsi="Times New Roman"/>
          <w:sz w:val="20"/>
          <w:szCs w:val="20"/>
        </w:rPr>
      </w:pPr>
      <w:r>
        <w:rPr>
          <w:rFonts w:ascii="Arial" w:eastAsia="宋体" w:hAnsi="Arial" w:cs="Arial"/>
          <w:b/>
          <w:bCs/>
          <w:color w:val="0071C5"/>
          <w:sz w:val="20"/>
          <w:szCs w:val="20"/>
        </w:rPr>
        <w:t>Dr. Venkata S.M. (“Murthy”) Renduchintala</w:t>
      </w:r>
      <w:r>
        <w:rPr>
          <w:rFonts w:ascii="Arial" w:eastAsia="宋体" w:hAnsi="Arial" w:cs="Arial"/>
          <w:color w:val="333333"/>
          <w:sz w:val="18"/>
          <w:szCs w:val="18"/>
        </w:rPr>
        <w:t xml:space="preserve"> serves as our Executive Vice President; Group President of our Technology, Systems Architecture and Client Group and Chief Engineering Officer. In this role, Dr. Renduchintala oversees Intel's </w:t>
      </w:r>
      <w:r>
        <w:rPr>
          <w:rFonts w:ascii="Arial" w:eastAsia="宋体" w:hAnsi="Arial" w:cs="Arial"/>
          <w:color w:val="333333"/>
          <w:sz w:val="18"/>
          <w:szCs w:val="18"/>
        </w:rPr>
        <w:t>major technology, engineering, and manufacturing functions, including semiconductor process technology, manufacturing and operations, systems and product architecture, IP development, design and SoC engineering, software and security, and Intel Labs. Dr. R</w:t>
      </w:r>
      <w:r>
        <w:rPr>
          <w:rFonts w:ascii="Arial" w:eastAsia="宋体" w:hAnsi="Arial" w:cs="Arial"/>
          <w:color w:val="333333"/>
          <w:sz w:val="18"/>
          <w:szCs w:val="18"/>
        </w:rPr>
        <w:t>enduchintala joined Intel in November 2015 as Executive Vice President and President, Client and Internet of Things Businesses and System Architecture Group, which evolved into the Technology, Systems Architecture and Client Group in 2018, and he was named</w:t>
      </w:r>
      <w:r>
        <w:rPr>
          <w:rFonts w:ascii="Arial" w:eastAsia="宋体" w:hAnsi="Arial" w:cs="Arial"/>
          <w:color w:val="333333"/>
          <w:sz w:val="18"/>
          <w:szCs w:val="18"/>
        </w:rPr>
        <w:t xml:space="preserve"> Executive Vice President; Group President and Chief Engineering Officer in April 2017. From 2004 to 2015, Dr. Renduchintala held various senior positions at Qualcomm, most recently as Co-President of Qualcomm CDMA Technologies from June 2012 to November 2</w:t>
      </w:r>
      <w:r>
        <w:rPr>
          <w:rFonts w:ascii="Arial" w:eastAsia="宋体" w:hAnsi="Arial" w:cs="Arial"/>
          <w:color w:val="333333"/>
          <w:sz w:val="18"/>
          <w:szCs w:val="18"/>
        </w:rPr>
        <w:t xml:space="preserve">015 and Executive Vice President of Qualcomm Technologies Inc. from October 2012 to November 2015. Before joining Qualcomm, Dr. Renduchintala served as Vice President and General Manager of the Cellular Systems Division of Skyworks Solutions Inc./Conexant </w:t>
      </w:r>
      <w:r>
        <w:rPr>
          <w:rFonts w:ascii="Arial" w:eastAsia="宋体" w:hAnsi="Arial" w:cs="Arial"/>
          <w:color w:val="333333"/>
          <w:sz w:val="18"/>
          <w:szCs w:val="18"/>
        </w:rPr>
        <w:t>Systems Inc. and he spent a decade with Philips Electronics, where he held various positions, including Vice President of Engineering for its consumer communications business. Dr. Renduchintala also serves on the board of directors of Accenture plc.</w:t>
      </w:r>
    </w:p>
    <w:p w14:paraId="4ACE39DF" w14:textId="77777777" w:rsidR="006F587A" w:rsidRDefault="007B2B61">
      <w:pPr>
        <w:spacing w:line="288" w:lineRule="auto"/>
        <w:rPr>
          <w:rFonts w:ascii="Times New Roman" w:hAnsi="Times New Roman"/>
          <w:sz w:val="20"/>
          <w:szCs w:val="20"/>
        </w:rPr>
      </w:pPr>
      <w:r>
        <w:rPr>
          <w:rFonts w:ascii="Arial" w:eastAsia="宋体" w:hAnsi="Arial" w:cs="Arial"/>
          <w:b/>
          <w:bCs/>
          <w:color w:val="0071C5"/>
          <w:sz w:val="20"/>
          <w:szCs w:val="20"/>
        </w:rPr>
        <w:t>Steven</w:t>
      </w:r>
      <w:r>
        <w:rPr>
          <w:rFonts w:ascii="Arial" w:eastAsia="宋体" w:hAnsi="Arial" w:cs="Arial"/>
          <w:b/>
          <w:bCs/>
          <w:color w:val="0071C5"/>
          <w:sz w:val="20"/>
          <w:szCs w:val="20"/>
        </w:rPr>
        <w:t xml:space="preserve"> R. Rodgers</w:t>
      </w:r>
      <w:r>
        <w:rPr>
          <w:rFonts w:ascii="Arial" w:eastAsia="宋体" w:hAnsi="Arial" w:cs="Arial"/>
          <w:b/>
          <w:bCs/>
          <w:color w:val="333333"/>
          <w:sz w:val="20"/>
          <w:szCs w:val="20"/>
        </w:rPr>
        <w:t xml:space="preserve"> </w:t>
      </w:r>
      <w:r>
        <w:rPr>
          <w:rFonts w:ascii="Arial" w:eastAsia="宋体" w:hAnsi="Arial" w:cs="Arial"/>
          <w:color w:val="333333"/>
          <w:sz w:val="18"/>
          <w:szCs w:val="18"/>
        </w:rPr>
        <w:t xml:space="preserve">has been our Executive Vice President and General Counsel since January 2017 and oversees our legal, government, and China groups. He previously led our legal and government groups as Senior Vice President and General Counsel from January 2015 </w:t>
      </w:r>
      <w:r>
        <w:rPr>
          <w:rFonts w:ascii="Arial" w:eastAsia="宋体" w:hAnsi="Arial" w:cs="Arial"/>
          <w:color w:val="333333"/>
          <w:sz w:val="18"/>
          <w:szCs w:val="18"/>
        </w:rPr>
        <w:t>to January 2017 and as Corporate Vice President and General Counsel from June 2014 to January 2015. Mr. Rodgers joined Intel in 2000 and has held a number of roles in our legal department, including as Corporate Vice President and Deputy General Counsel fr</w:t>
      </w:r>
      <w:r>
        <w:rPr>
          <w:rFonts w:ascii="Arial" w:eastAsia="宋体" w:hAnsi="Arial" w:cs="Arial"/>
          <w:color w:val="333333"/>
          <w:sz w:val="18"/>
          <w:szCs w:val="18"/>
        </w:rPr>
        <w:t xml:space="preserve">om January 2014 until his appointment as Intel's fifth General Counsel in June 2014. Prior to joining Intel, Mr. Rodgers was a litigation partner at the firm of Brown &amp; Bain, P.A. </w:t>
      </w:r>
    </w:p>
    <w:p w14:paraId="4ACE39E0"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243"/>
        <w:gridCol w:w="2658"/>
        <w:gridCol w:w="3405"/>
      </w:tblGrid>
      <w:tr w:rsidR="006F587A" w14:paraId="4ACE39E2" w14:textId="77777777">
        <w:tc>
          <w:tcPr>
            <w:tcW w:w="0" w:type="auto"/>
            <w:gridSpan w:val="3"/>
            <w:shd w:val="clear" w:color="auto" w:fill="auto"/>
            <w:vAlign w:val="center"/>
          </w:tcPr>
          <w:p w14:paraId="4ACE39E1" w14:textId="77777777" w:rsidR="006F587A" w:rsidRDefault="006F587A">
            <w:pPr>
              <w:rPr>
                <w:rFonts w:ascii="Times New Roman" w:hAnsi="Times New Roman"/>
                <w:sz w:val="20"/>
                <w:szCs w:val="20"/>
              </w:rPr>
            </w:pPr>
          </w:p>
        </w:tc>
      </w:tr>
      <w:tr w:rsidR="006F587A" w14:paraId="4ACE39E6" w14:textId="77777777">
        <w:tc>
          <w:tcPr>
            <w:tcW w:w="1350" w:type="pct"/>
            <w:shd w:val="clear" w:color="auto" w:fill="auto"/>
            <w:vAlign w:val="center"/>
          </w:tcPr>
          <w:p w14:paraId="4ACE39E3" w14:textId="77777777" w:rsidR="006F587A" w:rsidRDefault="006F587A">
            <w:pPr>
              <w:rPr>
                <w:rFonts w:ascii="Times New Roman" w:hAnsi="Times New Roman"/>
                <w:sz w:val="20"/>
                <w:szCs w:val="20"/>
              </w:rPr>
            </w:pPr>
          </w:p>
        </w:tc>
        <w:tc>
          <w:tcPr>
            <w:tcW w:w="1600" w:type="pct"/>
            <w:shd w:val="clear" w:color="auto" w:fill="auto"/>
            <w:vAlign w:val="center"/>
          </w:tcPr>
          <w:p w14:paraId="4ACE39E4" w14:textId="77777777" w:rsidR="006F587A" w:rsidRDefault="006F587A">
            <w:pPr>
              <w:rPr>
                <w:rFonts w:ascii="Times New Roman" w:hAnsi="Times New Roman"/>
                <w:sz w:val="20"/>
                <w:szCs w:val="20"/>
              </w:rPr>
            </w:pPr>
          </w:p>
        </w:tc>
        <w:tc>
          <w:tcPr>
            <w:tcW w:w="2050" w:type="pct"/>
            <w:shd w:val="clear" w:color="auto" w:fill="auto"/>
            <w:vAlign w:val="center"/>
          </w:tcPr>
          <w:p w14:paraId="4ACE39E5" w14:textId="77777777" w:rsidR="006F587A" w:rsidRDefault="006F587A">
            <w:pPr>
              <w:rPr>
                <w:rFonts w:ascii="Times New Roman" w:hAnsi="Times New Roman"/>
                <w:sz w:val="20"/>
                <w:szCs w:val="20"/>
              </w:rPr>
            </w:pPr>
          </w:p>
        </w:tc>
      </w:tr>
      <w:tr w:rsidR="006F587A" w14:paraId="4ACE39EA"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39E7" w14:textId="77777777" w:rsidR="006F587A" w:rsidRDefault="007B2B61">
            <w:pPr>
              <w:textAlignment w:val="center"/>
              <w:rPr>
                <w:rFonts w:ascii="Times New Roman" w:hAnsi="Times New Roman"/>
                <w:sz w:val="16"/>
                <w:szCs w:val="16"/>
              </w:rPr>
            </w:pPr>
            <w:r>
              <w:rPr>
                <w:rFonts w:ascii="Times New Roman" w:eastAsia="宋体" w:hAnsi="Times New Roman"/>
                <w:sz w:val="16"/>
                <w:szCs w:val="16"/>
              </w:rPr>
              <w:lastRenderedPageBreak/>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A5" wp14:editId="4ACE6DA6">
                  <wp:extent cx="304800" cy="304800"/>
                  <wp:effectExtent l="0" t="0" r="0" b="0"/>
                  <wp:docPr id="191" name="图片 264"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264"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OTHER KEY INFORMATION</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9E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9E9"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63</w:t>
            </w:r>
          </w:p>
        </w:tc>
      </w:tr>
    </w:tbl>
    <w:p w14:paraId="4ACE39EB" w14:textId="77777777" w:rsidR="006F587A" w:rsidRDefault="007B2B61">
      <w:r>
        <w:pict w14:anchorId="4ACE6DA7">
          <v:rect id="_x0000_i1089" style="width:415.3pt;height:1.5pt" o:hralign="center" o:hrstd="t" o:hr="t" fillcolor="#a0a0a0" stroked="f"/>
        </w:pict>
      </w:r>
    </w:p>
    <w:p w14:paraId="4ACE39EC" w14:textId="77777777" w:rsidR="006F587A" w:rsidRDefault="007B2B61">
      <w:pPr>
        <w:spacing w:line="288" w:lineRule="auto"/>
        <w:jc w:val="right"/>
        <w:rPr>
          <w:rFonts w:ascii="Times New Roman" w:hAnsi="Times New Roman"/>
          <w:sz w:val="16"/>
          <w:szCs w:val="16"/>
        </w:rPr>
      </w:pPr>
      <w:hyperlink r:id="rId96" w:anchor="s9DB683E2CF52561EB8A73BE37F5BF9BE" w:history="1">
        <w:r>
          <w:rPr>
            <w:rStyle w:val="a5"/>
            <w:rFonts w:ascii="Arial" w:eastAsia="宋体" w:hAnsi="Arial" w:cs="Arial"/>
            <w:b/>
            <w:bCs/>
            <w:sz w:val="16"/>
            <w:szCs w:val="16"/>
          </w:rPr>
          <w:t>Table of Contents</w:t>
        </w:r>
      </w:hyperlink>
    </w:p>
    <w:p w14:paraId="4ACE39ED" w14:textId="77777777" w:rsidR="006F587A" w:rsidRDefault="006F587A">
      <w:pPr>
        <w:spacing w:line="288" w:lineRule="auto"/>
        <w:jc w:val="right"/>
        <w:rPr>
          <w:rFonts w:ascii="Times New Roman" w:hAnsi="Times New Roman"/>
          <w:sz w:val="16"/>
          <w:szCs w:val="16"/>
        </w:rPr>
      </w:pPr>
    </w:p>
    <w:p w14:paraId="4ACE39EE" w14:textId="77777777" w:rsidR="006F587A" w:rsidRDefault="006F587A">
      <w:pPr>
        <w:rPr>
          <w:rFonts w:ascii="Times New Roman" w:hAnsi="Times New Roman"/>
          <w:sz w:val="20"/>
          <w:szCs w:val="20"/>
        </w:rPr>
      </w:pPr>
    </w:p>
    <w:p w14:paraId="4ACE39EF" w14:textId="77777777" w:rsidR="006F587A" w:rsidRDefault="007B2B61">
      <w:pPr>
        <w:spacing w:line="288" w:lineRule="auto"/>
        <w:rPr>
          <w:rFonts w:ascii="Times New Roman" w:hAnsi="Times New Roman"/>
          <w:sz w:val="20"/>
          <w:szCs w:val="20"/>
        </w:rPr>
      </w:pPr>
      <w:r>
        <w:rPr>
          <w:rFonts w:ascii="Arial" w:eastAsia="宋体" w:hAnsi="Arial" w:cs="Arial"/>
          <w:b/>
          <w:bCs/>
          <w:color w:val="0071C5"/>
          <w:sz w:val="20"/>
          <w:szCs w:val="20"/>
        </w:rPr>
        <w:t>Navin Shenoy</w:t>
      </w:r>
      <w:r>
        <w:rPr>
          <w:rFonts w:ascii="Arial" w:eastAsia="宋体" w:hAnsi="Arial" w:cs="Arial"/>
          <w:color w:val="003C71"/>
          <w:sz w:val="18"/>
          <w:szCs w:val="18"/>
        </w:rPr>
        <w:t xml:space="preserve"> </w:t>
      </w:r>
      <w:r>
        <w:rPr>
          <w:rFonts w:ascii="Arial" w:eastAsia="宋体" w:hAnsi="Arial" w:cs="Arial"/>
          <w:color w:val="333333"/>
          <w:sz w:val="18"/>
          <w:szCs w:val="18"/>
        </w:rPr>
        <w:t>is our Executive Vice President and General Manager of our Dat</w:t>
      </w:r>
      <w:r>
        <w:rPr>
          <w:rFonts w:ascii="Arial" w:eastAsia="宋体" w:hAnsi="Arial" w:cs="Arial"/>
          <w:color w:val="333333"/>
          <w:sz w:val="18"/>
          <w:szCs w:val="18"/>
        </w:rPr>
        <w:t>a Platforms Group. In this role, he oversees our DCG, IOTG, and PSG segments and leads strategy and product development for most of our data-centric offerings, including server, network, storage, AI, Internet of Things, and FPGA products, across a range of</w:t>
      </w:r>
      <w:r>
        <w:rPr>
          <w:rFonts w:ascii="Arial" w:eastAsia="宋体" w:hAnsi="Arial" w:cs="Arial"/>
          <w:color w:val="333333"/>
          <w:sz w:val="18"/>
          <w:szCs w:val="18"/>
        </w:rPr>
        <w:t xml:space="preserve"> use cases that include cloud computing, virtualization of network infrastructure, and AI adoption. Mr. Shenoy has served in this role since May 2017, and his organization was renamed to the Data Platforms Group, from the Data Center Group, in November 201</w:t>
      </w:r>
      <w:r>
        <w:rPr>
          <w:rFonts w:ascii="Arial" w:eastAsia="宋体" w:hAnsi="Arial" w:cs="Arial"/>
          <w:color w:val="333333"/>
          <w:sz w:val="18"/>
          <w:szCs w:val="18"/>
        </w:rPr>
        <w:t>9. From May 2016 to May 2017, Mr. Shenoy was Senior Vice President and General Manager of CCG. From April 2012 to April 2016, he served as General Manager of the Mobility Client Platform Division, as Vice President from April 2012 until December 2014 and C</w:t>
      </w:r>
      <w:r>
        <w:rPr>
          <w:rFonts w:ascii="Arial" w:eastAsia="宋体" w:hAnsi="Arial" w:cs="Arial"/>
          <w:color w:val="333333"/>
          <w:sz w:val="18"/>
          <w:szCs w:val="18"/>
        </w:rPr>
        <w:t>orporate Vice President from January 2015 to May 2016. From October 2007 to April 2012, Mr. Shenoy served as Vice President and General Manager of our Asia-Pacific business. Mr. Shenoy joined Intel in 1995.</w:t>
      </w:r>
    </w:p>
    <w:p w14:paraId="4ACE39F0" w14:textId="77777777" w:rsidR="006F587A" w:rsidRDefault="007B2B61">
      <w:pPr>
        <w:spacing w:line="288" w:lineRule="auto"/>
        <w:rPr>
          <w:rFonts w:ascii="Times New Roman" w:hAnsi="Times New Roman"/>
          <w:sz w:val="20"/>
          <w:szCs w:val="20"/>
        </w:rPr>
      </w:pPr>
      <w:r>
        <w:rPr>
          <w:rFonts w:ascii="Arial" w:eastAsia="宋体" w:hAnsi="Arial" w:cs="Arial"/>
          <w:b/>
          <w:bCs/>
          <w:color w:val="0071C5"/>
          <w:sz w:val="20"/>
          <w:szCs w:val="20"/>
        </w:rPr>
        <w:t>Robert ("Bob") H. Swan</w:t>
      </w:r>
      <w:r>
        <w:rPr>
          <w:rFonts w:ascii="Arial" w:eastAsia="宋体" w:hAnsi="Arial" w:cs="Arial"/>
          <w:color w:val="333333"/>
          <w:sz w:val="18"/>
          <w:szCs w:val="18"/>
        </w:rPr>
        <w:t xml:space="preserve"> was appointed our seventh Chief Executive Officer and a member of our Board of Directors on January 30, 2019. Mr. Swan served as our Executive Vice President, Chief Financial Officer since joining Intel in October 2016 until January 2019, and he served as</w:t>
      </w:r>
      <w:r>
        <w:rPr>
          <w:rFonts w:ascii="Arial" w:eastAsia="宋体" w:hAnsi="Arial" w:cs="Arial"/>
          <w:color w:val="333333"/>
          <w:sz w:val="18"/>
          <w:szCs w:val="18"/>
        </w:rPr>
        <w:t xml:space="preserve"> our interim Chief Executive Officer from June 2018 until January 2019. Prior to joining Intel, Mr. Swan served as an Operating Partner at General Atlantic LLC, a private equity firm, from September 2015 to September 2016. He served as Senior Vice Presiden</w:t>
      </w:r>
      <w:r>
        <w:rPr>
          <w:rFonts w:ascii="Arial" w:eastAsia="宋体" w:hAnsi="Arial" w:cs="Arial"/>
          <w:color w:val="333333"/>
          <w:sz w:val="18"/>
          <w:szCs w:val="18"/>
        </w:rPr>
        <w:t xml:space="preserve">t, Finance and Chief Financial Officer of eBay Inc. from March 2006 to July 2015. Previously, Mr. Swan served as Executive Vice President, Chief Financial Officer of Electronic Data Systems Corporation, Executive Vice President, Chief Financial Officer of </w:t>
      </w:r>
      <w:r>
        <w:rPr>
          <w:rFonts w:ascii="Arial" w:eastAsia="宋体" w:hAnsi="Arial" w:cs="Arial"/>
          <w:color w:val="333333"/>
          <w:sz w:val="18"/>
          <w:szCs w:val="18"/>
        </w:rPr>
        <w:t>TRW Inc., as well as Chief Financial Officer, Chief Operating Officer, and Chief Executive Officer of Webvan Group, Inc. Mr. Swan began his career in 1985 at General Electric, serving for 15 years in numerous senior finance roles. Mr. Swan also serves on t</w:t>
      </w:r>
      <w:r>
        <w:rPr>
          <w:rFonts w:ascii="Arial" w:eastAsia="宋体" w:hAnsi="Arial" w:cs="Arial"/>
          <w:color w:val="333333"/>
          <w:sz w:val="18"/>
          <w:szCs w:val="18"/>
        </w:rPr>
        <w:t>he board of directors of eBay.</w:t>
      </w:r>
    </w:p>
    <w:p w14:paraId="4ACE39F1" w14:textId="77777777" w:rsidR="006F587A" w:rsidRDefault="007B2B61">
      <w:pPr>
        <w:spacing w:line="288" w:lineRule="auto"/>
        <w:rPr>
          <w:rFonts w:ascii="Times New Roman" w:hAnsi="Times New Roman"/>
          <w:sz w:val="28"/>
          <w:szCs w:val="28"/>
        </w:rPr>
      </w:pPr>
      <w:r>
        <w:rPr>
          <w:rFonts w:ascii="Arial" w:eastAsia="宋体" w:hAnsi="Arial" w:cs="Arial"/>
          <w:b/>
          <w:bCs/>
          <w:color w:val="0071C5"/>
          <w:sz w:val="28"/>
          <w:szCs w:val="28"/>
        </w:rPr>
        <w:t>AVAILABILITY OF COMPANY INFORMATION</w:t>
      </w:r>
    </w:p>
    <w:p w14:paraId="4ACE39F2"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Intel was incorporated in California in 1968 and reincorporated in Delaware in 1989. Our Internet address is </w:t>
      </w:r>
      <w:r>
        <w:rPr>
          <w:rFonts w:ascii="Arial" w:eastAsia="宋体" w:hAnsi="Arial" w:cs="Arial"/>
          <w:i/>
          <w:iCs/>
          <w:color w:val="0A60A8"/>
          <w:sz w:val="18"/>
          <w:szCs w:val="18"/>
          <w:u w:val="single"/>
        </w:rPr>
        <w:t>www.intel.com</w:t>
      </w:r>
      <w:r>
        <w:rPr>
          <w:rFonts w:ascii="Arial" w:eastAsia="宋体" w:hAnsi="Arial" w:cs="Arial"/>
          <w:color w:val="333333"/>
          <w:sz w:val="18"/>
          <w:szCs w:val="18"/>
        </w:rPr>
        <w:t>. We publish voluntary reports on our website that outline our perf</w:t>
      </w:r>
      <w:r>
        <w:rPr>
          <w:rFonts w:ascii="Arial" w:eastAsia="宋体" w:hAnsi="Arial" w:cs="Arial"/>
          <w:color w:val="333333"/>
          <w:sz w:val="18"/>
          <w:szCs w:val="18"/>
        </w:rPr>
        <w:t>ormance with respect to corporate responsibility, including environmental, health, and safety compliance.</w:t>
      </w:r>
    </w:p>
    <w:p w14:paraId="4ACE39F3"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We use our Investor Relations website, </w:t>
      </w:r>
      <w:r>
        <w:rPr>
          <w:rFonts w:ascii="Arial" w:eastAsia="宋体" w:hAnsi="Arial" w:cs="Arial"/>
          <w:i/>
          <w:iCs/>
          <w:color w:val="0A60A8"/>
          <w:sz w:val="18"/>
          <w:szCs w:val="18"/>
          <w:u w:val="single"/>
        </w:rPr>
        <w:t>www.intc.com</w:t>
      </w:r>
      <w:r>
        <w:rPr>
          <w:rFonts w:ascii="Arial" w:eastAsia="宋体" w:hAnsi="Arial" w:cs="Arial"/>
          <w:i/>
          <w:iCs/>
          <w:color w:val="333333"/>
          <w:sz w:val="18"/>
          <w:szCs w:val="18"/>
        </w:rPr>
        <w:t>,</w:t>
      </w:r>
      <w:r>
        <w:rPr>
          <w:rFonts w:ascii="Arial" w:eastAsia="宋体" w:hAnsi="Arial" w:cs="Arial"/>
          <w:color w:val="333333"/>
          <w:sz w:val="18"/>
          <w:szCs w:val="18"/>
        </w:rPr>
        <w:t xml:space="preserve"> as a routine channel for distribution of important information, including news releases, analyst </w:t>
      </w:r>
      <w:r>
        <w:rPr>
          <w:rFonts w:ascii="Arial" w:eastAsia="宋体" w:hAnsi="Arial" w:cs="Arial"/>
          <w:color w:val="333333"/>
          <w:sz w:val="18"/>
          <w:szCs w:val="18"/>
        </w:rPr>
        <w:t xml:space="preserve">presentations, financial information, corporate governance practices, and corporate responsibility information. We post our filings at </w:t>
      </w:r>
      <w:r>
        <w:rPr>
          <w:rFonts w:ascii="Arial" w:eastAsia="宋体" w:hAnsi="Arial" w:cs="Arial"/>
          <w:i/>
          <w:iCs/>
          <w:color w:val="0563C1"/>
          <w:sz w:val="18"/>
          <w:szCs w:val="18"/>
          <w:u w:val="single"/>
        </w:rPr>
        <w:t>www.intc.com/sec</w:t>
      </w:r>
      <w:r>
        <w:rPr>
          <w:rFonts w:ascii="Arial" w:eastAsia="宋体" w:hAnsi="Arial" w:cs="Arial"/>
          <w:color w:val="333333"/>
          <w:sz w:val="18"/>
          <w:szCs w:val="18"/>
        </w:rPr>
        <w:t xml:space="preserve"> the same day they are electronically filed with, or furnished to, the SEC, including our annual and quar</w:t>
      </w:r>
      <w:r>
        <w:rPr>
          <w:rFonts w:ascii="Arial" w:eastAsia="宋体" w:hAnsi="Arial" w:cs="Arial"/>
          <w:color w:val="333333"/>
          <w:sz w:val="18"/>
          <w:szCs w:val="18"/>
        </w:rPr>
        <w:t xml:space="preserve">terly reports on Forms 10-K and 10-Q and current reports on Form 8-K; our proxy statements; and any amendments to those reports or statements. We post our quarterly and annual earnings results at </w:t>
      </w:r>
      <w:r>
        <w:rPr>
          <w:rFonts w:ascii="Arial" w:eastAsia="宋体" w:hAnsi="Arial" w:cs="Arial"/>
          <w:i/>
          <w:iCs/>
          <w:color w:val="0A60A8"/>
          <w:sz w:val="18"/>
          <w:szCs w:val="18"/>
          <w:u w:val="single"/>
        </w:rPr>
        <w:t>www.intc.com/results.cfm</w:t>
      </w:r>
      <w:r>
        <w:rPr>
          <w:rFonts w:ascii="Arial" w:eastAsia="宋体" w:hAnsi="Arial" w:cs="Arial"/>
          <w:color w:val="333333"/>
          <w:sz w:val="18"/>
          <w:szCs w:val="18"/>
        </w:rPr>
        <w:t>, and do not distribute our financia</w:t>
      </w:r>
      <w:r>
        <w:rPr>
          <w:rFonts w:ascii="Arial" w:eastAsia="宋体" w:hAnsi="Arial" w:cs="Arial"/>
          <w:color w:val="333333"/>
          <w:sz w:val="18"/>
          <w:szCs w:val="18"/>
        </w:rPr>
        <w:t>l results via a news wire service. All such postings and filings are available on our Investor Relations website free of charge. In addition, our Investor Relations website allows interested persons to sign up to automatically receive e-mail alerts when we</w:t>
      </w:r>
      <w:r>
        <w:rPr>
          <w:rFonts w:ascii="Arial" w:eastAsia="宋体" w:hAnsi="Arial" w:cs="Arial"/>
          <w:color w:val="333333"/>
          <w:sz w:val="18"/>
          <w:szCs w:val="18"/>
        </w:rPr>
        <w:t xml:space="preserve"> post financial information. </w:t>
      </w:r>
    </w:p>
    <w:p w14:paraId="4ACE39F4"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The content on any website referred to in this Form 10-K is not incorporated by reference in this Form 10-K unless expressly noted.</w:t>
      </w:r>
    </w:p>
    <w:p w14:paraId="4ACE39F5"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243"/>
        <w:gridCol w:w="2658"/>
        <w:gridCol w:w="3405"/>
      </w:tblGrid>
      <w:tr w:rsidR="006F587A" w14:paraId="4ACE39F7" w14:textId="77777777">
        <w:tc>
          <w:tcPr>
            <w:tcW w:w="0" w:type="auto"/>
            <w:gridSpan w:val="3"/>
            <w:shd w:val="clear" w:color="auto" w:fill="auto"/>
            <w:vAlign w:val="center"/>
          </w:tcPr>
          <w:p w14:paraId="4ACE39F6" w14:textId="77777777" w:rsidR="006F587A" w:rsidRDefault="006F587A">
            <w:pPr>
              <w:rPr>
                <w:rFonts w:ascii="Times New Roman" w:hAnsi="Times New Roman"/>
                <w:sz w:val="20"/>
                <w:szCs w:val="20"/>
              </w:rPr>
            </w:pPr>
          </w:p>
        </w:tc>
      </w:tr>
      <w:tr w:rsidR="006F587A" w14:paraId="4ACE39FB" w14:textId="77777777">
        <w:tc>
          <w:tcPr>
            <w:tcW w:w="1350" w:type="pct"/>
            <w:shd w:val="clear" w:color="auto" w:fill="auto"/>
            <w:vAlign w:val="center"/>
          </w:tcPr>
          <w:p w14:paraId="4ACE39F8" w14:textId="77777777" w:rsidR="006F587A" w:rsidRDefault="006F587A">
            <w:pPr>
              <w:rPr>
                <w:rFonts w:ascii="Times New Roman" w:hAnsi="Times New Roman"/>
                <w:sz w:val="20"/>
                <w:szCs w:val="20"/>
              </w:rPr>
            </w:pPr>
          </w:p>
        </w:tc>
        <w:tc>
          <w:tcPr>
            <w:tcW w:w="1600" w:type="pct"/>
            <w:shd w:val="clear" w:color="auto" w:fill="auto"/>
            <w:vAlign w:val="center"/>
          </w:tcPr>
          <w:p w14:paraId="4ACE39F9" w14:textId="77777777" w:rsidR="006F587A" w:rsidRDefault="006F587A">
            <w:pPr>
              <w:rPr>
                <w:rFonts w:ascii="Times New Roman" w:hAnsi="Times New Roman"/>
                <w:sz w:val="20"/>
                <w:szCs w:val="20"/>
              </w:rPr>
            </w:pPr>
          </w:p>
        </w:tc>
        <w:tc>
          <w:tcPr>
            <w:tcW w:w="2050" w:type="pct"/>
            <w:shd w:val="clear" w:color="auto" w:fill="auto"/>
            <w:vAlign w:val="center"/>
          </w:tcPr>
          <w:p w14:paraId="4ACE39FA" w14:textId="77777777" w:rsidR="006F587A" w:rsidRDefault="006F587A">
            <w:pPr>
              <w:rPr>
                <w:rFonts w:ascii="Times New Roman" w:hAnsi="Times New Roman"/>
                <w:sz w:val="20"/>
                <w:szCs w:val="20"/>
              </w:rPr>
            </w:pPr>
          </w:p>
        </w:tc>
      </w:tr>
      <w:tr w:rsidR="006F587A" w14:paraId="4ACE39FF"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39FC" w14:textId="77777777" w:rsidR="006F587A" w:rsidRDefault="007B2B61">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A8" wp14:editId="4ACE6DA9">
                  <wp:extent cx="304800" cy="304800"/>
                  <wp:effectExtent l="0" t="0" r="0" b="0"/>
                  <wp:docPr id="208" name="图片 266"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66"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OTHER KEY INFORMATION</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9F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9FE"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64</w:t>
            </w:r>
          </w:p>
        </w:tc>
      </w:tr>
    </w:tbl>
    <w:p w14:paraId="4ACE3A00" w14:textId="77777777" w:rsidR="006F587A" w:rsidRDefault="007B2B61">
      <w:r>
        <w:pict w14:anchorId="4ACE6DAA">
          <v:rect id="_x0000_i1090" style="width:415.3pt;height:1.5pt" o:hralign="center" o:hrstd="t" o:hr="t" fillcolor="#a0a0a0" stroked="f"/>
        </w:pict>
      </w:r>
    </w:p>
    <w:p w14:paraId="4ACE3A01" w14:textId="77777777" w:rsidR="006F587A" w:rsidRDefault="007B2B61">
      <w:pPr>
        <w:spacing w:line="288" w:lineRule="auto"/>
        <w:jc w:val="right"/>
        <w:rPr>
          <w:rFonts w:ascii="Times New Roman" w:hAnsi="Times New Roman"/>
          <w:sz w:val="16"/>
          <w:szCs w:val="16"/>
        </w:rPr>
      </w:pPr>
      <w:hyperlink r:id="rId97" w:anchor="s9DB683E2CF52561EB8A73BE37F5BF9BE" w:history="1">
        <w:r>
          <w:rPr>
            <w:rStyle w:val="a5"/>
            <w:rFonts w:ascii="Arial" w:eastAsia="宋体" w:hAnsi="Arial" w:cs="Arial"/>
            <w:b/>
            <w:bCs/>
            <w:sz w:val="16"/>
            <w:szCs w:val="16"/>
          </w:rPr>
          <w:t>Table of Contents</w:t>
        </w:r>
      </w:hyperlink>
    </w:p>
    <w:p w14:paraId="4ACE3A02" w14:textId="77777777" w:rsidR="006F587A" w:rsidRDefault="006F587A">
      <w:pPr>
        <w:spacing w:line="288" w:lineRule="auto"/>
        <w:jc w:val="right"/>
        <w:rPr>
          <w:rFonts w:ascii="Times New Roman" w:hAnsi="Times New Roman"/>
          <w:sz w:val="16"/>
          <w:szCs w:val="16"/>
        </w:rPr>
      </w:pPr>
    </w:p>
    <w:p w14:paraId="4ACE3A03" w14:textId="77777777" w:rsidR="006F587A" w:rsidRDefault="006F587A">
      <w:pPr>
        <w:rPr>
          <w:rFonts w:ascii="Times New Roman" w:hAnsi="Times New Roman"/>
          <w:sz w:val="20"/>
          <w:szCs w:val="20"/>
        </w:rPr>
      </w:pPr>
    </w:p>
    <w:p w14:paraId="4ACE3A04" w14:textId="77777777" w:rsidR="006F587A" w:rsidRDefault="007B2B61">
      <w:pPr>
        <w:spacing w:line="288" w:lineRule="auto"/>
        <w:rPr>
          <w:rFonts w:ascii="Times New Roman" w:hAnsi="Times New Roman"/>
          <w:sz w:val="36"/>
          <w:szCs w:val="36"/>
        </w:rPr>
      </w:pPr>
      <w:r>
        <w:rPr>
          <w:rFonts w:ascii="Arial" w:eastAsia="宋体" w:hAnsi="Arial" w:cs="Arial"/>
          <w:b/>
          <w:bCs/>
          <w:color w:val="0071C5"/>
          <w:sz w:val="36"/>
          <w:szCs w:val="36"/>
        </w:rPr>
        <w:lastRenderedPageBreak/>
        <w:t>FINANCIAL STATEMENTS AND SUPPLEMENTAL DETAILS</w:t>
      </w:r>
    </w:p>
    <w:p w14:paraId="4ACE3A05" w14:textId="77777777" w:rsidR="006F587A" w:rsidRDefault="007B2B61">
      <w:pPr>
        <w:spacing w:line="288" w:lineRule="auto"/>
        <w:rPr>
          <w:rFonts w:ascii="Times New Roman" w:hAnsi="Times New Roman"/>
          <w:sz w:val="20"/>
          <w:szCs w:val="20"/>
        </w:rPr>
      </w:pPr>
      <w:r>
        <w:rPr>
          <w:rFonts w:ascii="Arial" w:eastAsia="宋体" w:hAnsi="Arial" w:cs="Arial"/>
          <w:color w:val="333333"/>
          <w:sz w:val="18"/>
          <w:szCs w:val="18"/>
        </w:rPr>
        <w:t xml:space="preserve">We have defined certain terms and abbreviations used throughout our Form 10-K in "Key Terms" within the Financial Statements and Supplemental Details. </w:t>
      </w:r>
    </w:p>
    <w:tbl>
      <w:tblPr>
        <w:tblW w:w="5000" w:type="pct"/>
        <w:tblCellMar>
          <w:left w:w="0" w:type="dxa"/>
          <w:right w:w="0" w:type="dxa"/>
        </w:tblCellMar>
        <w:tblLook w:val="04A0" w:firstRow="1" w:lastRow="0" w:firstColumn="1" w:lastColumn="0" w:noHBand="0" w:noVBand="1"/>
      </w:tblPr>
      <w:tblGrid>
        <w:gridCol w:w="7843"/>
        <w:gridCol w:w="463"/>
      </w:tblGrid>
      <w:tr w:rsidR="006F587A" w14:paraId="4ACE3A07" w14:textId="77777777">
        <w:tc>
          <w:tcPr>
            <w:tcW w:w="0" w:type="auto"/>
            <w:gridSpan w:val="2"/>
            <w:shd w:val="clear" w:color="auto" w:fill="auto"/>
            <w:vAlign w:val="center"/>
          </w:tcPr>
          <w:p w14:paraId="4ACE3A06" w14:textId="77777777" w:rsidR="006F587A" w:rsidRDefault="006F587A">
            <w:pPr>
              <w:rPr>
                <w:rFonts w:ascii="Times New Roman" w:hAnsi="Times New Roman"/>
                <w:sz w:val="20"/>
                <w:szCs w:val="20"/>
              </w:rPr>
            </w:pPr>
          </w:p>
        </w:tc>
      </w:tr>
      <w:tr w:rsidR="006F587A" w14:paraId="4ACE3A0A" w14:textId="77777777">
        <w:tc>
          <w:tcPr>
            <w:tcW w:w="4750" w:type="pct"/>
            <w:shd w:val="clear" w:color="auto" w:fill="auto"/>
            <w:vAlign w:val="center"/>
          </w:tcPr>
          <w:p w14:paraId="4ACE3A08" w14:textId="77777777" w:rsidR="006F587A" w:rsidRDefault="006F587A">
            <w:pPr>
              <w:rPr>
                <w:rFonts w:ascii="Times New Roman" w:hAnsi="Times New Roman"/>
                <w:sz w:val="20"/>
                <w:szCs w:val="20"/>
              </w:rPr>
            </w:pPr>
          </w:p>
        </w:tc>
        <w:tc>
          <w:tcPr>
            <w:tcW w:w="250" w:type="pct"/>
            <w:shd w:val="clear" w:color="auto" w:fill="auto"/>
            <w:vAlign w:val="center"/>
          </w:tcPr>
          <w:p w14:paraId="4ACE3A09" w14:textId="77777777" w:rsidR="006F587A" w:rsidRDefault="006F587A">
            <w:pPr>
              <w:rPr>
                <w:rFonts w:ascii="Times New Roman" w:hAnsi="Times New Roman"/>
                <w:sz w:val="20"/>
                <w:szCs w:val="20"/>
              </w:rPr>
            </w:pPr>
          </w:p>
        </w:tc>
      </w:tr>
      <w:tr w:rsidR="006F587A" w14:paraId="4ACE3A0D"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3A0B"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INDEX TO CONSOLIDATED FINANCIAL STATEMENTS</w:t>
            </w:r>
          </w:p>
        </w:tc>
        <w:tc>
          <w:tcPr>
            <w:tcW w:w="0" w:type="auto"/>
            <w:tcBorders>
              <w:bottom w:val="single" w:sz="8" w:space="0" w:color="0071C5"/>
            </w:tcBorders>
            <w:shd w:val="clear" w:color="auto" w:fill="auto"/>
            <w:tcMar>
              <w:top w:w="40" w:type="dxa"/>
              <w:left w:w="40" w:type="dxa"/>
              <w:bottom w:w="40" w:type="dxa"/>
              <w:right w:w="40" w:type="dxa"/>
            </w:tcMar>
            <w:vAlign w:val="bottom"/>
          </w:tcPr>
          <w:p w14:paraId="4ACE3A0C" w14:textId="77777777" w:rsidR="006F587A" w:rsidRDefault="007B2B61">
            <w:pPr>
              <w:jc w:val="center"/>
              <w:textAlignment w:val="bottom"/>
              <w:rPr>
                <w:rFonts w:ascii="Times New Roman" w:hAnsi="Times New Roman"/>
                <w:sz w:val="16"/>
                <w:szCs w:val="16"/>
              </w:rPr>
            </w:pPr>
            <w:r>
              <w:rPr>
                <w:rFonts w:ascii="Arial" w:eastAsia="宋体" w:hAnsi="Arial" w:cs="Arial"/>
                <w:b/>
                <w:bCs/>
                <w:color w:val="333333"/>
                <w:sz w:val="16"/>
                <w:szCs w:val="16"/>
              </w:rPr>
              <w:t>Page</w:t>
            </w:r>
          </w:p>
        </w:tc>
      </w:tr>
      <w:tr w:rsidR="006F587A" w14:paraId="4ACE3A10" w14:textId="77777777">
        <w:tc>
          <w:tcPr>
            <w:tcW w:w="0" w:type="auto"/>
            <w:shd w:val="clear" w:color="auto" w:fill="auto"/>
            <w:tcMar>
              <w:top w:w="40" w:type="dxa"/>
              <w:left w:w="40" w:type="dxa"/>
              <w:bottom w:w="40" w:type="dxa"/>
              <w:right w:w="40" w:type="dxa"/>
            </w:tcMar>
            <w:vAlign w:val="bottom"/>
          </w:tcPr>
          <w:p w14:paraId="4ACE3A0E"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Reports of Independent Registered Public </w:t>
            </w:r>
            <w:r>
              <w:rPr>
                <w:rFonts w:ascii="Arial" w:eastAsia="宋体" w:hAnsi="Arial" w:cs="Arial"/>
                <w:color w:val="333333"/>
                <w:sz w:val="18"/>
                <w:szCs w:val="18"/>
              </w:rPr>
              <w:t>Accounting Firm</w:t>
            </w:r>
          </w:p>
        </w:tc>
        <w:tc>
          <w:tcPr>
            <w:tcW w:w="0" w:type="auto"/>
            <w:shd w:val="clear" w:color="auto" w:fill="auto"/>
            <w:tcMar>
              <w:top w:w="40" w:type="dxa"/>
              <w:left w:w="40" w:type="dxa"/>
              <w:bottom w:w="40" w:type="dxa"/>
              <w:right w:w="40" w:type="dxa"/>
            </w:tcMar>
            <w:vAlign w:val="bottom"/>
          </w:tcPr>
          <w:p w14:paraId="4ACE3A0F" w14:textId="77777777" w:rsidR="006F587A" w:rsidRDefault="007B2B61">
            <w:pPr>
              <w:jc w:val="right"/>
              <w:textAlignment w:val="bottom"/>
              <w:rPr>
                <w:rFonts w:ascii="Times New Roman" w:hAnsi="Times New Roman"/>
                <w:sz w:val="18"/>
                <w:szCs w:val="18"/>
              </w:rPr>
            </w:pPr>
            <w:hyperlink r:id="rId98" w:anchor="sA977E69A0F655D57910C64E857BA5A75" w:history="1">
              <w:r>
                <w:rPr>
                  <w:rStyle w:val="a5"/>
                  <w:rFonts w:ascii="Arial" w:eastAsia="宋体" w:hAnsi="Arial" w:cs="Arial"/>
                  <w:color w:val="333333"/>
                  <w:sz w:val="18"/>
                  <w:szCs w:val="18"/>
                  <w:u w:val="none"/>
                </w:rPr>
                <w:t>66</w:t>
              </w:r>
            </w:hyperlink>
          </w:p>
        </w:tc>
      </w:tr>
      <w:tr w:rsidR="006F587A" w14:paraId="4ACE3A13" w14:textId="77777777">
        <w:tc>
          <w:tcPr>
            <w:tcW w:w="0" w:type="auto"/>
            <w:shd w:val="clear" w:color="auto" w:fill="auto"/>
            <w:tcMar>
              <w:top w:w="40" w:type="dxa"/>
              <w:left w:w="40" w:type="dxa"/>
              <w:bottom w:w="40" w:type="dxa"/>
              <w:right w:w="40" w:type="dxa"/>
            </w:tcMar>
            <w:vAlign w:val="bottom"/>
          </w:tcPr>
          <w:p w14:paraId="4ACE3A1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A1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3A16" w14:textId="77777777">
        <w:tc>
          <w:tcPr>
            <w:tcW w:w="0" w:type="auto"/>
            <w:shd w:val="clear" w:color="auto" w:fill="auto"/>
            <w:tcMar>
              <w:top w:w="40" w:type="dxa"/>
              <w:left w:w="40" w:type="dxa"/>
              <w:bottom w:w="40" w:type="dxa"/>
              <w:right w:w="40" w:type="dxa"/>
            </w:tcMar>
            <w:vAlign w:val="bottom"/>
          </w:tcPr>
          <w:p w14:paraId="4ACE3A1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Consolidated Statements of Income</w:t>
            </w:r>
          </w:p>
        </w:tc>
        <w:tc>
          <w:tcPr>
            <w:tcW w:w="0" w:type="auto"/>
            <w:shd w:val="clear" w:color="auto" w:fill="auto"/>
            <w:tcMar>
              <w:top w:w="40" w:type="dxa"/>
              <w:left w:w="40" w:type="dxa"/>
              <w:bottom w:w="40" w:type="dxa"/>
              <w:right w:w="40" w:type="dxa"/>
            </w:tcMar>
            <w:vAlign w:val="bottom"/>
          </w:tcPr>
          <w:p w14:paraId="4ACE3A15" w14:textId="77777777" w:rsidR="006F587A" w:rsidRDefault="007B2B61">
            <w:pPr>
              <w:jc w:val="right"/>
              <w:textAlignment w:val="bottom"/>
              <w:rPr>
                <w:rFonts w:ascii="Times New Roman" w:hAnsi="Times New Roman"/>
                <w:sz w:val="18"/>
                <w:szCs w:val="18"/>
              </w:rPr>
            </w:pPr>
            <w:hyperlink r:id="rId99" w:anchor="sF910BA91B5C35CF8B7514FF345E49915" w:history="1">
              <w:r>
                <w:rPr>
                  <w:rStyle w:val="a5"/>
                  <w:rFonts w:ascii="Arial" w:eastAsia="宋体" w:hAnsi="Arial" w:cs="Arial"/>
                  <w:color w:val="333333"/>
                  <w:sz w:val="18"/>
                  <w:szCs w:val="18"/>
                  <w:u w:val="none"/>
                </w:rPr>
                <w:t>69</w:t>
              </w:r>
            </w:hyperlink>
          </w:p>
        </w:tc>
      </w:tr>
      <w:tr w:rsidR="006F587A" w14:paraId="4ACE3A19" w14:textId="77777777">
        <w:tc>
          <w:tcPr>
            <w:tcW w:w="0" w:type="auto"/>
            <w:shd w:val="clear" w:color="auto" w:fill="auto"/>
            <w:tcMar>
              <w:top w:w="40" w:type="dxa"/>
              <w:left w:w="40" w:type="dxa"/>
              <w:bottom w:w="40" w:type="dxa"/>
              <w:right w:w="40" w:type="dxa"/>
            </w:tcMar>
            <w:vAlign w:val="bottom"/>
          </w:tcPr>
          <w:p w14:paraId="4ACE3A1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Consolidated Statements of Comprehensive Income</w:t>
            </w:r>
          </w:p>
        </w:tc>
        <w:tc>
          <w:tcPr>
            <w:tcW w:w="0" w:type="auto"/>
            <w:shd w:val="clear" w:color="auto" w:fill="auto"/>
            <w:tcMar>
              <w:top w:w="40" w:type="dxa"/>
              <w:left w:w="40" w:type="dxa"/>
              <w:bottom w:w="40" w:type="dxa"/>
              <w:right w:w="40" w:type="dxa"/>
            </w:tcMar>
            <w:vAlign w:val="bottom"/>
          </w:tcPr>
          <w:p w14:paraId="4ACE3A18" w14:textId="77777777" w:rsidR="006F587A" w:rsidRDefault="007B2B61">
            <w:pPr>
              <w:jc w:val="right"/>
              <w:textAlignment w:val="bottom"/>
              <w:rPr>
                <w:rFonts w:ascii="Times New Roman" w:hAnsi="Times New Roman"/>
                <w:sz w:val="18"/>
                <w:szCs w:val="18"/>
              </w:rPr>
            </w:pPr>
            <w:hyperlink r:id="rId100" w:anchor="sFE2EE2489C455A1980E67DFDDFD12B54" w:history="1">
              <w:r>
                <w:rPr>
                  <w:rStyle w:val="a5"/>
                  <w:rFonts w:ascii="Arial" w:eastAsia="宋体" w:hAnsi="Arial" w:cs="Arial"/>
                  <w:color w:val="333333"/>
                  <w:sz w:val="18"/>
                  <w:szCs w:val="18"/>
                  <w:u w:val="none"/>
                </w:rPr>
                <w:t>70</w:t>
              </w:r>
            </w:hyperlink>
          </w:p>
        </w:tc>
      </w:tr>
      <w:tr w:rsidR="006F587A" w14:paraId="4ACE3A1C" w14:textId="77777777">
        <w:tc>
          <w:tcPr>
            <w:tcW w:w="0" w:type="auto"/>
            <w:shd w:val="clear" w:color="auto" w:fill="auto"/>
            <w:tcMar>
              <w:top w:w="40" w:type="dxa"/>
              <w:left w:w="40" w:type="dxa"/>
              <w:bottom w:w="40" w:type="dxa"/>
              <w:right w:w="40" w:type="dxa"/>
            </w:tcMar>
            <w:vAlign w:val="bottom"/>
          </w:tcPr>
          <w:p w14:paraId="4ACE3A1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Consolidated Balance Sheets</w:t>
            </w:r>
          </w:p>
        </w:tc>
        <w:tc>
          <w:tcPr>
            <w:tcW w:w="0" w:type="auto"/>
            <w:shd w:val="clear" w:color="auto" w:fill="auto"/>
            <w:tcMar>
              <w:top w:w="40" w:type="dxa"/>
              <w:left w:w="40" w:type="dxa"/>
              <w:bottom w:w="40" w:type="dxa"/>
              <w:right w:w="40" w:type="dxa"/>
            </w:tcMar>
            <w:vAlign w:val="bottom"/>
          </w:tcPr>
          <w:p w14:paraId="4ACE3A1B" w14:textId="77777777" w:rsidR="006F587A" w:rsidRDefault="007B2B61">
            <w:pPr>
              <w:jc w:val="right"/>
              <w:textAlignment w:val="bottom"/>
              <w:rPr>
                <w:rFonts w:ascii="Times New Roman" w:hAnsi="Times New Roman"/>
                <w:sz w:val="18"/>
                <w:szCs w:val="18"/>
              </w:rPr>
            </w:pPr>
            <w:hyperlink r:id="rId101" w:anchor="s41CD956F56AC5055974A2267C58C2D33" w:history="1">
              <w:r>
                <w:rPr>
                  <w:rStyle w:val="a5"/>
                  <w:rFonts w:ascii="Arial" w:eastAsia="宋体" w:hAnsi="Arial" w:cs="Arial"/>
                  <w:color w:val="333333"/>
                  <w:sz w:val="18"/>
                  <w:szCs w:val="18"/>
                  <w:u w:val="none"/>
                </w:rPr>
                <w:t>71</w:t>
              </w:r>
            </w:hyperlink>
          </w:p>
        </w:tc>
      </w:tr>
      <w:tr w:rsidR="006F587A" w14:paraId="4ACE3A1F" w14:textId="77777777">
        <w:tc>
          <w:tcPr>
            <w:tcW w:w="0" w:type="auto"/>
            <w:shd w:val="clear" w:color="auto" w:fill="auto"/>
            <w:tcMar>
              <w:top w:w="40" w:type="dxa"/>
              <w:left w:w="40" w:type="dxa"/>
              <w:bottom w:w="40" w:type="dxa"/>
              <w:right w:w="40" w:type="dxa"/>
            </w:tcMar>
            <w:vAlign w:val="bottom"/>
          </w:tcPr>
          <w:p w14:paraId="4ACE3A1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Consolidated Statements of Cash Flows</w:t>
            </w:r>
          </w:p>
        </w:tc>
        <w:tc>
          <w:tcPr>
            <w:tcW w:w="0" w:type="auto"/>
            <w:shd w:val="clear" w:color="auto" w:fill="auto"/>
            <w:tcMar>
              <w:top w:w="40" w:type="dxa"/>
              <w:left w:w="40" w:type="dxa"/>
              <w:bottom w:w="40" w:type="dxa"/>
              <w:right w:w="40" w:type="dxa"/>
            </w:tcMar>
            <w:vAlign w:val="bottom"/>
          </w:tcPr>
          <w:p w14:paraId="4ACE3A1E" w14:textId="77777777" w:rsidR="006F587A" w:rsidRDefault="007B2B61">
            <w:pPr>
              <w:jc w:val="right"/>
              <w:textAlignment w:val="bottom"/>
              <w:rPr>
                <w:rFonts w:ascii="Times New Roman" w:hAnsi="Times New Roman"/>
                <w:sz w:val="18"/>
                <w:szCs w:val="18"/>
              </w:rPr>
            </w:pPr>
            <w:hyperlink r:id="rId102" w:anchor="s3D5E5C54B23F5C26801E3D9135F1C7D7" w:history="1">
              <w:r>
                <w:rPr>
                  <w:rStyle w:val="a5"/>
                  <w:rFonts w:ascii="Arial" w:eastAsia="宋体" w:hAnsi="Arial" w:cs="Arial"/>
                  <w:color w:val="333333"/>
                  <w:sz w:val="18"/>
                  <w:szCs w:val="18"/>
                  <w:u w:val="none"/>
                </w:rPr>
                <w:t>7</w:t>
              </w:r>
              <w:r>
                <w:rPr>
                  <w:rStyle w:val="a5"/>
                  <w:rFonts w:ascii="Arial" w:eastAsia="宋体" w:hAnsi="Arial" w:cs="Arial"/>
                  <w:color w:val="333333"/>
                  <w:sz w:val="18"/>
                  <w:szCs w:val="18"/>
                  <w:u w:val="none"/>
                </w:rPr>
                <w:t>2</w:t>
              </w:r>
            </w:hyperlink>
          </w:p>
        </w:tc>
      </w:tr>
      <w:tr w:rsidR="006F587A" w14:paraId="4ACE3A22" w14:textId="77777777">
        <w:tc>
          <w:tcPr>
            <w:tcW w:w="0" w:type="auto"/>
            <w:shd w:val="clear" w:color="auto" w:fill="auto"/>
            <w:tcMar>
              <w:top w:w="40" w:type="dxa"/>
              <w:left w:w="40" w:type="dxa"/>
              <w:bottom w:w="40" w:type="dxa"/>
              <w:right w:w="40" w:type="dxa"/>
            </w:tcMar>
            <w:vAlign w:val="bottom"/>
          </w:tcPr>
          <w:p w14:paraId="4ACE3A2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Consolidated Statements of Stockholders’ Equity</w:t>
            </w:r>
          </w:p>
        </w:tc>
        <w:tc>
          <w:tcPr>
            <w:tcW w:w="0" w:type="auto"/>
            <w:shd w:val="clear" w:color="auto" w:fill="auto"/>
            <w:tcMar>
              <w:top w:w="40" w:type="dxa"/>
              <w:left w:w="40" w:type="dxa"/>
              <w:bottom w:w="40" w:type="dxa"/>
              <w:right w:w="40" w:type="dxa"/>
            </w:tcMar>
            <w:vAlign w:val="bottom"/>
          </w:tcPr>
          <w:p w14:paraId="4ACE3A21" w14:textId="77777777" w:rsidR="006F587A" w:rsidRDefault="007B2B61">
            <w:pPr>
              <w:jc w:val="right"/>
              <w:textAlignment w:val="bottom"/>
              <w:rPr>
                <w:rFonts w:ascii="Times New Roman" w:hAnsi="Times New Roman"/>
                <w:sz w:val="18"/>
                <w:szCs w:val="18"/>
              </w:rPr>
            </w:pPr>
            <w:hyperlink r:id="rId103" w:anchor="sF884DE07905B5606A137D7B7326C8031" w:history="1">
              <w:r>
                <w:rPr>
                  <w:rStyle w:val="a5"/>
                  <w:rFonts w:ascii="Arial" w:eastAsia="宋体" w:hAnsi="Arial" w:cs="Arial"/>
                  <w:color w:val="333333"/>
                  <w:sz w:val="18"/>
                  <w:szCs w:val="18"/>
                  <w:u w:val="none"/>
                </w:rPr>
                <w:t>73</w:t>
              </w:r>
            </w:hyperlink>
          </w:p>
        </w:tc>
      </w:tr>
      <w:tr w:rsidR="006F587A" w14:paraId="4ACE3A25" w14:textId="77777777">
        <w:tc>
          <w:tcPr>
            <w:tcW w:w="0" w:type="auto"/>
            <w:shd w:val="clear" w:color="auto" w:fill="auto"/>
            <w:tcMar>
              <w:top w:w="40" w:type="dxa"/>
              <w:left w:w="40" w:type="dxa"/>
              <w:bottom w:w="40" w:type="dxa"/>
              <w:right w:w="40" w:type="dxa"/>
            </w:tcMar>
            <w:vAlign w:val="bottom"/>
          </w:tcPr>
          <w:p w14:paraId="4ACE3A2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A2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3A28" w14:textId="77777777">
        <w:tc>
          <w:tcPr>
            <w:tcW w:w="0" w:type="auto"/>
            <w:shd w:val="clear" w:color="auto" w:fill="auto"/>
            <w:tcMar>
              <w:top w:w="40" w:type="dxa"/>
              <w:left w:w="40" w:type="dxa"/>
              <w:bottom w:w="40" w:type="dxa"/>
              <w:right w:w="40" w:type="dxa"/>
            </w:tcMar>
            <w:vAlign w:val="bottom"/>
          </w:tcPr>
          <w:p w14:paraId="4ACE3A2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Notes to </w:t>
            </w:r>
            <w:r>
              <w:rPr>
                <w:rFonts w:ascii="Arial" w:eastAsia="宋体" w:hAnsi="Arial" w:cs="Arial"/>
                <w:color w:val="333333"/>
                <w:sz w:val="18"/>
                <w:szCs w:val="18"/>
              </w:rPr>
              <w:t>Consolidated Financial Statements</w:t>
            </w:r>
          </w:p>
        </w:tc>
        <w:tc>
          <w:tcPr>
            <w:tcW w:w="0" w:type="auto"/>
            <w:shd w:val="clear" w:color="auto" w:fill="auto"/>
            <w:tcMar>
              <w:top w:w="40" w:type="dxa"/>
              <w:left w:w="40" w:type="dxa"/>
              <w:bottom w:w="40" w:type="dxa"/>
              <w:right w:w="40" w:type="dxa"/>
            </w:tcMar>
            <w:vAlign w:val="bottom"/>
          </w:tcPr>
          <w:p w14:paraId="4ACE3A27" w14:textId="77777777" w:rsidR="006F587A" w:rsidRDefault="007B2B61">
            <w:pPr>
              <w:jc w:val="right"/>
              <w:textAlignment w:val="bottom"/>
              <w:rPr>
                <w:rFonts w:ascii="Times New Roman" w:hAnsi="Times New Roman"/>
                <w:sz w:val="18"/>
                <w:szCs w:val="18"/>
              </w:rPr>
            </w:pPr>
            <w:hyperlink r:id="rId104" w:anchor="s0787D558699B5B27AE8029EB2B742768" w:history="1">
              <w:r>
                <w:rPr>
                  <w:rStyle w:val="a5"/>
                  <w:rFonts w:ascii="Arial" w:eastAsia="宋体" w:hAnsi="Arial" w:cs="Arial"/>
                  <w:color w:val="333333"/>
                  <w:sz w:val="18"/>
                  <w:szCs w:val="18"/>
                  <w:u w:val="none"/>
                </w:rPr>
                <w:t>74</w:t>
              </w:r>
            </w:hyperlink>
          </w:p>
        </w:tc>
      </w:tr>
      <w:tr w:rsidR="006F587A" w14:paraId="4ACE3A2B" w14:textId="77777777">
        <w:tc>
          <w:tcPr>
            <w:tcW w:w="0" w:type="auto"/>
            <w:shd w:val="clear" w:color="auto" w:fill="auto"/>
            <w:tcMar>
              <w:top w:w="40" w:type="dxa"/>
              <w:left w:w="40" w:type="dxa"/>
              <w:bottom w:w="40" w:type="dxa"/>
              <w:right w:w="40" w:type="dxa"/>
            </w:tcMar>
            <w:vAlign w:val="bottom"/>
          </w:tcPr>
          <w:p w14:paraId="4ACE3A2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A2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3A2E" w14:textId="77777777">
        <w:tc>
          <w:tcPr>
            <w:tcW w:w="0" w:type="auto"/>
            <w:shd w:val="clear" w:color="auto" w:fill="auto"/>
            <w:tcMar>
              <w:top w:w="40" w:type="dxa"/>
              <w:left w:w="240" w:type="dxa"/>
              <w:bottom w:w="40" w:type="dxa"/>
              <w:right w:w="40" w:type="dxa"/>
            </w:tcMar>
            <w:vAlign w:val="bottom"/>
          </w:tcPr>
          <w:p w14:paraId="4ACE3A2C"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Basis</w:t>
            </w:r>
          </w:p>
        </w:tc>
        <w:tc>
          <w:tcPr>
            <w:tcW w:w="0" w:type="auto"/>
            <w:shd w:val="clear" w:color="auto" w:fill="auto"/>
            <w:tcMar>
              <w:top w:w="40" w:type="dxa"/>
              <w:left w:w="40" w:type="dxa"/>
              <w:bottom w:w="40" w:type="dxa"/>
              <w:right w:w="40" w:type="dxa"/>
            </w:tcMar>
            <w:vAlign w:val="bottom"/>
          </w:tcPr>
          <w:p w14:paraId="4ACE3A2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3A31" w14:textId="77777777">
        <w:tc>
          <w:tcPr>
            <w:tcW w:w="0" w:type="auto"/>
            <w:shd w:val="clear" w:color="auto" w:fill="auto"/>
            <w:tcMar>
              <w:top w:w="40" w:type="dxa"/>
              <w:left w:w="400" w:type="dxa"/>
              <w:bottom w:w="40" w:type="dxa"/>
              <w:right w:w="40" w:type="dxa"/>
            </w:tcMar>
            <w:vAlign w:val="bottom"/>
          </w:tcPr>
          <w:p w14:paraId="4ACE3A2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Note 1: Basis of Presentation</w:t>
            </w:r>
          </w:p>
        </w:tc>
        <w:tc>
          <w:tcPr>
            <w:tcW w:w="0" w:type="auto"/>
            <w:shd w:val="clear" w:color="auto" w:fill="auto"/>
            <w:tcMar>
              <w:top w:w="40" w:type="dxa"/>
              <w:left w:w="40" w:type="dxa"/>
              <w:bottom w:w="40" w:type="dxa"/>
              <w:right w:w="40" w:type="dxa"/>
            </w:tcMar>
            <w:vAlign w:val="bottom"/>
          </w:tcPr>
          <w:p w14:paraId="4ACE3A30" w14:textId="77777777" w:rsidR="006F587A" w:rsidRDefault="007B2B61">
            <w:pPr>
              <w:jc w:val="right"/>
              <w:textAlignment w:val="bottom"/>
              <w:rPr>
                <w:rFonts w:ascii="Times New Roman" w:hAnsi="Times New Roman"/>
                <w:sz w:val="18"/>
                <w:szCs w:val="18"/>
              </w:rPr>
            </w:pPr>
            <w:hyperlink r:id="rId105" w:anchor="sAF51BCB946775C31830C320D4DD6A1BC" w:history="1">
              <w:r>
                <w:rPr>
                  <w:rStyle w:val="a5"/>
                  <w:rFonts w:ascii="Arial" w:eastAsia="宋体" w:hAnsi="Arial" w:cs="Arial"/>
                  <w:color w:val="333333"/>
                  <w:sz w:val="18"/>
                  <w:szCs w:val="18"/>
                  <w:u w:val="none"/>
                </w:rPr>
                <w:t>74</w:t>
              </w:r>
            </w:hyperlink>
          </w:p>
        </w:tc>
      </w:tr>
      <w:tr w:rsidR="006F587A" w14:paraId="4ACE3A34" w14:textId="77777777">
        <w:tc>
          <w:tcPr>
            <w:tcW w:w="0" w:type="auto"/>
            <w:shd w:val="clear" w:color="auto" w:fill="auto"/>
            <w:tcMar>
              <w:top w:w="40" w:type="dxa"/>
              <w:left w:w="400" w:type="dxa"/>
              <w:bottom w:w="40" w:type="dxa"/>
              <w:right w:w="40" w:type="dxa"/>
            </w:tcMar>
            <w:vAlign w:val="bottom"/>
          </w:tcPr>
          <w:p w14:paraId="4ACE3A3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Note 2: Accounting Policies</w:t>
            </w:r>
          </w:p>
        </w:tc>
        <w:tc>
          <w:tcPr>
            <w:tcW w:w="0" w:type="auto"/>
            <w:shd w:val="clear" w:color="auto" w:fill="auto"/>
            <w:tcMar>
              <w:top w:w="40" w:type="dxa"/>
              <w:left w:w="40" w:type="dxa"/>
              <w:bottom w:w="40" w:type="dxa"/>
              <w:right w:w="40" w:type="dxa"/>
            </w:tcMar>
            <w:vAlign w:val="bottom"/>
          </w:tcPr>
          <w:p w14:paraId="4ACE3A33" w14:textId="77777777" w:rsidR="006F587A" w:rsidRDefault="007B2B61">
            <w:pPr>
              <w:jc w:val="right"/>
              <w:textAlignment w:val="bottom"/>
              <w:rPr>
                <w:rFonts w:ascii="Times New Roman" w:hAnsi="Times New Roman"/>
                <w:sz w:val="18"/>
                <w:szCs w:val="18"/>
              </w:rPr>
            </w:pPr>
            <w:hyperlink r:id="rId106" w:anchor="s7DADEC140EF3550CB852E33989AD937F" w:history="1">
              <w:r>
                <w:rPr>
                  <w:rStyle w:val="a5"/>
                  <w:rFonts w:ascii="Arial" w:eastAsia="宋体" w:hAnsi="Arial" w:cs="Arial"/>
                  <w:color w:val="333333"/>
                  <w:sz w:val="18"/>
                  <w:szCs w:val="18"/>
                  <w:u w:val="none"/>
                </w:rPr>
                <w:t>74</w:t>
              </w:r>
            </w:hyperlink>
          </w:p>
        </w:tc>
      </w:tr>
      <w:tr w:rsidR="006F587A" w14:paraId="4ACE3A37" w14:textId="77777777">
        <w:tc>
          <w:tcPr>
            <w:tcW w:w="0" w:type="auto"/>
            <w:shd w:val="clear" w:color="auto" w:fill="auto"/>
            <w:tcMar>
              <w:top w:w="40" w:type="dxa"/>
              <w:left w:w="400" w:type="dxa"/>
              <w:bottom w:w="40" w:type="dxa"/>
              <w:right w:w="40" w:type="dxa"/>
            </w:tcMar>
            <w:vAlign w:val="bottom"/>
          </w:tcPr>
          <w:p w14:paraId="4ACE3A3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Note 3: Recent Accounting Standards</w:t>
            </w:r>
          </w:p>
        </w:tc>
        <w:tc>
          <w:tcPr>
            <w:tcW w:w="0" w:type="auto"/>
            <w:shd w:val="clear" w:color="auto" w:fill="auto"/>
            <w:tcMar>
              <w:top w:w="40" w:type="dxa"/>
              <w:left w:w="40" w:type="dxa"/>
              <w:bottom w:w="40" w:type="dxa"/>
              <w:right w:w="40" w:type="dxa"/>
            </w:tcMar>
            <w:vAlign w:val="bottom"/>
          </w:tcPr>
          <w:p w14:paraId="4ACE3A36" w14:textId="77777777" w:rsidR="006F587A" w:rsidRDefault="007B2B61">
            <w:pPr>
              <w:jc w:val="right"/>
              <w:textAlignment w:val="bottom"/>
              <w:rPr>
                <w:rFonts w:ascii="Times New Roman" w:hAnsi="Times New Roman"/>
                <w:sz w:val="18"/>
                <w:szCs w:val="18"/>
              </w:rPr>
            </w:pPr>
            <w:hyperlink r:id="rId107" w:anchor="sA453080B34EA5767BF8A7CDCAF4B76DA" w:history="1">
              <w:r>
                <w:rPr>
                  <w:rStyle w:val="a5"/>
                  <w:rFonts w:ascii="Arial" w:eastAsia="宋体" w:hAnsi="Arial" w:cs="Arial"/>
                  <w:color w:val="333333"/>
                  <w:sz w:val="18"/>
                  <w:szCs w:val="18"/>
                  <w:u w:val="none"/>
                </w:rPr>
                <w:t>79</w:t>
              </w:r>
            </w:hyperlink>
          </w:p>
        </w:tc>
      </w:tr>
      <w:tr w:rsidR="006F587A" w14:paraId="4ACE3A3A" w14:textId="77777777">
        <w:tc>
          <w:tcPr>
            <w:tcW w:w="0" w:type="auto"/>
            <w:shd w:val="clear" w:color="auto" w:fill="auto"/>
            <w:tcMar>
              <w:top w:w="40" w:type="dxa"/>
              <w:left w:w="240" w:type="dxa"/>
              <w:bottom w:w="40" w:type="dxa"/>
              <w:right w:w="40" w:type="dxa"/>
            </w:tcMar>
            <w:vAlign w:val="bottom"/>
          </w:tcPr>
          <w:p w14:paraId="4ACE3A38"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Performance and Operations</w:t>
            </w:r>
          </w:p>
        </w:tc>
        <w:tc>
          <w:tcPr>
            <w:tcW w:w="0" w:type="auto"/>
            <w:shd w:val="clear" w:color="auto" w:fill="auto"/>
            <w:tcMar>
              <w:top w:w="40" w:type="dxa"/>
              <w:left w:w="40" w:type="dxa"/>
              <w:bottom w:w="40" w:type="dxa"/>
              <w:right w:w="40" w:type="dxa"/>
            </w:tcMar>
            <w:vAlign w:val="bottom"/>
          </w:tcPr>
          <w:p w14:paraId="4ACE3A3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3A3D" w14:textId="77777777">
        <w:tc>
          <w:tcPr>
            <w:tcW w:w="0" w:type="auto"/>
            <w:shd w:val="clear" w:color="auto" w:fill="auto"/>
            <w:tcMar>
              <w:top w:w="40" w:type="dxa"/>
              <w:left w:w="400" w:type="dxa"/>
              <w:bottom w:w="40" w:type="dxa"/>
              <w:right w:w="40" w:type="dxa"/>
            </w:tcMar>
            <w:vAlign w:val="bottom"/>
          </w:tcPr>
          <w:p w14:paraId="4ACE3A3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Note 4: Operating Segments</w:t>
            </w:r>
          </w:p>
        </w:tc>
        <w:tc>
          <w:tcPr>
            <w:tcW w:w="0" w:type="auto"/>
            <w:shd w:val="clear" w:color="auto" w:fill="auto"/>
            <w:tcMar>
              <w:top w:w="40" w:type="dxa"/>
              <w:left w:w="40" w:type="dxa"/>
              <w:bottom w:w="40" w:type="dxa"/>
              <w:right w:w="40" w:type="dxa"/>
            </w:tcMar>
            <w:vAlign w:val="bottom"/>
          </w:tcPr>
          <w:p w14:paraId="4ACE3A3C" w14:textId="77777777" w:rsidR="006F587A" w:rsidRDefault="007B2B61">
            <w:pPr>
              <w:jc w:val="right"/>
              <w:textAlignment w:val="bottom"/>
              <w:rPr>
                <w:rFonts w:ascii="Times New Roman" w:hAnsi="Times New Roman"/>
                <w:sz w:val="18"/>
                <w:szCs w:val="18"/>
              </w:rPr>
            </w:pPr>
            <w:hyperlink r:id="rId108" w:anchor="sA80E8856BA555B5485BFF78CB558C074" w:history="1">
              <w:r>
                <w:rPr>
                  <w:rStyle w:val="a5"/>
                  <w:rFonts w:ascii="Arial" w:eastAsia="宋体" w:hAnsi="Arial" w:cs="Arial"/>
                  <w:color w:val="333333"/>
                  <w:sz w:val="18"/>
                  <w:szCs w:val="18"/>
                  <w:u w:val="none"/>
                </w:rPr>
                <w:t>81</w:t>
              </w:r>
            </w:hyperlink>
          </w:p>
        </w:tc>
      </w:tr>
      <w:tr w:rsidR="006F587A" w14:paraId="4ACE3A40" w14:textId="77777777">
        <w:tc>
          <w:tcPr>
            <w:tcW w:w="0" w:type="auto"/>
            <w:shd w:val="clear" w:color="auto" w:fill="auto"/>
            <w:tcMar>
              <w:top w:w="40" w:type="dxa"/>
              <w:left w:w="400" w:type="dxa"/>
              <w:bottom w:w="40" w:type="dxa"/>
              <w:right w:w="40" w:type="dxa"/>
            </w:tcMar>
            <w:vAlign w:val="bottom"/>
          </w:tcPr>
          <w:p w14:paraId="4ACE3A3E"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Note 5: Earnings Per Share</w:t>
            </w:r>
          </w:p>
        </w:tc>
        <w:tc>
          <w:tcPr>
            <w:tcW w:w="0" w:type="auto"/>
            <w:shd w:val="clear" w:color="auto" w:fill="auto"/>
            <w:tcMar>
              <w:top w:w="40" w:type="dxa"/>
              <w:left w:w="40" w:type="dxa"/>
              <w:bottom w:w="40" w:type="dxa"/>
              <w:right w:w="40" w:type="dxa"/>
            </w:tcMar>
            <w:vAlign w:val="bottom"/>
          </w:tcPr>
          <w:p w14:paraId="4ACE3A3F" w14:textId="77777777" w:rsidR="006F587A" w:rsidRDefault="007B2B61">
            <w:pPr>
              <w:jc w:val="right"/>
              <w:textAlignment w:val="bottom"/>
              <w:rPr>
                <w:rFonts w:ascii="Times New Roman" w:hAnsi="Times New Roman"/>
                <w:sz w:val="18"/>
                <w:szCs w:val="18"/>
              </w:rPr>
            </w:pPr>
            <w:hyperlink r:id="rId109" w:anchor="s3051E6E9D2055C99BAFB849C1B18A76C" w:history="1">
              <w:r>
                <w:rPr>
                  <w:rStyle w:val="a5"/>
                  <w:rFonts w:ascii="Arial" w:eastAsia="宋体" w:hAnsi="Arial" w:cs="Arial"/>
                  <w:color w:val="333333"/>
                  <w:sz w:val="18"/>
                  <w:szCs w:val="18"/>
                  <w:u w:val="none"/>
                </w:rPr>
                <w:t>83</w:t>
              </w:r>
            </w:hyperlink>
          </w:p>
        </w:tc>
      </w:tr>
      <w:tr w:rsidR="006F587A" w14:paraId="4ACE3A43" w14:textId="77777777">
        <w:tc>
          <w:tcPr>
            <w:tcW w:w="0" w:type="auto"/>
            <w:shd w:val="clear" w:color="auto" w:fill="auto"/>
            <w:tcMar>
              <w:top w:w="40" w:type="dxa"/>
              <w:left w:w="400" w:type="dxa"/>
              <w:bottom w:w="40" w:type="dxa"/>
              <w:right w:w="40" w:type="dxa"/>
            </w:tcMar>
            <w:vAlign w:val="bottom"/>
          </w:tcPr>
          <w:p w14:paraId="4ACE3A4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Note 6: Contract Liabilities </w:t>
            </w:r>
          </w:p>
        </w:tc>
        <w:tc>
          <w:tcPr>
            <w:tcW w:w="0" w:type="auto"/>
            <w:shd w:val="clear" w:color="auto" w:fill="auto"/>
            <w:tcMar>
              <w:top w:w="40" w:type="dxa"/>
              <w:left w:w="40" w:type="dxa"/>
              <w:bottom w:w="40" w:type="dxa"/>
              <w:right w:w="40" w:type="dxa"/>
            </w:tcMar>
            <w:vAlign w:val="bottom"/>
          </w:tcPr>
          <w:p w14:paraId="4ACE3A42" w14:textId="77777777" w:rsidR="006F587A" w:rsidRDefault="007B2B61">
            <w:pPr>
              <w:jc w:val="right"/>
              <w:textAlignment w:val="bottom"/>
              <w:rPr>
                <w:rFonts w:ascii="Times New Roman" w:hAnsi="Times New Roman"/>
                <w:sz w:val="18"/>
                <w:szCs w:val="18"/>
              </w:rPr>
            </w:pPr>
            <w:hyperlink r:id="rId110" w:anchor="s877DE497D6E054468F764901CC28D40B" w:history="1">
              <w:r>
                <w:rPr>
                  <w:rStyle w:val="a5"/>
                  <w:rFonts w:ascii="Arial" w:eastAsia="宋体" w:hAnsi="Arial" w:cs="Arial"/>
                  <w:color w:val="333333"/>
                  <w:sz w:val="18"/>
                  <w:szCs w:val="18"/>
                  <w:u w:val="none"/>
                </w:rPr>
                <w:t>84</w:t>
              </w:r>
            </w:hyperlink>
          </w:p>
        </w:tc>
      </w:tr>
      <w:tr w:rsidR="006F587A" w14:paraId="4ACE3A46" w14:textId="77777777">
        <w:tc>
          <w:tcPr>
            <w:tcW w:w="0" w:type="auto"/>
            <w:shd w:val="clear" w:color="auto" w:fill="auto"/>
            <w:tcMar>
              <w:top w:w="40" w:type="dxa"/>
              <w:left w:w="400" w:type="dxa"/>
              <w:bottom w:w="40" w:type="dxa"/>
              <w:right w:w="40" w:type="dxa"/>
            </w:tcMar>
            <w:vAlign w:val="bottom"/>
          </w:tcPr>
          <w:p w14:paraId="4ACE3A4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Note 7: Other Financial Statement Details</w:t>
            </w:r>
          </w:p>
        </w:tc>
        <w:tc>
          <w:tcPr>
            <w:tcW w:w="0" w:type="auto"/>
            <w:shd w:val="clear" w:color="auto" w:fill="auto"/>
            <w:tcMar>
              <w:top w:w="40" w:type="dxa"/>
              <w:left w:w="40" w:type="dxa"/>
              <w:bottom w:w="40" w:type="dxa"/>
              <w:right w:w="40" w:type="dxa"/>
            </w:tcMar>
            <w:vAlign w:val="bottom"/>
          </w:tcPr>
          <w:p w14:paraId="4ACE3A45" w14:textId="77777777" w:rsidR="006F587A" w:rsidRDefault="007B2B61">
            <w:pPr>
              <w:jc w:val="right"/>
              <w:textAlignment w:val="bottom"/>
              <w:rPr>
                <w:rFonts w:ascii="Times New Roman" w:hAnsi="Times New Roman"/>
                <w:sz w:val="18"/>
                <w:szCs w:val="18"/>
              </w:rPr>
            </w:pPr>
            <w:hyperlink r:id="rId111" w:anchor="s910BB4B294525144AE6058FC35E51FEB" w:history="1">
              <w:r>
                <w:rPr>
                  <w:rStyle w:val="a5"/>
                  <w:rFonts w:ascii="Arial" w:eastAsia="宋体" w:hAnsi="Arial" w:cs="Arial"/>
                  <w:color w:val="333333"/>
                  <w:sz w:val="18"/>
                  <w:szCs w:val="18"/>
                  <w:u w:val="none"/>
                </w:rPr>
                <w:t>84</w:t>
              </w:r>
            </w:hyperlink>
          </w:p>
        </w:tc>
      </w:tr>
      <w:tr w:rsidR="006F587A" w14:paraId="4ACE3A49" w14:textId="77777777">
        <w:tc>
          <w:tcPr>
            <w:tcW w:w="0" w:type="auto"/>
            <w:shd w:val="clear" w:color="auto" w:fill="auto"/>
            <w:tcMar>
              <w:top w:w="40" w:type="dxa"/>
              <w:left w:w="400" w:type="dxa"/>
              <w:bottom w:w="40" w:type="dxa"/>
              <w:right w:w="40" w:type="dxa"/>
            </w:tcMar>
            <w:vAlign w:val="bottom"/>
          </w:tcPr>
          <w:p w14:paraId="4ACE3A4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Note 8: R</w:t>
            </w:r>
            <w:r>
              <w:rPr>
                <w:rFonts w:ascii="Arial" w:eastAsia="宋体" w:hAnsi="Arial" w:cs="Arial"/>
                <w:color w:val="333333"/>
                <w:sz w:val="18"/>
                <w:szCs w:val="18"/>
              </w:rPr>
              <w:t>estructuring and Other Charges</w:t>
            </w:r>
          </w:p>
        </w:tc>
        <w:tc>
          <w:tcPr>
            <w:tcW w:w="0" w:type="auto"/>
            <w:shd w:val="clear" w:color="auto" w:fill="auto"/>
            <w:tcMar>
              <w:top w:w="40" w:type="dxa"/>
              <w:left w:w="40" w:type="dxa"/>
              <w:bottom w:w="40" w:type="dxa"/>
              <w:right w:w="40" w:type="dxa"/>
            </w:tcMar>
            <w:vAlign w:val="bottom"/>
          </w:tcPr>
          <w:p w14:paraId="4ACE3A48" w14:textId="77777777" w:rsidR="006F587A" w:rsidRDefault="007B2B61">
            <w:pPr>
              <w:jc w:val="right"/>
              <w:textAlignment w:val="bottom"/>
              <w:rPr>
                <w:rFonts w:ascii="Times New Roman" w:hAnsi="Times New Roman"/>
                <w:sz w:val="18"/>
                <w:szCs w:val="18"/>
              </w:rPr>
            </w:pPr>
            <w:hyperlink r:id="rId112" w:anchor="sC6B5E7DD0EB35768BBA3709F8EF578BA" w:history="1">
              <w:r>
                <w:rPr>
                  <w:rStyle w:val="a5"/>
                  <w:rFonts w:ascii="Arial" w:eastAsia="宋体" w:hAnsi="Arial" w:cs="Arial"/>
                  <w:color w:val="333333"/>
                  <w:sz w:val="18"/>
                  <w:szCs w:val="18"/>
                  <w:u w:val="none"/>
                </w:rPr>
                <w:t>86</w:t>
              </w:r>
            </w:hyperlink>
          </w:p>
        </w:tc>
      </w:tr>
      <w:tr w:rsidR="006F587A" w14:paraId="4ACE3A4C" w14:textId="77777777">
        <w:tc>
          <w:tcPr>
            <w:tcW w:w="0" w:type="auto"/>
            <w:shd w:val="clear" w:color="auto" w:fill="auto"/>
            <w:tcMar>
              <w:top w:w="40" w:type="dxa"/>
              <w:left w:w="400" w:type="dxa"/>
              <w:bottom w:w="40" w:type="dxa"/>
              <w:right w:w="40" w:type="dxa"/>
            </w:tcMar>
            <w:vAlign w:val="bottom"/>
          </w:tcPr>
          <w:p w14:paraId="4ACE3A4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Note 9: Income Taxes</w:t>
            </w:r>
          </w:p>
        </w:tc>
        <w:tc>
          <w:tcPr>
            <w:tcW w:w="0" w:type="auto"/>
            <w:shd w:val="clear" w:color="auto" w:fill="auto"/>
            <w:tcMar>
              <w:top w:w="40" w:type="dxa"/>
              <w:left w:w="40" w:type="dxa"/>
              <w:bottom w:w="40" w:type="dxa"/>
              <w:right w:w="40" w:type="dxa"/>
            </w:tcMar>
            <w:vAlign w:val="bottom"/>
          </w:tcPr>
          <w:p w14:paraId="4ACE3A4B" w14:textId="77777777" w:rsidR="006F587A" w:rsidRDefault="007B2B61">
            <w:pPr>
              <w:jc w:val="right"/>
              <w:textAlignment w:val="bottom"/>
              <w:rPr>
                <w:rFonts w:ascii="Times New Roman" w:hAnsi="Times New Roman"/>
                <w:sz w:val="18"/>
                <w:szCs w:val="18"/>
              </w:rPr>
            </w:pPr>
            <w:hyperlink r:id="rId113" w:anchor="s5FA980509D995F90A9179C65931E895C" w:history="1">
              <w:r>
                <w:rPr>
                  <w:rStyle w:val="a5"/>
                  <w:rFonts w:ascii="Arial" w:eastAsia="宋体" w:hAnsi="Arial" w:cs="Arial"/>
                  <w:color w:val="333333"/>
                  <w:sz w:val="18"/>
                  <w:szCs w:val="18"/>
                  <w:u w:val="none"/>
                </w:rPr>
                <w:t>86</w:t>
              </w:r>
            </w:hyperlink>
          </w:p>
        </w:tc>
      </w:tr>
      <w:tr w:rsidR="006F587A" w14:paraId="4ACE3A4F" w14:textId="77777777">
        <w:tc>
          <w:tcPr>
            <w:tcW w:w="0" w:type="auto"/>
            <w:shd w:val="clear" w:color="auto" w:fill="auto"/>
            <w:tcMar>
              <w:top w:w="40" w:type="dxa"/>
              <w:left w:w="240" w:type="dxa"/>
              <w:bottom w:w="40" w:type="dxa"/>
              <w:right w:w="40" w:type="dxa"/>
            </w:tcMar>
            <w:vAlign w:val="bottom"/>
          </w:tcPr>
          <w:p w14:paraId="4ACE3A4D"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Investments, Long-term Assets and Debt</w:t>
            </w:r>
          </w:p>
        </w:tc>
        <w:tc>
          <w:tcPr>
            <w:tcW w:w="0" w:type="auto"/>
            <w:shd w:val="clear" w:color="auto" w:fill="auto"/>
            <w:tcMar>
              <w:top w:w="40" w:type="dxa"/>
              <w:left w:w="40" w:type="dxa"/>
              <w:bottom w:w="40" w:type="dxa"/>
              <w:right w:w="40" w:type="dxa"/>
            </w:tcMar>
            <w:vAlign w:val="bottom"/>
          </w:tcPr>
          <w:p w14:paraId="4ACE3A4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3A52" w14:textId="77777777">
        <w:tc>
          <w:tcPr>
            <w:tcW w:w="0" w:type="auto"/>
            <w:shd w:val="clear" w:color="auto" w:fill="auto"/>
            <w:tcMar>
              <w:top w:w="40" w:type="dxa"/>
              <w:left w:w="400" w:type="dxa"/>
              <w:bottom w:w="40" w:type="dxa"/>
              <w:right w:w="40" w:type="dxa"/>
            </w:tcMar>
            <w:vAlign w:val="bottom"/>
          </w:tcPr>
          <w:p w14:paraId="4ACE3A5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Note 10: Investments</w:t>
            </w:r>
          </w:p>
        </w:tc>
        <w:tc>
          <w:tcPr>
            <w:tcW w:w="0" w:type="auto"/>
            <w:shd w:val="clear" w:color="auto" w:fill="auto"/>
            <w:tcMar>
              <w:top w:w="40" w:type="dxa"/>
              <w:left w:w="40" w:type="dxa"/>
              <w:bottom w:w="40" w:type="dxa"/>
              <w:right w:w="40" w:type="dxa"/>
            </w:tcMar>
            <w:vAlign w:val="bottom"/>
          </w:tcPr>
          <w:p w14:paraId="4ACE3A51" w14:textId="77777777" w:rsidR="006F587A" w:rsidRDefault="007B2B61">
            <w:pPr>
              <w:jc w:val="right"/>
              <w:textAlignment w:val="bottom"/>
              <w:rPr>
                <w:rFonts w:ascii="Times New Roman" w:hAnsi="Times New Roman"/>
                <w:sz w:val="18"/>
                <w:szCs w:val="18"/>
              </w:rPr>
            </w:pPr>
            <w:hyperlink r:id="rId114" w:anchor="s8AB21B7EBF315F6C8B8E78F96FE6C1CF" w:history="1">
              <w:r>
                <w:rPr>
                  <w:rStyle w:val="a5"/>
                  <w:rFonts w:ascii="Arial" w:eastAsia="宋体" w:hAnsi="Arial" w:cs="Arial"/>
                  <w:color w:val="333333"/>
                  <w:sz w:val="18"/>
                  <w:szCs w:val="18"/>
                  <w:u w:val="none"/>
                </w:rPr>
                <w:t>89</w:t>
              </w:r>
            </w:hyperlink>
          </w:p>
        </w:tc>
      </w:tr>
      <w:tr w:rsidR="006F587A" w14:paraId="4ACE3A55" w14:textId="77777777">
        <w:tc>
          <w:tcPr>
            <w:tcW w:w="0" w:type="auto"/>
            <w:shd w:val="clear" w:color="auto" w:fill="auto"/>
            <w:tcMar>
              <w:top w:w="40" w:type="dxa"/>
              <w:left w:w="400" w:type="dxa"/>
              <w:bottom w:w="40" w:type="dxa"/>
              <w:right w:w="40" w:type="dxa"/>
            </w:tcMar>
            <w:vAlign w:val="bottom"/>
          </w:tcPr>
          <w:p w14:paraId="4ACE3A5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Note 11: Acquisitions and Divestitures</w:t>
            </w:r>
          </w:p>
        </w:tc>
        <w:tc>
          <w:tcPr>
            <w:tcW w:w="0" w:type="auto"/>
            <w:shd w:val="clear" w:color="auto" w:fill="auto"/>
            <w:tcMar>
              <w:top w:w="40" w:type="dxa"/>
              <w:left w:w="40" w:type="dxa"/>
              <w:bottom w:w="40" w:type="dxa"/>
              <w:right w:w="40" w:type="dxa"/>
            </w:tcMar>
            <w:vAlign w:val="bottom"/>
          </w:tcPr>
          <w:p w14:paraId="4ACE3A54" w14:textId="77777777" w:rsidR="006F587A" w:rsidRDefault="007B2B61">
            <w:pPr>
              <w:jc w:val="right"/>
              <w:textAlignment w:val="bottom"/>
              <w:rPr>
                <w:rFonts w:ascii="Times New Roman" w:hAnsi="Times New Roman"/>
                <w:sz w:val="18"/>
                <w:szCs w:val="18"/>
              </w:rPr>
            </w:pPr>
            <w:hyperlink r:id="rId115" w:anchor="s837EF63733D95AD2A5819098C43FF2ED" w:history="1">
              <w:r>
                <w:rPr>
                  <w:rStyle w:val="a5"/>
                  <w:rFonts w:ascii="Arial" w:eastAsia="宋体" w:hAnsi="Arial" w:cs="Arial"/>
                  <w:color w:val="333333"/>
                  <w:sz w:val="18"/>
                  <w:szCs w:val="18"/>
                  <w:u w:val="none"/>
                </w:rPr>
                <w:t>91</w:t>
              </w:r>
            </w:hyperlink>
          </w:p>
        </w:tc>
      </w:tr>
      <w:tr w:rsidR="006F587A" w14:paraId="4ACE3A58" w14:textId="77777777">
        <w:tc>
          <w:tcPr>
            <w:tcW w:w="0" w:type="auto"/>
            <w:shd w:val="clear" w:color="auto" w:fill="auto"/>
            <w:tcMar>
              <w:top w:w="40" w:type="dxa"/>
              <w:left w:w="400" w:type="dxa"/>
              <w:bottom w:w="40" w:type="dxa"/>
              <w:right w:w="40" w:type="dxa"/>
            </w:tcMar>
            <w:vAlign w:val="bottom"/>
          </w:tcPr>
          <w:p w14:paraId="4ACE3A5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Note 12: Goodwill</w:t>
            </w:r>
          </w:p>
        </w:tc>
        <w:tc>
          <w:tcPr>
            <w:tcW w:w="0" w:type="auto"/>
            <w:shd w:val="clear" w:color="auto" w:fill="auto"/>
            <w:tcMar>
              <w:top w:w="40" w:type="dxa"/>
              <w:left w:w="40" w:type="dxa"/>
              <w:bottom w:w="40" w:type="dxa"/>
              <w:right w:w="40" w:type="dxa"/>
            </w:tcMar>
            <w:vAlign w:val="bottom"/>
          </w:tcPr>
          <w:p w14:paraId="4ACE3A57" w14:textId="77777777" w:rsidR="006F587A" w:rsidRDefault="007B2B61">
            <w:pPr>
              <w:jc w:val="right"/>
              <w:textAlignment w:val="bottom"/>
              <w:rPr>
                <w:rFonts w:ascii="Times New Roman" w:hAnsi="Times New Roman"/>
                <w:sz w:val="18"/>
                <w:szCs w:val="18"/>
              </w:rPr>
            </w:pPr>
            <w:hyperlink r:id="rId116" w:anchor="sDFCC9B025DB550C18513F635D200AEFE" w:history="1">
              <w:r>
                <w:rPr>
                  <w:rStyle w:val="a5"/>
                  <w:rFonts w:ascii="Arial" w:eastAsia="宋体" w:hAnsi="Arial" w:cs="Arial"/>
                  <w:color w:val="333333"/>
                  <w:sz w:val="18"/>
                  <w:szCs w:val="18"/>
                  <w:u w:val="none"/>
                </w:rPr>
                <w:t>92</w:t>
              </w:r>
            </w:hyperlink>
          </w:p>
        </w:tc>
      </w:tr>
      <w:tr w:rsidR="006F587A" w14:paraId="4ACE3A5B" w14:textId="77777777">
        <w:tc>
          <w:tcPr>
            <w:tcW w:w="0" w:type="auto"/>
            <w:shd w:val="clear" w:color="auto" w:fill="auto"/>
            <w:tcMar>
              <w:top w:w="40" w:type="dxa"/>
              <w:left w:w="400" w:type="dxa"/>
              <w:bottom w:w="40" w:type="dxa"/>
              <w:right w:w="40" w:type="dxa"/>
            </w:tcMar>
            <w:vAlign w:val="bottom"/>
          </w:tcPr>
          <w:p w14:paraId="4ACE3A5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Note 13: Identified Intangible Assets</w:t>
            </w:r>
          </w:p>
        </w:tc>
        <w:tc>
          <w:tcPr>
            <w:tcW w:w="0" w:type="auto"/>
            <w:shd w:val="clear" w:color="auto" w:fill="auto"/>
            <w:tcMar>
              <w:top w:w="40" w:type="dxa"/>
              <w:left w:w="40" w:type="dxa"/>
              <w:bottom w:w="40" w:type="dxa"/>
              <w:right w:w="40" w:type="dxa"/>
            </w:tcMar>
            <w:vAlign w:val="bottom"/>
          </w:tcPr>
          <w:p w14:paraId="4ACE3A5A" w14:textId="77777777" w:rsidR="006F587A" w:rsidRDefault="007B2B61">
            <w:pPr>
              <w:jc w:val="right"/>
              <w:textAlignment w:val="bottom"/>
              <w:rPr>
                <w:rFonts w:ascii="Times New Roman" w:hAnsi="Times New Roman"/>
                <w:sz w:val="18"/>
                <w:szCs w:val="18"/>
              </w:rPr>
            </w:pPr>
            <w:hyperlink r:id="rId117" w:anchor="s24AC0491350A5BDCBBB1D024CA55A5C3" w:history="1">
              <w:r>
                <w:rPr>
                  <w:rStyle w:val="a5"/>
                  <w:rFonts w:ascii="Arial" w:eastAsia="宋体" w:hAnsi="Arial" w:cs="Arial"/>
                  <w:color w:val="333333"/>
                  <w:sz w:val="18"/>
                  <w:szCs w:val="18"/>
                  <w:u w:val="none"/>
                </w:rPr>
                <w:t>93</w:t>
              </w:r>
            </w:hyperlink>
          </w:p>
        </w:tc>
      </w:tr>
      <w:tr w:rsidR="006F587A" w14:paraId="4ACE3A5E" w14:textId="77777777">
        <w:tc>
          <w:tcPr>
            <w:tcW w:w="0" w:type="auto"/>
            <w:shd w:val="clear" w:color="auto" w:fill="auto"/>
            <w:tcMar>
              <w:top w:w="40" w:type="dxa"/>
              <w:left w:w="400" w:type="dxa"/>
              <w:bottom w:w="40" w:type="dxa"/>
              <w:right w:w="40" w:type="dxa"/>
            </w:tcMar>
            <w:vAlign w:val="bottom"/>
          </w:tcPr>
          <w:p w14:paraId="4ACE3A5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Note 14: Borrowings</w:t>
            </w:r>
          </w:p>
        </w:tc>
        <w:tc>
          <w:tcPr>
            <w:tcW w:w="0" w:type="auto"/>
            <w:shd w:val="clear" w:color="auto" w:fill="auto"/>
            <w:tcMar>
              <w:top w:w="40" w:type="dxa"/>
              <w:left w:w="40" w:type="dxa"/>
              <w:bottom w:w="40" w:type="dxa"/>
              <w:right w:w="40" w:type="dxa"/>
            </w:tcMar>
            <w:vAlign w:val="bottom"/>
          </w:tcPr>
          <w:p w14:paraId="4ACE3A5D" w14:textId="77777777" w:rsidR="006F587A" w:rsidRDefault="007B2B61">
            <w:pPr>
              <w:jc w:val="right"/>
              <w:textAlignment w:val="bottom"/>
              <w:rPr>
                <w:rFonts w:ascii="Times New Roman" w:hAnsi="Times New Roman"/>
                <w:sz w:val="18"/>
                <w:szCs w:val="18"/>
              </w:rPr>
            </w:pPr>
            <w:hyperlink r:id="rId118" w:anchor="s048C0AD51E02539F9285D6B2191C1F43" w:history="1">
              <w:r>
                <w:rPr>
                  <w:rStyle w:val="a5"/>
                  <w:rFonts w:ascii="Arial" w:eastAsia="宋体" w:hAnsi="Arial" w:cs="Arial"/>
                  <w:color w:val="333333"/>
                  <w:sz w:val="18"/>
                  <w:szCs w:val="18"/>
                  <w:u w:val="none"/>
                </w:rPr>
                <w:t>93</w:t>
              </w:r>
            </w:hyperlink>
          </w:p>
        </w:tc>
      </w:tr>
      <w:tr w:rsidR="006F587A" w14:paraId="4ACE3A61" w14:textId="77777777">
        <w:tc>
          <w:tcPr>
            <w:tcW w:w="0" w:type="auto"/>
            <w:shd w:val="clear" w:color="auto" w:fill="auto"/>
            <w:tcMar>
              <w:top w:w="40" w:type="dxa"/>
              <w:left w:w="400" w:type="dxa"/>
              <w:bottom w:w="40" w:type="dxa"/>
              <w:right w:w="40" w:type="dxa"/>
            </w:tcMar>
            <w:vAlign w:val="bottom"/>
          </w:tcPr>
          <w:p w14:paraId="4ACE3A5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Note 15: Fair Value</w:t>
            </w:r>
          </w:p>
        </w:tc>
        <w:tc>
          <w:tcPr>
            <w:tcW w:w="0" w:type="auto"/>
            <w:shd w:val="clear" w:color="auto" w:fill="auto"/>
            <w:tcMar>
              <w:top w:w="40" w:type="dxa"/>
              <w:left w:w="40" w:type="dxa"/>
              <w:bottom w:w="40" w:type="dxa"/>
              <w:right w:w="40" w:type="dxa"/>
            </w:tcMar>
            <w:vAlign w:val="bottom"/>
          </w:tcPr>
          <w:p w14:paraId="4ACE3A60" w14:textId="77777777" w:rsidR="006F587A" w:rsidRDefault="007B2B61">
            <w:pPr>
              <w:jc w:val="right"/>
              <w:textAlignment w:val="bottom"/>
              <w:rPr>
                <w:rFonts w:ascii="Times New Roman" w:hAnsi="Times New Roman"/>
                <w:sz w:val="18"/>
                <w:szCs w:val="18"/>
              </w:rPr>
            </w:pPr>
            <w:hyperlink r:id="rId119" w:anchor="sD8907682A20753918F3688E139BE6E25" w:history="1">
              <w:r>
                <w:rPr>
                  <w:rStyle w:val="a5"/>
                  <w:rFonts w:ascii="Arial" w:eastAsia="宋体" w:hAnsi="Arial" w:cs="Arial"/>
                  <w:color w:val="333333"/>
                  <w:sz w:val="18"/>
                  <w:szCs w:val="18"/>
                  <w:u w:val="none"/>
                </w:rPr>
                <w:t>97</w:t>
              </w:r>
            </w:hyperlink>
          </w:p>
        </w:tc>
      </w:tr>
      <w:tr w:rsidR="006F587A" w14:paraId="4ACE3A64" w14:textId="77777777">
        <w:tc>
          <w:tcPr>
            <w:tcW w:w="0" w:type="auto"/>
            <w:shd w:val="clear" w:color="auto" w:fill="auto"/>
            <w:tcMar>
              <w:top w:w="40" w:type="dxa"/>
              <w:left w:w="240" w:type="dxa"/>
              <w:bottom w:w="40" w:type="dxa"/>
              <w:right w:w="40" w:type="dxa"/>
            </w:tcMar>
            <w:vAlign w:val="bottom"/>
          </w:tcPr>
          <w:p w14:paraId="4ACE3A62"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Risk Management and Other</w:t>
            </w:r>
          </w:p>
        </w:tc>
        <w:tc>
          <w:tcPr>
            <w:tcW w:w="0" w:type="auto"/>
            <w:shd w:val="clear" w:color="auto" w:fill="auto"/>
            <w:tcMar>
              <w:top w:w="40" w:type="dxa"/>
              <w:left w:w="40" w:type="dxa"/>
              <w:bottom w:w="40" w:type="dxa"/>
              <w:right w:w="40" w:type="dxa"/>
            </w:tcMar>
            <w:vAlign w:val="bottom"/>
          </w:tcPr>
          <w:p w14:paraId="4ACE3A6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3A67" w14:textId="77777777">
        <w:tc>
          <w:tcPr>
            <w:tcW w:w="0" w:type="auto"/>
            <w:shd w:val="clear" w:color="auto" w:fill="auto"/>
            <w:tcMar>
              <w:top w:w="40" w:type="dxa"/>
              <w:left w:w="400" w:type="dxa"/>
              <w:bottom w:w="40" w:type="dxa"/>
              <w:right w:w="40" w:type="dxa"/>
            </w:tcMar>
            <w:vAlign w:val="bottom"/>
          </w:tcPr>
          <w:p w14:paraId="4ACE3A6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Note 16: Other Comprehensive Income (Loss)</w:t>
            </w:r>
          </w:p>
        </w:tc>
        <w:tc>
          <w:tcPr>
            <w:tcW w:w="0" w:type="auto"/>
            <w:shd w:val="clear" w:color="auto" w:fill="auto"/>
            <w:tcMar>
              <w:top w:w="40" w:type="dxa"/>
              <w:left w:w="40" w:type="dxa"/>
              <w:bottom w:w="40" w:type="dxa"/>
              <w:right w:w="40" w:type="dxa"/>
            </w:tcMar>
            <w:vAlign w:val="bottom"/>
          </w:tcPr>
          <w:p w14:paraId="4ACE3A66" w14:textId="77777777" w:rsidR="006F587A" w:rsidRDefault="007B2B61">
            <w:pPr>
              <w:jc w:val="right"/>
              <w:textAlignment w:val="bottom"/>
              <w:rPr>
                <w:rFonts w:ascii="Times New Roman" w:hAnsi="Times New Roman"/>
                <w:sz w:val="18"/>
                <w:szCs w:val="18"/>
              </w:rPr>
            </w:pPr>
            <w:hyperlink r:id="rId120" w:anchor="sAF439DC9A42158819E3D05E7F43F6359" w:history="1">
              <w:r>
                <w:rPr>
                  <w:rStyle w:val="a5"/>
                  <w:rFonts w:ascii="Arial" w:eastAsia="宋体" w:hAnsi="Arial" w:cs="Arial"/>
                  <w:color w:val="333333"/>
                  <w:sz w:val="18"/>
                  <w:szCs w:val="18"/>
                  <w:u w:val="none"/>
                </w:rPr>
                <w:t>98</w:t>
              </w:r>
            </w:hyperlink>
          </w:p>
        </w:tc>
      </w:tr>
      <w:tr w:rsidR="006F587A" w14:paraId="4ACE3A6A" w14:textId="77777777">
        <w:tc>
          <w:tcPr>
            <w:tcW w:w="0" w:type="auto"/>
            <w:shd w:val="clear" w:color="auto" w:fill="auto"/>
            <w:tcMar>
              <w:top w:w="40" w:type="dxa"/>
              <w:left w:w="400" w:type="dxa"/>
              <w:bottom w:w="40" w:type="dxa"/>
              <w:right w:w="40" w:type="dxa"/>
            </w:tcMar>
            <w:vAlign w:val="bottom"/>
          </w:tcPr>
          <w:p w14:paraId="4ACE3A6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Note 17: Derivative Financial Instruments</w:t>
            </w:r>
          </w:p>
        </w:tc>
        <w:tc>
          <w:tcPr>
            <w:tcW w:w="0" w:type="auto"/>
            <w:shd w:val="clear" w:color="auto" w:fill="auto"/>
            <w:tcMar>
              <w:top w:w="40" w:type="dxa"/>
              <w:left w:w="40" w:type="dxa"/>
              <w:bottom w:w="40" w:type="dxa"/>
              <w:right w:w="40" w:type="dxa"/>
            </w:tcMar>
            <w:vAlign w:val="bottom"/>
          </w:tcPr>
          <w:p w14:paraId="4ACE3A69" w14:textId="77777777" w:rsidR="006F587A" w:rsidRDefault="007B2B61">
            <w:pPr>
              <w:jc w:val="right"/>
              <w:textAlignment w:val="bottom"/>
              <w:rPr>
                <w:rFonts w:ascii="Times New Roman" w:hAnsi="Times New Roman"/>
                <w:sz w:val="18"/>
                <w:szCs w:val="18"/>
              </w:rPr>
            </w:pPr>
            <w:hyperlink r:id="rId121" w:anchor="s9A6424B5748D5635B183B389A7334597" w:history="1">
              <w:r>
                <w:rPr>
                  <w:rStyle w:val="a5"/>
                  <w:rFonts w:ascii="Arial" w:eastAsia="宋体" w:hAnsi="Arial" w:cs="Arial"/>
                  <w:color w:val="333333"/>
                  <w:sz w:val="18"/>
                  <w:szCs w:val="18"/>
                  <w:u w:val="none"/>
                </w:rPr>
                <w:t>99</w:t>
              </w:r>
            </w:hyperlink>
          </w:p>
        </w:tc>
      </w:tr>
      <w:tr w:rsidR="006F587A" w14:paraId="4ACE3A6D" w14:textId="77777777">
        <w:tc>
          <w:tcPr>
            <w:tcW w:w="0" w:type="auto"/>
            <w:shd w:val="clear" w:color="auto" w:fill="auto"/>
            <w:tcMar>
              <w:top w:w="40" w:type="dxa"/>
              <w:left w:w="400" w:type="dxa"/>
              <w:bottom w:w="40" w:type="dxa"/>
              <w:right w:w="40" w:type="dxa"/>
            </w:tcMar>
            <w:vAlign w:val="bottom"/>
          </w:tcPr>
          <w:p w14:paraId="4ACE3A6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Note 18: Retirement Benefit Plans</w:t>
            </w:r>
          </w:p>
        </w:tc>
        <w:tc>
          <w:tcPr>
            <w:tcW w:w="0" w:type="auto"/>
            <w:shd w:val="clear" w:color="auto" w:fill="auto"/>
            <w:tcMar>
              <w:top w:w="40" w:type="dxa"/>
              <w:left w:w="40" w:type="dxa"/>
              <w:bottom w:w="40" w:type="dxa"/>
              <w:right w:w="40" w:type="dxa"/>
            </w:tcMar>
            <w:vAlign w:val="bottom"/>
          </w:tcPr>
          <w:p w14:paraId="4ACE3A6C" w14:textId="77777777" w:rsidR="006F587A" w:rsidRDefault="007B2B61">
            <w:pPr>
              <w:jc w:val="right"/>
              <w:textAlignment w:val="bottom"/>
              <w:rPr>
                <w:rFonts w:ascii="Times New Roman" w:hAnsi="Times New Roman"/>
                <w:sz w:val="18"/>
                <w:szCs w:val="18"/>
              </w:rPr>
            </w:pPr>
            <w:hyperlink r:id="rId122" w:anchor="s5A1692BE51AF5984BC9A9FEB64D775A5" w:history="1">
              <w:r>
                <w:rPr>
                  <w:rStyle w:val="a5"/>
                  <w:rFonts w:ascii="Arial" w:eastAsia="宋体" w:hAnsi="Arial" w:cs="Arial"/>
                  <w:color w:val="333333"/>
                  <w:sz w:val="18"/>
                  <w:szCs w:val="18"/>
                  <w:u w:val="none"/>
                </w:rPr>
                <w:t>102</w:t>
              </w:r>
            </w:hyperlink>
          </w:p>
        </w:tc>
      </w:tr>
      <w:tr w:rsidR="006F587A" w14:paraId="4ACE3A70" w14:textId="77777777">
        <w:tc>
          <w:tcPr>
            <w:tcW w:w="0" w:type="auto"/>
            <w:shd w:val="clear" w:color="auto" w:fill="auto"/>
            <w:tcMar>
              <w:top w:w="40" w:type="dxa"/>
              <w:left w:w="400" w:type="dxa"/>
              <w:bottom w:w="40" w:type="dxa"/>
              <w:right w:w="40" w:type="dxa"/>
            </w:tcMar>
            <w:vAlign w:val="bottom"/>
          </w:tcPr>
          <w:p w14:paraId="4ACE3A6E"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Note 19: Employee Equity Incentive Plans</w:t>
            </w:r>
          </w:p>
        </w:tc>
        <w:tc>
          <w:tcPr>
            <w:tcW w:w="0" w:type="auto"/>
            <w:shd w:val="clear" w:color="auto" w:fill="auto"/>
            <w:tcMar>
              <w:top w:w="40" w:type="dxa"/>
              <w:left w:w="40" w:type="dxa"/>
              <w:bottom w:w="40" w:type="dxa"/>
              <w:right w:w="40" w:type="dxa"/>
            </w:tcMar>
            <w:vAlign w:val="bottom"/>
          </w:tcPr>
          <w:p w14:paraId="4ACE3A6F" w14:textId="77777777" w:rsidR="006F587A" w:rsidRDefault="007B2B61">
            <w:pPr>
              <w:jc w:val="right"/>
              <w:textAlignment w:val="bottom"/>
              <w:rPr>
                <w:rFonts w:ascii="Times New Roman" w:hAnsi="Times New Roman"/>
                <w:sz w:val="18"/>
                <w:szCs w:val="18"/>
              </w:rPr>
            </w:pPr>
            <w:hyperlink r:id="rId123" w:anchor="sAA194A00096F577FBDF04335CFEDA879" w:history="1">
              <w:r>
                <w:rPr>
                  <w:rStyle w:val="a5"/>
                  <w:rFonts w:ascii="Arial" w:eastAsia="宋体" w:hAnsi="Arial" w:cs="Arial"/>
                  <w:color w:val="333333"/>
                  <w:sz w:val="18"/>
                  <w:szCs w:val="18"/>
                  <w:u w:val="none"/>
                </w:rPr>
                <w:t>105</w:t>
              </w:r>
            </w:hyperlink>
          </w:p>
        </w:tc>
      </w:tr>
      <w:tr w:rsidR="006F587A" w14:paraId="4ACE3A73" w14:textId="77777777">
        <w:tc>
          <w:tcPr>
            <w:tcW w:w="0" w:type="auto"/>
            <w:shd w:val="clear" w:color="auto" w:fill="auto"/>
            <w:tcMar>
              <w:top w:w="40" w:type="dxa"/>
              <w:left w:w="400" w:type="dxa"/>
              <w:bottom w:w="40" w:type="dxa"/>
              <w:right w:w="40" w:type="dxa"/>
            </w:tcMar>
            <w:vAlign w:val="bottom"/>
          </w:tcPr>
          <w:p w14:paraId="4ACE3A7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Note 20: Commitments and Contingencies</w:t>
            </w:r>
          </w:p>
        </w:tc>
        <w:tc>
          <w:tcPr>
            <w:tcW w:w="0" w:type="auto"/>
            <w:shd w:val="clear" w:color="auto" w:fill="auto"/>
            <w:tcMar>
              <w:top w:w="40" w:type="dxa"/>
              <w:left w:w="40" w:type="dxa"/>
              <w:bottom w:w="40" w:type="dxa"/>
              <w:right w:w="40" w:type="dxa"/>
            </w:tcMar>
            <w:vAlign w:val="bottom"/>
          </w:tcPr>
          <w:p w14:paraId="4ACE3A72" w14:textId="77777777" w:rsidR="006F587A" w:rsidRDefault="007B2B61">
            <w:pPr>
              <w:jc w:val="right"/>
              <w:textAlignment w:val="bottom"/>
              <w:rPr>
                <w:rFonts w:ascii="Times New Roman" w:hAnsi="Times New Roman"/>
                <w:sz w:val="18"/>
                <w:szCs w:val="18"/>
              </w:rPr>
            </w:pPr>
            <w:hyperlink r:id="rId124" w:anchor="s0C822AC9281655CE96C807210975AFB1" w:history="1">
              <w:r>
                <w:rPr>
                  <w:rStyle w:val="a5"/>
                  <w:rFonts w:ascii="Arial" w:eastAsia="宋体" w:hAnsi="Arial" w:cs="Arial"/>
                  <w:color w:val="333333"/>
                  <w:sz w:val="18"/>
                  <w:szCs w:val="18"/>
                  <w:u w:val="none"/>
                </w:rPr>
                <w:t>107</w:t>
              </w:r>
            </w:hyperlink>
          </w:p>
        </w:tc>
      </w:tr>
      <w:tr w:rsidR="006F587A" w14:paraId="4ACE3A76" w14:textId="77777777">
        <w:tc>
          <w:tcPr>
            <w:tcW w:w="0" w:type="auto"/>
            <w:shd w:val="clear" w:color="auto" w:fill="auto"/>
            <w:tcMar>
              <w:top w:w="40" w:type="dxa"/>
              <w:left w:w="400" w:type="dxa"/>
              <w:bottom w:w="40" w:type="dxa"/>
              <w:right w:w="40" w:type="dxa"/>
            </w:tcMar>
            <w:vAlign w:val="bottom"/>
          </w:tcPr>
          <w:p w14:paraId="4ACE3A7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Key Terms</w:t>
            </w:r>
          </w:p>
        </w:tc>
        <w:tc>
          <w:tcPr>
            <w:tcW w:w="0" w:type="auto"/>
            <w:shd w:val="clear" w:color="auto" w:fill="auto"/>
            <w:tcMar>
              <w:top w:w="40" w:type="dxa"/>
              <w:left w:w="40" w:type="dxa"/>
              <w:bottom w:w="40" w:type="dxa"/>
              <w:right w:w="40" w:type="dxa"/>
            </w:tcMar>
            <w:vAlign w:val="bottom"/>
          </w:tcPr>
          <w:p w14:paraId="4ACE3A75" w14:textId="77777777" w:rsidR="006F587A" w:rsidRDefault="007B2B61">
            <w:pPr>
              <w:jc w:val="right"/>
              <w:textAlignment w:val="bottom"/>
              <w:rPr>
                <w:rFonts w:ascii="Times New Roman" w:hAnsi="Times New Roman"/>
                <w:sz w:val="18"/>
                <w:szCs w:val="18"/>
              </w:rPr>
            </w:pPr>
            <w:hyperlink r:id="rId125" w:anchor="sDEBDDC04D82B5FCCAA05304139D55909" w:history="1">
              <w:r>
                <w:rPr>
                  <w:rStyle w:val="a5"/>
                  <w:rFonts w:ascii="Arial" w:eastAsia="宋体" w:hAnsi="Arial" w:cs="Arial"/>
                  <w:color w:val="333333"/>
                  <w:sz w:val="18"/>
                  <w:szCs w:val="18"/>
                  <w:u w:val="none"/>
                </w:rPr>
                <w:t>109</w:t>
              </w:r>
            </w:hyperlink>
          </w:p>
        </w:tc>
      </w:tr>
      <w:tr w:rsidR="006F587A" w14:paraId="4ACE3A79" w14:textId="77777777">
        <w:tc>
          <w:tcPr>
            <w:tcW w:w="0" w:type="auto"/>
            <w:shd w:val="clear" w:color="auto" w:fill="auto"/>
            <w:tcMar>
              <w:top w:w="40" w:type="dxa"/>
              <w:left w:w="40" w:type="dxa"/>
              <w:bottom w:w="40" w:type="dxa"/>
              <w:right w:w="40" w:type="dxa"/>
            </w:tcMar>
            <w:vAlign w:val="bottom"/>
          </w:tcPr>
          <w:p w14:paraId="4ACE3A7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A7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3A7C"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3A7A"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INDEX TO SUPPLEMENTAL DETAILS</w:t>
            </w:r>
          </w:p>
        </w:tc>
        <w:tc>
          <w:tcPr>
            <w:tcW w:w="0" w:type="auto"/>
            <w:tcBorders>
              <w:bottom w:val="single" w:sz="8" w:space="0" w:color="0071C5"/>
            </w:tcBorders>
            <w:shd w:val="clear" w:color="auto" w:fill="auto"/>
            <w:tcMar>
              <w:top w:w="40" w:type="dxa"/>
              <w:left w:w="40" w:type="dxa"/>
              <w:bottom w:w="40" w:type="dxa"/>
              <w:right w:w="40" w:type="dxa"/>
            </w:tcMar>
            <w:vAlign w:val="bottom"/>
          </w:tcPr>
          <w:p w14:paraId="4ACE3A7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3A7F" w14:textId="77777777">
        <w:tc>
          <w:tcPr>
            <w:tcW w:w="0" w:type="auto"/>
            <w:tcBorders>
              <w:top w:val="single" w:sz="8" w:space="0" w:color="0071C5"/>
            </w:tcBorders>
            <w:shd w:val="clear" w:color="auto" w:fill="auto"/>
            <w:tcMar>
              <w:top w:w="40" w:type="dxa"/>
              <w:left w:w="40" w:type="dxa"/>
              <w:bottom w:w="40" w:type="dxa"/>
              <w:right w:w="40" w:type="dxa"/>
            </w:tcMar>
            <w:vAlign w:val="bottom"/>
          </w:tcPr>
          <w:p w14:paraId="4ACE3A7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Financial Information by Quarter</w:t>
            </w:r>
          </w:p>
        </w:tc>
        <w:tc>
          <w:tcPr>
            <w:tcW w:w="0" w:type="auto"/>
            <w:shd w:val="clear" w:color="auto" w:fill="auto"/>
            <w:tcMar>
              <w:top w:w="40" w:type="dxa"/>
              <w:left w:w="40" w:type="dxa"/>
              <w:bottom w:w="40" w:type="dxa"/>
              <w:right w:w="40" w:type="dxa"/>
            </w:tcMar>
            <w:vAlign w:val="bottom"/>
          </w:tcPr>
          <w:p w14:paraId="4ACE3A7E" w14:textId="77777777" w:rsidR="006F587A" w:rsidRDefault="007B2B61">
            <w:pPr>
              <w:jc w:val="right"/>
              <w:textAlignment w:val="bottom"/>
              <w:rPr>
                <w:rFonts w:ascii="Times New Roman" w:hAnsi="Times New Roman"/>
                <w:sz w:val="18"/>
                <w:szCs w:val="18"/>
              </w:rPr>
            </w:pPr>
            <w:hyperlink r:id="rId126" w:anchor="sE9BCB7BE48855CDAA5005DD8F9C70625" w:history="1">
              <w:r>
                <w:rPr>
                  <w:rStyle w:val="a5"/>
                  <w:rFonts w:ascii="Arial" w:eastAsia="宋体" w:hAnsi="Arial" w:cs="Arial"/>
                  <w:color w:val="333333"/>
                  <w:sz w:val="18"/>
                  <w:szCs w:val="18"/>
                  <w:u w:val="none"/>
                </w:rPr>
                <w:t>111</w:t>
              </w:r>
            </w:hyperlink>
          </w:p>
        </w:tc>
      </w:tr>
      <w:tr w:rsidR="006F587A" w14:paraId="4ACE3A82" w14:textId="77777777">
        <w:tc>
          <w:tcPr>
            <w:tcW w:w="0" w:type="auto"/>
            <w:shd w:val="clear" w:color="auto" w:fill="auto"/>
            <w:tcMar>
              <w:top w:w="40" w:type="dxa"/>
              <w:left w:w="40" w:type="dxa"/>
              <w:bottom w:w="40" w:type="dxa"/>
              <w:right w:w="40" w:type="dxa"/>
            </w:tcMar>
            <w:vAlign w:val="bottom"/>
          </w:tcPr>
          <w:p w14:paraId="4ACE3A8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Controls and Procedures</w:t>
            </w:r>
          </w:p>
        </w:tc>
        <w:tc>
          <w:tcPr>
            <w:tcW w:w="0" w:type="auto"/>
            <w:shd w:val="clear" w:color="auto" w:fill="auto"/>
            <w:tcMar>
              <w:top w:w="40" w:type="dxa"/>
              <w:left w:w="40" w:type="dxa"/>
              <w:bottom w:w="40" w:type="dxa"/>
              <w:right w:w="40" w:type="dxa"/>
            </w:tcMar>
            <w:vAlign w:val="bottom"/>
          </w:tcPr>
          <w:p w14:paraId="4ACE3A81" w14:textId="77777777" w:rsidR="006F587A" w:rsidRDefault="007B2B61">
            <w:pPr>
              <w:jc w:val="right"/>
              <w:textAlignment w:val="bottom"/>
              <w:rPr>
                <w:rFonts w:ascii="Times New Roman" w:hAnsi="Times New Roman"/>
                <w:sz w:val="18"/>
                <w:szCs w:val="18"/>
              </w:rPr>
            </w:pPr>
            <w:hyperlink r:id="rId127" w:anchor="s627DDA1CDD855BB9BB7E5C9150268F6B" w:history="1">
              <w:r>
                <w:rPr>
                  <w:rStyle w:val="a5"/>
                  <w:rFonts w:ascii="Arial" w:eastAsia="宋体" w:hAnsi="Arial" w:cs="Arial"/>
                  <w:color w:val="333333"/>
                  <w:sz w:val="18"/>
                  <w:szCs w:val="18"/>
                  <w:u w:val="none"/>
                </w:rPr>
                <w:t>112</w:t>
              </w:r>
            </w:hyperlink>
          </w:p>
        </w:tc>
      </w:tr>
      <w:tr w:rsidR="006F587A" w14:paraId="4ACE3A85" w14:textId="77777777">
        <w:tc>
          <w:tcPr>
            <w:tcW w:w="0" w:type="auto"/>
            <w:shd w:val="clear" w:color="auto" w:fill="auto"/>
            <w:tcMar>
              <w:top w:w="40" w:type="dxa"/>
              <w:left w:w="40" w:type="dxa"/>
              <w:bottom w:w="40" w:type="dxa"/>
              <w:right w:w="40" w:type="dxa"/>
            </w:tcMar>
            <w:vAlign w:val="bottom"/>
          </w:tcPr>
          <w:p w14:paraId="4ACE3A8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Exhibits</w:t>
            </w:r>
          </w:p>
        </w:tc>
        <w:tc>
          <w:tcPr>
            <w:tcW w:w="0" w:type="auto"/>
            <w:shd w:val="clear" w:color="auto" w:fill="auto"/>
            <w:tcMar>
              <w:top w:w="40" w:type="dxa"/>
              <w:left w:w="40" w:type="dxa"/>
              <w:bottom w:w="40" w:type="dxa"/>
              <w:right w:w="40" w:type="dxa"/>
            </w:tcMar>
            <w:vAlign w:val="bottom"/>
          </w:tcPr>
          <w:p w14:paraId="4ACE3A84" w14:textId="77777777" w:rsidR="006F587A" w:rsidRDefault="007B2B61">
            <w:pPr>
              <w:jc w:val="right"/>
              <w:textAlignment w:val="bottom"/>
              <w:rPr>
                <w:rFonts w:ascii="Times New Roman" w:hAnsi="Times New Roman"/>
                <w:sz w:val="18"/>
                <w:szCs w:val="18"/>
              </w:rPr>
            </w:pPr>
            <w:hyperlink r:id="rId128" w:anchor="s2EB4BB2ECA14576FA8F86D8E83E4AD18" w:history="1">
              <w:r>
                <w:rPr>
                  <w:rStyle w:val="a5"/>
                  <w:rFonts w:ascii="Arial" w:eastAsia="宋体" w:hAnsi="Arial" w:cs="Arial"/>
                  <w:color w:val="333333"/>
                  <w:sz w:val="18"/>
                  <w:szCs w:val="18"/>
                  <w:u w:val="none"/>
                </w:rPr>
                <w:t>113</w:t>
              </w:r>
            </w:hyperlink>
          </w:p>
        </w:tc>
      </w:tr>
      <w:tr w:rsidR="006F587A" w14:paraId="4ACE3A88" w14:textId="77777777">
        <w:tc>
          <w:tcPr>
            <w:tcW w:w="0" w:type="auto"/>
            <w:shd w:val="clear" w:color="auto" w:fill="auto"/>
            <w:tcMar>
              <w:top w:w="40" w:type="dxa"/>
              <w:left w:w="40" w:type="dxa"/>
              <w:bottom w:w="40" w:type="dxa"/>
              <w:right w:w="40" w:type="dxa"/>
            </w:tcMar>
            <w:vAlign w:val="bottom"/>
          </w:tcPr>
          <w:p w14:paraId="4ACE3A8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lastRenderedPageBreak/>
              <w:t>Form 10-K Cross-Reference Index</w:t>
            </w:r>
          </w:p>
        </w:tc>
        <w:tc>
          <w:tcPr>
            <w:tcW w:w="0" w:type="auto"/>
            <w:shd w:val="clear" w:color="auto" w:fill="auto"/>
            <w:tcMar>
              <w:top w:w="40" w:type="dxa"/>
              <w:left w:w="40" w:type="dxa"/>
              <w:bottom w:w="40" w:type="dxa"/>
              <w:right w:w="40" w:type="dxa"/>
            </w:tcMar>
            <w:vAlign w:val="bottom"/>
          </w:tcPr>
          <w:p w14:paraId="4ACE3A87" w14:textId="77777777" w:rsidR="006F587A" w:rsidRDefault="007B2B61">
            <w:pPr>
              <w:jc w:val="right"/>
              <w:textAlignment w:val="bottom"/>
              <w:rPr>
                <w:rFonts w:ascii="Times New Roman" w:hAnsi="Times New Roman"/>
                <w:sz w:val="18"/>
                <w:szCs w:val="18"/>
              </w:rPr>
            </w:pPr>
            <w:hyperlink r:id="rId129" w:anchor="s3E66FD12152D5F408EE74E12F6996712" w:history="1">
              <w:r>
                <w:rPr>
                  <w:rStyle w:val="a5"/>
                  <w:rFonts w:ascii="Arial" w:eastAsia="宋体" w:hAnsi="Arial" w:cs="Arial"/>
                  <w:color w:val="333333"/>
                  <w:sz w:val="18"/>
                  <w:szCs w:val="18"/>
                  <w:u w:val="none"/>
                </w:rPr>
                <w:t>118</w:t>
              </w:r>
            </w:hyperlink>
          </w:p>
        </w:tc>
      </w:tr>
    </w:tbl>
    <w:p w14:paraId="4ACE3A89"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575"/>
        <w:gridCol w:w="2575"/>
        <w:gridCol w:w="3156"/>
      </w:tblGrid>
      <w:tr w:rsidR="006F587A" w14:paraId="4ACE3A8B" w14:textId="77777777">
        <w:tc>
          <w:tcPr>
            <w:tcW w:w="0" w:type="auto"/>
            <w:gridSpan w:val="3"/>
            <w:shd w:val="clear" w:color="auto" w:fill="auto"/>
            <w:vAlign w:val="center"/>
          </w:tcPr>
          <w:p w14:paraId="4ACE3A8A" w14:textId="77777777" w:rsidR="006F587A" w:rsidRDefault="006F587A">
            <w:pPr>
              <w:rPr>
                <w:rFonts w:ascii="Times New Roman" w:hAnsi="Times New Roman"/>
                <w:sz w:val="20"/>
                <w:szCs w:val="20"/>
              </w:rPr>
            </w:pPr>
          </w:p>
        </w:tc>
      </w:tr>
      <w:tr w:rsidR="006F587A" w14:paraId="4ACE3A8F" w14:textId="77777777">
        <w:tc>
          <w:tcPr>
            <w:tcW w:w="1550" w:type="pct"/>
            <w:shd w:val="clear" w:color="auto" w:fill="auto"/>
            <w:vAlign w:val="center"/>
          </w:tcPr>
          <w:p w14:paraId="4ACE3A8C" w14:textId="77777777" w:rsidR="006F587A" w:rsidRDefault="006F587A">
            <w:pPr>
              <w:rPr>
                <w:rFonts w:ascii="Times New Roman" w:hAnsi="Times New Roman"/>
                <w:sz w:val="20"/>
                <w:szCs w:val="20"/>
              </w:rPr>
            </w:pPr>
          </w:p>
        </w:tc>
        <w:tc>
          <w:tcPr>
            <w:tcW w:w="1550" w:type="pct"/>
            <w:shd w:val="clear" w:color="auto" w:fill="auto"/>
            <w:vAlign w:val="center"/>
          </w:tcPr>
          <w:p w14:paraId="4ACE3A8D" w14:textId="77777777" w:rsidR="006F587A" w:rsidRDefault="006F587A">
            <w:pPr>
              <w:rPr>
                <w:rFonts w:ascii="Times New Roman" w:hAnsi="Times New Roman"/>
                <w:sz w:val="20"/>
                <w:szCs w:val="20"/>
              </w:rPr>
            </w:pPr>
          </w:p>
        </w:tc>
        <w:tc>
          <w:tcPr>
            <w:tcW w:w="1900" w:type="pct"/>
            <w:shd w:val="clear" w:color="auto" w:fill="auto"/>
            <w:vAlign w:val="center"/>
          </w:tcPr>
          <w:p w14:paraId="4ACE3A8E" w14:textId="77777777" w:rsidR="006F587A" w:rsidRDefault="006F587A">
            <w:pPr>
              <w:rPr>
                <w:rFonts w:ascii="Times New Roman" w:hAnsi="Times New Roman"/>
                <w:sz w:val="20"/>
                <w:szCs w:val="20"/>
              </w:rPr>
            </w:pPr>
          </w:p>
        </w:tc>
      </w:tr>
      <w:tr w:rsidR="006F587A" w14:paraId="4ACE3A93"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3A90" w14:textId="77777777" w:rsidR="006F587A" w:rsidRDefault="007B2B61">
            <w:pPr>
              <w:textAlignment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Viewer12_files/a001intellogo_coverfooter.jpg"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ACE6DAB" wp14:editId="4ACE6DAC">
                  <wp:extent cx="304800" cy="304800"/>
                  <wp:effectExtent l="0" t="0" r="0" b="0"/>
                  <wp:docPr id="209" name="图片 268"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68"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c>
          <w:tcPr>
            <w:tcW w:w="0" w:type="auto"/>
            <w:tcBorders>
              <w:top w:val="single" w:sz="8" w:space="0" w:color="0071C5"/>
            </w:tcBorders>
            <w:shd w:val="clear" w:color="auto" w:fill="auto"/>
            <w:tcMar>
              <w:top w:w="40" w:type="dxa"/>
              <w:left w:w="40" w:type="dxa"/>
              <w:bottom w:w="40" w:type="dxa"/>
              <w:right w:w="40" w:type="dxa"/>
            </w:tcMar>
            <w:vAlign w:val="bottom"/>
          </w:tcPr>
          <w:p w14:paraId="4ACE3A9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center"/>
          </w:tcPr>
          <w:p w14:paraId="4ACE3A92" w14:textId="77777777" w:rsidR="006F587A" w:rsidRDefault="007B2B61">
            <w:pPr>
              <w:jc w:val="right"/>
              <w:textAlignment w:val="center"/>
              <w:rPr>
                <w:rFonts w:ascii="Times New Roman" w:hAnsi="Times New Roman"/>
                <w:sz w:val="16"/>
                <w:szCs w:val="16"/>
              </w:rPr>
            </w:pPr>
            <w:r>
              <w:rPr>
                <w:rFonts w:ascii="Arial" w:eastAsia="宋体" w:hAnsi="Arial" w:cs="Arial"/>
                <w:color w:val="333333"/>
                <w:sz w:val="16"/>
                <w:szCs w:val="16"/>
              </w:rPr>
              <w:t>65</w:t>
            </w:r>
          </w:p>
        </w:tc>
      </w:tr>
    </w:tbl>
    <w:p w14:paraId="4ACE3A94" w14:textId="77777777" w:rsidR="006F587A" w:rsidRDefault="007B2B61">
      <w:r>
        <w:pict w14:anchorId="4ACE6DAD">
          <v:rect id="_x0000_i1091" style="width:415.3pt;height:1.5pt" o:hralign="center" o:hrstd="t" o:hr="t" fillcolor="#a0a0a0" stroked="f"/>
        </w:pict>
      </w:r>
    </w:p>
    <w:p w14:paraId="4ACE3A95" w14:textId="77777777" w:rsidR="006F587A" w:rsidRDefault="007B2B61">
      <w:pPr>
        <w:spacing w:line="288" w:lineRule="auto"/>
        <w:jc w:val="right"/>
        <w:rPr>
          <w:rFonts w:ascii="Times New Roman" w:hAnsi="Times New Roman"/>
          <w:sz w:val="16"/>
          <w:szCs w:val="16"/>
        </w:rPr>
      </w:pPr>
      <w:hyperlink r:id="rId130" w:anchor="s9DB683E2CF52561EB8A73BE37F5BF9BE" w:history="1">
        <w:r>
          <w:rPr>
            <w:rStyle w:val="a5"/>
            <w:rFonts w:ascii="Arial" w:eastAsia="宋体" w:hAnsi="Arial" w:cs="Arial"/>
            <w:b/>
            <w:bCs/>
            <w:sz w:val="16"/>
            <w:szCs w:val="16"/>
          </w:rPr>
          <w:t>Table of Contents</w:t>
        </w:r>
      </w:hyperlink>
    </w:p>
    <w:p w14:paraId="4ACE3A96" w14:textId="77777777" w:rsidR="006F587A" w:rsidRDefault="006F587A">
      <w:pPr>
        <w:spacing w:line="288" w:lineRule="auto"/>
        <w:jc w:val="right"/>
        <w:rPr>
          <w:rFonts w:ascii="Times New Roman" w:hAnsi="Times New Roman"/>
          <w:sz w:val="16"/>
          <w:szCs w:val="16"/>
        </w:rPr>
      </w:pPr>
    </w:p>
    <w:p w14:paraId="4ACE3A97"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6F587A" w14:paraId="4ACE3A99" w14:textId="77777777">
        <w:tc>
          <w:tcPr>
            <w:tcW w:w="0" w:type="auto"/>
            <w:shd w:val="clear" w:color="auto" w:fill="auto"/>
            <w:vAlign w:val="center"/>
          </w:tcPr>
          <w:p w14:paraId="4ACE3A98" w14:textId="77777777" w:rsidR="006F587A" w:rsidRDefault="006F587A">
            <w:pPr>
              <w:rPr>
                <w:rFonts w:ascii="Times New Roman" w:hAnsi="Times New Roman"/>
                <w:sz w:val="20"/>
                <w:szCs w:val="20"/>
              </w:rPr>
            </w:pPr>
          </w:p>
        </w:tc>
      </w:tr>
      <w:tr w:rsidR="006F587A" w14:paraId="4ACE3A9B" w14:textId="77777777">
        <w:tc>
          <w:tcPr>
            <w:tcW w:w="5000" w:type="pct"/>
            <w:shd w:val="clear" w:color="auto" w:fill="auto"/>
            <w:vAlign w:val="center"/>
          </w:tcPr>
          <w:p w14:paraId="4ACE3A9A" w14:textId="77777777" w:rsidR="006F587A" w:rsidRDefault="006F587A">
            <w:pPr>
              <w:rPr>
                <w:rFonts w:ascii="Times New Roman" w:hAnsi="Times New Roman"/>
                <w:sz w:val="20"/>
                <w:szCs w:val="20"/>
              </w:rPr>
            </w:pPr>
          </w:p>
        </w:tc>
      </w:tr>
      <w:tr w:rsidR="006F587A" w14:paraId="4ACE3A9D" w14:textId="77777777">
        <w:tc>
          <w:tcPr>
            <w:tcW w:w="0" w:type="auto"/>
            <w:shd w:val="clear" w:color="auto" w:fill="0071C5"/>
            <w:tcMar>
              <w:top w:w="40" w:type="dxa"/>
              <w:left w:w="880" w:type="dxa"/>
              <w:bottom w:w="40" w:type="dxa"/>
              <w:right w:w="40" w:type="dxa"/>
            </w:tcMar>
            <w:vAlign w:val="bottom"/>
          </w:tcPr>
          <w:p w14:paraId="4ACE3A9C" w14:textId="77777777" w:rsidR="006F587A" w:rsidRDefault="007B2B61">
            <w:pPr>
              <w:textAlignment w:val="bottom"/>
              <w:rPr>
                <w:rFonts w:ascii="Times New Roman" w:hAnsi="Times New Roman"/>
                <w:sz w:val="32"/>
                <w:szCs w:val="32"/>
              </w:rPr>
            </w:pPr>
            <w:r>
              <w:rPr>
                <w:rFonts w:ascii="Arial" w:eastAsia="宋体" w:hAnsi="Arial" w:cs="Arial"/>
                <w:b/>
                <w:bCs/>
                <w:color w:val="FFFFFF"/>
                <w:sz w:val="32"/>
                <w:szCs w:val="32"/>
              </w:rPr>
              <w:t>REPORT OF INDEPENDENT REGISTERED PUBLIC ACCOUNTING FIRM</w:t>
            </w:r>
          </w:p>
        </w:tc>
      </w:tr>
    </w:tbl>
    <w:p w14:paraId="4ACE3A9E" w14:textId="77777777" w:rsidR="006F587A" w:rsidRDefault="007B2B61">
      <w:pPr>
        <w:spacing w:line="288" w:lineRule="auto"/>
        <w:rPr>
          <w:rFonts w:ascii="Times New Roman" w:hAnsi="Times New Roman"/>
        </w:rPr>
      </w:pPr>
      <w:r>
        <w:rPr>
          <w:rFonts w:ascii="Arial" w:eastAsia="宋体" w:hAnsi="Arial" w:cs="Arial"/>
          <w:b/>
          <w:bCs/>
          <w:color w:val="0071C5"/>
        </w:rPr>
        <w:t>TO THE STOCKHOLDERS AND THE BOARD OF DIRECTORS OF INTEL CORPORATION</w:t>
      </w:r>
    </w:p>
    <w:p w14:paraId="4ACE3A9F" w14:textId="77777777" w:rsidR="006F587A" w:rsidRDefault="007B2B61">
      <w:pPr>
        <w:spacing w:line="288" w:lineRule="auto"/>
        <w:rPr>
          <w:rFonts w:ascii="Times New Roman" w:hAnsi="Times New Roman"/>
          <w:sz w:val="20"/>
          <w:szCs w:val="20"/>
        </w:rPr>
      </w:pPr>
      <w:r>
        <w:rPr>
          <w:rFonts w:ascii="Arial" w:eastAsia="宋体" w:hAnsi="Arial" w:cs="Arial"/>
          <w:b/>
          <w:bCs/>
          <w:color w:val="333333"/>
          <w:sz w:val="20"/>
          <w:szCs w:val="20"/>
        </w:rPr>
        <w:t xml:space="preserve">Opinion on the Financial </w:t>
      </w:r>
      <w:r>
        <w:rPr>
          <w:rFonts w:ascii="Arial" w:eastAsia="宋体" w:hAnsi="Arial" w:cs="Arial"/>
          <w:b/>
          <w:bCs/>
          <w:color w:val="333333"/>
          <w:sz w:val="20"/>
          <w:szCs w:val="20"/>
        </w:rPr>
        <w:t>Statements</w:t>
      </w:r>
    </w:p>
    <w:p w14:paraId="4ACE3AA0"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have audited the accompanying Consolidated Balance Sheets of Intel Corporation (the Company) as of December 28, 2019 and December 29, 2018, the related Consolidated Statements of Income, Comprehensive Income, Cash Flows and Stockholders' Equi</w:t>
      </w:r>
      <w:r>
        <w:rPr>
          <w:rFonts w:ascii="Arial" w:eastAsia="宋体" w:hAnsi="Arial" w:cs="Arial"/>
          <w:color w:val="333333"/>
          <w:sz w:val="18"/>
          <w:szCs w:val="18"/>
        </w:rPr>
        <w:t>ty for each of the three years in the period ended December 28, 2019, and the related notes (collectively referred to as the "Consolidated Financial Statements"). In our opinion, the Consolidated Financial Statements present fairly, in all material respect</w:t>
      </w:r>
      <w:r>
        <w:rPr>
          <w:rFonts w:ascii="Arial" w:eastAsia="宋体" w:hAnsi="Arial" w:cs="Arial"/>
          <w:color w:val="333333"/>
          <w:sz w:val="18"/>
          <w:szCs w:val="18"/>
        </w:rPr>
        <w:t>s, the financial position of the Company at December 28, 2019 and December 29, 2018, and the results of its operations and its cash flows for each of the three years in the period ended December 28, 2019, in conformity with U.S. generally accepted accounti</w:t>
      </w:r>
      <w:r>
        <w:rPr>
          <w:rFonts w:ascii="Arial" w:eastAsia="宋体" w:hAnsi="Arial" w:cs="Arial"/>
          <w:color w:val="333333"/>
          <w:sz w:val="18"/>
          <w:szCs w:val="18"/>
        </w:rPr>
        <w:t xml:space="preserve">ng principles. </w:t>
      </w:r>
    </w:p>
    <w:p w14:paraId="4ACE3AA1"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We also have audited, in accordance with the standards of the Public Company Accounting Oversight Board (United States) (PCAOB), the Company’s internal control over financial reporting as of December 28, 2019, based on criteria </w:t>
      </w:r>
      <w:r>
        <w:rPr>
          <w:rFonts w:ascii="Arial" w:eastAsia="宋体" w:hAnsi="Arial" w:cs="Arial"/>
          <w:color w:val="333333"/>
          <w:sz w:val="18"/>
          <w:szCs w:val="18"/>
        </w:rPr>
        <w:t>established in Internal Control—Integrated Framework issued by the Committee of Sponsoring Organizations of the Treadway Commission (2013 framework) and our report dated January 23, 2020 expressed an unqualified opinion thereon.</w:t>
      </w:r>
    </w:p>
    <w:p w14:paraId="4ACE3AA2" w14:textId="77777777" w:rsidR="006F587A" w:rsidRDefault="007B2B61">
      <w:pPr>
        <w:spacing w:line="288" w:lineRule="auto"/>
        <w:rPr>
          <w:rFonts w:ascii="Times New Roman" w:hAnsi="Times New Roman"/>
          <w:sz w:val="20"/>
          <w:szCs w:val="20"/>
        </w:rPr>
      </w:pPr>
      <w:r>
        <w:rPr>
          <w:rFonts w:ascii="Arial" w:eastAsia="宋体" w:hAnsi="Arial" w:cs="Arial"/>
          <w:b/>
          <w:bCs/>
          <w:color w:val="333333"/>
          <w:sz w:val="20"/>
          <w:szCs w:val="20"/>
        </w:rPr>
        <w:t>Basis for Opinion</w:t>
      </w:r>
    </w:p>
    <w:p w14:paraId="4ACE3AA3"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These fin</w:t>
      </w:r>
      <w:r>
        <w:rPr>
          <w:rFonts w:ascii="Arial" w:eastAsia="宋体" w:hAnsi="Arial" w:cs="Arial"/>
          <w:color w:val="333333"/>
          <w:sz w:val="18"/>
          <w:szCs w:val="18"/>
        </w:rPr>
        <w:t>ancial statements are the responsibility of the Company's management. Our responsibility is to express an opinion on the Company's financial statements based on our audits. We are a public accounting firm registered with the PCAOB and are required to be in</w:t>
      </w:r>
      <w:r>
        <w:rPr>
          <w:rFonts w:ascii="Arial" w:eastAsia="宋体" w:hAnsi="Arial" w:cs="Arial"/>
          <w:color w:val="333333"/>
          <w:sz w:val="18"/>
          <w:szCs w:val="18"/>
        </w:rPr>
        <w:t xml:space="preserve">dependent with respect to the Company in accordance with the U.S. federal securities laws and the applicable rules and regulations of the Securities and Exchange Commission and the PCAOB. </w:t>
      </w:r>
    </w:p>
    <w:p w14:paraId="4ACE3AA4"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conducted our audits in accordance with the standards of the PCA</w:t>
      </w:r>
      <w:r>
        <w:rPr>
          <w:rFonts w:ascii="Arial" w:eastAsia="宋体" w:hAnsi="Arial" w:cs="Arial"/>
          <w:color w:val="333333"/>
          <w:sz w:val="18"/>
          <w:szCs w:val="18"/>
        </w:rPr>
        <w:t>OB. Those standards require that we plan and perform the audit to obtain reasonable assurance about whether the financial statements are free of material misstatement, whether due to error or fraud. Our audits included performing procedures to assess the r</w:t>
      </w:r>
      <w:r>
        <w:rPr>
          <w:rFonts w:ascii="Arial" w:eastAsia="宋体" w:hAnsi="Arial" w:cs="Arial"/>
          <w:color w:val="333333"/>
          <w:sz w:val="18"/>
          <w:szCs w:val="18"/>
        </w:rPr>
        <w:t>isks of material misstatement of the financial statements, whether due to error or fraud, and performing procedures that respond to those risks. Such procedures included examining, on a test basis, evidence regarding the amounts and disclosures in the fina</w:t>
      </w:r>
      <w:r>
        <w:rPr>
          <w:rFonts w:ascii="Arial" w:eastAsia="宋体" w:hAnsi="Arial" w:cs="Arial"/>
          <w:color w:val="333333"/>
          <w:sz w:val="18"/>
          <w:szCs w:val="18"/>
        </w:rPr>
        <w:t>ncial statements. Our audits also included evaluating the accounting principles used and significant estimates made by management, as well as evaluating the overall presentation of the financial statements. We believe that our audits provide a reasonable b</w:t>
      </w:r>
      <w:r>
        <w:rPr>
          <w:rFonts w:ascii="Arial" w:eastAsia="宋体" w:hAnsi="Arial" w:cs="Arial"/>
          <w:color w:val="333333"/>
          <w:sz w:val="18"/>
          <w:szCs w:val="18"/>
        </w:rPr>
        <w:t xml:space="preserve">asis for our opinion. </w:t>
      </w:r>
    </w:p>
    <w:p w14:paraId="4ACE3AA5" w14:textId="77777777" w:rsidR="006F587A" w:rsidRDefault="007B2B61">
      <w:pPr>
        <w:spacing w:line="288" w:lineRule="auto"/>
        <w:rPr>
          <w:rFonts w:ascii="Times New Roman" w:hAnsi="Times New Roman"/>
          <w:sz w:val="20"/>
          <w:szCs w:val="20"/>
        </w:rPr>
      </w:pPr>
      <w:r>
        <w:rPr>
          <w:rFonts w:ascii="Arial" w:eastAsia="宋体" w:hAnsi="Arial" w:cs="Arial"/>
          <w:b/>
          <w:bCs/>
          <w:color w:val="333333"/>
          <w:sz w:val="20"/>
          <w:szCs w:val="20"/>
        </w:rPr>
        <w:t>Critical Audit Matter</w:t>
      </w:r>
    </w:p>
    <w:p w14:paraId="4ACE3AA6"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The critical audit matter communicated below is a matter arising from the current period audit of the financial statements that was communicated or required to be communicated to the audit committee and that: (1</w:t>
      </w:r>
      <w:r>
        <w:rPr>
          <w:rFonts w:ascii="Arial" w:eastAsia="宋体" w:hAnsi="Arial" w:cs="Arial"/>
          <w:color w:val="333333"/>
          <w:sz w:val="18"/>
          <w:szCs w:val="18"/>
        </w:rPr>
        <w:t>) relates to accounts or disclosures that are material to the financial statements and (2) involved our especially challenging, subjective or complex judgments. The communication of the critical audit matter does not alter in any way our opinion on the Con</w:t>
      </w:r>
      <w:r>
        <w:rPr>
          <w:rFonts w:ascii="Arial" w:eastAsia="宋体" w:hAnsi="Arial" w:cs="Arial"/>
          <w:color w:val="333333"/>
          <w:sz w:val="18"/>
          <w:szCs w:val="18"/>
        </w:rPr>
        <w:t>solidated Financial Statements, taken as a whole, and we are not, by communicating the critical audit matter below, providing a separate opinion on the critical audit matter or on the accounts or disclosures to which it relates.</w:t>
      </w:r>
    </w:p>
    <w:p w14:paraId="4ACE3AA7"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3AA9" w14:textId="77777777">
        <w:tc>
          <w:tcPr>
            <w:tcW w:w="0" w:type="auto"/>
            <w:gridSpan w:val="3"/>
            <w:shd w:val="clear" w:color="auto" w:fill="auto"/>
            <w:vAlign w:val="center"/>
          </w:tcPr>
          <w:p w14:paraId="4ACE3AA8" w14:textId="77777777" w:rsidR="006F587A" w:rsidRDefault="006F587A">
            <w:pPr>
              <w:rPr>
                <w:rFonts w:ascii="Times New Roman" w:hAnsi="Times New Roman"/>
                <w:sz w:val="20"/>
                <w:szCs w:val="20"/>
              </w:rPr>
            </w:pPr>
          </w:p>
        </w:tc>
      </w:tr>
      <w:tr w:rsidR="006F587A" w14:paraId="4ACE3AAD" w14:textId="77777777">
        <w:tc>
          <w:tcPr>
            <w:tcW w:w="1300" w:type="pct"/>
            <w:shd w:val="clear" w:color="auto" w:fill="auto"/>
            <w:vAlign w:val="center"/>
          </w:tcPr>
          <w:p w14:paraId="4ACE3AAA" w14:textId="77777777" w:rsidR="006F587A" w:rsidRDefault="006F587A">
            <w:pPr>
              <w:rPr>
                <w:rFonts w:ascii="Times New Roman" w:hAnsi="Times New Roman"/>
                <w:sz w:val="20"/>
                <w:szCs w:val="20"/>
              </w:rPr>
            </w:pPr>
          </w:p>
        </w:tc>
        <w:tc>
          <w:tcPr>
            <w:tcW w:w="1600" w:type="pct"/>
            <w:shd w:val="clear" w:color="auto" w:fill="auto"/>
            <w:vAlign w:val="center"/>
          </w:tcPr>
          <w:p w14:paraId="4ACE3AAB" w14:textId="77777777" w:rsidR="006F587A" w:rsidRDefault="006F587A">
            <w:pPr>
              <w:rPr>
                <w:rFonts w:ascii="Times New Roman" w:hAnsi="Times New Roman"/>
                <w:sz w:val="20"/>
                <w:szCs w:val="20"/>
              </w:rPr>
            </w:pPr>
          </w:p>
        </w:tc>
        <w:tc>
          <w:tcPr>
            <w:tcW w:w="2100" w:type="pct"/>
            <w:shd w:val="clear" w:color="auto" w:fill="auto"/>
            <w:vAlign w:val="center"/>
          </w:tcPr>
          <w:p w14:paraId="4ACE3AAC" w14:textId="77777777" w:rsidR="006F587A" w:rsidRDefault="006F587A">
            <w:pPr>
              <w:rPr>
                <w:rFonts w:ascii="Times New Roman" w:hAnsi="Times New Roman"/>
                <w:sz w:val="20"/>
                <w:szCs w:val="20"/>
              </w:rPr>
            </w:pPr>
          </w:p>
        </w:tc>
      </w:tr>
      <w:tr w:rsidR="006F587A" w14:paraId="4ACE3AB1"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3AAE" w14:textId="77777777" w:rsidR="006F587A" w:rsidRDefault="007B2B61">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AE" wp14:editId="4ACE6DAF">
                  <wp:extent cx="304800" cy="304800"/>
                  <wp:effectExtent l="0" t="0" r="0" b="0"/>
                  <wp:docPr id="192" name="图片 270"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270"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AUDITOR'S REPORTS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AA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AB0"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66</w:t>
            </w:r>
          </w:p>
        </w:tc>
      </w:tr>
    </w:tbl>
    <w:p w14:paraId="4ACE3AB2" w14:textId="77777777" w:rsidR="006F587A" w:rsidRDefault="007B2B61">
      <w:r>
        <w:pict w14:anchorId="4ACE6DB0">
          <v:rect id="_x0000_i1092" style="width:415.3pt;height:1.5pt" o:hralign="center" o:hrstd="t" o:hr="t" fillcolor="#a0a0a0" stroked="f"/>
        </w:pict>
      </w:r>
    </w:p>
    <w:p w14:paraId="4ACE3AB3" w14:textId="77777777" w:rsidR="006F587A" w:rsidRDefault="007B2B61">
      <w:pPr>
        <w:spacing w:line="288" w:lineRule="auto"/>
        <w:jc w:val="right"/>
        <w:rPr>
          <w:rFonts w:ascii="Times New Roman" w:hAnsi="Times New Roman"/>
          <w:sz w:val="16"/>
          <w:szCs w:val="16"/>
        </w:rPr>
      </w:pPr>
      <w:hyperlink r:id="rId131" w:anchor="s9DB683E2CF52561EB8A73BE37F5BF9BE" w:history="1">
        <w:r>
          <w:rPr>
            <w:rStyle w:val="a5"/>
            <w:rFonts w:ascii="Arial" w:eastAsia="宋体" w:hAnsi="Arial" w:cs="Arial"/>
            <w:b/>
            <w:bCs/>
            <w:sz w:val="16"/>
            <w:szCs w:val="16"/>
          </w:rPr>
          <w:t>Table of Contents</w:t>
        </w:r>
      </w:hyperlink>
    </w:p>
    <w:p w14:paraId="4ACE3AB4" w14:textId="77777777" w:rsidR="006F587A" w:rsidRDefault="006F587A">
      <w:pPr>
        <w:spacing w:line="288" w:lineRule="auto"/>
        <w:jc w:val="right"/>
        <w:rPr>
          <w:rFonts w:ascii="Times New Roman" w:hAnsi="Times New Roman"/>
          <w:sz w:val="16"/>
          <w:szCs w:val="16"/>
        </w:rPr>
      </w:pPr>
    </w:p>
    <w:p w14:paraId="4ACE3AB5"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1471"/>
        <w:gridCol w:w="130"/>
        <w:gridCol w:w="6705"/>
      </w:tblGrid>
      <w:tr w:rsidR="006F587A" w14:paraId="4ACE3AB7" w14:textId="77777777">
        <w:tc>
          <w:tcPr>
            <w:tcW w:w="0" w:type="auto"/>
            <w:gridSpan w:val="3"/>
            <w:shd w:val="clear" w:color="auto" w:fill="auto"/>
            <w:vAlign w:val="center"/>
          </w:tcPr>
          <w:p w14:paraId="4ACE3AB6" w14:textId="77777777" w:rsidR="006F587A" w:rsidRDefault="006F587A">
            <w:pPr>
              <w:rPr>
                <w:rFonts w:ascii="Times New Roman" w:hAnsi="Times New Roman"/>
                <w:sz w:val="20"/>
                <w:szCs w:val="20"/>
              </w:rPr>
            </w:pPr>
          </w:p>
        </w:tc>
      </w:tr>
      <w:tr w:rsidR="006F587A" w14:paraId="4ACE3ABB" w14:textId="77777777">
        <w:tc>
          <w:tcPr>
            <w:tcW w:w="900" w:type="pct"/>
            <w:shd w:val="clear" w:color="auto" w:fill="auto"/>
            <w:vAlign w:val="center"/>
          </w:tcPr>
          <w:p w14:paraId="4ACE3AB8" w14:textId="77777777" w:rsidR="006F587A" w:rsidRDefault="006F587A">
            <w:pPr>
              <w:rPr>
                <w:rFonts w:ascii="Times New Roman" w:hAnsi="Times New Roman"/>
                <w:sz w:val="20"/>
                <w:szCs w:val="20"/>
              </w:rPr>
            </w:pPr>
          </w:p>
        </w:tc>
        <w:tc>
          <w:tcPr>
            <w:tcW w:w="50" w:type="pct"/>
            <w:shd w:val="clear" w:color="auto" w:fill="auto"/>
            <w:vAlign w:val="center"/>
          </w:tcPr>
          <w:p w14:paraId="4ACE3AB9" w14:textId="77777777" w:rsidR="006F587A" w:rsidRDefault="006F587A">
            <w:pPr>
              <w:rPr>
                <w:rFonts w:ascii="Times New Roman" w:hAnsi="Times New Roman"/>
                <w:sz w:val="20"/>
                <w:szCs w:val="20"/>
              </w:rPr>
            </w:pPr>
          </w:p>
        </w:tc>
        <w:tc>
          <w:tcPr>
            <w:tcW w:w="4050" w:type="pct"/>
            <w:shd w:val="clear" w:color="auto" w:fill="auto"/>
            <w:vAlign w:val="center"/>
          </w:tcPr>
          <w:p w14:paraId="4ACE3ABA" w14:textId="77777777" w:rsidR="006F587A" w:rsidRDefault="006F587A">
            <w:pPr>
              <w:rPr>
                <w:rFonts w:ascii="Times New Roman" w:hAnsi="Times New Roman"/>
                <w:sz w:val="20"/>
                <w:szCs w:val="20"/>
              </w:rPr>
            </w:pPr>
          </w:p>
        </w:tc>
      </w:tr>
      <w:tr w:rsidR="006F587A" w14:paraId="4ACE3ABF" w14:textId="77777777">
        <w:tc>
          <w:tcPr>
            <w:tcW w:w="0" w:type="auto"/>
            <w:shd w:val="clear" w:color="auto" w:fill="auto"/>
            <w:tcMar>
              <w:top w:w="40" w:type="dxa"/>
              <w:left w:w="40" w:type="dxa"/>
              <w:bottom w:w="40" w:type="dxa"/>
              <w:right w:w="40" w:type="dxa"/>
            </w:tcMar>
            <w:vAlign w:val="bottom"/>
          </w:tcPr>
          <w:p w14:paraId="4ACE3AB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AB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ABE" w14:textId="77777777" w:rsidR="006F587A" w:rsidRDefault="007B2B61">
            <w:pPr>
              <w:textAlignment w:val="bottom"/>
              <w:rPr>
                <w:rFonts w:ascii="Times New Roman" w:hAnsi="Times New Roman"/>
                <w:sz w:val="20"/>
                <w:szCs w:val="20"/>
              </w:rPr>
            </w:pPr>
            <w:r>
              <w:rPr>
                <w:rFonts w:ascii="Arial" w:eastAsia="宋体" w:hAnsi="Arial" w:cs="Arial"/>
                <w:b/>
                <w:bCs/>
                <w:i/>
                <w:iCs/>
                <w:color w:val="333333"/>
                <w:sz w:val="20"/>
                <w:szCs w:val="20"/>
              </w:rPr>
              <w:t>Inventory Valuation</w:t>
            </w:r>
          </w:p>
        </w:tc>
      </w:tr>
      <w:tr w:rsidR="006F587A" w14:paraId="4ACE3AC3" w14:textId="77777777">
        <w:tc>
          <w:tcPr>
            <w:tcW w:w="0" w:type="auto"/>
            <w:shd w:val="clear" w:color="auto" w:fill="auto"/>
            <w:tcMar>
              <w:top w:w="40" w:type="dxa"/>
              <w:left w:w="40" w:type="dxa"/>
              <w:bottom w:w="40" w:type="dxa"/>
              <w:right w:w="40" w:type="dxa"/>
            </w:tcMar>
            <w:vAlign w:val="bottom"/>
          </w:tcPr>
          <w:p w14:paraId="4ACE3AC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AC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AC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3AC7" w14:textId="77777777">
        <w:tc>
          <w:tcPr>
            <w:tcW w:w="0" w:type="auto"/>
            <w:vMerge w:val="restart"/>
            <w:shd w:val="clear" w:color="auto" w:fill="auto"/>
            <w:tcMar>
              <w:top w:w="40" w:type="dxa"/>
              <w:left w:w="40" w:type="dxa"/>
              <w:bottom w:w="40" w:type="dxa"/>
              <w:right w:w="40" w:type="dxa"/>
            </w:tcMar>
          </w:tcPr>
          <w:p w14:paraId="4ACE3AC4" w14:textId="77777777" w:rsidR="006F587A" w:rsidRDefault="007B2B61">
            <w:pPr>
              <w:textAlignment w:val="top"/>
              <w:rPr>
                <w:rFonts w:ascii="Times New Roman" w:hAnsi="Times New Roman"/>
                <w:sz w:val="20"/>
                <w:szCs w:val="20"/>
              </w:rPr>
            </w:pPr>
            <w:r>
              <w:rPr>
                <w:rFonts w:ascii="Arial" w:eastAsia="宋体" w:hAnsi="Arial" w:cs="Arial"/>
                <w:i/>
                <w:iCs/>
                <w:color w:val="000000"/>
                <w:sz w:val="20"/>
                <w:szCs w:val="20"/>
              </w:rPr>
              <w:t>Description of the Matter</w:t>
            </w:r>
          </w:p>
        </w:tc>
        <w:tc>
          <w:tcPr>
            <w:tcW w:w="0" w:type="auto"/>
            <w:shd w:val="clear" w:color="auto" w:fill="auto"/>
            <w:tcMar>
              <w:top w:w="40" w:type="dxa"/>
              <w:left w:w="40" w:type="dxa"/>
              <w:bottom w:w="40" w:type="dxa"/>
              <w:right w:w="40" w:type="dxa"/>
            </w:tcMar>
            <w:vAlign w:val="bottom"/>
          </w:tcPr>
          <w:p w14:paraId="4ACE3AC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AC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The </w:t>
            </w:r>
            <w:r>
              <w:rPr>
                <w:rFonts w:ascii="Arial" w:eastAsia="宋体" w:hAnsi="Arial" w:cs="Arial"/>
                <w:color w:val="333333"/>
                <w:sz w:val="18"/>
                <w:szCs w:val="18"/>
              </w:rPr>
              <w:t>Company’s net inventory totaled $8.7 billion as of December 28, 2019, representing 6.4% of total assets. As explained in "Note 2: Accounting Policies" within the Consolidated Financial Statements, the Company computes inventory cost on a first-in, first-ou</w:t>
            </w:r>
            <w:r>
              <w:rPr>
                <w:rFonts w:ascii="Arial" w:eastAsia="宋体" w:hAnsi="Arial" w:cs="Arial"/>
                <w:color w:val="333333"/>
                <w:sz w:val="18"/>
                <w:szCs w:val="18"/>
              </w:rPr>
              <w:t>t basis, and applies judgment in determining saleability of products and the valuation of inventories. The Company assesses inventory at each reporting date in order to assert that it is recorded at net realizable value, giving consideration to, among othe</w:t>
            </w:r>
            <w:r>
              <w:rPr>
                <w:rFonts w:ascii="Arial" w:eastAsia="宋体" w:hAnsi="Arial" w:cs="Arial"/>
                <w:color w:val="333333"/>
                <w:sz w:val="18"/>
                <w:szCs w:val="18"/>
              </w:rPr>
              <w:t xml:space="preserve">r factors: whether the products have achieved the substantive engineering milestones to qualify for sale to customers; the determination of normal capacity levels in its manufacturing process to determine which manufacturing overhead costs can be included </w:t>
            </w:r>
            <w:r>
              <w:rPr>
                <w:rFonts w:ascii="Arial" w:eastAsia="宋体" w:hAnsi="Arial" w:cs="Arial"/>
                <w:color w:val="333333"/>
                <w:sz w:val="18"/>
                <w:szCs w:val="18"/>
              </w:rPr>
              <w:t>in the valuation of inventory; whether the product is valued at the lower of cost or net realizable value; and the estimation of excess and obsolete inventory or that which is not of saleable quality.</w:t>
            </w:r>
          </w:p>
        </w:tc>
      </w:tr>
      <w:tr w:rsidR="006F587A" w14:paraId="4ACE3ACB" w14:textId="77777777">
        <w:tc>
          <w:tcPr>
            <w:tcW w:w="0" w:type="auto"/>
            <w:vMerge/>
            <w:shd w:val="clear" w:color="auto" w:fill="auto"/>
            <w:tcMar>
              <w:top w:w="40" w:type="dxa"/>
              <w:left w:w="40" w:type="dxa"/>
              <w:bottom w:w="40" w:type="dxa"/>
              <w:right w:w="40" w:type="dxa"/>
            </w:tcMar>
          </w:tcPr>
          <w:p w14:paraId="4ACE3AC8"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AC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AC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3ACF" w14:textId="77777777">
        <w:tc>
          <w:tcPr>
            <w:tcW w:w="0" w:type="auto"/>
            <w:vMerge/>
            <w:shd w:val="clear" w:color="auto" w:fill="auto"/>
            <w:tcMar>
              <w:top w:w="40" w:type="dxa"/>
              <w:left w:w="40" w:type="dxa"/>
              <w:bottom w:w="40" w:type="dxa"/>
              <w:right w:w="40" w:type="dxa"/>
            </w:tcMar>
          </w:tcPr>
          <w:p w14:paraId="4ACE3ACC"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AC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ACE"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Auditing management’s assessment of net </w:t>
            </w:r>
            <w:r>
              <w:rPr>
                <w:rFonts w:ascii="Arial" w:eastAsia="宋体" w:hAnsi="Arial" w:cs="Arial"/>
                <w:color w:val="333333"/>
                <w:sz w:val="18"/>
                <w:szCs w:val="18"/>
              </w:rPr>
              <w:t>realizable value for inventory was challenging because the determination of lower of cost or net realizable value and excess and obsolete inventory reserves is highly judgmental and considers a number of factors that are affected by market and economic con</w:t>
            </w:r>
            <w:r>
              <w:rPr>
                <w:rFonts w:ascii="Arial" w:eastAsia="宋体" w:hAnsi="Arial" w:cs="Arial"/>
                <w:color w:val="333333"/>
                <w:sz w:val="18"/>
                <w:szCs w:val="18"/>
              </w:rPr>
              <w:t>ditions, such as customer forecasts, dynamic pricing environments, and industry supply and demand. Additionally, for certain new product launches there is limited historical data with which to evaluate forecasts.</w:t>
            </w:r>
          </w:p>
        </w:tc>
      </w:tr>
      <w:tr w:rsidR="006F587A" w14:paraId="4ACE3AD3" w14:textId="77777777">
        <w:tc>
          <w:tcPr>
            <w:tcW w:w="0" w:type="auto"/>
            <w:shd w:val="clear" w:color="auto" w:fill="auto"/>
            <w:tcMar>
              <w:top w:w="40" w:type="dxa"/>
              <w:left w:w="40" w:type="dxa"/>
              <w:bottom w:w="40" w:type="dxa"/>
              <w:right w:w="40" w:type="dxa"/>
            </w:tcMar>
            <w:vAlign w:val="bottom"/>
          </w:tcPr>
          <w:p w14:paraId="4ACE3AD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AD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AD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3AD8" w14:textId="77777777">
        <w:tc>
          <w:tcPr>
            <w:tcW w:w="0" w:type="auto"/>
            <w:vMerge w:val="restart"/>
            <w:shd w:val="clear" w:color="auto" w:fill="auto"/>
            <w:tcMar>
              <w:top w:w="40" w:type="dxa"/>
              <w:left w:w="40" w:type="dxa"/>
              <w:bottom w:w="40" w:type="dxa"/>
              <w:right w:w="40" w:type="dxa"/>
            </w:tcMar>
          </w:tcPr>
          <w:p w14:paraId="4ACE3AD4" w14:textId="77777777" w:rsidR="006F587A" w:rsidRDefault="007B2B61">
            <w:pPr>
              <w:textAlignment w:val="top"/>
              <w:rPr>
                <w:rFonts w:ascii="Times New Roman" w:hAnsi="Times New Roman"/>
                <w:sz w:val="20"/>
                <w:szCs w:val="20"/>
              </w:rPr>
            </w:pPr>
            <w:r>
              <w:rPr>
                <w:rFonts w:ascii="Arial" w:eastAsia="宋体" w:hAnsi="Arial" w:cs="Arial"/>
                <w:i/>
                <w:iCs/>
                <w:color w:val="000000"/>
                <w:sz w:val="20"/>
                <w:szCs w:val="20"/>
              </w:rPr>
              <w:t xml:space="preserve">How We Addressed </w:t>
            </w:r>
          </w:p>
          <w:p w14:paraId="4ACE3AD5" w14:textId="77777777" w:rsidR="006F587A" w:rsidRDefault="007B2B61">
            <w:pPr>
              <w:textAlignment w:val="top"/>
              <w:rPr>
                <w:rFonts w:ascii="Times New Roman" w:hAnsi="Times New Roman"/>
                <w:sz w:val="20"/>
                <w:szCs w:val="20"/>
              </w:rPr>
            </w:pPr>
            <w:r>
              <w:rPr>
                <w:rFonts w:ascii="Arial" w:eastAsia="宋体" w:hAnsi="Arial" w:cs="Arial"/>
                <w:i/>
                <w:iCs/>
                <w:color w:val="000000"/>
                <w:sz w:val="20"/>
                <w:szCs w:val="20"/>
              </w:rPr>
              <w:t xml:space="preserve">the Matter in </w:t>
            </w:r>
            <w:r>
              <w:rPr>
                <w:rFonts w:ascii="Arial" w:eastAsia="宋体" w:hAnsi="Arial" w:cs="Arial"/>
                <w:i/>
                <w:iCs/>
                <w:color w:val="000000"/>
                <w:sz w:val="20"/>
                <w:szCs w:val="20"/>
              </w:rPr>
              <w:t>Our Audit</w:t>
            </w:r>
          </w:p>
        </w:tc>
        <w:tc>
          <w:tcPr>
            <w:tcW w:w="0" w:type="auto"/>
            <w:shd w:val="clear" w:color="auto" w:fill="auto"/>
            <w:tcMar>
              <w:top w:w="40" w:type="dxa"/>
              <w:left w:w="40" w:type="dxa"/>
              <w:bottom w:w="40" w:type="dxa"/>
              <w:right w:w="40" w:type="dxa"/>
            </w:tcMar>
            <w:vAlign w:val="bottom"/>
          </w:tcPr>
          <w:p w14:paraId="4ACE3AD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AD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We evaluated and tested the design and operating effectiveness of the Company’s internal controls over the costing of inventory, the determination of whether inventory is of salable quality, the calculation of lower of cost or net realizable va</w:t>
            </w:r>
            <w:r>
              <w:rPr>
                <w:rFonts w:ascii="Arial" w:eastAsia="宋体" w:hAnsi="Arial" w:cs="Arial"/>
                <w:color w:val="333333"/>
                <w:sz w:val="18"/>
                <w:szCs w:val="18"/>
              </w:rPr>
              <w:t>lue reserves including related estimated costs and selling prices, and the determination of demand forecasts and related application against on hand inventory.</w:t>
            </w:r>
          </w:p>
        </w:tc>
      </w:tr>
      <w:tr w:rsidR="006F587A" w14:paraId="4ACE3ADC" w14:textId="77777777">
        <w:tc>
          <w:tcPr>
            <w:tcW w:w="0" w:type="auto"/>
            <w:vMerge/>
            <w:shd w:val="clear" w:color="auto" w:fill="auto"/>
            <w:tcMar>
              <w:top w:w="40" w:type="dxa"/>
              <w:left w:w="40" w:type="dxa"/>
              <w:bottom w:w="40" w:type="dxa"/>
              <w:right w:w="40" w:type="dxa"/>
            </w:tcMar>
          </w:tcPr>
          <w:p w14:paraId="4ACE3AD9"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AD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AD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3AE0" w14:textId="77777777">
        <w:tc>
          <w:tcPr>
            <w:tcW w:w="0" w:type="auto"/>
            <w:vMerge/>
            <w:shd w:val="clear" w:color="auto" w:fill="auto"/>
            <w:tcMar>
              <w:top w:w="40" w:type="dxa"/>
              <w:left w:w="40" w:type="dxa"/>
              <w:bottom w:w="40" w:type="dxa"/>
              <w:right w:w="40" w:type="dxa"/>
            </w:tcMar>
          </w:tcPr>
          <w:p w14:paraId="4ACE3ADD" w14:textId="77777777" w:rsidR="006F587A" w:rsidRDefault="006F587A">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AD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AD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Our audit procedures included, among others, testing the significant </w:t>
            </w:r>
            <w:r>
              <w:rPr>
                <w:rFonts w:ascii="Arial" w:eastAsia="宋体" w:hAnsi="Arial" w:cs="Arial"/>
                <w:color w:val="333333"/>
                <w:sz w:val="18"/>
                <w:szCs w:val="18"/>
              </w:rPr>
              <w:t>assumptions (e.g., estimated product costs and selling prices, and product demand forecasts) and the underlying data used in management’s inventory valuation assessment. We compared the significant assumptions used by management to current industry and eco</w:t>
            </w:r>
            <w:r>
              <w:rPr>
                <w:rFonts w:ascii="Arial" w:eastAsia="宋体" w:hAnsi="Arial" w:cs="Arial"/>
                <w:color w:val="333333"/>
                <w:sz w:val="18"/>
                <w:szCs w:val="18"/>
              </w:rPr>
              <w:t>nomic trends. We assessed whether there were any potential sources of contrary information, including historical forecast accuracy or history of significant revisions to previously recorded inventory valuation adjustments, and performed sensitivity analyse</w:t>
            </w:r>
            <w:r>
              <w:rPr>
                <w:rFonts w:ascii="Arial" w:eastAsia="宋体" w:hAnsi="Arial" w:cs="Arial"/>
                <w:color w:val="333333"/>
                <w:sz w:val="18"/>
                <w:szCs w:val="18"/>
              </w:rPr>
              <w:t>s over significant assumptions to evaluate the changes in inventory valuation that would result from changes in the assumptions.</w:t>
            </w:r>
          </w:p>
        </w:tc>
      </w:tr>
    </w:tbl>
    <w:p w14:paraId="4ACE3AE1" w14:textId="77777777" w:rsidR="006F587A" w:rsidRDefault="006F587A">
      <w:pPr>
        <w:spacing w:line="288" w:lineRule="auto"/>
        <w:rPr>
          <w:rFonts w:ascii="Times New Roman" w:hAnsi="Times New Roman"/>
          <w:sz w:val="18"/>
          <w:szCs w:val="18"/>
        </w:rPr>
      </w:pPr>
    </w:p>
    <w:p w14:paraId="4ACE3AE2" w14:textId="77777777" w:rsidR="006F587A" w:rsidRDefault="007B2B61">
      <w:pPr>
        <w:spacing w:line="288" w:lineRule="auto"/>
        <w:ind w:firstLine="13440"/>
        <w:rPr>
          <w:rFonts w:ascii="Times New Roman" w:hAnsi="Times New Roman"/>
          <w:sz w:val="18"/>
          <w:szCs w:val="18"/>
        </w:rPr>
      </w:pPr>
      <w:r>
        <w:rPr>
          <w:rFonts w:ascii="Arial" w:eastAsia="宋体" w:hAnsi="Arial" w:cs="Arial"/>
          <w:color w:val="333333"/>
          <w:sz w:val="18"/>
          <w:szCs w:val="18"/>
        </w:rPr>
        <w:t xml:space="preserve">/s/ Ernst &amp; Young LLP </w:t>
      </w:r>
    </w:p>
    <w:p w14:paraId="4ACE3AE3"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have served as the Company's auditor since 1968.</w:t>
      </w:r>
    </w:p>
    <w:p w14:paraId="4ACE3AE4" w14:textId="77777777" w:rsidR="006F587A" w:rsidRDefault="006F587A">
      <w:pPr>
        <w:spacing w:line="288" w:lineRule="auto"/>
        <w:rPr>
          <w:rFonts w:ascii="Times New Roman" w:hAnsi="Times New Roman"/>
          <w:sz w:val="18"/>
          <w:szCs w:val="18"/>
        </w:rPr>
      </w:pPr>
    </w:p>
    <w:p w14:paraId="4ACE3AE5"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San Jose, California</w:t>
      </w:r>
    </w:p>
    <w:p w14:paraId="4ACE3AE6"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January 23, 2020</w:t>
      </w:r>
    </w:p>
    <w:p w14:paraId="4ACE3AE7" w14:textId="77777777" w:rsidR="006F587A" w:rsidRDefault="007B2B61">
      <w:pPr>
        <w:spacing w:line="288" w:lineRule="auto"/>
        <w:jc w:val="right"/>
        <w:rPr>
          <w:rFonts w:ascii="Times New Roman" w:hAnsi="Times New Roman"/>
          <w:sz w:val="18"/>
          <w:szCs w:val="18"/>
        </w:rPr>
      </w:pPr>
      <w:r>
        <w:rPr>
          <w:rFonts w:ascii="Arial" w:eastAsia="宋体" w:hAnsi="Arial" w:cs="Arial"/>
          <w:color w:val="333333"/>
          <w:sz w:val="18"/>
          <w:szCs w:val="18"/>
        </w:rPr>
        <w:t> </w:t>
      </w:r>
    </w:p>
    <w:p w14:paraId="4ACE3AE8"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3AEA" w14:textId="77777777">
        <w:tc>
          <w:tcPr>
            <w:tcW w:w="0" w:type="auto"/>
            <w:gridSpan w:val="3"/>
            <w:shd w:val="clear" w:color="auto" w:fill="auto"/>
            <w:vAlign w:val="center"/>
          </w:tcPr>
          <w:p w14:paraId="4ACE3AE9" w14:textId="77777777" w:rsidR="006F587A" w:rsidRDefault="006F587A">
            <w:pPr>
              <w:rPr>
                <w:rFonts w:ascii="Times New Roman" w:hAnsi="Times New Roman"/>
                <w:sz w:val="20"/>
                <w:szCs w:val="20"/>
              </w:rPr>
            </w:pPr>
          </w:p>
        </w:tc>
      </w:tr>
      <w:tr w:rsidR="006F587A" w14:paraId="4ACE3AEE" w14:textId="77777777">
        <w:tc>
          <w:tcPr>
            <w:tcW w:w="1300" w:type="pct"/>
            <w:shd w:val="clear" w:color="auto" w:fill="auto"/>
            <w:vAlign w:val="center"/>
          </w:tcPr>
          <w:p w14:paraId="4ACE3AEB" w14:textId="77777777" w:rsidR="006F587A" w:rsidRDefault="006F587A">
            <w:pPr>
              <w:rPr>
                <w:rFonts w:ascii="Times New Roman" w:hAnsi="Times New Roman"/>
                <w:sz w:val="20"/>
                <w:szCs w:val="20"/>
              </w:rPr>
            </w:pPr>
          </w:p>
        </w:tc>
        <w:tc>
          <w:tcPr>
            <w:tcW w:w="1600" w:type="pct"/>
            <w:shd w:val="clear" w:color="auto" w:fill="auto"/>
            <w:vAlign w:val="center"/>
          </w:tcPr>
          <w:p w14:paraId="4ACE3AEC" w14:textId="77777777" w:rsidR="006F587A" w:rsidRDefault="006F587A">
            <w:pPr>
              <w:rPr>
                <w:rFonts w:ascii="Times New Roman" w:hAnsi="Times New Roman"/>
                <w:sz w:val="20"/>
                <w:szCs w:val="20"/>
              </w:rPr>
            </w:pPr>
          </w:p>
        </w:tc>
        <w:tc>
          <w:tcPr>
            <w:tcW w:w="2100" w:type="pct"/>
            <w:shd w:val="clear" w:color="auto" w:fill="auto"/>
            <w:vAlign w:val="center"/>
          </w:tcPr>
          <w:p w14:paraId="4ACE3AED" w14:textId="77777777" w:rsidR="006F587A" w:rsidRDefault="006F587A">
            <w:pPr>
              <w:rPr>
                <w:rFonts w:ascii="Times New Roman" w:hAnsi="Times New Roman"/>
                <w:sz w:val="20"/>
                <w:szCs w:val="20"/>
              </w:rPr>
            </w:pPr>
          </w:p>
        </w:tc>
      </w:tr>
      <w:tr w:rsidR="006F587A" w14:paraId="4ACE3AF2"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3AEF" w14:textId="77777777" w:rsidR="006F587A" w:rsidRDefault="007B2B61">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B1" wp14:editId="4ACE6DB2">
                  <wp:extent cx="304800" cy="304800"/>
                  <wp:effectExtent l="0" t="0" r="0" b="0"/>
                  <wp:docPr id="196" name="图片 272"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272"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AUDITOR'S REPORTS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AF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AF1"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67</w:t>
            </w:r>
          </w:p>
        </w:tc>
      </w:tr>
    </w:tbl>
    <w:p w14:paraId="4ACE3AF3" w14:textId="77777777" w:rsidR="006F587A" w:rsidRDefault="007B2B61">
      <w:r>
        <w:pict w14:anchorId="4ACE6DB3">
          <v:rect id="_x0000_i1093" style="width:415.3pt;height:1.5pt" o:hralign="center" o:hrstd="t" o:hr="t" fillcolor="#a0a0a0" stroked="f"/>
        </w:pict>
      </w:r>
    </w:p>
    <w:p w14:paraId="4ACE3AF4" w14:textId="77777777" w:rsidR="006F587A" w:rsidRDefault="007B2B61">
      <w:pPr>
        <w:spacing w:line="288" w:lineRule="auto"/>
        <w:jc w:val="right"/>
        <w:rPr>
          <w:rFonts w:ascii="Times New Roman" w:hAnsi="Times New Roman"/>
          <w:sz w:val="16"/>
          <w:szCs w:val="16"/>
        </w:rPr>
      </w:pPr>
      <w:hyperlink r:id="rId132" w:anchor="s9DB683E2CF52561EB8A73BE37F5BF9BE" w:history="1">
        <w:r>
          <w:rPr>
            <w:rStyle w:val="a5"/>
            <w:rFonts w:ascii="Arial" w:eastAsia="宋体" w:hAnsi="Arial" w:cs="Arial"/>
            <w:b/>
            <w:bCs/>
            <w:sz w:val="16"/>
            <w:szCs w:val="16"/>
          </w:rPr>
          <w:t>Table of Contents</w:t>
        </w:r>
      </w:hyperlink>
    </w:p>
    <w:p w14:paraId="4ACE3AF5" w14:textId="77777777" w:rsidR="006F587A" w:rsidRDefault="006F587A">
      <w:pPr>
        <w:spacing w:line="288" w:lineRule="auto"/>
        <w:jc w:val="right"/>
        <w:rPr>
          <w:rFonts w:ascii="Times New Roman" w:hAnsi="Times New Roman"/>
          <w:sz w:val="16"/>
          <w:szCs w:val="16"/>
        </w:rPr>
      </w:pPr>
    </w:p>
    <w:p w14:paraId="4ACE3AF6"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6F587A" w14:paraId="4ACE3AF8" w14:textId="77777777">
        <w:tc>
          <w:tcPr>
            <w:tcW w:w="0" w:type="auto"/>
            <w:shd w:val="clear" w:color="auto" w:fill="auto"/>
            <w:vAlign w:val="center"/>
          </w:tcPr>
          <w:p w14:paraId="4ACE3AF7" w14:textId="77777777" w:rsidR="006F587A" w:rsidRDefault="006F587A">
            <w:pPr>
              <w:rPr>
                <w:rFonts w:ascii="Times New Roman" w:hAnsi="Times New Roman"/>
                <w:sz w:val="20"/>
                <w:szCs w:val="20"/>
              </w:rPr>
            </w:pPr>
          </w:p>
        </w:tc>
      </w:tr>
      <w:tr w:rsidR="006F587A" w14:paraId="4ACE3AFA" w14:textId="77777777">
        <w:tc>
          <w:tcPr>
            <w:tcW w:w="5000" w:type="pct"/>
            <w:shd w:val="clear" w:color="auto" w:fill="auto"/>
            <w:vAlign w:val="center"/>
          </w:tcPr>
          <w:p w14:paraId="4ACE3AF9" w14:textId="77777777" w:rsidR="006F587A" w:rsidRDefault="006F587A">
            <w:pPr>
              <w:rPr>
                <w:rFonts w:ascii="Times New Roman" w:hAnsi="Times New Roman"/>
                <w:sz w:val="20"/>
                <w:szCs w:val="20"/>
              </w:rPr>
            </w:pPr>
          </w:p>
        </w:tc>
      </w:tr>
      <w:tr w:rsidR="006F587A" w14:paraId="4ACE3AFC" w14:textId="77777777">
        <w:tc>
          <w:tcPr>
            <w:tcW w:w="0" w:type="auto"/>
            <w:shd w:val="clear" w:color="auto" w:fill="0071C5"/>
            <w:tcMar>
              <w:top w:w="40" w:type="dxa"/>
              <w:left w:w="880" w:type="dxa"/>
              <w:bottom w:w="40" w:type="dxa"/>
              <w:right w:w="40" w:type="dxa"/>
            </w:tcMar>
            <w:vAlign w:val="bottom"/>
          </w:tcPr>
          <w:p w14:paraId="4ACE3AFB" w14:textId="77777777" w:rsidR="006F587A" w:rsidRDefault="007B2B61">
            <w:pPr>
              <w:textAlignment w:val="bottom"/>
              <w:rPr>
                <w:rFonts w:ascii="Times New Roman" w:hAnsi="Times New Roman"/>
                <w:sz w:val="32"/>
                <w:szCs w:val="32"/>
              </w:rPr>
            </w:pPr>
            <w:r>
              <w:rPr>
                <w:rFonts w:ascii="Arial" w:eastAsia="宋体" w:hAnsi="Arial" w:cs="Arial"/>
                <w:b/>
                <w:bCs/>
                <w:color w:val="FFFFFF"/>
                <w:sz w:val="32"/>
                <w:szCs w:val="32"/>
              </w:rPr>
              <w:t>REPORT OF INDEPENDENT REGISTERED PUBLIC ACCOUNTING FIRM</w:t>
            </w:r>
          </w:p>
        </w:tc>
      </w:tr>
    </w:tbl>
    <w:p w14:paraId="4ACE3AFD" w14:textId="77777777" w:rsidR="006F587A" w:rsidRDefault="007B2B61">
      <w:pPr>
        <w:spacing w:line="288" w:lineRule="auto"/>
        <w:rPr>
          <w:rFonts w:ascii="Times New Roman" w:hAnsi="Times New Roman"/>
        </w:rPr>
      </w:pPr>
      <w:r>
        <w:rPr>
          <w:rFonts w:ascii="Arial" w:eastAsia="宋体" w:hAnsi="Arial" w:cs="Arial"/>
          <w:b/>
          <w:bCs/>
          <w:color w:val="0071C5"/>
        </w:rPr>
        <w:t xml:space="preserve">TO THE </w:t>
      </w:r>
      <w:r>
        <w:rPr>
          <w:rFonts w:ascii="Arial" w:eastAsia="宋体" w:hAnsi="Arial" w:cs="Arial"/>
          <w:b/>
          <w:bCs/>
          <w:color w:val="0071C5"/>
        </w:rPr>
        <w:t>STOCKHOLDERS AND THE BOARD OF DIRECTORS OF INTEL CORPORATION</w:t>
      </w:r>
    </w:p>
    <w:p w14:paraId="4ACE3AFE" w14:textId="77777777" w:rsidR="006F587A" w:rsidRDefault="007B2B61">
      <w:pPr>
        <w:spacing w:line="288" w:lineRule="auto"/>
        <w:rPr>
          <w:rFonts w:ascii="Times New Roman" w:hAnsi="Times New Roman"/>
          <w:sz w:val="20"/>
          <w:szCs w:val="20"/>
        </w:rPr>
      </w:pPr>
      <w:r>
        <w:rPr>
          <w:rFonts w:ascii="Arial" w:eastAsia="宋体" w:hAnsi="Arial" w:cs="Arial"/>
          <w:b/>
          <w:bCs/>
          <w:color w:val="333333"/>
          <w:sz w:val="20"/>
          <w:szCs w:val="20"/>
        </w:rPr>
        <w:t>Opinion on Internal Control Over Financial Reporting</w:t>
      </w:r>
    </w:p>
    <w:p w14:paraId="4ACE3AFF"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have audited Intel Corporation’s internal control over financial reporting as of December 28, 2019, based on criteria established in Intern</w:t>
      </w:r>
      <w:r>
        <w:rPr>
          <w:rFonts w:ascii="Arial" w:eastAsia="宋体" w:hAnsi="Arial" w:cs="Arial"/>
          <w:color w:val="333333"/>
          <w:sz w:val="18"/>
          <w:szCs w:val="18"/>
        </w:rPr>
        <w:t>al Control—Integrated Framework issued by the Committee of Sponsoring Organizations of the Treadway Commission (2013 framework), (the COSO criteria). In our opinion, Intel Corporation (the Company) maintained, in all material respects, effective internal c</w:t>
      </w:r>
      <w:r>
        <w:rPr>
          <w:rFonts w:ascii="Arial" w:eastAsia="宋体" w:hAnsi="Arial" w:cs="Arial"/>
          <w:color w:val="333333"/>
          <w:sz w:val="18"/>
          <w:szCs w:val="18"/>
        </w:rPr>
        <w:t>ontrol over financial reporting as of December 28, 2019, based on the COSO criteria.</w:t>
      </w:r>
    </w:p>
    <w:p w14:paraId="4ACE3B00"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We also have audited, in accordance with the standards of the Public Company Accounting Oversight Board (United States) (PCAOB), the 2019 Consolidated Financial </w:t>
      </w:r>
      <w:r>
        <w:rPr>
          <w:rFonts w:ascii="Arial" w:eastAsia="宋体" w:hAnsi="Arial" w:cs="Arial"/>
          <w:color w:val="333333"/>
          <w:sz w:val="18"/>
          <w:szCs w:val="18"/>
        </w:rPr>
        <w:t>Statements of the Company and our report dated January 23, 2020 expressed an unqualified opinion thereon.</w:t>
      </w:r>
    </w:p>
    <w:p w14:paraId="4ACE3B01" w14:textId="77777777" w:rsidR="006F587A" w:rsidRDefault="007B2B61">
      <w:pPr>
        <w:spacing w:line="288" w:lineRule="auto"/>
        <w:rPr>
          <w:rFonts w:ascii="Times New Roman" w:hAnsi="Times New Roman"/>
          <w:sz w:val="20"/>
          <w:szCs w:val="20"/>
        </w:rPr>
      </w:pPr>
      <w:r>
        <w:rPr>
          <w:rFonts w:ascii="Arial" w:eastAsia="宋体" w:hAnsi="Arial" w:cs="Arial"/>
          <w:b/>
          <w:bCs/>
          <w:color w:val="333333"/>
          <w:sz w:val="20"/>
          <w:szCs w:val="20"/>
        </w:rPr>
        <w:t>Basis for Opinion</w:t>
      </w:r>
    </w:p>
    <w:p w14:paraId="4ACE3B02"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The Company’s management is responsible for maintaining effective internal control over financial reporting and for its assessment o</w:t>
      </w:r>
      <w:r>
        <w:rPr>
          <w:rFonts w:ascii="Arial" w:eastAsia="宋体" w:hAnsi="Arial" w:cs="Arial"/>
          <w:color w:val="333333"/>
          <w:sz w:val="18"/>
          <w:szCs w:val="18"/>
        </w:rPr>
        <w:t>f the effectiveness of internal control over financial reporting included in the accompanying Management Report on Internal Control Over Financial Reporting. Our responsibility is to express an opinion on the Company's internal control over financial repor</w:t>
      </w:r>
      <w:r>
        <w:rPr>
          <w:rFonts w:ascii="Arial" w:eastAsia="宋体" w:hAnsi="Arial" w:cs="Arial"/>
          <w:color w:val="333333"/>
          <w:sz w:val="18"/>
          <w:szCs w:val="18"/>
        </w:rPr>
        <w:t>ting based on our audit. We are a public accounting firm registered with the PCAOB and are required to be independent with respect to the Company in accordance with the U.S. federal securities laws and the applicable rules and regulations of the Securities</w:t>
      </w:r>
      <w:r>
        <w:rPr>
          <w:rFonts w:ascii="Arial" w:eastAsia="宋体" w:hAnsi="Arial" w:cs="Arial"/>
          <w:color w:val="333333"/>
          <w:sz w:val="18"/>
          <w:szCs w:val="18"/>
        </w:rPr>
        <w:t xml:space="preserve"> and Exchange Commission and the PCAOB. </w:t>
      </w:r>
    </w:p>
    <w:p w14:paraId="4ACE3B03"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conducted our audit in accordance with the standards of the PCAOB. Those standards require that we plan and perform the audit to obtain reasonable assurance about whether effective internal control over financial</w:t>
      </w:r>
      <w:r>
        <w:rPr>
          <w:rFonts w:ascii="Arial" w:eastAsia="宋体" w:hAnsi="Arial" w:cs="Arial"/>
          <w:color w:val="333333"/>
          <w:sz w:val="18"/>
          <w:szCs w:val="18"/>
        </w:rPr>
        <w:t xml:space="preserve"> reporting was maintained in all material respects. </w:t>
      </w:r>
    </w:p>
    <w:p w14:paraId="4ACE3B04"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Our audit included obtaining an understanding of internal control over financial reporting, assessing the risk that a material weakness exists, testing and evaluating the design and operating effectivene</w:t>
      </w:r>
      <w:r>
        <w:rPr>
          <w:rFonts w:ascii="Arial" w:eastAsia="宋体" w:hAnsi="Arial" w:cs="Arial"/>
          <w:color w:val="333333"/>
          <w:sz w:val="18"/>
          <w:szCs w:val="18"/>
        </w:rPr>
        <w:t>ss of internal control based on the assessed risk, and performing such other procedures as we considered necessary in the circumstances. We believe that our audit provides a reasonable basis for our opinion.</w:t>
      </w:r>
    </w:p>
    <w:p w14:paraId="4ACE3B05" w14:textId="77777777" w:rsidR="006F587A" w:rsidRDefault="007B2B61">
      <w:pPr>
        <w:spacing w:line="288" w:lineRule="auto"/>
        <w:rPr>
          <w:rFonts w:ascii="Times New Roman" w:hAnsi="Times New Roman"/>
          <w:sz w:val="20"/>
          <w:szCs w:val="20"/>
        </w:rPr>
      </w:pPr>
      <w:r>
        <w:rPr>
          <w:rFonts w:ascii="Arial" w:eastAsia="宋体" w:hAnsi="Arial" w:cs="Arial"/>
          <w:b/>
          <w:bCs/>
          <w:color w:val="333333"/>
          <w:sz w:val="20"/>
          <w:szCs w:val="20"/>
        </w:rPr>
        <w:t>Definition and Limitations of Internal Control O</w:t>
      </w:r>
      <w:r>
        <w:rPr>
          <w:rFonts w:ascii="Arial" w:eastAsia="宋体" w:hAnsi="Arial" w:cs="Arial"/>
          <w:b/>
          <w:bCs/>
          <w:color w:val="333333"/>
          <w:sz w:val="20"/>
          <w:szCs w:val="20"/>
        </w:rPr>
        <w:t>ver Financial Reporting</w:t>
      </w:r>
    </w:p>
    <w:p w14:paraId="4ACE3B06"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A company‘s internal control over financial reporting is a process designed to provide reasonable assurance regarding the reliability of financial reporting and the preparation of financial statements for external purposes in accord</w:t>
      </w:r>
      <w:r>
        <w:rPr>
          <w:rFonts w:ascii="Arial" w:eastAsia="宋体" w:hAnsi="Arial" w:cs="Arial"/>
          <w:color w:val="333333"/>
          <w:sz w:val="18"/>
          <w:szCs w:val="18"/>
        </w:rPr>
        <w:t>ance with generally accepted accounting principles. A company’s internal control over financial reporting includes those policies and procedures that (1) pertain to the maintenance of records that, in reasonable detail, accurately and fairly reflect the tr</w:t>
      </w:r>
      <w:r>
        <w:rPr>
          <w:rFonts w:ascii="Arial" w:eastAsia="宋体" w:hAnsi="Arial" w:cs="Arial"/>
          <w:color w:val="333333"/>
          <w:sz w:val="18"/>
          <w:szCs w:val="18"/>
        </w:rPr>
        <w:t>ansactions and dispositions of the assets of the company; (2) provide reasonable assurance that transactions are recorded as necessary to permit preparation of financial statements in accordance with generally accepted accounting principles, and that recei</w:t>
      </w:r>
      <w:r>
        <w:rPr>
          <w:rFonts w:ascii="Arial" w:eastAsia="宋体" w:hAnsi="Arial" w:cs="Arial"/>
          <w:color w:val="333333"/>
          <w:sz w:val="18"/>
          <w:szCs w:val="18"/>
        </w:rPr>
        <w:t>pts and expenditures of the company are being made only in accordance with authorizations of management and directors of the company; and (3) provide reasonable assurance regarding prevention or timely detection of unauthorized acquisition, use, or disposi</w:t>
      </w:r>
      <w:r>
        <w:rPr>
          <w:rFonts w:ascii="Arial" w:eastAsia="宋体" w:hAnsi="Arial" w:cs="Arial"/>
          <w:color w:val="333333"/>
          <w:sz w:val="18"/>
          <w:szCs w:val="18"/>
        </w:rPr>
        <w:t xml:space="preserve">tion of the company's assets that could have a material effect on the financial statements. </w:t>
      </w:r>
    </w:p>
    <w:p w14:paraId="4ACE3B07"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Because of its inherent limitations, internal control over financial reporting may not prevent or detect misstatements. Also, projections of any evaluation of effe</w:t>
      </w:r>
      <w:r>
        <w:rPr>
          <w:rFonts w:ascii="Arial" w:eastAsia="宋体" w:hAnsi="Arial" w:cs="Arial"/>
          <w:color w:val="333333"/>
          <w:sz w:val="18"/>
          <w:szCs w:val="18"/>
        </w:rPr>
        <w:t xml:space="preserve">ctiveness to future periods are subject to the </w:t>
      </w:r>
      <w:r>
        <w:rPr>
          <w:rFonts w:ascii="Arial" w:eastAsia="宋体" w:hAnsi="Arial" w:cs="Arial"/>
          <w:color w:val="333333"/>
          <w:sz w:val="18"/>
          <w:szCs w:val="18"/>
        </w:rPr>
        <w:lastRenderedPageBreak/>
        <w:t xml:space="preserve">risk that controls may become inadequate because of changes in conditions, or that the degree of compliance with the policies or procedures may deteriorate. </w:t>
      </w:r>
    </w:p>
    <w:p w14:paraId="4ACE3B08" w14:textId="77777777" w:rsidR="006F587A" w:rsidRDefault="006F587A">
      <w:pPr>
        <w:spacing w:line="288" w:lineRule="auto"/>
        <w:jc w:val="right"/>
        <w:rPr>
          <w:rFonts w:ascii="Times New Roman" w:hAnsi="Times New Roman"/>
          <w:sz w:val="18"/>
          <w:szCs w:val="18"/>
        </w:rPr>
      </w:pPr>
    </w:p>
    <w:p w14:paraId="4ACE3B09" w14:textId="77777777" w:rsidR="006F587A" w:rsidRDefault="007B2B61">
      <w:pPr>
        <w:spacing w:line="288" w:lineRule="auto"/>
        <w:ind w:firstLine="13440"/>
        <w:rPr>
          <w:rFonts w:ascii="Times New Roman" w:hAnsi="Times New Roman"/>
          <w:sz w:val="18"/>
          <w:szCs w:val="18"/>
        </w:rPr>
      </w:pPr>
      <w:r>
        <w:rPr>
          <w:rFonts w:ascii="Arial" w:eastAsia="宋体" w:hAnsi="Arial" w:cs="Arial"/>
          <w:color w:val="333333"/>
          <w:sz w:val="18"/>
          <w:szCs w:val="18"/>
        </w:rPr>
        <w:t>/s/ Ernst &amp; Young LLP</w:t>
      </w:r>
    </w:p>
    <w:p w14:paraId="4ACE3B0A" w14:textId="77777777" w:rsidR="006F587A" w:rsidRDefault="006F587A">
      <w:pPr>
        <w:spacing w:line="288" w:lineRule="auto"/>
        <w:rPr>
          <w:rFonts w:ascii="Times New Roman" w:hAnsi="Times New Roman"/>
          <w:sz w:val="18"/>
          <w:szCs w:val="18"/>
        </w:rPr>
      </w:pPr>
    </w:p>
    <w:p w14:paraId="4ACE3B0B"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San Jose, California</w:t>
      </w:r>
    </w:p>
    <w:p w14:paraId="4ACE3B0C"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Januar</w:t>
      </w:r>
      <w:r>
        <w:rPr>
          <w:rFonts w:ascii="Arial" w:eastAsia="宋体" w:hAnsi="Arial" w:cs="Arial"/>
          <w:color w:val="333333"/>
          <w:sz w:val="18"/>
          <w:szCs w:val="18"/>
        </w:rPr>
        <w:t>y 23, 2020</w:t>
      </w:r>
    </w:p>
    <w:p w14:paraId="4ACE3B0D"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3B0F" w14:textId="77777777">
        <w:tc>
          <w:tcPr>
            <w:tcW w:w="0" w:type="auto"/>
            <w:gridSpan w:val="3"/>
            <w:shd w:val="clear" w:color="auto" w:fill="auto"/>
            <w:vAlign w:val="center"/>
          </w:tcPr>
          <w:p w14:paraId="4ACE3B0E" w14:textId="77777777" w:rsidR="006F587A" w:rsidRDefault="006F587A">
            <w:pPr>
              <w:rPr>
                <w:rFonts w:ascii="Times New Roman" w:hAnsi="Times New Roman"/>
                <w:sz w:val="20"/>
                <w:szCs w:val="20"/>
              </w:rPr>
            </w:pPr>
          </w:p>
        </w:tc>
      </w:tr>
      <w:tr w:rsidR="006F587A" w14:paraId="4ACE3B13" w14:textId="77777777">
        <w:tc>
          <w:tcPr>
            <w:tcW w:w="1300" w:type="pct"/>
            <w:shd w:val="clear" w:color="auto" w:fill="auto"/>
            <w:vAlign w:val="center"/>
          </w:tcPr>
          <w:p w14:paraId="4ACE3B10" w14:textId="77777777" w:rsidR="006F587A" w:rsidRDefault="006F587A">
            <w:pPr>
              <w:rPr>
                <w:rFonts w:ascii="Times New Roman" w:hAnsi="Times New Roman"/>
                <w:sz w:val="20"/>
                <w:szCs w:val="20"/>
              </w:rPr>
            </w:pPr>
          </w:p>
        </w:tc>
        <w:tc>
          <w:tcPr>
            <w:tcW w:w="1600" w:type="pct"/>
            <w:shd w:val="clear" w:color="auto" w:fill="auto"/>
            <w:vAlign w:val="center"/>
          </w:tcPr>
          <w:p w14:paraId="4ACE3B11" w14:textId="77777777" w:rsidR="006F587A" w:rsidRDefault="006F587A">
            <w:pPr>
              <w:rPr>
                <w:rFonts w:ascii="Times New Roman" w:hAnsi="Times New Roman"/>
                <w:sz w:val="20"/>
                <w:szCs w:val="20"/>
              </w:rPr>
            </w:pPr>
          </w:p>
        </w:tc>
        <w:tc>
          <w:tcPr>
            <w:tcW w:w="2100" w:type="pct"/>
            <w:shd w:val="clear" w:color="auto" w:fill="auto"/>
            <w:vAlign w:val="center"/>
          </w:tcPr>
          <w:p w14:paraId="4ACE3B12" w14:textId="77777777" w:rsidR="006F587A" w:rsidRDefault="006F587A">
            <w:pPr>
              <w:rPr>
                <w:rFonts w:ascii="Times New Roman" w:hAnsi="Times New Roman"/>
                <w:sz w:val="20"/>
                <w:szCs w:val="20"/>
              </w:rPr>
            </w:pPr>
          </w:p>
        </w:tc>
      </w:tr>
      <w:tr w:rsidR="006F587A" w14:paraId="4ACE3B17"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3B14" w14:textId="77777777" w:rsidR="006F587A" w:rsidRDefault="007B2B61">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B4" wp14:editId="4ACE6DB5">
                  <wp:extent cx="304800" cy="304800"/>
                  <wp:effectExtent l="0" t="0" r="0" b="0"/>
                  <wp:docPr id="193" name="图片 274"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274"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AUDITOR'S REPORTS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B1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B16"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68</w:t>
            </w:r>
          </w:p>
        </w:tc>
      </w:tr>
    </w:tbl>
    <w:p w14:paraId="4ACE3B18" w14:textId="77777777" w:rsidR="006F587A" w:rsidRDefault="007B2B61">
      <w:r>
        <w:pict w14:anchorId="4ACE6DB6">
          <v:rect id="_x0000_i1094" style="width:415.3pt;height:1.5pt" o:hralign="center" o:hrstd="t" o:hr="t" fillcolor="#a0a0a0" stroked="f"/>
        </w:pict>
      </w:r>
    </w:p>
    <w:p w14:paraId="4ACE3B19" w14:textId="77777777" w:rsidR="006F587A" w:rsidRDefault="007B2B61">
      <w:pPr>
        <w:spacing w:line="288" w:lineRule="auto"/>
        <w:jc w:val="right"/>
        <w:rPr>
          <w:rFonts w:ascii="Times New Roman" w:hAnsi="Times New Roman"/>
          <w:sz w:val="16"/>
          <w:szCs w:val="16"/>
        </w:rPr>
      </w:pPr>
      <w:hyperlink r:id="rId133" w:anchor="s9DB683E2CF52561EB8A73BE37F5BF9BE" w:history="1">
        <w:r>
          <w:rPr>
            <w:rStyle w:val="a5"/>
            <w:rFonts w:ascii="Arial" w:eastAsia="宋体" w:hAnsi="Arial" w:cs="Arial"/>
            <w:b/>
            <w:bCs/>
            <w:sz w:val="16"/>
            <w:szCs w:val="16"/>
          </w:rPr>
          <w:t>Table of Contents</w:t>
        </w:r>
      </w:hyperlink>
    </w:p>
    <w:p w14:paraId="4ACE3B1A" w14:textId="77777777" w:rsidR="006F587A" w:rsidRDefault="006F587A">
      <w:pPr>
        <w:spacing w:line="288" w:lineRule="auto"/>
        <w:jc w:val="right"/>
        <w:rPr>
          <w:rFonts w:ascii="Times New Roman" w:hAnsi="Times New Roman"/>
          <w:sz w:val="16"/>
          <w:szCs w:val="16"/>
        </w:rPr>
      </w:pPr>
    </w:p>
    <w:p w14:paraId="4ACE3B1B"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6F587A" w14:paraId="4ACE3B1D" w14:textId="77777777">
        <w:tc>
          <w:tcPr>
            <w:tcW w:w="0" w:type="auto"/>
            <w:shd w:val="clear" w:color="auto" w:fill="auto"/>
            <w:vAlign w:val="center"/>
          </w:tcPr>
          <w:p w14:paraId="4ACE3B1C" w14:textId="77777777" w:rsidR="006F587A" w:rsidRDefault="006F587A">
            <w:pPr>
              <w:rPr>
                <w:rFonts w:ascii="Times New Roman" w:hAnsi="Times New Roman"/>
                <w:sz w:val="20"/>
                <w:szCs w:val="20"/>
              </w:rPr>
            </w:pPr>
          </w:p>
        </w:tc>
      </w:tr>
      <w:tr w:rsidR="006F587A" w14:paraId="4ACE3B1F" w14:textId="77777777">
        <w:tc>
          <w:tcPr>
            <w:tcW w:w="5000" w:type="pct"/>
            <w:shd w:val="clear" w:color="auto" w:fill="auto"/>
            <w:vAlign w:val="center"/>
          </w:tcPr>
          <w:p w14:paraId="4ACE3B1E" w14:textId="77777777" w:rsidR="006F587A" w:rsidRDefault="006F587A">
            <w:pPr>
              <w:rPr>
                <w:rFonts w:ascii="Times New Roman" w:hAnsi="Times New Roman"/>
                <w:sz w:val="20"/>
                <w:szCs w:val="20"/>
              </w:rPr>
            </w:pPr>
          </w:p>
        </w:tc>
      </w:tr>
      <w:tr w:rsidR="006F587A" w14:paraId="4ACE3B21" w14:textId="77777777">
        <w:tc>
          <w:tcPr>
            <w:tcW w:w="0" w:type="auto"/>
            <w:shd w:val="clear" w:color="auto" w:fill="0071C5"/>
            <w:tcMar>
              <w:top w:w="40" w:type="dxa"/>
              <w:left w:w="880" w:type="dxa"/>
              <w:bottom w:w="40" w:type="dxa"/>
              <w:right w:w="40" w:type="dxa"/>
            </w:tcMar>
            <w:vAlign w:val="bottom"/>
          </w:tcPr>
          <w:p w14:paraId="4ACE3B20" w14:textId="77777777" w:rsidR="006F587A" w:rsidRDefault="007B2B61">
            <w:pPr>
              <w:textAlignment w:val="bottom"/>
              <w:rPr>
                <w:rFonts w:ascii="Times New Roman" w:hAnsi="Times New Roman"/>
                <w:sz w:val="36"/>
                <w:szCs w:val="36"/>
              </w:rPr>
            </w:pPr>
            <w:r>
              <w:rPr>
                <w:rFonts w:ascii="Arial" w:eastAsia="宋体" w:hAnsi="Arial" w:cs="Arial"/>
                <w:b/>
                <w:bCs/>
                <w:color w:val="FFFFFF"/>
                <w:sz w:val="36"/>
                <w:szCs w:val="36"/>
              </w:rPr>
              <w:t>CONSOLIDATED STATEMENTS OF INCOME</w:t>
            </w:r>
          </w:p>
        </w:tc>
      </w:tr>
    </w:tbl>
    <w:p w14:paraId="4ACE3B22" w14:textId="77777777" w:rsidR="006F587A" w:rsidRDefault="006F587A">
      <w:pPr>
        <w:rPr>
          <w:vanish/>
        </w:rPr>
      </w:pPr>
    </w:p>
    <w:tbl>
      <w:tblPr>
        <w:tblW w:w="5000" w:type="pct"/>
        <w:tblCellMar>
          <w:left w:w="0" w:type="dxa"/>
          <w:right w:w="0" w:type="dxa"/>
        </w:tblCellMar>
        <w:tblLook w:val="04A0" w:firstRow="1" w:lastRow="0" w:firstColumn="1" w:lastColumn="0" w:noHBand="0" w:noVBand="1"/>
      </w:tblPr>
      <w:tblGrid>
        <w:gridCol w:w="4996"/>
        <w:gridCol w:w="130"/>
        <w:gridCol w:w="142"/>
        <w:gridCol w:w="761"/>
        <w:gridCol w:w="59"/>
        <w:gridCol w:w="130"/>
        <w:gridCol w:w="141"/>
        <w:gridCol w:w="715"/>
        <w:gridCol w:w="100"/>
        <w:gridCol w:w="130"/>
        <w:gridCol w:w="141"/>
        <w:gridCol w:w="761"/>
        <w:gridCol w:w="100"/>
      </w:tblGrid>
      <w:tr w:rsidR="006F587A" w14:paraId="4ACE3B24" w14:textId="77777777">
        <w:tc>
          <w:tcPr>
            <w:tcW w:w="0" w:type="auto"/>
            <w:gridSpan w:val="13"/>
            <w:shd w:val="clear" w:color="auto" w:fill="auto"/>
            <w:vAlign w:val="center"/>
          </w:tcPr>
          <w:p w14:paraId="4ACE3B23" w14:textId="77777777" w:rsidR="006F587A" w:rsidRDefault="006F587A">
            <w:pPr>
              <w:rPr>
                <w:rFonts w:ascii="Times New Roman" w:hAnsi="Times New Roman"/>
                <w:sz w:val="20"/>
                <w:szCs w:val="20"/>
              </w:rPr>
            </w:pPr>
          </w:p>
        </w:tc>
      </w:tr>
      <w:tr w:rsidR="006F587A" w14:paraId="4ACE3B32" w14:textId="77777777">
        <w:tc>
          <w:tcPr>
            <w:tcW w:w="3050" w:type="pct"/>
            <w:shd w:val="clear" w:color="auto" w:fill="auto"/>
            <w:vAlign w:val="center"/>
          </w:tcPr>
          <w:p w14:paraId="4ACE3B25" w14:textId="77777777" w:rsidR="006F587A" w:rsidRDefault="006F587A">
            <w:pPr>
              <w:rPr>
                <w:rFonts w:ascii="Times New Roman" w:hAnsi="Times New Roman"/>
                <w:sz w:val="20"/>
                <w:szCs w:val="20"/>
              </w:rPr>
            </w:pPr>
          </w:p>
        </w:tc>
        <w:tc>
          <w:tcPr>
            <w:tcW w:w="50" w:type="pct"/>
            <w:shd w:val="clear" w:color="auto" w:fill="auto"/>
            <w:vAlign w:val="center"/>
          </w:tcPr>
          <w:p w14:paraId="4ACE3B26" w14:textId="77777777" w:rsidR="006F587A" w:rsidRDefault="006F587A">
            <w:pPr>
              <w:rPr>
                <w:rFonts w:ascii="Times New Roman" w:hAnsi="Times New Roman"/>
                <w:sz w:val="20"/>
                <w:szCs w:val="20"/>
              </w:rPr>
            </w:pPr>
          </w:p>
        </w:tc>
        <w:tc>
          <w:tcPr>
            <w:tcW w:w="50" w:type="pct"/>
            <w:shd w:val="clear" w:color="auto" w:fill="auto"/>
            <w:vAlign w:val="center"/>
          </w:tcPr>
          <w:p w14:paraId="4ACE3B27" w14:textId="77777777" w:rsidR="006F587A" w:rsidRDefault="006F587A">
            <w:pPr>
              <w:rPr>
                <w:rFonts w:ascii="Times New Roman" w:hAnsi="Times New Roman"/>
                <w:sz w:val="20"/>
                <w:szCs w:val="20"/>
              </w:rPr>
            </w:pPr>
          </w:p>
        </w:tc>
        <w:tc>
          <w:tcPr>
            <w:tcW w:w="500" w:type="pct"/>
            <w:shd w:val="clear" w:color="auto" w:fill="auto"/>
            <w:vAlign w:val="center"/>
          </w:tcPr>
          <w:p w14:paraId="4ACE3B28" w14:textId="77777777" w:rsidR="006F587A" w:rsidRDefault="006F587A">
            <w:pPr>
              <w:rPr>
                <w:rFonts w:ascii="Times New Roman" w:hAnsi="Times New Roman"/>
                <w:sz w:val="20"/>
                <w:szCs w:val="20"/>
              </w:rPr>
            </w:pPr>
          </w:p>
        </w:tc>
        <w:tc>
          <w:tcPr>
            <w:tcW w:w="50" w:type="pct"/>
            <w:shd w:val="clear" w:color="auto" w:fill="auto"/>
            <w:vAlign w:val="center"/>
          </w:tcPr>
          <w:p w14:paraId="4ACE3B29" w14:textId="77777777" w:rsidR="006F587A" w:rsidRDefault="006F587A">
            <w:pPr>
              <w:rPr>
                <w:rFonts w:ascii="Times New Roman" w:hAnsi="Times New Roman"/>
                <w:sz w:val="20"/>
                <w:szCs w:val="20"/>
              </w:rPr>
            </w:pPr>
          </w:p>
        </w:tc>
        <w:tc>
          <w:tcPr>
            <w:tcW w:w="50" w:type="pct"/>
            <w:shd w:val="clear" w:color="auto" w:fill="auto"/>
            <w:vAlign w:val="center"/>
          </w:tcPr>
          <w:p w14:paraId="4ACE3B2A" w14:textId="77777777" w:rsidR="006F587A" w:rsidRDefault="006F587A">
            <w:pPr>
              <w:rPr>
                <w:rFonts w:ascii="Times New Roman" w:hAnsi="Times New Roman"/>
                <w:sz w:val="20"/>
                <w:szCs w:val="20"/>
              </w:rPr>
            </w:pPr>
          </w:p>
        </w:tc>
        <w:tc>
          <w:tcPr>
            <w:tcW w:w="50" w:type="pct"/>
            <w:shd w:val="clear" w:color="auto" w:fill="auto"/>
            <w:vAlign w:val="center"/>
          </w:tcPr>
          <w:p w14:paraId="4ACE3B2B" w14:textId="77777777" w:rsidR="006F587A" w:rsidRDefault="006F587A">
            <w:pPr>
              <w:rPr>
                <w:rFonts w:ascii="Times New Roman" w:hAnsi="Times New Roman"/>
                <w:sz w:val="20"/>
                <w:szCs w:val="20"/>
              </w:rPr>
            </w:pPr>
          </w:p>
        </w:tc>
        <w:tc>
          <w:tcPr>
            <w:tcW w:w="500" w:type="pct"/>
            <w:shd w:val="clear" w:color="auto" w:fill="auto"/>
            <w:vAlign w:val="center"/>
          </w:tcPr>
          <w:p w14:paraId="4ACE3B2C" w14:textId="77777777" w:rsidR="006F587A" w:rsidRDefault="006F587A">
            <w:pPr>
              <w:rPr>
                <w:rFonts w:ascii="Times New Roman" w:hAnsi="Times New Roman"/>
                <w:sz w:val="20"/>
                <w:szCs w:val="20"/>
              </w:rPr>
            </w:pPr>
          </w:p>
        </w:tc>
        <w:tc>
          <w:tcPr>
            <w:tcW w:w="50" w:type="pct"/>
            <w:shd w:val="clear" w:color="auto" w:fill="auto"/>
            <w:vAlign w:val="center"/>
          </w:tcPr>
          <w:p w14:paraId="4ACE3B2D" w14:textId="77777777" w:rsidR="006F587A" w:rsidRDefault="006F587A">
            <w:pPr>
              <w:rPr>
                <w:rFonts w:ascii="Times New Roman" w:hAnsi="Times New Roman"/>
                <w:sz w:val="20"/>
                <w:szCs w:val="20"/>
              </w:rPr>
            </w:pPr>
          </w:p>
        </w:tc>
        <w:tc>
          <w:tcPr>
            <w:tcW w:w="50" w:type="pct"/>
            <w:shd w:val="clear" w:color="auto" w:fill="auto"/>
            <w:vAlign w:val="center"/>
          </w:tcPr>
          <w:p w14:paraId="4ACE3B2E" w14:textId="77777777" w:rsidR="006F587A" w:rsidRDefault="006F587A">
            <w:pPr>
              <w:rPr>
                <w:rFonts w:ascii="Times New Roman" w:hAnsi="Times New Roman"/>
                <w:sz w:val="20"/>
                <w:szCs w:val="20"/>
              </w:rPr>
            </w:pPr>
          </w:p>
        </w:tc>
        <w:tc>
          <w:tcPr>
            <w:tcW w:w="50" w:type="pct"/>
            <w:shd w:val="clear" w:color="auto" w:fill="auto"/>
            <w:vAlign w:val="center"/>
          </w:tcPr>
          <w:p w14:paraId="4ACE3B2F" w14:textId="77777777" w:rsidR="006F587A" w:rsidRDefault="006F587A">
            <w:pPr>
              <w:rPr>
                <w:rFonts w:ascii="Times New Roman" w:hAnsi="Times New Roman"/>
                <w:sz w:val="20"/>
                <w:szCs w:val="20"/>
              </w:rPr>
            </w:pPr>
          </w:p>
        </w:tc>
        <w:tc>
          <w:tcPr>
            <w:tcW w:w="500" w:type="pct"/>
            <w:shd w:val="clear" w:color="auto" w:fill="auto"/>
            <w:vAlign w:val="center"/>
          </w:tcPr>
          <w:p w14:paraId="4ACE3B30" w14:textId="77777777" w:rsidR="006F587A" w:rsidRDefault="006F587A">
            <w:pPr>
              <w:rPr>
                <w:rFonts w:ascii="Times New Roman" w:hAnsi="Times New Roman"/>
                <w:sz w:val="20"/>
                <w:szCs w:val="20"/>
              </w:rPr>
            </w:pPr>
          </w:p>
        </w:tc>
        <w:tc>
          <w:tcPr>
            <w:tcW w:w="50" w:type="pct"/>
            <w:shd w:val="clear" w:color="auto" w:fill="auto"/>
            <w:vAlign w:val="center"/>
          </w:tcPr>
          <w:p w14:paraId="4ACE3B31" w14:textId="77777777" w:rsidR="006F587A" w:rsidRDefault="006F587A">
            <w:pPr>
              <w:rPr>
                <w:rFonts w:ascii="Times New Roman" w:hAnsi="Times New Roman"/>
                <w:sz w:val="20"/>
                <w:szCs w:val="20"/>
              </w:rPr>
            </w:pPr>
          </w:p>
        </w:tc>
      </w:tr>
      <w:tr w:rsidR="006F587A" w14:paraId="4ACE3B3A"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3B33"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 xml:space="preserve">Years Ended (In </w:t>
            </w:r>
            <w:r>
              <w:rPr>
                <w:rFonts w:ascii="Arial" w:eastAsia="宋体" w:hAnsi="Arial" w:cs="Arial"/>
                <w:b/>
                <w:bCs/>
                <w:color w:val="333333"/>
                <w:sz w:val="18"/>
                <w:szCs w:val="18"/>
              </w:rPr>
              <w:t>Millions, Except Per Share Amounts)</w:t>
            </w:r>
          </w:p>
        </w:tc>
        <w:tc>
          <w:tcPr>
            <w:tcW w:w="0" w:type="auto"/>
            <w:shd w:val="clear" w:color="auto" w:fill="auto"/>
            <w:tcMar>
              <w:top w:w="40" w:type="dxa"/>
              <w:left w:w="40" w:type="dxa"/>
              <w:bottom w:w="40" w:type="dxa"/>
              <w:right w:w="40" w:type="dxa"/>
            </w:tcMar>
            <w:vAlign w:val="bottom"/>
          </w:tcPr>
          <w:p w14:paraId="4ACE3B3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3B35"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28, </w:t>
            </w:r>
            <w:r>
              <w:rPr>
                <w:rFonts w:ascii="Arial" w:eastAsia="宋体" w:hAnsi="Arial" w:cs="Arial"/>
                <w:b/>
                <w:bCs/>
                <w:color w:val="333333"/>
                <w:sz w:val="18"/>
                <w:szCs w:val="18"/>
              </w:rPr>
              <w:br/>
              <w:t>2019</w:t>
            </w:r>
          </w:p>
        </w:tc>
        <w:tc>
          <w:tcPr>
            <w:tcW w:w="0" w:type="auto"/>
            <w:shd w:val="clear" w:color="auto" w:fill="auto"/>
            <w:tcMar>
              <w:top w:w="40" w:type="dxa"/>
              <w:left w:w="40" w:type="dxa"/>
              <w:bottom w:w="40" w:type="dxa"/>
              <w:right w:w="40" w:type="dxa"/>
            </w:tcMar>
            <w:vAlign w:val="bottom"/>
          </w:tcPr>
          <w:p w14:paraId="4ACE3B3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3B37"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29, </w:t>
            </w:r>
            <w:r>
              <w:rPr>
                <w:rFonts w:ascii="Arial" w:eastAsia="宋体" w:hAnsi="Arial" w:cs="Arial"/>
                <w:b/>
                <w:bCs/>
                <w:color w:val="333333"/>
                <w:sz w:val="18"/>
                <w:szCs w:val="18"/>
              </w:rPr>
              <w:br/>
              <w:t>2018</w:t>
            </w:r>
          </w:p>
        </w:tc>
        <w:tc>
          <w:tcPr>
            <w:tcW w:w="0" w:type="auto"/>
            <w:shd w:val="clear" w:color="auto" w:fill="auto"/>
            <w:tcMar>
              <w:top w:w="40" w:type="dxa"/>
              <w:left w:w="40" w:type="dxa"/>
              <w:bottom w:w="40" w:type="dxa"/>
              <w:right w:w="40" w:type="dxa"/>
            </w:tcMar>
            <w:vAlign w:val="bottom"/>
          </w:tcPr>
          <w:p w14:paraId="4ACE3B3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3B39"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30, </w:t>
            </w:r>
            <w:r>
              <w:rPr>
                <w:rFonts w:ascii="Arial" w:eastAsia="宋体" w:hAnsi="Arial" w:cs="Arial"/>
                <w:b/>
                <w:bCs/>
                <w:color w:val="333333"/>
                <w:sz w:val="18"/>
                <w:szCs w:val="18"/>
              </w:rPr>
              <w:br/>
              <w:t>2017</w:t>
            </w:r>
          </w:p>
        </w:tc>
      </w:tr>
      <w:tr w:rsidR="006F587A" w14:paraId="4ACE3B48" w14:textId="77777777">
        <w:tc>
          <w:tcPr>
            <w:tcW w:w="0" w:type="auto"/>
            <w:shd w:val="clear" w:color="auto" w:fill="auto"/>
            <w:tcMar>
              <w:top w:w="40" w:type="dxa"/>
              <w:left w:w="40" w:type="dxa"/>
              <w:bottom w:w="40" w:type="dxa"/>
              <w:right w:w="40" w:type="dxa"/>
            </w:tcMar>
            <w:vAlign w:val="bottom"/>
          </w:tcPr>
          <w:p w14:paraId="4ACE3B3B"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Net revenue</w:t>
            </w:r>
          </w:p>
        </w:tc>
        <w:tc>
          <w:tcPr>
            <w:tcW w:w="0" w:type="auto"/>
            <w:shd w:val="clear" w:color="auto" w:fill="auto"/>
            <w:tcMar>
              <w:top w:w="40" w:type="dxa"/>
              <w:left w:w="40" w:type="dxa"/>
              <w:bottom w:w="40" w:type="dxa"/>
              <w:right w:w="40" w:type="dxa"/>
            </w:tcMar>
            <w:vAlign w:val="bottom"/>
          </w:tcPr>
          <w:p w14:paraId="4ACE3B3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B3D"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bottom w:w="40" w:type="dxa"/>
            </w:tcMar>
            <w:vAlign w:val="bottom"/>
          </w:tcPr>
          <w:p w14:paraId="4ACE3B3E"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71,965</w:t>
            </w:r>
          </w:p>
        </w:tc>
        <w:tc>
          <w:tcPr>
            <w:tcW w:w="0" w:type="auto"/>
            <w:shd w:val="clear" w:color="auto" w:fill="auto"/>
            <w:vAlign w:val="bottom"/>
          </w:tcPr>
          <w:p w14:paraId="4ACE3B3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B4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B41"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bottom w:w="40" w:type="dxa"/>
            </w:tcMar>
            <w:vAlign w:val="bottom"/>
          </w:tcPr>
          <w:p w14:paraId="4ACE3B42"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70,848</w:t>
            </w:r>
          </w:p>
        </w:tc>
        <w:tc>
          <w:tcPr>
            <w:tcW w:w="0" w:type="auto"/>
            <w:shd w:val="clear" w:color="auto" w:fill="auto"/>
            <w:vAlign w:val="bottom"/>
          </w:tcPr>
          <w:p w14:paraId="4ACE3B4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B4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B45"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bottom w:w="40" w:type="dxa"/>
            </w:tcMar>
            <w:vAlign w:val="bottom"/>
          </w:tcPr>
          <w:p w14:paraId="4ACE3B46"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62,761</w:t>
            </w:r>
          </w:p>
        </w:tc>
        <w:tc>
          <w:tcPr>
            <w:tcW w:w="0" w:type="auto"/>
            <w:shd w:val="clear" w:color="auto" w:fill="auto"/>
            <w:vAlign w:val="bottom"/>
          </w:tcPr>
          <w:p w14:paraId="4ACE3B47" w14:textId="77777777" w:rsidR="006F587A" w:rsidRDefault="006F587A">
            <w:pPr>
              <w:textAlignment w:val="bottom"/>
              <w:rPr>
                <w:rFonts w:ascii="Times New Roman" w:hAnsi="Times New Roman"/>
                <w:sz w:val="20"/>
                <w:szCs w:val="20"/>
              </w:rPr>
            </w:pPr>
          </w:p>
        </w:tc>
      </w:tr>
      <w:tr w:rsidR="006F587A" w14:paraId="4ACE3B53" w14:textId="77777777">
        <w:tc>
          <w:tcPr>
            <w:tcW w:w="0" w:type="auto"/>
            <w:shd w:val="clear" w:color="auto" w:fill="auto"/>
            <w:tcMar>
              <w:top w:w="40" w:type="dxa"/>
              <w:left w:w="40" w:type="dxa"/>
              <w:bottom w:w="40" w:type="dxa"/>
              <w:right w:w="40" w:type="dxa"/>
            </w:tcMar>
            <w:vAlign w:val="bottom"/>
          </w:tcPr>
          <w:p w14:paraId="4ACE3B4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Cost of sales</w:t>
            </w:r>
          </w:p>
        </w:tc>
        <w:tc>
          <w:tcPr>
            <w:tcW w:w="0" w:type="auto"/>
            <w:shd w:val="clear" w:color="auto" w:fill="auto"/>
            <w:tcMar>
              <w:top w:w="40" w:type="dxa"/>
              <w:left w:w="40" w:type="dxa"/>
              <w:bottom w:w="40" w:type="dxa"/>
              <w:right w:w="40" w:type="dxa"/>
            </w:tcMar>
            <w:vAlign w:val="bottom"/>
          </w:tcPr>
          <w:p w14:paraId="4ACE3B4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B4B"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29,825</w:t>
            </w:r>
          </w:p>
        </w:tc>
        <w:tc>
          <w:tcPr>
            <w:tcW w:w="0" w:type="auto"/>
            <w:shd w:val="clear" w:color="auto" w:fill="auto"/>
            <w:vAlign w:val="bottom"/>
          </w:tcPr>
          <w:p w14:paraId="4ACE3B4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B4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B4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27,111</w:t>
            </w:r>
          </w:p>
        </w:tc>
        <w:tc>
          <w:tcPr>
            <w:tcW w:w="0" w:type="auto"/>
            <w:shd w:val="clear" w:color="auto" w:fill="auto"/>
            <w:vAlign w:val="bottom"/>
          </w:tcPr>
          <w:p w14:paraId="4ACE3B4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B5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B51"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23,663</w:t>
            </w:r>
          </w:p>
        </w:tc>
        <w:tc>
          <w:tcPr>
            <w:tcW w:w="0" w:type="auto"/>
            <w:shd w:val="clear" w:color="auto" w:fill="auto"/>
            <w:vAlign w:val="bottom"/>
          </w:tcPr>
          <w:p w14:paraId="4ACE3B52" w14:textId="77777777" w:rsidR="006F587A" w:rsidRDefault="006F587A">
            <w:pPr>
              <w:textAlignment w:val="bottom"/>
              <w:rPr>
                <w:rFonts w:ascii="Times New Roman" w:hAnsi="Times New Roman"/>
                <w:sz w:val="20"/>
                <w:szCs w:val="20"/>
              </w:rPr>
            </w:pPr>
          </w:p>
        </w:tc>
      </w:tr>
      <w:tr w:rsidR="006F587A" w14:paraId="4ACE3B5E" w14:textId="77777777">
        <w:tc>
          <w:tcPr>
            <w:tcW w:w="0" w:type="auto"/>
            <w:shd w:val="clear" w:color="auto" w:fill="auto"/>
            <w:tcMar>
              <w:top w:w="40" w:type="dxa"/>
              <w:left w:w="40" w:type="dxa"/>
              <w:bottom w:w="40" w:type="dxa"/>
              <w:right w:w="40" w:type="dxa"/>
            </w:tcMar>
            <w:vAlign w:val="bottom"/>
          </w:tcPr>
          <w:p w14:paraId="4ACE3B54"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Gross margin</w:t>
            </w:r>
          </w:p>
        </w:tc>
        <w:tc>
          <w:tcPr>
            <w:tcW w:w="0" w:type="auto"/>
            <w:shd w:val="clear" w:color="auto" w:fill="auto"/>
            <w:tcMar>
              <w:top w:w="40" w:type="dxa"/>
              <w:left w:w="40" w:type="dxa"/>
              <w:bottom w:w="40" w:type="dxa"/>
              <w:right w:w="40" w:type="dxa"/>
            </w:tcMar>
            <w:vAlign w:val="bottom"/>
          </w:tcPr>
          <w:p w14:paraId="4ACE3B5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3B56"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42,140</w:t>
            </w:r>
          </w:p>
        </w:tc>
        <w:tc>
          <w:tcPr>
            <w:tcW w:w="0" w:type="auto"/>
            <w:tcBorders>
              <w:top w:val="single" w:sz="8" w:space="0" w:color="333333"/>
              <w:bottom w:val="single" w:sz="8" w:space="0" w:color="333333"/>
            </w:tcBorders>
            <w:shd w:val="clear" w:color="auto" w:fill="auto"/>
            <w:vAlign w:val="bottom"/>
          </w:tcPr>
          <w:p w14:paraId="4ACE3B5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B5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3B59"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43,737</w:t>
            </w:r>
          </w:p>
        </w:tc>
        <w:tc>
          <w:tcPr>
            <w:tcW w:w="0" w:type="auto"/>
            <w:tcBorders>
              <w:top w:val="single" w:sz="8" w:space="0" w:color="333333"/>
              <w:bottom w:val="single" w:sz="8" w:space="0" w:color="333333"/>
            </w:tcBorders>
            <w:shd w:val="clear" w:color="auto" w:fill="auto"/>
            <w:vAlign w:val="bottom"/>
          </w:tcPr>
          <w:p w14:paraId="4ACE3B5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B5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3B5C"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39,098</w:t>
            </w:r>
          </w:p>
        </w:tc>
        <w:tc>
          <w:tcPr>
            <w:tcW w:w="0" w:type="auto"/>
            <w:tcBorders>
              <w:top w:val="single" w:sz="8" w:space="0" w:color="333333"/>
              <w:bottom w:val="single" w:sz="8" w:space="0" w:color="333333"/>
            </w:tcBorders>
            <w:shd w:val="clear" w:color="auto" w:fill="auto"/>
            <w:vAlign w:val="bottom"/>
          </w:tcPr>
          <w:p w14:paraId="4ACE3B5D" w14:textId="77777777" w:rsidR="006F587A" w:rsidRDefault="006F587A">
            <w:pPr>
              <w:textAlignment w:val="bottom"/>
              <w:rPr>
                <w:rFonts w:ascii="Times New Roman" w:hAnsi="Times New Roman"/>
                <w:sz w:val="20"/>
                <w:szCs w:val="20"/>
              </w:rPr>
            </w:pPr>
          </w:p>
        </w:tc>
      </w:tr>
      <w:tr w:rsidR="006F587A" w14:paraId="4ACE3B69" w14:textId="77777777">
        <w:tc>
          <w:tcPr>
            <w:tcW w:w="0" w:type="auto"/>
            <w:shd w:val="clear" w:color="auto" w:fill="auto"/>
            <w:tcMar>
              <w:top w:w="40" w:type="dxa"/>
              <w:left w:w="40" w:type="dxa"/>
              <w:bottom w:w="40" w:type="dxa"/>
              <w:right w:w="40" w:type="dxa"/>
            </w:tcMar>
            <w:vAlign w:val="bottom"/>
          </w:tcPr>
          <w:p w14:paraId="4ACE3B5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Research and </w:t>
            </w:r>
            <w:r>
              <w:rPr>
                <w:rFonts w:ascii="Arial" w:eastAsia="宋体" w:hAnsi="Arial" w:cs="Arial"/>
                <w:color w:val="333333"/>
                <w:sz w:val="18"/>
                <w:szCs w:val="18"/>
              </w:rPr>
              <w:t>development</w:t>
            </w:r>
          </w:p>
        </w:tc>
        <w:tc>
          <w:tcPr>
            <w:tcW w:w="0" w:type="auto"/>
            <w:shd w:val="clear" w:color="auto" w:fill="auto"/>
            <w:tcMar>
              <w:top w:w="40" w:type="dxa"/>
              <w:left w:w="40" w:type="dxa"/>
              <w:bottom w:w="40" w:type="dxa"/>
              <w:right w:w="40" w:type="dxa"/>
            </w:tcMar>
            <w:vAlign w:val="bottom"/>
          </w:tcPr>
          <w:p w14:paraId="4ACE3B6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B61"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13,362</w:t>
            </w:r>
          </w:p>
        </w:tc>
        <w:tc>
          <w:tcPr>
            <w:tcW w:w="0" w:type="auto"/>
            <w:shd w:val="clear" w:color="auto" w:fill="auto"/>
            <w:vAlign w:val="bottom"/>
          </w:tcPr>
          <w:p w14:paraId="4ACE3B6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B6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B6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13,543</w:t>
            </w:r>
          </w:p>
        </w:tc>
        <w:tc>
          <w:tcPr>
            <w:tcW w:w="0" w:type="auto"/>
            <w:shd w:val="clear" w:color="auto" w:fill="auto"/>
            <w:vAlign w:val="bottom"/>
          </w:tcPr>
          <w:p w14:paraId="4ACE3B6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B6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B6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13,035</w:t>
            </w:r>
          </w:p>
        </w:tc>
        <w:tc>
          <w:tcPr>
            <w:tcW w:w="0" w:type="auto"/>
            <w:shd w:val="clear" w:color="auto" w:fill="auto"/>
            <w:vAlign w:val="bottom"/>
          </w:tcPr>
          <w:p w14:paraId="4ACE3B68" w14:textId="77777777" w:rsidR="006F587A" w:rsidRDefault="006F587A">
            <w:pPr>
              <w:textAlignment w:val="bottom"/>
              <w:rPr>
                <w:rFonts w:ascii="Times New Roman" w:hAnsi="Times New Roman"/>
                <w:sz w:val="20"/>
                <w:szCs w:val="20"/>
              </w:rPr>
            </w:pPr>
          </w:p>
        </w:tc>
      </w:tr>
      <w:tr w:rsidR="006F587A" w14:paraId="4ACE3B74" w14:textId="77777777">
        <w:tc>
          <w:tcPr>
            <w:tcW w:w="0" w:type="auto"/>
            <w:shd w:val="clear" w:color="auto" w:fill="auto"/>
            <w:tcMar>
              <w:top w:w="40" w:type="dxa"/>
              <w:left w:w="40" w:type="dxa"/>
              <w:bottom w:w="40" w:type="dxa"/>
              <w:right w:w="40" w:type="dxa"/>
            </w:tcMar>
            <w:vAlign w:val="bottom"/>
          </w:tcPr>
          <w:p w14:paraId="4ACE3B6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Marketing, general and administrative</w:t>
            </w:r>
          </w:p>
        </w:tc>
        <w:tc>
          <w:tcPr>
            <w:tcW w:w="0" w:type="auto"/>
            <w:shd w:val="clear" w:color="auto" w:fill="auto"/>
            <w:tcMar>
              <w:top w:w="40" w:type="dxa"/>
              <w:left w:w="40" w:type="dxa"/>
              <w:bottom w:w="40" w:type="dxa"/>
              <w:right w:w="40" w:type="dxa"/>
            </w:tcMar>
            <w:vAlign w:val="bottom"/>
          </w:tcPr>
          <w:p w14:paraId="4ACE3B6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B6C"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6,150</w:t>
            </w:r>
          </w:p>
        </w:tc>
        <w:tc>
          <w:tcPr>
            <w:tcW w:w="0" w:type="auto"/>
            <w:shd w:val="clear" w:color="auto" w:fill="auto"/>
            <w:vAlign w:val="bottom"/>
          </w:tcPr>
          <w:p w14:paraId="4ACE3B6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B6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B6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6,750</w:t>
            </w:r>
          </w:p>
        </w:tc>
        <w:tc>
          <w:tcPr>
            <w:tcW w:w="0" w:type="auto"/>
            <w:shd w:val="clear" w:color="auto" w:fill="auto"/>
            <w:vAlign w:val="bottom"/>
          </w:tcPr>
          <w:p w14:paraId="4ACE3B7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B7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B7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7,452</w:t>
            </w:r>
          </w:p>
        </w:tc>
        <w:tc>
          <w:tcPr>
            <w:tcW w:w="0" w:type="auto"/>
            <w:shd w:val="clear" w:color="auto" w:fill="auto"/>
            <w:vAlign w:val="bottom"/>
          </w:tcPr>
          <w:p w14:paraId="4ACE3B73" w14:textId="77777777" w:rsidR="006F587A" w:rsidRDefault="006F587A">
            <w:pPr>
              <w:textAlignment w:val="bottom"/>
              <w:rPr>
                <w:rFonts w:ascii="Times New Roman" w:hAnsi="Times New Roman"/>
                <w:sz w:val="20"/>
                <w:szCs w:val="20"/>
              </w:rPr>
            </w:pPr>
          </w:p>
        </w:tc>
      </w:tr>
      <w:tr w:rsidR="006F587A" w14:paraId="4ACE3B7F" w14:textId="77777777">
        <w:tc>
          <w:tcPr>
            <w:tcW w:w="0" w:type="auto"/>
            <w:shd w:val="clear" w:color="auto" w:fill="auto"/>
            <w:tcMar>
              <w:top w:w="40" w:type="dxa"/>
              <w:left w:w="40" w:type="dxa"/>
              <w:bottom w:w="40" w:type="dxa"/>
              <w:right w:w="40" w:type="dxa"/>
            </w:tcMar>
            <w:vAlign w:val="bottom"/>
          </w:tcPr>
          <w:p w14:paraId="4ACE3B7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Restructuring and other charges</w:t>
            </w:r>
          </w:p>
        </w:tc>
        <w:tc>
          <w:tcPr>
            <w:tcW w:w="0" w:type="auto"/>
            <w:shd w:val="clear" w:color="auto" w:fill="auto"/>
            <w:tcMar>
              <w:top w:w="40" w:type="dxa"/>
              <w:left w:w="40" w:type="dxa"/>
              <w:bottom w:w="40" w:type="dxa"/>
              <w:right w:w="40" w:type="dxa"/>
            </w:tcMar>
            <w:vAlign w:val="bottom"/>
          </w:tcPr>
          <w:p w14:paraId="4ACE3B7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B77"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393</w:t>
            </w:r>
          </w:p>
        </w:tc>
        <w:tc>
          <w:tcPr>
            <w:tcW w:w="0" w:type="auto"/>
            <w:shd w:val="clear" w:color="auto" w:fill="auto"/>
            <w:vAlign w:val="bottom"/>
          </w:tcPr>
          <w:p w14:paraId="4ACE3B7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B7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B7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(72</w:t>
            </w:r>
          </w:p>
        </w:tc>
        <w:tc>
          <w:tcPr>
            <w:tcW w:w="0" w:type="auto"/>
            <w:shd w:val="clear" w:color="auto" w:fill="auto"/>
            <w:tcMar>
              <w:top w:w="40" w:type="dxa"/>
              <w:bottom w:w="40" w:type="dxa"/>
              <w:right w:w="40" w:type="dxa"/>
            </w:tcMar>
            <w:vAlign w:val="bottom"/>
          </w:tcPr>
          <w:p w14:paraId="4ACE3B7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3B7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B7D"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384</w:t>
            </w:r>
          </w:p>
        </w:tc>
        <w:tc>
          <w:tcPr>
            <w:tcW w:w="0" w:type="auto"/>
            <w:shd w:val="clear" w:color="auto" w:fill="auto"/>
            <w:vAlign w:val="bottom"/>
          </w:tcPr>
          <w:p w14:paraId="4ACE3B7E" w14:textId="77777777" w:rsidR="006F587A" w:rsidRDefault="006F587A">
            <w:pPr>
              <w:textAlignment w:val="bottom"/>
              <w:rPr>
                <w:rFonts w:ascii="Times New Roman" w:hAnsi="Times New Roman"/>
                <w:sz w:val="20"/>
                <w:szCs w:val="20"/>
              </w:rPr>
            </w:pPr>
          </w:p>
        </w:tc>
      </w:tr>
      <w:tr w:rsidR="006F587A" w14:paraId="4ACE3B8A" w14:textId="77777777">
        <w:tc>
          <w:tcPr>
            <w:tcW w:w="0" w:type="auto"/>
            <w:shd w:val="clear" w:color="auto" w:fill="auto"/>
            <w:tcMar>
              <w:top w:w="40" w:type="dxa"/>
              <w:left w:w="40" w:type="dxa"/>
              <w:bottom w:w="40" w:type="dxa"/>
              <w:right w:w="40" w:type="dxa"/>
            </w:tcMar>
            <w:vAlign w:val="bottom"/>
          </w:tcPr>
          <w:p w14:paraId="4ACE3B8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Amortization of acquisition-related intangibles</w:t>
            </w:r>
          </w:p>
        </w:tc>
        <w:tc>
          <w:tcPr>
            <w:tcW w:w="0" w:type="auto"/>
            <w:shd w:val="clear" w:color="auto" w:fill="auto"/>
            <w:tcMar>
              <w:top w:w="40" w:type="dxa"/>
              <w:left w:w="40" w:type="dxa"/>
              <w:bottom w:w="40" w:type="dxa"/>
              <w:right w:w="40" w:type="dxa"/>
            </w:tcMar>
            <w:vAlign w:val="bottom"/>
          </w:tcPr>
          <w:p w14:paraId="4ACE3B8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B82"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200</w:t>
            </w:r>
          </w:p>
        </w:tc>
        <w:tc>
          <w:tcPr>
            <w:tcW w:w="0" w:type="auto"/>
            <w:shd w:val="clear" w:color="auto" w:fill="auto"/>
            <w:vAlign w:val="bottom"/>
          </w:tcPr>
          <w:p w14:paraId="4ACE3B8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B8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B85"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200</w:t>
            </w:r>
          </w:p>
        </w:tc>
        <w:tc>
          <w:tcPr>
            <w:tcW w:w="0" w:type="auto"/>
            <w:shd w:val="clear" w:color="auto" w:fill="auto"/>
            <w:vAlign w:val="bottom"/>
          </w:tcPr>
          <w:p w14:paraId="4ACE3B8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B8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B8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177</w:t>
            </w:r>
          </w:p>
        </w:tc>
        <w:tc>
          <w:tcPr>
            <w:tcW w:w="0" w:type="auto"/>
            <w:shd w:val="clear" w:color="auto" w:fill="auto"/>
            <w:vAlign w:val="bottom"/>
          </w:tcPr>
          <w:p w14:paraId="4ACE3B89" w14:textId="77777777" w:rsidR="006F587A" w:rsidRDefault="006F587A">
            <w:pPr>
              <w:textAlignment w:val="bottom"/>
              <w:rPr>
                <w:rFonts w:ascii="Times New Roman" w:hAnsi="Times New Roman"/>
                <w:sz w:val="20"/>
                <w:szCs w:val="20"/>
              </w:rPr>
            </w:pPr>
          </w:p>
        </w:tc>
      </w:tr>
      <w:tr w:rsidR="006F587A" w14:paraId="4ACE3B95" w14:textId="77777777">
        <w:tc>
          <w:tcPr>
            <w:tcW w:w="0" w:type="auto"/>
            <w:shd w:val="clear" w:color="auto" w:fill="auto"/>
            <w:tcMar>
              <w:top w:w="40" w:type="dxa"/>
              <w:left w:w="40" w:type="dxa"/>
              <w:bottom w:w="40" w:type="dxa"/>
              <w:right w:w="40" w:type="dxa"/>
            </w:tcMar>
            <w:vAlign w:val="bottom"/>
          </w:tcPr>
          <w:p w14:paraId="4ACE3B8B"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 xml:space="preserve">Operating </w:t>
            </w:r>
            <w:r>
              <w:rPr>
                <w:rFonts w:ascii="Arial" w:eastAsia="宋体" w:hAnsi="Arial" w:cs="Arial"/>
                <w:b/>
                <w:bCs/>
                <w:color w:val="333333"/>
                <w:sz w:val="18"/>
                <w:szCs w:val="18"/>
              </w:rPr>
              <w:t>expenses</w:t>
            </w:r>
          </w:p>
        </w:tc>
        <w:tc>
          <w:tcPr>
            <w:tcW w:w="0" w:type="auto"/>
            <w:shd w:val="clear" w:color="auto" w:fill="auto"/>
            <w:tcMar>
              <w:top w:w="40" w:type="dxa"/>
              <w:left w:w="40" w:type="dxa"/>
              <w:bottom w:w="40" w:type="dxa"/>
              <w:right w:w="40" w:type="dxa"/>
            </w:tcMar>
            <w:vAlign w:val="bottom"/>
          </w:tcPr>
          <w:p w14:paraId="4ACE3B8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3B8D"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20,105</w:t>
            </w:r>
          </w:p>
        </w:tc>
        <w:tc>
          <w:tcPr>
            <w:tcW w:w="0" w:type="auto"/>
            <w:tcBorders>
              <w:top w:val="single" w:sz="8" w:space="0" w:color="333333"/>
              <w:bottom w:val="single" w:sz="8" w:space="0" w:color="333333"/>
            </w:tcBorders>
            <w:shd w:val="clear" w:color="auto" w:fill="auto"/>
            <w:vAlign w:val="bottom"/>
          </w:tcPr>
          <w:p w14:paraId="4ACE3B8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B8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3B90"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20,421</w:t>
            </w:r>
          </w:p>
        </w:tc>
        <w:tc>
          <w:tcPr>
            <w:tcW w:w="0" w:type="auto"/>
            <w:tcBorders>
              <w:top w:val="single" w:sz="8" w:space="0" w:color="333333"/>
              <w:bottom w:val="single" w:sz="8" w:space="0" w:color="333333"/>
            </w:tcBorders>
            <w:shd w:val="clear" w:color="auto" w:fill="auto"/>
            <w:vAlign w:val="bottom"/>
          </w:tcPr>
          <w:p w14:paraId="4ACE3B9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B9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3B93"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21,048</w:t>
            </w:r>
          </w:p>
        </w:tc>
        <w:tc>
          <w:tcPr>
            <w:tcW w:w="0" w:type="auto"/>
            <w:tcBorders>
              <w:top w:val="single" w:sz="8" w:space="0" w:color="333333"/>
              <w:bottom w:val="single" w:sz="8" w:space="0" w:color="333333"/>
            </w:tcBorders>
            <w:shd w:val="clear" w:color="auto" w:fill="auto"/>
            <w:vAlign w:val="bottom"/>
          </w:tcPr>
          <w:p w14:paraId="4ACE3B94" w14:textId="77777777" w:rsidR="006F587A" w:rsidRDefault="006F587A">
            <w:pPr>
              <w:textAlignment w:val="bottom"/>
              <w:rPr>
                <w:rFonts w:ascii="Times New Roman" w:hAnsi="Times New Roman"/>
                <w:sz w:val="20"/>
                <w:szCs w:val="20"/>
              </w:rPr>
            </w:pPr>
          </w:p>
        </w:tc>
      </w:tr>
      <w:tr w:rsidR="006F587A" w14:paraId="4ACE3BA0" w14:textId="77777777">
        <w:tc>
          <w:tcPr>
            <w:tcW w:w="0" w:type="auto"/>
            <w:shd w:val="clear" w:color="auto" w:fill="auto"/>
            <w:tcMar>
              <w:top w:w="40" w:type="dxa"/>
              <w:left w:w="40" w:type="dxa"/>
              <w:bottom w:w="40" w:type="dxa"/>
              <w:right w:w="40" w:type="dxa"/>
            </w:tcMar>
            <w:vAlign w:val="bottom"/>
          </w:tcPr>
          <w:p w14:paraId="4ACE3B96"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Operating income</w:t>
            </w:r>
          </w:p>
        </w:tc>
        <w:tc>
          <w:tcPr>
            <w:tcW w:w="0" w:type="auto"/>
            <w:shd w:val="clear" w:color="auto" w:fill="auto"/>
            <w:tcMar>
              <w:top w:w="40" w:type="dxa"/>
              <w:left w:w="40" w:type="dxa"/>
              <w:bottom w:w="40" w:type="dxa"/>
              <w:right w:w="40" w:type="dxa"/>
            </w:tcMar>
            <w:vAlign w:val="bottom"/>
          </w:tcPr>
          <w:p w14:paraId="4ACE3B9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B98"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22,035</w:t>
            </w:r>
          </w:p>
        </w:tc>
        <w:tc>
          <w:tcPr>
            <w:tcW w:w="0" w:type="auto"/>
            <w:shd w:val="clear" w:color="auto" w:fill="auto"/>
            <w:vAlign w:val="bottom"/>
          </w:tcPr>
          <w:p w14:paraId="4ACE3B9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B9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B9B"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23,316</w:t>
            </w:r>
          </w:p>
        </w:tc>
        <w:tc>
          <w:tcPr>
            <w:tcW w:w="0" w:type="auto"/>
            <w:shd w:val="clear" w:color="auto" w:fill="auto"/>
            <w:vAlign w:val="bottom"/>
          </w:tcPr>
          <w:p w14:paraId="4ACE3B9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B9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B9E"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18,050</w:t>
            </w:r>
          </w:p>
        </w:tc>
        <w:tc>
          <w:tcPr>
            <w:tcW w:w="0" w:type="auto"/>
            <w:shd w:val="clear" w:color="auto" w:fill="auto"/>
            <w:vAlign w:val="bottom"/>
          </w:tcPr>
          <w:p w14:paraId="4ACE3B9F" w14:textId="77777777" w:rsidR="006F587A" w:rsidRDefault="006F587A">
            <w:pPr>
              <w:textAlignment w:val="bottom"/>
              <w:rPr>
                <w:rFonts w:ascii="Times New Roman" w:hAnsi="Times New Roman"/>
                <w:sz w:val="20"/>
                <w:szCs w:val="20"/>
              </w:rPr>
            </w:pPr>
          </w:p>
        </w:tc>
      </w:tr>
      <w:tr w:rsidR="006F587A" w14:paraId="4ACE3BAB" w14:textId="77777777">
        <w:tc>
          <w:tcPr>
            <w:tcW w:w="0" w:type="auto"/>
            <w:shd w:val="clear" w:color="auto" w:fill="auto"/>
            <w:tcMar>
              <w:top w:w="40" w:type="dxa"/>
              <w:left w:w="40" w:type="dxa"/>
              <w:bottom w:w="40" w:type="dxa"/>
              <w:right w:w="40" w:type="dxa"/>
            </w:tcMar>
            <w:vAlign w:val="bottom"/>
          </w:tcPr>
          <w:p w14:paraId="4ACE3BA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Gains (losses) on equity investments, net</w:t>
            </w:r>
          </w:p>
        </w:tc>
        <w:tc>
          <w:tcPr>
            <w:tcW w:w="0" w:type="auto"/>
            <w:shd w:val="clear" w:color="auto" w:fill="auto"/>
            <w:tcMar>
              <w:top w:w="40" w:type="dxa"/>
              <w:left w:w="40" w:type="dxa"/>
              <w:bottom w:w="40" w:type="dxa"/>
              <w:right w:w="40" w:type="dxa"/>
            </w:tcMar>
            <w:vAlign w:val="bottom"/>
          </w:tcPr>
          <w:p w14:paraId="4ACE3BA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BA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1,539</w:t>
            </w:r>
          </w:p>
        </w:tc>
        <w:tc>
          <w:tcPr>
            <w:tcW w:w="0" w:type="auto"/>
            <w:shd w:val="clear" w:color="auto" w:fill="auto"/>
            <w:vAlign w:val="bottom"/>
          </w:tcPr>
          <w:p w14:paraId="4ACE3BA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BA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BA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(125</w:t>
            </w:r>
          </w:p>
        </w:tc>
        <w:tc>
          <w:tcPr>
            <w:tcW w:w="0" w:type="auto"/>
            <w:shd w:val="clear" w:color="auto" w:fill="auto"/>
            <w:tcMar>
              <w:top w:w="40" w:type="dxa"/>
              <w:bottom w:w="40" w:type="dxa"/>
              <w:right w:w="40" w:type="dxa"/>
            </w:tcMar>
            <w:vAlign w:val="bottom"/>
          </w:tcPr>
          <w:p w14:paraId="4ACE3BA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3BA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BA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2,651</w:t>
            </w:r>
          </w:p>
        </w:tc>
        <w:tc>
          <w:tcPr>
            <w:tcW w:w="0" w:type="auto"/>
            <w:shd w:val="clear" w:color="auto" w:fill="auto"/>
            <w:vAlign w:val="bottom"/>
          </w:tcPr>
          <w:p w14:paraId="4ACE3BAA" w14:textId="77777777" w:rsidR="006F587A" w:rsidRDefault="006F587A">
            <w:pPr>
              <w:textAlignment w:val="bottom"/>
              <w:rPr>
                <w:rFonts w:ascii="Times New Roman" w:hAnsi="Times New Roman"/>
                <w:sz w:val="20"/>
                <w:szCs w:val="20"/>
              </w:rPr>
            </w:pPr>
          </w:p>
        </w:tc>
      </w:tr>
      <w:tr w:rsidR="006F587A" w14:paraId="4ACE3BB6" w14:textId="77777777">
        <w:tc>
          <w:tcPr>
            <w:tcW w:w="0" w:type="auto"/>
            <w:shd w:val="clear" w:color="auto" w:fill="auto"/>
            <w:tcMar>
              <w:top w:w="40" w:type="dxa"/>
              <w:left w:w="40" w:type="dxa"/>
              <w:bottom w:w="40" w:type="dxa"/>
              <w:right w:w="40" w:type="dxa"/>
            </w:tcMar>
            <w:vAlign w:val="bottom"/>
          </w:tcPr>
          <w:p w14:paraId="4ACE3BA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Interest and other, net</w:t>
            </w:r>
          </w:p>
        </w:tc>
        <w:tc>
          <w:tcPr>
            <w:tcW w:w="0" w:type="auto"/>
            <w:shd w:val="clear" w:color="auto" w:fill="auto"/>
            <w:tcMar>
              <w:top w:w="40" w:type="dxa"/>
              <w:left w:w="40" w:type="dxa"/>
              <w:bottom w:w="40" w:type="dxa"/>
              <w:right w:w="40" w:type="dxa"/>
            </w:tcMar>
            <w:vAlign w:val="bottom"/>
          </w:tcPr>
          <w:p w14:paraId="4ACE3BA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3BAE"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484</w:t>
            </w:r>
          </w:p>
        </w:tc>
        <w:tc>
          <w:tcPr>
            <w:tcW w:w="0" w:type="auto"/>
            <w:tcBorders>
              <w:bottom w:val="single" w:sz="8" w:space="0" w:color="333333"/>
            </w:tcBorders>
            <w:shd w:val="clear" w:color="auto" w:fill="auto"/>
            <w:vAlign w:val="bottom"/>
          </w:tcPr>
          <w:p w14:paraId="4ACE3BA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BB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3BB1"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126</w:t>
            </w:r>
          </w:p>
        </w:tc>
        <w:tc>
          <w:tcPr>
            <w:tcW w:w="0" w:type="auto"/>
            <w:tcBorders>
              <w:bottom w:val="single" w:sz="8" w:space="0" w:color="333333"/>
            </w:tcBorders>
            <w:shd w:val="clear" w:color="auto" w:fill="auto"/>
            <w:vAlign w:val="bottom"/>
          </w:tcPr>
          <w:p w14:paraId="4ACE3BB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BB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3BB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(349</w:t>
            </w:r>
          </w:p>
        </w:tc>
        <w:tc>
          <w:tcPr>
            <w:tcW w:w="0" w:type="auto"/>
            <w:tcBorders>
              <w:bottom w:val="single" w:sz="8" w:space="0" w:color="333333"/>
            </w:tcBorders>
            <w:shd w:val="clear" w:color="auto" w:fill="auto"/>
            <w:tcMar>
              <w:top w:w="40" w:type="dxa"/>
              <w:bottom w:w="40" w:type="dxa"/>
              <w:right w:w="40" w:type="dxa"/>
            </w:tcMar>
            <w:vAlign w:val="bottom"/>
          </w:tcPr>
          <w:p w14:paraId="4ACE3BB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3BC1" w14:textId="77777777">
        <w:tc>
          <w:tcPr>
            <w:tcW w:w="0" w:type="auto"/>
            <w:shd w:val="clear" w:color="auto" w:fill="auto"/>
            <w:tcMar>
              <w:top w:w="40" w:type="dxa"/>
              <w:left w:w="40" w:type="dxa"/>
              <w:bottom w:w="40" w:type="dxa"/>
              <w:right w:w="40" w:type="dxa"/>
            </w:tcMar>
            <w:vAlign w:val="bottom"/>
          </w:tcPr>
          <w:p w14:paraId="4ACE3BB7"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Income before taxes</w:t>
            </w:r>
          </w:p>
        </w:tc>
        <w:tc>
          <w:tcPr>
            <w:tcW w:w="0" w:type="auto"/>
            <w:shd w:val="clear" w:color="auto" w:fill="auto"/>
            <w:tcMar>
              <w:top w:w="40" w:type="dxa"/>
              <w:left w:w="40" w:type="dxa"/>
              <w:bottom w:w="40" w:type="dxa"/>
              <w:right w:w="40" w:type="dxa"/>
            </w:tcMar>
            <w:vAlign w:val="bottom"/>
          </w:tcPr>
          <w:p w14:paraId="4ACE3BB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BB9"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24,058</w:t>
            </w:r>
          </w:p>
        </w:tc>
        <w:tc>
          <w:tcPr>
            <w:tcW w:w="0" w:type="auto"/>
            <w:shd w:val="clear" w:color="auto" w:fill="auto"/>
            <w:vAlign w:val="bottom"/>
          </w:tcPr>
          <w:p w14:paraId="4ACE3BB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BB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BBC"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23,317</w:t>
            </w:r>
          </w:p>
        </w:tc>
        <w:tc>
          <w:tcPr>
            <w:tcW w:w="0" w:type="auto"/>
            <w:shd w:val="clear" w:color="auto" w:fill="auto"/>
            <w:vAlign w:val="bottom"/>
          </w:tcPr>
          <w:p w14:paraId="4ACE3BB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BB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BBF"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20,352</w:t>
            </w:r>
          </w:p>
        </w:tc>
        <w:tc>
          <w:tcPr>
            <w:tcW w:w="0" w:type="auto"/>
            <w:shd w:val="clear" w:color="auto" w:fill="auto"/>
            <w:vAlign w:val="bottom"/>
          </w:tcPr>
          <w:p w14:paraId="4ACE3BC0" w14:textId="77777777" w:rsidR="006F587A" w:rsidRDefault="006F587A">
            <w:pPr>
              <w:textAlignment w:val="bottom"/>
              <w:rPr>
                <w:rFonts w:ascii="Times New Roman" w:hAnsi="Times New Roman"/>
                <w:sz w:val="20"/>
                <w:szCs w:val="20"/>
              </w:rPr>
            </w:pPr>
          </w:p>
        </w:tc>
      </w:tr>
      <w:tr w:rsidR="006F587A" w14:paraId="4ACE3BCC" w14:textId="77777777">
        <w:tc>
          <w:tcPr>
            <w:tcW w:w="0" w:type="auto"/>
            <w:shd w:val="clear" w:color="auto" w:fill="auto"/>
            <w:tcMar>
              <w:top w:w="40" w:type="dxa"/>
              <w:left w:w="40" w:type="dxa"/>
              <w:bottom w:w="40" w:type="dxa"/>
              <w:right w:w="40" w:type="dxa"/>
            </w:tcMar>
            <w:vAlign w:val="bottom"/>
          </w:tcPr>
          <w:p w14:paraId="4ACE3BC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Provision for taxes</w:t>
            </w:r>
          </w:p>
        </w:tc>
        <w:tc>
          <w:tcPr>
            <w:tcW w:w="0" w:type="auto"/>
            <w:shd w:val="clear" w:color="auto" w:fill="auto"/>
            <w:tcMar>
              <w:top w:w="40" w:type="dxa"/>
              <w:left w:w="40" w:type="dxa"/>
              <w:bottom w:w="40" w:type="dxa"/>
              <w:right w:w="40" w:type="dxa"/>
            </w:tcMar>
            <w:vAlign w:val="bottom"/>
          </w:tcPr>
          <w:p w14:paraId="4ACE3BC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BC4"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3,010</w:t>
            </w:r>
          </w:p>
        </w:tc>
        <w:tc>
          <w:tcPr>
            <w:tcW w:w="0" w:type="auto"/>
            <w:shd w:val="clear" w:color="auto" w:fill="auto"/>
            <w:vAlign w:val="bottom"/>
          </w:tcPr>
          <w:p w14:paraId="4ACE3BC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BC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BC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2,264</w:t>
            </w:r>
          </w:p>
        </w:tc>
        <w:tc>
          <w:tcPr>
            <w:tcW w:w="0" w:type="auto"/>
            <w:shd w:val="clear" w:color="auto" w:fill="auto"/>
            <w:vAlign w:val="bottom"/>
          </w:tcPr>
          <w:p w14:paraId="4ACE3BC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BC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BC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10,751</w:t>
            </w:r>
          </w:p>
        </w:tc>
        <w:tc>
          <w:tcPr>
            <w:tcW w:w="0" w:type="auto"/>
            <w:shd w:val="clear" w:color="auto" w:fill="auto"/>
            <w:vAlign w:val="bottom"/>
          </w:tcPr>
          <w:p w14:paraId="4ACE3BCB" w14:textId="77777777" w:rsidR="006F587A" w:rsidRDefault="006F587A">
            <w:pPr>
              <w:textAlignment w:val="bottom"/>
              <w:rPr>
                <w:rFonts w:ascii="Times New Roman" w:hAnsi="Times New Roman"/>
                <w:sz w:val="20"/>
                <w:szCs w:val="20"/>
              </w:rPr>
            </w:pPr>
          </w:p>
        </w:tc>
      </w:tr>
      <w:tr w:rsidR="006F587A" w14:paraId="4ACE3BDA" w14:textId="77777777">
        <w:tc>
          <w:tcPr>
            <w:tcW w:w="0" w:type="auto"/>
            <w:shd w:val="clear" w:color="auto" w:fill="auto"/>
            <w:tcMar>
              <w:top w:w="40" w:type="dxa"/>
              <w:left w:w="40" w:type="dxa"/>
              <w:bottom w:w="40" w:type="dxa"/>
              <w:right w:w="40" w:type="dxa"/>
            </w:tcMar>
            <w:vAlign w:val="bottom"/>
          </w:tcPr>
          <w:p w14:paraId="4ACE3BCD"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Net income</w:t>
            </w:r>
          </w:p>
        </w:tc>
        <w:tc>
          <w:tcPr>
            <w:tcW w:w="0" w:type="auto"/>
            <w:shd w:val="clear" w:color="auto" w:fill="auto"/>
            <w:tcMar>
              <w:top w:w="40" w:type="dxa"/>
              <w:left w:w="40" w:type="dxa"/>
              <w:bottom w:w="40" w:type="dxa"/>
              <w:right w:w="40" w:type="dxa"/>
            </w:tcMar>
            <w:vAlign w:val="bottom"/>
          </w:tcPr>
          <w:p w14:paraId="4ACE3BC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3BCF"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3BD0"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21,048</w:t>
            </w:r>
          </w:p>
        </w:tc>
        <w:tc>
          <w:tcPr>
            <w:tcW w:w="0" w:type="auto"/>
            <w:tcBorders>
              <w:top w:val="single" w:sz="8" w:space="0" w:color="333333"/>
              <w:bottom w:val="double" w:sz="6" w:space="0" w:color="333333"/>
            </w:tcBorders>
            <w:shd w:val="clear" w:color="auto" w:fill="auto"/>
            <w:vAlign w:val="bottom"/>
          </w:tcPr>
          <w:p w14:paraId="4ACE3BD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BD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3BD3"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3BD4"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21,053</w:t>
            </w:r>
          </w:p>
        </w:tc>
        <w:tc>
          <w:tcPr>
            <w:tcW w:w="0" w:type="auto"/>
            <w:tcBorders>
              <w:top w:val="single" w:sz="8" w:space="0" w:color="333333"/>
              <w:bottom w:val="double" w:sz="6" w:space="0" w:color="333333"/>
            </w:tcBorders>
            <w:shd w:val="clear" w:color="auto" w:fill="auto"/>
            <w:vAlign w:val="bottom"/>
          </w:tcPr>
          <w:p w14:paraId="4ACE3BD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BD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3BD7"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3BD8"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9,601</w:t>
            </w:r>
          </w:p>
        </w:tc>
        <w:tc>
          <w:tcPr>
            <w:tcW w:w="0" w:type="auto"/>
            <w:tcBorders>
              <w:top w:val="single" w:sz="8" w:space="0" w:color="333333"/>
              <w:bottom w:val="double" w:sz="6" w:space="0" w:color="333333"/>
            </w:tcBorders>
            <w:shd w:val="clear" w:color="auto" w:fill="auto"/>
            <w:vAlign w:val="bottom"/>
          </w:tcPr>
          <w:p w14:paraId="4ACE3BD9" w14:textId="77777777" w:rsidR="006F587A" w:rsidRDefault="006F587A">
            <w:pPr>
              <w:textAlignment w:val="bottom"/>
              <w:rPr>
                <w:rFonts w:ascii="Times New Roman" w:hAnsi="Times New Roman"/>
                <w:sz w:val="20"/>
                <w:szCs w:val="20"/>
              </w:rPr>
            </w:pPr>
          </w:p>
        </w:tc>
      </w:tr>
      <w:tr w:rsidR="006F587A" w14:paraId="4ACE3BE8" w14:textId="77777777">
        <w:tc>
          <w:tcPr>
            <w:tcW w:w="0" w:type="auto"/>
            <w:shd w:val="clear" w:color="auto" w:fill="auto"/>
            <w:tcMar>
              <w:top w:w="40" w:type="dxa"/>
              <w:left w:w="40" w:type="dxa"/>
              <w:bottom w:w="40" w:type="dxa"/>
              <w:right w:w="40" w:type="dxa"/>
            </w:tcMar>
            <w:vAlign w:val="bottom"/>
          </w:tcPr>
          <w:p w14:paraId="4ACE3BDB"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Earnings per share—Basic</w:t>
            </w:r>
          </w:p>
        </w:tc>
        <w:tc>
          <w:tcPr>
            <w:tcW w:w="0" w:type="auto"/>
            <w:shd w:val="clear" w:color="auto" w:fill="auto"/>
            <w:tcMar>
              <w:top w:w="40" w:type="dxa"/>
              <w:left w:w="40" w:type="dxa"/>
              <w:bottom w:w="40" w:type="dxa"/>
              <w:right w:w="40" w:type="dxa"/>
            </w:tcMar>
            <w:vAlign w:val="bottom"/>
          </w:tcPr>
          <w:p w14:paraId="4ACE3BD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BDD"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bottom w:w="40" w:type="dxa"/>
            </w:tcMar>
            <w:vAlign w:val="bottom"/>
          </w:tcPr>
          <w:p w14:paraId="4ACE3BDE"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4.77</w:t>
            </w:r>
          </w:p>
        </w:tc>
        <w:tc>
          <w:tcPr>
            <w:tcW w:w="0" w:type="auto"/>
            <w:shd w:val="clear" w:color="auto" w:fill="auto"/>
            <w:vAlign w:val="bottom"/>
          </w:tcPr>
          <w:p w14:paraId="4ACE3BD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BE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BE1"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bottom w:w="40" w:type="dxa"/>
            </w:tcMar>
            <w:vAlign w:val="bottom"/>
          </w:tcPr>
          <w:p w14:paraId="4ACE3BE2"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4.57</w:t>
            </w:r>
          </w:p>
        </w:tc>
        <w:tc>
          <w:tcPr>
            <w:tcW w:w="0" w:type="auto"/>
            <w:shd w:val="clear" w:color="auto" w:fill="auto"/>
            <w:vAlign w:val="bottom"/>
          </w:tcPr>
          <w:p w14:paraId="4ACE3BE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BE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BE5"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bottom w:w="40" w:type="dxa"/>
            </w:tcMar>
            <w:vAlign w:val="bottom"/>
          </w:tcPr>
          <w:p w14:paraId="4ACE3BE6"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2.04</w:t>
            </w:r>
          </w:p>
        </w:tc>
        <w:tc>
          <w:tcPr>
            <w:tcW w:w="0" w:type="auto"/>
            <w:shd w:val="clear" w:color="auto" w:fill="auto"/>
            <w:vAlign w:val="bottom"/>
          </w:tcPr>
          <w:p w14:paraId="4ACE3BE7" w14:textId="77777777" w:rsidR="006F587A" w:rsidRDefault="006F587A">
            <w:pPr>
              <w:textAlignment w:val="bottom"/>
              <w:rPr>
                <w:rFonts w:ascii="Times New Roman" w:hAnsi="Times New Roman"/>
                <w:sz w:val="20"/>
                <w:szCs w:val="20"/>
              </w:rPr>
            </w:pPr>
          </w:p>
        </w:tc>
      </w:tr>
      <w:tr w:rsidR="006F587A" w14:paraId="4ACE3BF6" w14:textId="77777777">
        <w:tc>
          <w:tcPr>
            <w:tcW w:w="0" w:type="auto"/>
            <w:shd w:val="clear" w:color="auto" w:fill="auto"/>
            <w:tcMar>
              <w:top w:w="40" w:type="dxa"/>
              <w:left w:w="40" w:type="dxa"/>
              <w:bottom w:w="40" w:type="dxa"/>
              <w:right w:w="40" w:type="dxa"/>
            </w:tcMar>
            <w:vAlign w:val="bottom"/>
          </w:tcPr>
          <w:p w14:paraId="4ACE3BE9"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Earnings per share—Diluted</w:t>
            </w:r>
          </w:p>
        </w:tc>
        <w:tc>
          <w:tcPr>
            <w:tcW w:w="0" w:type="auto"/>
            <w:shd w:val="clear" w:color="auto" w:fill="auto"/>
            <w:tcMar>
              <w:top w:w="40" w:type="dxa"/>
              <w:left w:w="40" w:type="dxa"/>
              <w:bottom w:w="40" w:type="dxa"/>
              <w:right w:w="40" w:type="dxa"/>
            </w:tcMar>
            <w:vAlign w:val="bottom"/>
          </w:tcPr>
          <w:p w14:paraId="4ACE3BE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333333"/>
              <w:bottom w:val="double" w:sz="6" w:space="0" w:color="333333"/>
            </w:tcBorders>
            <w:shd w:val="clear" w:color="auto" w:fill="auto"/>
            <w:tcMar>
              <w:top w:w="40" w:type="dxa"/>
              <w:left w:w="40" w:type="dxa"/>
              <w:bottom w:w="40" w:type="dxa"/>
            </w:tcMar>
            <w:vAlign w:val="bottom"/>
          </w:tcPr>
          <w:p w14:paraId="4ACE3BEB"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double" w:sz="6" w:space="0" w:color="333333"/>
              <w:bottom w:val="double" w:sz="6" w:space="0" w:color="333333"/>
            </w:tcBorders>
            <w:shd w:val="clear" w:color="auto" w:fill="auto"/>
            <w:tcMar>
              <w:top w:w="40" w:type="dxa"/>
              <w:bottom w:w="40" w:type="dxa"/>
            </w:tcMar>
            <w:vAlign w:val="bottom"/>
          </w:tcPr>
          <w:p w14:paraId="4ACE3BEC"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4.71</w:t>
            </w:r>
          </w:p>
        </w:tc>
        <w:tc>
          <w:tcPr>
            <w:tcW w:w="0" w:type="auto"/>
            <w:tcBorders>
              <w:top w:val="double" w:sz="6" w:space="0" w:color="333333"/>
              <w:bottom w:val="double" w:sz="6" w:space="0" w:color="333333"/>
            </w:tcBorders>
            <w:shd w:val="clear" w:color="auto" w:fill="auto"/>
            <w:vAlign w:val="bottom"/>
          </w:tcPr>
          <w:p w14:paraId="4ACE3BE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BE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333333"/>
              <w:bottom w:val="double" w:sz="6" w:space="0" w:color="333333"/>
            </w:tcBorders>
            <w:shd w:val="clear" w:color="auto" w:fill="auto"/>
            <w:tcMar>
              <w:top w:w="40" w:type="dxa"/>
              <w:left w:w="40" w:type="dxa"/>
              <w:bottom w:w="40" w:type="dxa"/>
            </w:tcMar>
            <w:vAlign w:val="bottom"/>
          </w:tcPr>
          <w:p w14:paraId="4ACE3BEF"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double" w:sz="6" w:space="0" w:color="333333"/>
              <w:bottom w:val="double" w:sz="6" w:space="0" w:color="333333"/>
            </w:tcBorders>
            <w:shd w:val="clear" w:color="auto" w:fill="auto"/>
            <w:tcMar>
              <w:top w:w="40" w:type="dxa"/>
              <w:bottom w:w="40" w:type="dxa"/>
            </w:tcMar>
            <w:vAlign w:val="bottom"/>
          </w:tcPr>
          <w:p w14:paraId="4ACE3BF0"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4.48</w:t>
            </w:r>
          </w:p>
        </w:tc>
        <w:tc>
          <w:tcPr>
            <w:tcW w:w="0" w:type="auto"/>
            <w:tcBorders>
              <w:top w:val="double" w:sz="6" w:space="0" w:color="333333"/>
              <w:bottom w:val="double" w:sz="6" w:space="0" w:color="333333"/>
            </w:tcBorders>
            <w:shd w:val="clear" w:color="auto" w:fill="auto"/>
            <w:vAlign w:val="bottom"/>
          </w:tcPr>
          <w:p w14:paraId="4ACE3BF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BF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333333"/>
              <w:bottom w:val="double" w:sz="6" w:space="0" w:color="333333"/>
            </w:tcBorders>
            <w:shd w:val="clear" w:color="auto" w:fill="auto"/>
            <w:tcMar>
              <w:top w:w="40" w:type="dxa"/>
              <w:left w:w="40" w:type="dxa"/>
              <w:bottom w:w="40" w:type="dxa"/>
            </w:tcMar>
            <w:vAlign w:val="bottom"/>
          </w:tcPr>
          <w:p w14:paraId="4ACE3BF3"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double" w:sz="6" w:space="0" w:color="333333"/>
              <w:bottom w:val="double" w:sz="6" w:space="0" w:color="333333"/>
            </w:tcBorders>
            <w:shd w:val="clear" w:color="auto" w:fill="auto"/>
            <w:tcMar>
              <w:top w:w="40" w:type="dxa"/>
              <w:bottom w:w="40" w:type="dxa"/>
            </w:tcMar>
            <w:vAlign w:val="bottom"/>
          </w:tcPr>
          <w:p w14:paraId="4ACE3BF4"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1.99</w:t>
            </w:r>
          </w:p>
        </w:tc>
        <w:tc>
          <w:tcPr>
            <w:tcW w:w="0" w:type="auto"/>
            <w:tcBorders>
              <w:top w:val="double" w:sz="6" w:space="0" w:color="333333"/>
              <w:bottom w:val="double" w:sz="6" w:space="0" w:color="333333"/>
            </w:tcBorders>
            <w:shd w:val="clear" w:color="auto" w:fill="auto"/>
            <w:vAlign w:val="bottom"/>
          </w:tcPr>
          <w:p w14:paraId="4ACE3BF5" w14:textId="77777777" w:rsidR="006F587A" w:rsidRDefault="006F587A">
            <w:pPr>
              <w:textAlignment w:val="bottom"/>
              <w:rPr>
                <w:rFonts w:ascii="Times New Roman" w:hAnsi="Times New Roman"/>
                <w:sz w:val="20"/>
                <w:szCs w:val="20"/>
              </w:rPr>
            </w:pPr>
          </w:p>
        </w:tc>
      </w:tr>
      <w:tr w:rsidR="006F587A" w14:paraId="4ACE3BFE" w14:textId="77777777">
        <w:tc>
          <w:tcPr>
            <w:tcW w:w="0" w:type="auto"/>
            <w:shd w:val="clear" w:color="auto" w:fill="auto"/>
            <w:tcMar>
              <w:top w:w="40" w:type="dxa"/>
              <w:left w:w="40" w:type="dxa"/>
              <w:bottom w:w="40" w:type="dxa"/>
              <w:right w:w="40" w:type="dxa"/>
            </w:tcMar>
            <w:vAlign w:val="bottom"/>
          </w:tcPr>
          <w:p w14:paraId="4ACE3BF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Weighted average shares of </w:t>
            </w:r>
            <w:r>
              <w:rPr>
                <w:rFonts w:ascii="Arial" w:eastAsia="宋体" w:hAnsi="Arial" w:cs="Arial"/>
                <w:color w:val="333333"/>
                <w:sz w:val="18"/>
                <w:szCs w:val="18"/>
              </w:rPr>
              <w:t>common stock outstanding:</w:t>
            </w:r>
          </w:p>
        </w:tc>
        <w:tc>
          <w:tcPr>
            <w:tcW w:w="0" w:type="auto"/>
            <w:shd w:val="clear" w:color="auto" w:fill="auto"/>
            <w:tcMar>
              <w:top w:w="40" w:type="dxa"/>
              <w:left w:w="40" w:type="dxa"/>
              <w:bottom w:w="40" w:type="dxa"/>
              <w:right w:w="40" w:type="dxa"/>
            </w:tcMar>
            <w:vAlign w:val="bottom"/>
          </w:tcPr>
          <w:p w14:paraId="4ACE3BF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BF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BF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BF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BF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BF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3C09" w14:textId="77777777">
        <w:tc>
          <w:tcPr>
            <w:tcW w:w="0" w:type="auto"/>
            <w:shd w:val="clear" w:color="auto" w:fill="auto"/>
            <w:tcMar>
              <w:top w:w="40" w:type="dxa"/>
              <w:left w:w="240" w:type="dxa"/>
              <w:bottom w:w="40" w:type="dxa"/>
              <w:right w:w="40" w:type="dxa"/>
            </w:tcMar>
            <w:vAlign w:val="bottom"/>
          </w:tcPr>
          <w:p w14:paraId="4ACE3BFF"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Basic</w:t>
            </w:r>
          </w:p>
        </w:tc>
        <w:tc>
          <w:tcPr>
            <w:tcW w:w="0" w:type="auto"/>
            <w:shd w:val="clear" w:color="auto" w:fill="auto"/>
            <w:tcMar>
              <w:top w:w="40" w:type="dxa"/>
              <w:left w:w="40" w:type="dxa"/>
              <w:bottom w:w="40" w:type="dxa"/>
              <w:right w:w="40" w:type="dxa"/>
            </w:tcMar>
            <w:vAlign w:val="bottom"/>
          </w:tcPr>
          <w:p w14:paraId="4ACE3C0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C01"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4,417</w:t>
            </w:r>
          </w:p>
        </w:tc>
        <w:tc>
          <w:tcPr>
            <w:tcW w:w="0" w:type="auto"/>
            <w:shd w:val="clear" w:color="auto" w:fill="auto"/>
            <w:vAlign w:val="bottom"/>
          </w:tcPr>
          <w:p w14:paraId="4ACE3C0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C0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C04"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4,611</w:t>
            </w:r>
          </w:p>
        </w:tc>
        <w:tc>
          <w:tcPr>
            <w:tcW w:w="0" w:type="auto"/>
            <w:shd w:val="clear" w:color="auto" w:fill="auto"/>
            <w:vAlign w:val="bottom"/>
          </w:tcPr>
          <w:p w14:paraId="4ACE3C0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C0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C07"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4,701</w:t>
            </w:r>
          </w:p>
        </w:tc>
        <w:tc>
          <w:tcPr>
            <w:tcW w:w="0" w:type="auto"/>
            <w:shd w:val="clear" w:color="auto" w:fill="auto"/>
            <w:vAlign w:val="bottom"/>
          </w:tcPr>
          <w:p w14:paraId="4ACE3C08" w14:textId="77777777" w:rsidR="006F587A" w:rsidRDefault="006F587A">
            <w:pPr>
              <w:textAlignment w:val="bottom"/>
              <w:rPr>
                <w:rFonts w:ascii="Times New Roman" w:hAnsi="Times New Roman"/>
                <w:sz w:val="20"/>
                <w:szCs w:val="20"/>
              </w:rPr>
            </w:pPr>
          </w:p>
        </w:tc>
      </w:tr>
      <w:tr w:rsidR="006F587A" w14:paraId="4ACE3C14" w14:textId="77777777">
        <w:tc>
          <w:tcPr>
            <w:tcW w:w="0" w:type="auto"/>
            <w:shd w:val="clear" w:color="auto" w:fill="auto"/>
            <w:tcMar>
              <w:top w:w="40" w:type="dxa"/>
              <w:left w:w="240" w:type="dxa"/>
              <w:bottom w:w="40" w:type="dxa"/>
              <w:right w:w="40" w:type="dxa"/>
            </w:tcMar>
            <w:vAlign w:val="bottom"/>
          </w:tcPr>
          <w:p w14:paraId="4ACE3C0A"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Diluted</w:t>
            </w:r>
          </w:p>
        </w:tc>
        <w:tc>
          <w:tcPr>
            <w:tcW w:w="0" w:type="auto"/>
            <w:shd w:val="clear" w:color="auto" w:fill="auto"/>
            <w:tcMar>
              <w:top w:w="40" w:type="dxa"/>
              <w:left w:w="40" w:type="dxa"/>
              <w:bottom w:w="40" w:type="dxa"/>
              <w:right w:w="40" w:type="dxa"/>
            </w:tcMar>
            <w:vAlign w:val="bottom"/>
          </w:tcPr>
          <w:p w14:paraId="4ACE3C0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double" w:sz="6" w:space="0" w:color="333333"/>
              <w:bottom w:val="double" w:sz="6" w:space="0" w:color="333333"/>
            </w:tcBorders>
            <w:shd w:val="clear" w:color="auto" w:fill="auto"/>
            <w:tcMar>
              <w:top w:w="40" w:type="dxa"/>
              <w:left w:w="40" w:type="dxa"/>
              <w:bottom w:w="40" w:type="dxa"/>
            </w:tcMar>
            <w:vAlign w:val="bottom"/>
          </w:tcPr>
          <w:p w14:paraId="4ACE3C0C"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4,473</w:t>
            </w:r>
          </w:p>
        </w:tc>
        <w:tc>
          <w:tcPr>
            <w:tcW w:w="0" w:type="auto"/>
            <w:tcBorders>
              <w:top w:val="double" w:sz="6" w:space="0" w:color="333333"/>
              <w:bottom w:val="double" w:sz="6" w:space="0" w:color="333333"/>
            </w:tcBorders>
            <w:shd w:val="clear" w:color="auto" w:fill="auto"/>
            <w:vAlign w:val="bottom"/>
          </w:tcPr>
          <w:p w14:paraId="4ACE3C0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C0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double" w:sz="6" w:space="0" w:color="333333"/>
              <w:bottom w:val="double" w:sz="6" w:space="0" w:color="333333"/>
            </w:tcBorders>
            <w:shd w:val="clear" w:color="auto" w:fill="auto"/>
            <w:tcMar>
              <w:top w:w="40" w:type="dxa"/>
              <w:left w:w="40" w:type="dxa"/>
              <w:bottom w:w="40" w:type="dxa"/>
            </w:tcMar>
            <w:vAlign w:val="bottom"/>
          </w:tcPr>
          <w:p w14:paraId="4ACE3C0F"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4,701</w:t>
            </w:r>
          </w:p>
        </w:tc>
        <w:tc>
          <w:tcPr>
            <w:tcW w:w="0" w:type="auto"/>
            <w:tcBorders>
              <w:top w:val="double" w:sz="6" w:space="0" w:color="333333"/>
              <w:bottom w:val="double" w:sz="6" w:space="0" w:color="333333"/>
            </w:tcBorders>
            <w:shd w:val="clear" w:color="auto" w:fill="auto"/>
            <w:vAlign w:val="bottom"/>
          </w:tcPr>
          <w:p w14:paraId="4ACE3C1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C1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double" w:sz="6" w:space="0" w:color="333333"/>
              <w:bottom w:val="double" w:sz="6" w:space="0" w:color="333333"/>
            </w:tcBorders>
            <w:shd w:val="clear" w:color="auto" w:fill="auto"/>
            <w:tcMar>
              <w:top w:w="40" w:type="dxa"/>
              <w:left w:w="40" w:type="dxa"/>
              <w:bottom w:w="40" w:type="dxa"/>
            </w:tcMar>
            <w:vAlign w:val="bottom"/>
          </w:tcPr>
          <w:p w14:paraId="4ACE3C12"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4,835</w:t>
            </w:r>
          </w:p>
        </w:tc>
        <w:tc>
          <w:tcPr>
            <w:tcW w:w="0" w:type="auto"/>
            <w:tcBorders>
              <w:top w:val="double" w:sz="6" w:space="0" w:color="333333"/>
              <w:bottom w:val="double" w:sz="6" w:space="0" w:color="333333"/>
            </w:tcBorders>
            <w:shd w:val="clear" w:color="auto" w:fill="auto"/>
            <w:vAlign w:val="bottom"/>
          </w:tcPr>
          <w:p w14:paraId="4ACE3C13" w14:textId="77777777" w:rsidR="006F587A" w:rsidRDefault="006F587A">
            <w:pPr>
              <w:textAlignment w:val="bottom"/>
              <w:rPr>
                <w:rFonts w:ascii="Times New Roman" w:hAnsi="Times New Roman"/>
                <w:sz w:val="20"/>
                <w:szCs w:val="20"/>
              </w:rPr>
            </w:pPr>
          </w:p>
        </w:tc>
      </w:tr>
    </w:tbl>
    <w:p w14:paraId="4ACE3C15" w14:textId="77777777" w:rsidR="006F587A" w:rsidRDefault="007B2B61">
      <w:pPr>
        <w:spacing w:line="288" w:lineRule="auto"/>
        <w:rPr>
          <w:rFonts w:ascii="Times New Roman" w:hAnsi="Times New Roman"/>
          <w:sz w:val="18"/>
          <w:szCs w:val="18"/>
        </w:rPr>
      </w:pPr>
      <w:r>
        <w:rPr>
          <w:rFonts w:ascii="Arial" w:eastAsia="宋体" w:hAnsi="Arial" w:cs="Arial"/>
          <w:i/>
          <w:iCs/>
          <w:color w:val="333333"/>
          <w:sz w:val="18"/>
          <w:szCs w:val="18"/>
        </w:rPr>
        <w:t>See accompanying notes.</w:t>
      </w:r>
    </w:p>
    <w:p w14:paraId="4ACE3C16"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3C18" w14:textId="77777777">
        <w:tc>
          <w:tcPr>
            <w:tcW w:w="0" w:type="auto"/>
            <w:gridSpan w:val="3"/>
            <w:shd w:val="clear" w:color="auto" w:fill="auto"/>
            <w:vAlign w:val="center"/>
          </w:tcPr>
          <w:p w14:paraId="4ACE3C17" w14:textId="77777777" w:rsidR="006F587A" w:rsidRDefault="006F587A">
            <w:pPr>
              <w:rPr>
                <w:rFonts w:ascii="Times New Roman" w:hAnsi="Times New Roman"/>
                <w:sz w:val="20"/>
                <w:szCs w:val="20"/>
              </w:rPr>
            </w:pPr>
          </w:p>
        </w:tc>
      </w:tr>
      <w:tr w:rsidR="006F587A" w14:paraId="4ACE3C1C" w14:textId="77777777">
        <w:tc>
          <w:tcPr>
            <w:tcW w:w="1300" w:type="pct"/>
            <w:shd w:val="clear" w:color="auto" w:fill="auto"/>
            <w:vAlign w:val="center"/>
          </w:tcPr>
          <w:p w14:paraId="4ACE3C19" w14:textId="77777777" w:rsidR="006F587A" w:rsidRDefault="006F587A">
            <w:pPr>
              <w:rPr>
                <w:rFonts w:ascii="Times New Roman" w:hAnsi="Times New Roman"/>
                <w:sz w:val="20"/>
                <w:szCs w:val="20"/>
              </w:rPr>
            </w:pPr>
          </w:p>
        </w:tc>
        <w:tc>
          <w:tcPr>
            <w:tcW w:w="1600" w:type="pct"/>
            <w:shd w:val="clear" w:color="auto" w:fill="auto"/>
            <w:vAlign w:val="center"/>
          </w:tcPr>
          <w:p w14:paraId="4ACE3C1A" w14:textId="77777777" w:rsidR="006F587A" w:rsidRDefault="006F587A">
            <w:pPr>
              <w:rPr>
                <w:rFonts w:ascii="Times New Roman" w:hAnsi="Times New Roman"/>
                <w:sz w:val="20"/>
                <w:szCs w:val="20"/>
              </w:rPr>
            </w:pPr>
          </w:p>
        </w:tc>
        <w:tc>
          <w:tcPr>
            <w:tcW w:w="2100" w:type="pct"/>
            <w:shd w:val="clear" w:color="auto" w:fill="auto"/>
            <w:vAlign w:val="center"/>
          </w:tcPr>
          <w:p w14:paraId="4ACE3C1B" w14:textId="77777777" w:rsidR="006F587A" w:rsidRDefault="006F587A">
            <w:pPr>
              <w:rPr>
                <w:rFonts w:ascii="Times New Roman" w:hAnsi="Times New Roman"/>
                <w:sz w:val="20"/>
                <w:szCs w:val="20"/>
              </w:rPr>
            </w:pPr>
          </w:p>
        </w:tc>
      </w:tr>
      <w:tr w:rsidR="006F587A" w14:paraId="4ACE3C20" w14:textId="77777777">
        <w:tc>
          <w:tcPr>
            <w:tcW w:w="0" w:type="auto"/>
            <w:tcBorders>
              <w:top w:val="single" w:sz="8" w:space="0" w:color="0071C5"/>
              <w:right w:val="single" w:sz="36" w:space="0" w:color="0071C5"/>
            </w:tcBorders>
            <w:shd w:val="clear" w:color="auto" w:fill="auto"/>
            <w:tcMar>
              <w:top w:w="40" w:type="dxa"/>
              <w:left w:w="40" w:type="dxa"/>
              <w:bottom w:w="40" w:type="dxa"/>
              <w:right w:w="40" w:type="dxa"/>
            </w:tcMar>
            <w:vAlign w:val="center"/>
          </w:tcPr>
          <w:p w14:paraId="4ACE3C1D" w14:textId="77777777" w:rsidR="006F587A" w:rsidRDefault="007B2B61">
            <w:pPr>
              <w:textAlignment w:val="center"/>
              <w:rPr>
                <w:rFonts w:ascii="Times New Roman" w:hAnsi="Times New Roman"/>
                <w:sz w:val="16"/>
                <w:szCs w:val="16"/>
              </w:rPr>
            </w:pPr>
            <w:r>
              <w:rPr>
                <w:rFonts w:ascii="Times New Roman" w:eastAsia="宋体" w:hAnsi="Times New Roman"/>
                <w:sz w:val="16"/>
                <w:szCs w:val="16"/>
              </w:rPr>
              <w:lastRenderedPageBreak/>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B7" wp14:editId="4ACE6DB8">
                  <wp:extent cx="304800" cy="304800"/>
                  <wp:effectExtent l="0" t="0" r="0" b="0"/>
                  <wp:docPr id="194" name="图片 276"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276"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C1E" w14:textId="77777777" w:rsidR="006F587A" w:rsidRDefault="007B2B61">
            <w:pPr>
              <w:textAlignment w:val="bottom"/>
              <w:rPr>
                <w:rFonts w:ascii="Times New Roman" w:hAnsi="Times New Roman"/>
                <w:sz w:val="16"/>
                <w:szCs w:val="16"/>
              </w:rPr>
            </w:pPr>
            <w:r>
              <w:rPr>
                <w:rFonts w:ascii="Arial" w:eastAsia="宋体" w:hAnsi="Arial" w:cs="Arial"/>
                <w:color w:val="333333"/>
                <w:sz w:val="16"/>
                <w:szCs w:val="16"/>
              </w:rPr>
              <w:t> Consolidated Statements of Income</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C1F"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69</w:t>
            </w:r>
          </w:p>
        </w:tc>
      </w:tr>
    </w:tbl>
    <w:p w14:paraId="4ACE3C21" w14:textId="77777777" w:rsidR="006F587A" w:rsidRDefault="007B2B61">
      <w:r>
        <w:pict w14:anchorId="4ACE6DB9">
          <v:rect id="_x0000_i1095" style="width:415.3pt;height:1.5pt" o:hralign="center" o:hrstd="t" o:hr="t" fillcolor="#a0a0a0" stroked="f"/>
        </w:pict>
      </w:r>
    </w:p>
    <w:p w14:paraId="4ACE3C22" w14:textId="77777777" w:rsidR="006F587A" w:rsidRDefault="007B2B61">
      <w:pPr>
        <w:spacing w:line="288" w:lineRule="auto"/>
        <w:jc w:val="right"/>
        <w:rPr>
          <w:rFonts w:ascii="Times New Roman" w:hAnsi="Times New Roman"/>
          <w:sz w:val="16"/>
          <w:szCs w:val="16"/>
        </w:rPr>
      </w:pPr>
      <w:hyperlink r:id="rId134" w:anchor="s9DB683E2CF52561EB8A73BE37F5BF9BE" w:history="1">
        <w:r>
          <w:rPr>
            <w:rStyle w:val="a5"/>
            <w:rFonts w:ascii="Arial" w:eastAsia="宋体" w:hAnsi="Arial" w:cs="Arial"/>
            <w:b/>
            <w:bCs/>
            <w:sz w:val="16"/>
            <w:szCs w:val="16"/>
          </w:rPr>
          <w:t>Table of Contents</w:t>
        </w:r>
      </w:hyperlink>
    </w:p>
    <w:p w14:paraId="4ACE3C23" w14:textId="77777777" w:rsidR="006F587A" w:rsidRDefault="006F587A">
      <w:pPr>
        <w:spacing w:line="288" w:lineRule="auto"/>
        <w:jc w:val="right"/>
        <w:rPr>
          <w:rFonts w:ascii="Times New Roman" w:hAnsi="Times New Roman"/>
          <w:sz w:val="16"/>
          <w:szCs w:val="16"/>
        </w:rPr>
      </w:pPr>
    </w:p>
    <w:p w14:paraId="4ACE3C24"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4153"/>
        <w:gridCol w:w="4153"/>
      </w:tblGrid>
      <w:tr w:rsidR="006F587A" w14:paraId="4ACE3C26" w14:textId="77777777">
        <w:tc>
          <w:tcPr>
            <w:tcW w:w="0" w:type="auto"/>
            <w:gridSpan w:val="2"/>
            <w:shd w:val="clear" w:color="auto" w:fill="auto"/>
            <w:vAlign w:val="center"/>
          </w:tcPr>
          <w:p w14:paraId="4ACE3C25" w14:textId="77777777" w:rsidR="006F587A" w:rsidRDefault="006F587A">
            <w:pPr>
              <w:rPr>
                <w:rFonts w:ascii="Times New Roman" w:hAnsi="Times New Roman"/>
                <w:sz w:val="20"/>
                <w:szCs w:val="20"/>
              </w:rPr>
            </w:pPr>
          </w:p>
        </w:tc>
      </w:tr>
      <w:tr w:rsidR="006F587A" w14:paraId="4ACE3C29" w14:textId="77777777">
        <w:tc>
          <w:tcPr>
            <w:tcW w:w="2500" w:type="pct"/>
            <w:shd w:val="clear" w:color="auto" w:fill="auto"/>
            <w:vAlign w:val="center"/>
          </w:tcPr>
          <w:p w14:paraId="4ACE3C27" w14:textId="77777777" w:rsidR="006F587A" w:rsidRDefault="006F587A">
            <w:pPr>
              <w:rPr>
                <w:rFonts w:ascii="Times New Roman" w:hAnsi="Times New Roman"/>
                <w:sz w:val="20"/>
                <w:szCs w:val="20"/>
              </w:rPr>
            </w:pPr>
          </w:p>
        </w:tc>
        <w:tc>
          <w:tcPr>
            <w:tcW w:w="2500" w:type="pct"/>
            <w:shd w:val="clear" w:color="auto" w:fill="auto"/>
            <w:vAlign w:val="center"/>
          </w:tcPr>
          <w:p w14:paraId="4ACE3C28" w14:textId="77777777" w:rsidR="006F587A" w:rsidRDefault="006F587A">
            <w:pPr>
              <w:rPr>
                <w:rFonts w:ascii="Times New Roman" w:hAnsi="Times New Roman"/>
                <w:sz w:val="20"/>
                <w:szCs w:val="20"/>
              </w:rPr>
            </w:pPr>
          </w:p>
        </w:tc>
      </w:tr>
      <w:tr w:rsidR="006F587A" w14:paraId="4ACE3C2B" w14:textId="77777777">
        <w:tc>
          <w:tcPr>
            <w:tcW w:w="0" w:type="auto"/>
            <w:gridSpan w:val="2"/>
            <w:shd w:val="clear" w:color="auto" w:fill="0071C5"/>
            <w:tcMar>
              <w:top w:w="40" w:type="dxa"/>
              <w:left w:w="880" w:type="dxa"/>
              <w:bottom w:w="40" w:type="dxa"/>
              <w:right w:w="40" w:type="dxa"/>
            </w:tcMar>
            <w:vAlign w:val="bottom"/>
          </w:tcPr>
          <w:p w14:paraId="4ACE3C2A" w14:textId="77777777" w:rsidR="006F587A" w:rsidRDefault="007B2B61">
            <w:pPr>
              <w:textAlignment w:val="bottom"/>
              <w:rPr>
                <w:rFonts w:ascii="Times New Roman" w:hAnsi="Times New Roman"/>
                <w:sz w:val="36"/>
                <w:szCs w:val="36"/>
              </w:rPr>
            </w:pPr>
            <w:r>
              <w:rPr>
                <w:rFonts w:ascii="Arial" w:eastAsia="宋体" w:hAnsi="Arial" w:cs="Arial"/>
                <w:b/>
                <w:bCs/>
                <w:color w:val="FFFFFF"/>
                <w:sz w:val="36"/>
                <w:szCs w:val="36"/>
              </w:rPr>
              <w:t>CONSOLIDATED STATEMENTS OF COMPREHENSIVE INCOME</w:t>
            </w:r>
          </w:p>
        </w:tc>
      </w:tr>
    </w:tbl>
    <w:p w14:paraId="4ACE3C2C" w14:textId="77777777" w:rsidR="006F587A" w:rsidRDefault="006F587A">
      <w:pPr>
        <w:rPr>
          <w:vanish/>
        </w:rPr>
      </w:pPr>
    </w:p>
    <w:tbl>
      <w:tblPr>
        <w:tblW w:w="5000" w:type="pct"/>
        <w:tblCellMar>
          <w:left w:w="0" w:type="dxa"/>
          <w:right w:w="0" w:type="dxa"/>
        </w:tblCellMar>
        <w:tblLook w:val="04A0" w:firstRow="1" w:lastRow="0" w:firstColumn="1" w:lastColumn="0" w:noHBand="0" w:noVBand="1"/>
      </w:tblPr>
      <w:tblGrid>
        <w:gridCol w:w="4975"/>
        <w:gridCol w:w="130"/>
        <w:gridCol w:w="141"/>
        <w:gridCol w:w="739"/>
        <w:gridCol w:w="100"/>
        <w:gridCol w:w="130"/>
        <w:gridCol w:w="141"/>
        <w:gridCol w:w="739"/>
        <w:gridCol w:w="100"/>
        <w:gridCol w:w="130"/>
        <w:gridCol w:w="141"/>
        <w:gridCol w:w="740"/>
        <w:gridCol w:w="100"/>
      </w:tblGrid>
      <w:tr w:rsidR="006F587A" w14:paraId="4ACE3C2E" w14:textId="77777777">
        <w:tc>
          <w:tcPr>
            <w:tcW w:w="0" w:type="auto"/>
            <w:gridSpan w:val="13"/>
            <w:shd w:val="clear" w:color="auto" w:fill="auto"/>
            <w:vAlign w:val="center"/>
          </w:tcPr>
          <w:p w14:paraId="4ACE3C2D" w14:textId="77777777" w:rsidR="006F587A" w:rsidRDefault="006F587A">
            <w:pPr>
              <w:rPr>
                <w:rFonts w:ascii="Times New Roman" w:hAnsi="Times New Roman"/>
                <w:sz w:val="20"/>
                <w:szCs w:val="20"/>
              </w:rPr>
            </w:pPr>
          </w:p>
        </w:tc>
      </w:tr>
      <w:tr w:rsidR="006F587A" w14:paraId="4ACE3C3C" w14:textId="77777777">
        <w:tc>
          <w:tcPr>
            <w:tcW w:w="3050" w:type="pct"/>
            <w:shd w:val="clear" w:color="auto" w:fill="auto"/>
            <w:vAlign w:val="center"/>
          </w:tcPr>
          <w:p w14:paraId="4ACE3C2F" w14:textId="77777777" w:rsidR="006F587A" w:rsidRDefault="006F587A">
            <w:pPr>
              <w:rPr>
                <w:rFonts w:ascii="Times New Roman" w:hAnsi="Times New Roman"/>
                <w:sz w:val="20"/>
                <w:szCs w:val="20"/>
              </w:rPr>
            </w:pPr>
          </w:p>
        </w:tc>
        <w:tc>
          <w:tcPr>
            <w:tcW w:w="50" w:type="pct"/>
            <w:shd w:val="clear" w:color="auto" w:fill="auto"/>
            <w:vAlign w:val="center"/>
          </w:tcPr>
          <w:p w14:paraId="4ACE3C30" w14:textId="77777777" w:rsidR="006F587A" w:rsidRDefault="006F587A">
            <w:pPr>
              <w:rPr>
                <w:rFonts w:ascii="Times New Roman" w:hAnsi="Times New Roman"/>
                <w:sz w:val="20"/>
                <w:szCs w:val="20"/>
              </w:rPr>
            </w:pPr>
          </w:p>
        </w:tc>
        <w:tc>
          <w:tcPr>
            <w:tcW w:w="50" w:type="pct"/>
            <w:shd w:val="clear" w:color="auto" w:fill="auto"/>
            <w:vAlign w:val="center"/>
          </w:tcPr>
          <w:p w14:paraId="4ACE3C31" w14:textId="77777777" w:rsidR="006F587A" w:rsidRDefault="006F587A">
            <w:pPr>
              <w:rPr>
                <w:rFonts w:ascii="Times New Roman" w:hAnsi="Times New Roman"/>
                <w:sz w:val="20"/>
                <w:szCs w:val="20"/>
              </w:rPr>
            </w:pPr>
          </w:p>
        </w:tc>
        <w:tc>
          <w:tcPr>
            <w:tcW w:w="500" w:type="pct"/>
            <w:shd w:val="clear" w:color="auto" w:fill="auto"/>
            <w:vAlign w:val="center"/>
          </w:tcPr>
          <w:p w14:paraId="4ACE3C32" w14:textId="77777777" w:rsidR="006F587A" w:rsidRDefault="006F587A">
            <w:pPr>
              <w:rPr>
                <w:rFonts w:ascii="Times New Roman" w:hAnsi="Times New Roman"/>
                <w:sz w:val="20"/>
                <w:szCs w:val="20"/>
              </w:rPr>
            </w:pPr>
          </w:p>
        </w:tc>
        <w:tc>
          <w:tcPr>
            <w:tcW w:w="50" w:type="pct"/>
            <w:shd w:val="clear" w:color="auto" w:fill="auto"/>
            <w:vAlign w:val="center"/>
          </w:tcPr>
          <w:p w14:paraId="4ACE3C33" w14:textId="77777777" w:rsidR="006F587A" w:rsidRDefault="006F587A">
            <w:pPr>
              <w:rPr>
                <w:rFonts w:ascii="Times New Roman" w:hAnsi="Times New Roman"/>
                <w:sz w:val="20"/>
                <w:szCs w:val="20"/>
              </w:rPr>
            </w:pPr>
          </w:p>
        </w:tc>
        <w:tc>
          <w:tcPr>
            <w:tcW w:w="50" w:type="pct"/>
            <w:shd w:val="clear" w:color="auto" w:fill="auto"/>
            <w:vAlign w:val="center"/>
          </w:tcPr>
          <w:p w14:paraId="4ACE3C34" w14:textId="77777777" w:rsidR="006F587A" w:rsidRDefault="006F587A">
            <w:pPr>
              <w:rPr>
                <w:rFonts w:ascii="Times New Roman" w:hAnsi="Times New Roman"/>
                <w:sz w:val="20"/>
                <w:szCs w:val="20"/>
              </w:rPr>
            </w:pPr>
          </w:p>
        </w:tc>
        <w:tc>
          <w:tcPr>
            <w:tcW w:w="50" w:type="pct"/>
            <w:shd w:val="clear" w:color="auto" w:fill="auto"/>
            <w:vAlign w:val="center"/>
          </w:tcPr>
          <w:p w14:paraId="4ACE3C35" w14:textId="77777777" w:rsidR="006F587A" w:rsidRDefault="006F587A">
            <w:pPr>
              <w:rPr>
                <w:rFonts w:ascii="Times New Roman" w:hAnsi="Times New Roman"/>
                <w:sz w:val="20"/>
                <w:szCs w:val="20"/>
              </w:rPr>
            </w:pPr>
          </w:p>
        </w:tc>
        <w:tc>
          <w:tcPr>
            <w:tcW w:w="500" w:type="pct"/>
            <w:shd w:val="clear" w:color="auto" w:fill="auto"/>
            <w:vAlign w:val="center"/>
          </w:tcPr>
          <w:p w14:paraId="4ACE3C36" w14:textId="77777777" w:rsidR="006F587A" w:rsidRDefault="006F587A">
            <w:pPr>
              <w:rPr>
                <w:rFonts w:ascii="Times New Roman" w:hAnsi="Times New Roman"/>
                <w:sz w:val="20"/>
                <w:szCs w:val="20"/>
              </w:rPr>
            </w:pPr>
          </w:p>
        </w:tc>
        <w:tc>
          <w:tcPr>
            <w:tcW w:w="50" w:type="pct"/>
            <w:shd w:val="clear" w:color="auto" w:fill="auto"/>
            <w:vAlign w:val="center"/>
          </w:tcPr>
          <w:p w14:paraId="4ACE3C37" w14:textId="77777777" w:rsidR="006F587A" w:rsidRDefault="006F587A">
            <w:pPr>
              <w:rPr>
                <w:rFonts w:ascii="Times New Roman" w:hAnsi="Times New Roman"/>
                <w:sz w:val="20"/>
                <w:szCs w:val="20"/>
              </w:rPr>
            </w:pPr>
          </w:p>
        </w:tc>
        <w:tc>
          <w:tcPr>
            <w:tcW w:w="50" w:type="pct"/>
            <w:shd w:val="clear" w:color="auto" w:fill="auto"/>
            <w:vAlign w:val="center"/>
          </w:tcPr>
          <w:p w14:paraId="4ACE3C38" w14:textId="77777777" w:rsidR="006F587A" w:rsidRDefault="006F587A">
            <w:pPr>
              <w:rPr>
                <w:rFonts w:ascii="Times New Roman" w:hAnsi="Times New Roman"/>
                <w:sz w:val="20"/>
                <w:szCs w:val="20"/>
              </w:rPr>
            </w:pPr>
          </w:p>
        </w:tc>
        <w:tc>
          <w:tcPr>
            <w:tcW w:w="50" w:type="pct"/>
            <w:shd w:val="clear" w:color="auto" w:fill="auto"/>
            <w:vAlign w:val="center"/>
          </w:tcPr>
          <w:p w14:paraId="4ACE3C39" w14:textId="77777777" w:rsidR="006F587A" w:rsidRDefault="006F587A">
            <w:pPr>
              <w:rPr>
                <w:rFonts w:ascii="Times New Roman" w:hAnsi="Times New Roman"/>
                <w:sz w:val="20"/>
                <w:szCs w:val="20"/>
              </w:rPr>
            </w:pPr>
          </w:p>
        </w:tc>
        <w:tc>
          <w:tcPr>
            <w:tcW w:w="500" w:type="pct"/>
            <w:shd w:val="clear" w:color="auto" w:fill="auto"/>
            <w:vAlign w:val="center"/>
          </w:tcPr>
          <w:p w14:paraId="4ACE3C3A" w14:textId="77777777" w:rsidR="006F587A" w:rsidRDefault="006F587A">
            <w:pPr>
              <w:rPr>
                <w:rFonts w:ascii="Times New Roman" w:hAnsi="Times New Roman"/>
                <w:sz w:val="20"/>
                <w:szCs w:val="20"/>
              </w:rPr>
            </w:pPr>
          </w:p>
        </w:tc>
        <w:tc>
          <w:tcPr>
            <w:tcW w:w="50" w:type="pct"/>
            <w:shd w:val="clear" w:color="auto" w:fill="auto"/>
            <w:vAlign w:val="center"/>
          </w:tcPr>
          <w:p w14:paraId="4ACE3C3B" w14:textId="77777777" w:rsidR="006F587A" w:rsidRDefault="006F587A">
            <w:pPr>
              <w:rPr>
                <w:rFonts w:ascii="Times New Roman" w:hAnsi="Times New Roman"/>
                <w:sz w:val="20"/>
                <w:szCs w:val="20"/>
              </w:rPr>
            </w:pPr>
          </w:p>
        </w:tc>
      </w:tr>
      <w:tr w:rsidR="006F587A" w14:paraId="4ACE3C44"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3C3D"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Years Ended (In Millions)</w:t>
            </w:r>
          </w:p>
        </w:tc>
        <w:tc>
          <w:tcPr>
            <w:tcW w:w="0" w:type="auto"/>
            <w:shd w:val="clear" w:color="auto" w:fill="auto"/>
            <w:tcMar>
              <w:top w:w="40" w:type="dxa"/>
              <w:left w:w="40" w:type="dxa"/>
              <w:bottom w:w="40" w:type="dxa"/>
              <w:right w:w="40" w:type="dxa"/>
            </w:tcMar>
            <w:vAlign w:val="bottom"/>
          </w:tcPr>
          <w:p w14:paraId="4ACE3C3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3C3F"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28, </w:t>
            </w:r>
            <w:r>
              <w:rPr>
                <w:rFonts w:ascii="Arial" w:eastAsia="宋体" w:hAnsi="Arial" w:cs="Arial"/>
                <w:b/>
                <w:bCs/>
                <w:color w:val="333333"/>
                <w:sz w:val="18"/>
                <w:szCs w:val="18"/>
              </w:rPr>
              <w:br/>
              <w:t>2019</w:t>
            </w:r>
          </w:p>
        </w:tc>
        <w:tc>
          <w:tcPr>
            <w:tcW w:w="0" w:type="auto"/>
            <w:shd w:val="clear" w:color="auto" w:fill="auto"/>
            <w:tcMar>
              <w:top w:w="40" w:type="dxa"/>
              <w:left w:w="40" w:type="dxa"/>
              <w:bottom w:w="40" w:type="dxa"/>
              <w:right w:w="40" w:type="dxa"/>
            </w:tcMar>
            <w:vAlign w:val="bottom"/>
          </w:tcPr>
          <w:p w14:paraId="4ACE3C4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3C41"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29, </w:t>
            </w:r>
            <w:r>
              <w:rPr>
                <w:rFonts w:ascii="Arial" w:eastAsia="宋体" w:hAnsi="Arial" w:cs="Arial"/>
                <w:b/>
                <w:bCs/>
                <w:color w:val="333333"/>
                <w:sz w:val="18"/>
                <w:szCs w:val="18"/>
              </w:rPr>
              <w:br/>
              <w:t>2018</w:t>
            </w:r>
          </w:p>
        </w:tc>
        <w:tc>
          <w:tcPr>
            <w:tcW w:w="0" w:type="auto"/>
            <w:shd w:val="clear" w:color="auto" w:fill="auto"/>
            <w:tcMar>
              <w:top w:w="40" w:type="dxa"/>
              <w:left w:w="40" w:type="dxa"/>
              <w:bottom w:w="40" w:type="dxa"/>
              <w:right w:w="40" w:type="dxa"/>
            </w:tcMar>
            <w:vAlign w:val="bottom"/>
          </w:tcPr>
          <w:p w14:paraId="4ACE3C4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3C43"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30, </w:t>
            </w:r>
            <w:r>
              <w:rPr>
                <w:rFonts w:ascii="Arial" w:eastAsia="宋体" w:hAnsi="Arial" w:cs="Arial"/>
                <w:b/>
                <w:bCs/>
                <w:color w:val="333333"/>
                <w:sz w:val="18"/>
                <w:szCs w:val="18"/>
              </w:rPr>
              <w:br/>
              <w:t>2017</w:t>
            </w:r>
          </w:p>
        </w:tc>
      </w:tr>
      <w:tr w:rsidR="006F587A" w14:paraId="4ACE3C52" w14:textId="77777777">
        <w:tc>
          <w:tcPr>
            <w:tcW w:w="0" w:type="auto"/>
            <w:shd w:val="clear" w:color="auto" w:fill="auto"/>
            <w:tcMar>
              <w:top w:w="40" w:type="dxa"/>
              <w:left w:w="40" w:type="dxa"/>
              <w:bottom w:w="40" w:type="dxa"/>
              <w:right w:w="40" w:type="dxa"/>
            </w:tcMar>
            <w:vAlign w:val="bottom"/>
          </w:tcPr>
          <w:p w14:paraId="4ACE3C45"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Net income</w:t>
            </w:r>
          </w:p>
        </w:tc>
        <w:tc>
          <w:tcPr>
            <w:tcW w:w="0" w:type="auto"/>
            <w:shd w:val="clear" w:color="auto" w:fill="auto"/>
            <w:tcMar>
              <w:top w:w="40" w:type="dxa"/>
              <w:left w:w="40" w:type="dxa"/>
              <w:bottom w:w="40" w:type="dxa"/>
              <w:right w:w="40" w:type="dxa"/>
            </w:tcMar>
            <w:vAlign w:val="bottom"/>
          </w:tcPr>
          <w:p w14:paraId="4ACE3C4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tcMar>
            <w:vAlign w:val="bottom"/>
          </w:tcPr>
          <w:p w14:paraId="4ACE3C47"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bottom w:val="single" w:sz="8" w:space="0" w:color="333333"/>
            </w:tcBorders>
            <w:shd w:val="clear" w:color="auto" w:fill="auto"/>
            <w:tcMar>
              <w:top w:w="40" w:type="dxa"/>
              <w:bottom w:w="40" w:type="dxa"/>
            </w:tcMar>
            <w:vAlign w:val="bottom"/>
          </w:tcPr>
          <w:p w14:paraId="4ACE3C48"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21,048</w:t>
            </w:r>
          </w:p>
        </w:tc>
        <w:tc>
          <w:tcPr>
            <w:tcW w:w="0" w:type="auto"/>
            <w:tcBorders>
              <w:bottom w:val="single" w:sz="8" w:space="0" w:color="333333"/>
            </w:tcBorders>
            <w:shd w:val="clear" w:color="auto" w:fill="auto"/>
            <w:vAlign w:val="bottom"/>
          </w:tcPr>
          <w:p w14:paraId="4ACE3C4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C4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tcMar>
            <w:vAlign w:val="bottom"/>
          </w:tcPr>
          <w:p w14:paraId="4ACE3C4B"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bottom w:val="single" w:sz="8" w:space="0" w:color="333333"/>
            </w:tcBorders>
            <w:shd w:val="clear" w:color="auto" w:fill="auto"/>
            <w:tcMar>
              <w:top w:w="40" w:type="dxa"/>
              <w:bottom w:w="40" w:type="dxa"/>
            </w:tcMar>
            <w:vAlign w:val="bottom"/>
          </w:tcPr>
          <w:p w14:paraId="4ACE3C4C"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21,053</w:t>
            </w:r>
          </w:p>
        </w:tc>
        <w:tc>
          <w:tcPr>
            <w:tcW w:w="0" w:type="auto"/>
            <w:tcBorders>
              <w:bottom w:val="single" w:sz="8" w:space="0" w:color="333333"/>
            </w:tcBorders>
            <w:shd w:val="clear" w:color="auto" w:fill="auto"/>
            <w:vAlign w:val="bottom"/>
          </w:tcPr>
          <w:p w14:paraId="4ACE3C4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C4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bottom w:val="single" w:sz="8" w:space="0" w:color="333333"/>
            </w:tcBorders>
            <w:shd w:val="clear" w:color="auto" w:fill="auto"/>
            <w:tcMar>
              <w:top w:w="40" w:type="dxa"/>
              <w:left w:w="40" w:type="dxa"/>
              <w:bottom w:w="40" w:type="dxa"/>
            </w:tcMar>
            <w:vAlign w:val="bottom"/>
          </w:tcPr>
          <w:p w14:paraId="4ACE3C4F"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0071C5"/>
              <w:bottom w:val="single" w:sz="8" w:space="0" w:color="333333"/>
            </w:tcBorders>
            <w:shd w:val="clear" w:color="auto" w:fill="auto"/>
            <w:tcMar>
              <w:top w:w="40" w:type="dxa"/>
              <w:bottom w:w="40" w:type="dxa"/>
            </w:tcMar>
            <w:vAlign w:val="bottom"/>
          </w:tcPr>
          <w:p w14:paraId="4ACE3C50"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9,601</w:t>
            </w:r>
          </w:p>
        </w:tc>
        <w:tc>
          <w:tcPr>
            <w:tcW w:w="0" w:type="auto"/>
            <w:tcBorders>
              <w:top w:val="single" w:sz="8" w:space="0" w:color="0071C5"/>
              <w:bottom w:val="single" w:sz="8" w:space="0" w:color="333333"/>
            </w:tcBorders>
            <w:shd w:val="clear" w:color="auto" w:fill="auto"/>
            <w:vAlign w:val="bottom"/>
          </w:tcPr>
          <w:p w14:paraId="4ACE3C51" w14:textId="77777777" w:rsidR="006F587A" w:rsidRDefault="006F587A">
            <w:pPr>
              <w:textAlignment w:val="bottom"/>
              <w:rPr>
                <w:rFonts w:ascii="Times New Roman" w:hAnsi="Times New Roman"/>
                <w:sz w:val="20"/>
                <w:szCs w:val="20"/>
              </w:rPr>
            </w:pPr>
          </w:p>
        </w:tc>
      </w:tr>
      <w:tr w:rsidR="006F587A" w14:paraId="4ACE3C5A" w14:textId="77777777">
        <w:tc>
          <w:tcPr>
            <w:tcW w:w="0" w:type="auto"/>
            <w:shd w:val="clear" w:color="auto" w:fill="auto"/>
            <w:tcMar>
              <w:top w:w="40" w:type="dxa"/>
              <w:left w:w="40" w:type="dxa"/>
              <w:bottom w:w="40" w:type="dxa"/>
              <w:right w:w="40" w:type="dxa"/>
            </w:tcMar>
            <w:vAlign w:val="bottom"/>
          </w:tcPr>
          <w:p w14:paraId="4ACE3C53" w14:textId="77777777" w:rsidR="006F587A" w:rsidRDefault="007B2B61">
            <w:pPr>
              <w:spacing w:after="180"/>
              <w:textAlignment w:val="bottom"/>
              <w:rPr>
                <w:rFonts w:ascii="Times New Roman" w:hAnsi="Times New Roman"/>
                <w:sz w:val="18"/>
                <w:szCs w:val="18"/>
              </w:rPr>
            </w:pPr>
            <w:r>
              <w:rPr>
                <w:rFonts w:ascii="Arial" w:eastAsia="宋体" w:hAnsi="Arial" w:cs="Arial"/>
                <w:color w:val="333333"/>
                <w:sz w:val="18"/>
                <w:szCs w:val="18"/>
              </w:rPr>
              <w:t>Changes in other comprehensive income, net of tax:</w:t>
            </w:r>
          </w:p>
        </w:tc>
        <w:tc>
          <w:tcPr>
            <w:tcW w:w="0" w:type="auto"/>
            <w:shd w:val="clear" w:color="auto" w:fill="auto"/>
            <w:tcMar>
              <w:top w:w="40" w:type="dxa"/>
              <w:left w:w="40" w:type="dxa"/>
              <w:bottom w:w="40" w:type="dxa"/>
              <w:right w:w="40" w:type="dxa"/>
            </w:tcMar>
            <w:vAlign w:val="bottom"/>
          </w:tcPr>
          <w:p w14:paraId="4ACE3C5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C5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C5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C5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C5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C5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3C65" w14:textId="77777777">
        <w:tc>
          <w:tcPr>
            <w:tcW w:w="0" w:type="auto"/>
            <w:shd w:val="clear" w:color="auto" w:fill="auto"/>
            <w:tcMar>
              <w:top w:w="40" w:type="dxa"/>
              <w:left w:w="240" w:type="dxa"/>
              <w:bottom w:w="40" w:type="dxa"/>
              <w:right w:w="40" w:type="dxa"/>
            </w:tcMar>
            <w:vAlign w:val="bottom"/>
          </w:tcPr>
          <w:p w14:paraId="4ACE3C5B"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 xml:space="preserve">Net unrealized holding gains (losses) on </w:t>
            </w:r>
            <w:r>
              <w:rPr>
                <w:rFonts w:ascii="Arial" w:eastAsia="宋体" w:hAnsi="Arial" w:cs="Arial"/>
                <w:color w:val="333333"/>
                <w:sz w:val="18"/>
                <w:szCs w:val="18"/>
              </w:rPr>
              <w:t>available-for-sale equity investments</w:t>
            </w:r>
          </w:p>
        </w:tc>
        <w:tc>
          <w:tcPr>
            <w:tcW w:w="0" w:type="auto"/>
            <w:shd w:val="clear" w:color="auto" w:fill="auto"/>
            <w:tcMar>
              <w:top w:w="40" w:type="dxa"/>
              <w:left w:w="40" w:type="dxa"/>
              <w:bottom w:w="40" w:type="dxa"/>
              <w:right w:w="40" w:type="dxa"/>
            </w:tcMar>
            <w:vAlign w:val="bottom"/>
          </w:tcPr>
          <w:p w14:paraId="4ACE3C5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C5D"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3C5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C5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C60"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3C6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C6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C63"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(434</w:t>
            </w:r>
          </w:p>
        </w:tc>
        <w:tc>
          <w:tcPr>
            <w:tcW w:w="0" w:type="auto"/>
            <w:shd w:val="clear" w:color="auto" w:fill="auto"/>
            <w:tcMar>
              <w:top w:w="40" w:type="dxa"/>
              <w:bottom w:w="40" w:type="dxa"/>
              <w:right w:w="40" w:type="dxa"/>
            </w:tcMar>
            <w:vAlign w:val="bottom"/>
          </w:tcPr>
          <w:p w14:paraId="4ACE3C6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3C70" w14:textId="77777777">
        <w:tc>
          <w:tcPr>
            <w:tcW w:w="0" w:type="auto"/>
            <w:shd w:val="clear" w:color="auto" w:fill="auto"/>
            <w:tcMar>
              <w:top w:w="40" w:type="dxa"/>
              <w:left w:w="240" w:type="dxa"/>
              <w:bottom w:w="40" w:type="dxa"/>
              <w:right w:w="40" w:type="dxa"/>
            </w:tcMar>
            <w:vAlign w:val="bottom"/>
          </w:tcPr>
          <w:p w14:paraId="4ACE3C6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Net unrealized holding gains (losses) on derivatives</w:t>
            </w:r>
          </w:p>
        </w:tc>
        <w:tc>
          <w:tcPr>
            <w:tcW w:w="0" w:type="auto"/>
            <w:shd w:val="clear" w:color="auto" w:fill="auto"/>
            <w:tcMar>
              <w:top w:w="40" w:type="dxa"/>
              <w:left w:w="40" w:type="dxa"/>
              <w:bottom w:w="40" w:type="dxa"/>
              <w:right w:w="40" w:type="dxa"/>
            </w:tcMar>
            <w:vAlign w:val="bottom"/>
          </w:tcPr>
          <w:p w14:paraId="4ACE3C6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C68"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177</w:t>
            </w:r>
          </w:p>
        </w:tc>
        <w:tc>
          <w:tcPr>
            <w:tcW w:w="0" w:type="auto"/>
            <w:shd w:val="clear" w:color="auto" w:fill="auto"/>
            <w:vAlign w:val="bottom"/>
          </w:tcPr>
          <w:p w14:paraId="4ACE3C6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C6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C6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(253</w:t>
            </w:r>
          </w:p>
        </w:tc>
        <w:tc>
          <w:tcPr>
            <w:tcW w:w="0" w:type="auto"/>
            <w:shd w:val="clear" w:color="auto" w:fill="auto"/>
            <w:tcMar>
              <w:top w:w="40" w:type="dxa"/>
              <w:bottom w:w="40" w:type="dxa"/>
              <w:right w:w="40" w:type="dxa"/>
            </w:tcMar>
            <w:vAlign w:val="bottom"/>
          </w:tcPr>
          <w:p w14:paraId="4ACE3C6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3C6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C6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365</w:t>
            </w:r>
          </w:p>
        </w:tc>
        <w:tc>
          <w:tcPr>
            <w:tcW w:w="0" w:type="auto"/>
            <w:shd w:val="clear" w:color="auto" w:fill="auto"/>
            <w:vAlign w:val="bottom"/>
          </w:tcPr>
          <w:p w14:paraId="4ACE3C6F" w14:textId="77777777" w:rsidR="006F587A" w:rsidRDefault="006F587A">
            <w:pPr>
              <w:textAlignment w:val="bottom"/>
              <w:rPr>
                <w:rFonts w:ascii="Times New Roman" w:hAnsi="Times New Roman"/>
                <w:sz w:val="20"/>
                <w:szCs w:val="20"/>
              </w:rPr>
            </w:pPr>
          </w:p>
        </w:tc>
      </w:tr>
      <w:tr w:rsidR="006F587A" w14:paraId="4ACE3C7B" w14:textId="77777777">
        <w:tc>
          <w:tcPr>
            <w:tcW w:w="0" w:type="auto"/>
            <w:shd w:val="clear" w:color="auto" w:fill="auto"/>
            <w:tcMar>
              <w:top w:w="40" w:type="dxa"/>
              <w:left w:w="240" w:type="dxa"/>
              <w:bottom w:w="40" w:type="dxa"/>
              <w:right w:w="40" w:type="dxa"/>
            </w:tcMar>
            <w:vAlign w:val="bottom"/>
          </w:tcPr>
          <w:p w14:paraId="4ACE3C7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Actuarial valuation and other pension benefits (expenses), net</w:t>
            </w:r>
          </w:p>
        </w:tc>
        <w:tc>
          <w:tcPr>
            <w:tcW w:w="0" w:type="auto"/>
            <w:shd w:val="clear" w:color="auto" w:fill="auto"/>
            <w:tcMar>
              <w:top w:w="40" w:type="dxa"/>
              <w:left w:w="40" w:type="dxa"/>
              <w:bottom w:w="40" w:type="dxa"/>
              <w:right w:w="40" w:type="dxa"/>
            </w:tcMar>
            <w:vAlign w:val="bottom"/>
          </w:tcPr>
          <w:p w14:paraId="4ACE3C7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C7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(564</w:t>
            </w:r>
          </w:p>
        </w:tc>
        <w:tc>
          <w:tcPr>
            <w:tcW w:w="0" w:type="auto"/>
            <w:shd w:val="clear" w:color="auto" w:fill="auto"/>
            <w:tcMar>
              <w:top w:w="40" w:type="dxa"/>
              <w:bottom w:w="40" w:type="dxa"/>
              <w:right w:w="40" w:type="dxa"/>
            </w:tcMar>
            <w:vAlign w:val="bottom"/>
          </w:tcPr>
          <w:p w14:paraId="4ACE3C74"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3C7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C7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210</w:t>
            </w:r>
          </w:p>
        </w:tc>
        <w:tc>
          <w:tcPr>
            <w:tcW w:w="0" w:type="auto"/>
            <w:shd w:val="clear" w:color="auto" w:fill="auto"/>
            <w:vAlign w:val="bottom"/>
          </w:tcPr>
          <w:p w14:paraId="4ACE3C7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C7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C7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317</w:t>
            </w:r>
          </w:p>
        </w:tc>
        <w:tc>
          <w:tcPr>
            <w:tcW w:w="0" w:type="auto"/>
            <w:shd w:val="clear" w:color="auto" w:fill="auto"/>
            <w:vAlign w:val="bottom"/>
          </w:tcPr>
          <w:p w14:paraId="4ACE3C7A" w14:textId="77777777" w:rsidR="006F587A" w:rsidRDefault="006F587A">
            <w:pPr>
              <w:textAlignment w:val="bottom"/>
              <w:rPr>
                <w:rFonts w:ascii="Times New Roman" w:hAnsi="Times New Roman"/>
                <w:sz w:val="20"/>
                <w:szCs w:val="20"/>
              </w:rPr>
            </w:pPr>
          </w:p>
        </w:tc>
      </w:tr>
      <w:tr w:rsidR="006F587A" w14:paraId="4ACE3C86" w14:textId="77777777">
        <w:tc>
          <w:tcPr>
            <w:tcW w:w="0" w:type="auto"/>
            <w:shd w:val="clear" w:color="auto" w:fill="auto"/>
            <w:tcMar>
              <w:top w:w="40" w:type="dxa"/>
              <w:left w:w="240" w:type="dxa"/>
              <w:bottom w:w="40" w:type="dxa"/>
              <w:right w:w="40" w:type="dxa"/>
            </w:tcMar>
            <w:vAlign w:val="bottom"/>
          </w:tcPr>
          <w:p w14:paraId="4ACE3C7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Translation adjustments and </w:t>
            </w:r>
            <w:r>
              <w:rPr>
                <w:rFonts w:ascii="Arial" w:eastAsia="宋体" w:hAnsi="Arial" w:cs="Arial"/>
                <w:color w:val="333333"/>
                <w:sz w:val="18"/>
                <w:szCs w:val="18"/>
              </w:rPr>
              <w:t>other</w:t>
            </w:r>
          </w:p>
        </w:tc>
        <w:tc>
          <w:tcPr>
            <w:tcW w:w="0" w:type="auto"/>
            <w:shd w:val="clear" w:color="auto" w:fill="auto"/>
            <w:tcMar>
              <w:top w:w="40" w:type="dxa"/>
              <w:left w:w="40" w:type="dxa"/>
              <w:bottom w:w="40" w:type="dxa"/>
              <w:right w:w="40" w:type="dxa"/>
            </w:tcMar>
            <w:vAlign w:val="bottom"/>
          </w:tcPr>
          <w:p w14:paraId="4ACE3C7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C7E"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81</w:t>
            </w:r>
          </w:p>
        </w:tc>
        <w:tc>
          <w:tcPr>
            <w:tcW w:w="0" w:type="auto"/>
            <w:shd w:val="clear" w:color="auto" w:fill="auto"/>
            <w:vAlign w:val="bottom"/>
          </w:tcPr>
          <w:p w14:paraId="4ACE3C7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C8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C81"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w:t>
            </w:r>
          </w:p>
        </w:tc>
        <w:tc>
          <w:tcPr>
            <w:tcW w:w="0" w:type="auto"/>
            <w:shd w:val="clear" w:color="auto" w:fill="auto"/>
            <w:tcMar>
              <w:top w:w="40" w:type="dxa"/>
              <w:bottom w:w="40" w:type="dxa"/>
              <w:right w:w="40" w:type="dxa"/>
            </w:tcMar>
            <w:vAlign w:val="bottom"/>
          </w:tcPr>
          <w:p w14:paraId="4ACE3C8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3C8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C8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508</w:t>
            </w:r>
          </w:p>
        </w:tc>
        <w:tc>
          <w:tcPr>
            <w:tcW w:w="0" w:type="auto"/>
            <w:shd w:val="clear" w:color="auto" w:fill="auto"/>
            <w:vAlign w:val="bottom"/>
          </w:tcPr>
          <w:p w14:paraId="4ACE3C85" w14:textId="77777777" w:rsidR="006F587A" w:rsidRDefault="006F587A">
            <w:pPr>
              <w:textAlignment w:val="bottom"/>
              <w:rPr>
                <w:rFonts w:ascii="Times New Roman" w:hAnsi="Times New Roman"/>
                <w:sz w:val="20"/>
                <w:szCs w:val="20"/>
              </w:rPr>
            </w:pPr>
          </w:p>
        </w:tc>
      </w:tr>
      <w:tr w:rsidR="006F587A" w14:paraId="4ACE3C91" w14:textId="77777777">
        <w:tc>
          <w:tcPr>
            <w:tcW w:w="0" w:type="auto"/>
            <w:shd w:val="clear" w:color="auto" w:fill="auto"/>
            <w:tcMar>
              <w:top w:w="40" w:type="dxa"/>
              <w:left w:w="40" w:type="dxa"/>
              <w:bottom w:w="40" w:type="dxa"/>
              <w:right w:w="40" w:type="dxa"/>
            </w:tcMar>
            <w:vAlign w:val="bottom"/>
          </w:tcPr>
          <w:p w14:paraId="4ACE3C87"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Other comprehensive income (loss)</w:t>
            </w:r>
          </w:p>
        </w:tc>
        <w:tc>
          <w:tcPr>
            <w:tcW w:w="0" w:type="auto"/>
            <w:shd w:val="clear" w:color="auto" w:fill="auto"/>
            <w:tcMar>
              <w:top w:w="40" w:type="dxa"/>
              <w:left w:w="40" w:type="dxa"/>
              <w:bottom w:w="40" w:type="dxa"/>
              <w:right w:w="40" w:type="dxa"/>
            </w:tcMar>
            <w:vAlign w:val="bottom"/>
          </w:tcPr>
          <w:p w14:paraId="4ACE3C8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3C89"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(306</w:t>
            </w:r>
          </w:p>
        </w:tc>
        <w:tc>
          <w:tcPr>
            <w:tcW w:w="0" w:type="auto"/>
            <w:tcBorders>
              <w:top w:val="single" w:sz="8" w:space="0" w:color="333333"/>
              <w:bottom w:val="single" w:sz="8" w:space="0" w:color="333333"/>
            </w:tcBorders>
            <w:shd w:val="clear" w:color="auto" w:fill="auto"/>
            <w:tcMar>
              <w:top w:w="40" w:type="dxa"/>
              <w:bottom w:w="40" w:type="dxa"/>
              <w:right w:w="40" w:type="dxa"/>
            </w:tcMar>
            <w:vAlign w:val="bottom"/>
          </w:tcPr>
          <w:p w14:paraId="4ACE3C8A"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left w:w="40" w:type="dxa"/>
              <w:bottom w:w="40" w:type="dxa"/>
              <w:right w:w="40" w:type="dxa"/>
            </w:tcMar>
            <w:vAlign w:val="bottom"/>
          </w:tcPr>
          <w:p w14:paraId="4ACE3C8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tcBorders>
            <w:shd w:val="clear" w:color="auto" w:fill="auto"/>
            <w:tcMar>
              <w:top w:w="40" w:type="dxa"/>
              <w:left w:w="40" w:type="dxa"/>
              <w:bottom w:w="40" w:type="dxa"/>
            </w:tcMar>
            <w:vAlign w:val="bottom"/>
          </w:tcPr>
          <w:p w14:paraId="4ACE3C8C"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(46</w:t>
            </w:r>
          </w:p>
        </w:tc>
        <w:tc>
          <w:tcPr>
            <w:tcW w:w="0" w:type="auto"/>
            <w:tcBorders>
              <w:top w:val="single" w:sz="8" w:space="0" w:color="333333"/>
            </w:tcBorders>
            <w:shd w:val="clear" w:color="auto" w:fill="auto"/>
            <w:tcMar>
              <w:top w:w="40" w:type="dxa"/>
              <w:bottom w:w="40" w:type="dxa"/>
              <w:right w:w="40" w:type="dxa"/>
            </w:tcMar>
            <w:vAlign w:val="bottom"/>
          </w:tcPr>
          <w:p w14:paraId="4ACE3C8D"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4ACE3C8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tcBorders>
            <w:shd w:val="clear" w:color="auto" w:fill="auto"/>
            <w:tcMar>
              <w:top w:w="40" w:type="dxa"/>
              <w:left w:w="40" w:type="dxa"/>
              <w:bottom w:w="40" w:type="dxa"/>
            </w:tcMar>
            <w:vAlign w:val="bottom"/>
          </w:tcPr>
          <w:p w14:paraId="4ACE3C8F"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756</w:t>
            </w:r>
          </w:p>
        </w:tc>
        <w:tc>
          <w:tcPr>
            <w:tcW w:w="0" w:type="auto"/>
            <w:tcBorders>
              <w:top w:val="single" w:sz="8" w:space="0" w:color="333333"/>
            </w:tcBorders>
            <w:shd w:val="clear" w:color="auto" w:fill="auto"/>
            <w:vAlign w:val="bottom"/>
          </w:tcPr>
          <w:p w14:paraId="4ACE3C90" w14:textId="77777777" w:rsidR="006F587A" w:rsidRDefault="006F587A">
            <w:pPr>
              <w:textAlignment w:val="bottom"/>
              <w:rPr>
                <w:rFonts w:ascii="Times New Roman" w:hAnsi="Times New Roman"/>
                <w:sz w:val="20"/>
                <w:szCs w:val="20"/>
              </w:rPr>
            </w:pPr>
          </w:p>
        </w:tc>
      </w:tr>
      <w:tr w:rsidR="006F587A" w14:paraId="4ACE3C9F" w14:textId="77777777">
        <w:tc>
          <w:tcPr>
            <w:tcW w:w="0" w:type="auto"/>
            <w:shd w:val="clear" w:color="auto" w:fill="auto"/>
            <w:tcMar>
              <w:top w:w="40" w:type="dxa"/>
              <w:left w:w="40" w:type="dxa"/>
              <w:bottom w:w="40" w:type="dxa"/>
              <w:right w:w="40" w:type="dxa"/>
            </w:tcMar>
            <w:vAlign w:val="bottom"/>
          </w:tcPr>
          <w:p w14:paraId="4ACE3C92"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Total comprehensive income</w:t>
            </w:r>
          </w:p>
        </w:tc>
        <w:tc>
          <w:tcPr>
            <w:tcW w:w="0" w:type="auto"/>
            <w:shd w:val="clear" w:color="auto" w:fill="auto"/>
            <w:tcMar>
              <w:top w:w="40" w:type="dxa"/>
              <w:left w:w="40" w:type="dxa"/>
              <w:bottom w:w="40" w:type="dxa"/>
              <w:right w:w="40" w:type="dxa"/>
            </w:tcMar>
            <w:vAlign w:val="bottom"/>
          </w:tcPr>
          <w:p w14:paraId="4ACE3C9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333333"/>
            </w:tcBorders>
            <w:shd w:val="clear" w:color="auto" w:fill="auto"/>
            <w:tcMar>
              <w:top w:w="40" w:type="dxa"/>
              <w:left w:w="40" w:type="dxa"/>
              <w:bottom w:w="40" w:type="dxa"/>
            </w:tcMar>
            <w:vAlign w:val="bottom"/>
          </w:tcPr>
          <w:p w14:paraId="4ACE3C94"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bottom w:val="double" w:sz="6" w:space="0" w:color="333333"/>
            </w:tcBorders>
            <w:shd w:val="clear" w:color="auto" w:fill="auto"/>
            <w:tcMar>
              <w:top w:w="40" w:type="dxa"/>
              <w:bottom w:w="40" w:type="dxa"/>
            </w:tcMar>
            <w:vAlign w:val="bottom"/>
          </w:tcPr>
          <w:p w14:paraId="4ACE3C95"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20,742</w:t>
            </w:r>
          </w:p>
        </w:tc>
        <w:tc>
          <w:tcPr>
            <w:tcW w:w="0" w:type="auto"/>
            <w:tcBorders>
              <w:bottom w:val="double" w:sz="6" w:space="0" w:color="333333"/>
            </w:tcBorders>
            <w:shd w:val="clear" w:color="auto" w:fill="auto"/>
            <w:vAlign w:val="bottom"/>
          </w:tcPr>
          <w:p w14:paraId="4ACE3C9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C9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3C98"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3C99"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21,007</w:t>
            </w:r>
          </w:p>
        </w:tc>
        <w:tc>
          <w:tcPr>
            <w:tcW w:w="0" w:type="auto"/>
            <w:tcBorders>
              <w:top w:val="single" w:sz="8" w:space="0" w:color="333333"/>
              <w:bottom w:val="double" w:sz="6" w:space="0" w:color="333333"/>
            </w:tcBorders>
            <w:shd w:val="clear" w:color="auto" w:fill="auto"/>
            <w:vAlign w:val="bottom"/>
          </w:tcPr>
          <w:p w14:paraId="4ACE3C9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C9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3C9C"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3C9D"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10,357</w:t>
            </w:r>
          </w:p>
        </w:tc>
        <w:tc>
          <w:tcPr>
            <w:tcW w:w="0" w:type="auto"/>
            <w:tcBorders>
              <w:top w:val="single" w:sz="8" w:space="0" w:color="333333"/>
              <w:bottom w:val="double" w:sz="6" w:space="0" w:color="333333"/>
            </w:tcBorders>
            <w:shd w:val="clear" w:color="auto" w:fill="auto"/>
            <w:vAlign w:val="bottom"/>
          </w:tcPr>
          <w:p w14:paraId="4ACE3C9E" w14:textId="77777777" w:rsidR="006F587A" w:rsidRDefault="006F587A">
            <w:pPr>
              <w:textAlignment w:val="bottom"/>
              <w:rPr>
                <w:rFonts w:ascii="Times New Roman" w:hAnsi="Times New Roman"/>
                <w:sz w:val="20"/>
                <w:szCs w:val="20"/>
              </w:rPr>
            </w:pPr>
          </w:p>
        </w:tc>
      </w:tr>
    </w:tbl>
    <w:p w14:paraId="4ACE3CA0" w14:textId="77777777" w:rsidR="006F587A" w:rsidRDefault="007B2B61">
      <w:pPr>
        <w:spacing w:line="288" w:lineRule="auto"/>
        <w:rPr>
          <w:rFonts w:ascii="Times New Roman" w:hAnsi="Times New Roman"/>
          <w:sz w:val="18"/>
          <w:szCs w:val="18"/>
        </w:rPr>
      </w:pPr>
      <w:r>
        <w:rPr>
          <w:rFonts w:ascii="Arial" w:eastAsia="宋体" w:hAnsi="Arial" w:cs="Arial"/>
          <w:i/>
          <w:iCs/>
          <w:color w:val="333333"/>
          <w:sz w:val="18"/>
          <w:szCs w:val="18"/>
        </w:rPr>
        <w:t>See accompanying notes.</w:t>
      </w:r>
    </w:p>
    <w:p w14:paraId="4ACE3CA1"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60"/>
        <w:gridCol w:w="3405"/>
        <w:gridCol w:w="2741"/>
      </w:tblGrid>
      <w:tr w:rsidR="006F587A" w14:paraId="4ACE3CA3" w14:textId="77777777">
        <w:tc>
          <w:tcPr>
            <w:tcW w:w="0" w:type="auto"/>
            <w:gridSpan w:val="3"/>
            <w:shd w:val="clear" w:color="auto" w:fill="auto"/>
            <w:vAlign w:val="center"/>
          </w:tcPr>
          <w:p w14:paraId="4ACE3CA2" w14:textId="77777777" w:rsidR="006F587A" w:rsidRDefault="006F587A">
            <w:pPr>
              <w:rPr>
                <w:rFonts w:ascii="Times New Roman" w:hAnsi="Times New Roman"/>
                <w:sz w:val="20"/>
                <w:szCs w:val="20"/>
              </w:rPr>
            </w:pPr>
          </w:p>
        </w:tc>
      </w:tr>
      <w:tr w:rsidR="006F587A" w14:paraId="4ACE3CA7" w14:textId="77777777">
        <w:tc>
          <w:tcPr>
            <w:tcW w:w="1300" w:type="pct"/>
            <w:shd w:val="clear" w:color="auto" w:fill="auto"/>
            <w:vAlign w:val="center"/>
          </w:tcPr>
          <w:p w14:paraId="4ACE3CA4" w14:textId="77777777" w:rsidR="006F587A" w:rsidRDefault="006F587A">
            <w:pPr>
              <w:rPr>
                <w:rFonts w:ascii="Times New Roman" w:hAnsi="Times New Roman"/>
                <w:sz w:val="20"/>
                <w:szCs w:val="20"/>
              </w:rPr>
            </w:pPr>
          </w:p>
        </w:tc>
        <w:tc>
          <w:tcPr>
            <w:tcW w:w="2050" w:type="pct"/>
            <w:shd w:val="clear" w:color="auto" w:fill="auto"/>
            <w:vAlign w:val="center"/>
          </w:tcPr>
          <w:p w14:paraId="4ACE3CA5" w14:textId="77777777" w:rsidR="006F587A" w:rsidRDefault="006F587A">
            <w:pPr>
              <w:rPr>
                <w:rFonts w:ascii="Times New Roman" w:hAnsi="Times New Roman"/>
                <w:sz w:val="20"/>
                <w:szCs w:val="20"/>
              </w:rPr>
            </w:pPr>
          </w:p>
        </w:tc>
        <w:tc>
          <w:tcPr>
            <w:tcW w:w="1650" w:type="pct"/>
            <w:shd w:val="clear" w:color="auto" w:fill="auto"/>
            <w:vAlign w:val="center"/>
          </w:tcPr>
          <w:p w14:paraId="4ACE3CA6" w14:textId="77777777" w:rsidR="006F587A" w:rsidRDefault="006F587A">
            <w:pPr>
              <w:rPr>
                <w:rFonts w:ascii="Times New Roman" w:hAnsi="Times New Roman"/>
                <w:sz w:val="20"/>
                <w:szCs w:val="20"/>
              </w:rPr>
            </w:pPr>
          </w:p>
        </w:tc>
      </w:tr>
      <w:tr w:rsidR="006F587A" w14:paraId="4ACE3CAB" w14:textId="77777777">
        <w:tc>
          <w:tcPr>
            <w:tcW w:w="0" w:type="auto"/>
            <w:tcBorders>
              <w:top w:val="single" w:sz="8" w:space="0" w:color="0071C5"/>
              <w:right w:val="single" w:sz="36" w:space="0" w:color="0071C5"/>
            </w:tcBorders>
            <w:shd w:val="clear" w:color="auto" w:fill="auto"/>
            <w:tcMar>
              <w:top w:w="40" w:type="dxa"/>
              <w:left w:w="40" w:type="dxa"/>
              <w:bottom w:w="40" w:type="dxa"/>
              <w:right w:w="40" w:type="dxa"/>
            </w:tcMar>
            <w:vAlign w:val="center"/>
          </w:tcPr>
          <w:p w14:paraId="4ACE3CA8" w14:textId="77777777" w:rsidR="006F587A" w:rsidRDefault="007B2B61">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BA" wp14:editId="4ACE6DBB">
                  <wp:extent cx="304800" cy="304800"/>
                  <wp:effectExtent l="0" t="0" r="0" b="0"/>
                  <wp:docPr id="198" name="图片 278"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278"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CA9" w14:textId="77777777" w:rsidR="006F587A" w:rsidRDefault="007B2B61">
            <w:pPr>
              <w:textAlignment w:val="bottom"/>
              <w:rPr>
                <w:rFonts w:ascii="Times New Roman" w:hAnsi="Times New Roman"/>
                <w:sz w:val="16"/>
                <w:szCs w:val="16"/>
              </w:rPr>
            </w:pPr>
            <w:r>
              <w:rPr>
                <w:rFonts w:ascii="Arial" w:eastAsia="宋体" w:hAnsi="Arial" w:cs="Arial"/>
                <w:color w:val="333333"/>
                <w:sz w:val="16"/>
                <w:szCs w:val="16"/>
              </w:rPr>
              <w:t> Consolidated Statements of Comprehensive Income</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CAA"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70</w:t>
            </w:r>
          </w:p>
        </w:tc>
      </w:tr>
    </w:tbl>
    <w:p w14:paraId="4ACE3CAC" w14:textId="77777777" w:rsidR="006F587A" w:rsidRDefault="007B2B61">
      <w:r>
        <w:pict w14:anchorId="4ACE6DBC">
          <v:rect id="_x0000_i1096" style="width:415.3pt;height:1.5pt" o:hralign="center" o:hrstd="t" o:hr="t" fillcolor="#a0a0a0" stroked="f"/>
        </w:pict>
      </w:r>
    </w:p>
    <w:p w14:paraId="4ACE3CAD" w14:textId="77777777" w:rsidR="006F587A" w:rsidRDefault="007B2B61">
      <w:pPr>
        <w:spacing w:line="288" w:lineRule="auto"/>
        <w:jc w:val="right"/>
        <w:rPr>
          <w:rFonts w:ascii="Times New Roman" w:hAnsi="Times New Roman"/>
          <w:sz w:val="16"/>
          <w:szCs w:val="16"/>
        </w:rPr>
      </w:pPr>
      <w:hyperlink r:id="rId135" w:anchor="s9DB683E2CF52561EB8A73BE37F5BF9BE" w:history="1">
        <w:r>
          <w:rPr>
            <w:rStyle w:val="a5"/>
            <w:rFonts w:ascii="Arial" w:eastAsia="宋体" w:hAnsi="Arial" w:cs="Arial"/>
            <w:b/>
            <w:bCs/>
            <w:sz w:val="16"/>
            <w:szCs w:val="16"/>
          </w:rPr>
          <w:t>Table of Contents</w:t>
        </w:r>
      </w:hyperlink>
    </w:p>
    <w:p w14:paraId="4ACE3CAE" w14:textId="77777777" w:rsidR="006F587A" w:rsidRDefault="006F587A">
      <w:pPr>
        <w:spacing w:line="288" w:lineRule="auto"/>
        <w:jc w:val="right"/>
        <w:rPr>
          <w:rFonts w:ascii="Times New Roman" w:hAnsi="Times New Roman"/>
          <w:sz w:val="16"/>
          <w:szCs w:val="16"/>
        </w:rPr>
      </w:pPr>
    </w:p>
    <w:p w14:paraId="4ACE3CAF"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6F587A" w14:paraId="4ACE3CB1" w14:textId="77777777">
        <w:tc>
          <w:tcPr>
            <w:tcW w:w="0" w:type="auto"/>
            <w:shd w:val="clear" w:color="auto" w:fill="auto"/>
            <w:vAlign w:val="center"/>
          </w:tcPr>
          <w:p w14:paraId="4ACE3CB0" w14:textId="77777777" w:rsidR="006F587A" w:rsidRDefault="006F587A">
            <w:pPr>
              <w:rPr>
                <w:rFonts w:ascii="Times New Roman" w:hAnsi="Times New Roman"/>
                <w:sz w:val="20"/>
                <w:szCs w:val="20"/>
              </w:rPr>
            </w:pPr>
          </w:p>
        </w:tc>
      </w:tr>
      <w:tr w:rsidR="006F587A" w14:paraId="4ACE3CB3" w14:textId="77777777">
        <w:tc>
          <w:tcPr>
            <w:tcW w:w="5000" w:type="pct"/>
            <w:shd w:val="clear" w:color="auto" w:fill="auto"/>
            <w:vAlign w:val="center"/>
          </w:tcPr>
          <w:p w14:paraId="4ACE3CB2" w14:textId="77777777" w:rsidR="006F587A" w:rsidRDefault="006F587A">
            <w:pPr>
              <w:rPr>
                <w:rFonts w:ascii="Times New Roman" w:hAnsi="Times New Roman"/>
                <w:sz w:val="20"/>
                <w:szCs w:val="20"/>
              </w:rPr>
            </w:pPr>
          </w:p>
        </w:tc>
      </w:tr>
      <w:tr w:rsidR="006F587A" w14:paraId="4ACE3CB5" w14:textId="77777777">
        <w:tc>
          <w:tcPr>
            <w:tcW w:w="0" w:type="auto"/>
            <w:shd w:val="clear" w:color="auto" w:fill="0071C5"/>
            <w:tcMar>
              <w:top w:w="40" w:type="dxa"/>
              <w:left w:w="880" w:type="dxa"/>
              <w:bottom w:w="40" w:type="dxa"/>
              <w:right w:w="40" w:type="dxa"/>
            </w:tcMar>
            <w:vAlign w:val="bottom"/>
          </w:tcPr>
          <w:p w14:paraId="4ACE3CB4" w14:textId="77777777" w:rsidR="006F587A" w:rsidRDefault="007B2B61">
            <w:pPr>
              <w:textAlignment w:val="bottom"/>
              <w:rPr>
                <w:rFonts w:ascii="Times New Roman" w:hAnsi="Times New Roman"/>
                <w:sz w:val="36"/>
                <w:szCs w:val="36"/>
              </w:rPr>
            </w:pPr>
            <w:r>
              <w:rPr>
                <w:rFonts w:ascii="Arial" w:eastAsia="宋体" w:hAnsi="Arial" w:cs="Arial"/>
                <w:b/>
                <w:bCs/>
                <w:color w:val="FFFFFF"/>
                <w:sz w:val="36"/>
                <w:szCs w:val="36"/>
              </w:rPr>
              <w:t>CONSOLIDATED BALANCE SHEETS</w:t>
            </w:r>
          </w:p>
        </w:tc>
      </w:tr>
    </w:tbl>
    <w:p w14:paraId="4ACE3CB6" w14:textId="77777777" w:rsidR="006F587A" w:rsidRDefault="006F587A">
      <w:pPr>
        <w:rPr>
          <w:vanish/>
        </w:rPr>
      </w:pPr>
    </w:p>
    <w:tbl>
      <w:tblPr>
        <w:tblW w:w="5000" w:type="pct"/>
        <w:tblCellMar>
          <w:left w:w="0" w:type="dxa"/>
          <w:right w:w="0" w:type="dxa"/>
        </w:tblCellMar>
        <w:tblLook w:val="04A0" w:firstRow="1" w:lastRow="0" w:firstColumn="1" w:lastColumn="0" w:noHBand="0" w:noVBand="1"/>
      </w:tblPr>
      <w:tblGrid>
        <w:gridCol w:w="6064"/>
        <w:gridCol w:w="130"/>
        <w:gridCol w:w="141"/>
        <w:gridCol w:w="750"/>
        <w:gridCol w:w="100"/>
        <w:gridCol w:w="130"/>
        <w:gridCol w:w="141"/>
        <w:gridCol w:w="750"/>
        <w:gridCol w:w="100"/>
      </w:tblGrid>
      <w:tr w:rsidR="006F587A" w14:paraId="4ACE3CB8" w14:textId="77777777">
        <w:tc>
          <w:tcPr>
            <w:tcW w:w="0" w:type="auto"/>
            <w:gridSpan w:val="9"/>
            <w:shd w:val="clear" w:color="auto" w:fill="auto"/>
            <w:vAlign w:val="center"/>
          </w:tcPr>
          <w:p w14:paraId="4ACE3CB7" w14:textId="77777777" w:rsidR="006F587A" w:rsidRDefault="006F587A">
            <w:pPr>
              <w:rPr>
                <w:rFonts w:ascii="Times New Roman" w:hAnsi="Times New Roman"/>
                <w:sz w:val="20"/>
                <w:szCs w:val="20"/>
              </w:rPr>
            </w:pPr>
          </w:p>
        </w:tc>
      </w:tr>
      <w:tr w:rsidR="006F587A" w14:paraId="4ACE3CC2" w14:textId="77777777">
        <w:tc>
          <w:tcPr>
            <w:tcW w:w="3700" w:type="pct"/>
            <w:shd w:val="clear" w:color="auto" w:fill="auto"/>
            <w:vAlign w:val="center"/>
          </w:tcPr>
          <w:p w14:paraId="4ACE3CB9" w14:textId="77777777" w:rsidR="006F587A" w:rsidRDefault="006F587A">
            <w:pPr>
              <w:rPr>
                <w:rFonts w:ascii="Times New Roman" w:hAnsi="Times New Roman"/>
                <w:sz w:val="20"/>
                <w:szCs w:val="20"/>
              </w:rPr>
            </w:pPr>
          </w:p>
        </w:tc>
        <w:tc>
          <w:tcPr>
            <w:tcW w:w="50" w:type="pct"/>
            <w:shd w:val="clear" w:color="auto" w:fill="auto"/>
            <w:vAlign w:val="center"/>
          </w:tcPr>
          <w:p w14:paraId="4ACE3CBA" w14:textId="77777777" w:rsidR="006F587A" w:rsidRDefault="006F587A">
            <w:pPr>
              <w:rPr>
                <w:rFonts w:ascii="Times New Roman" w:hAnsi="Times New Roman"/>
                <w:sz w:val="20"/>
                <w:szCs w:val="20"/>
              </w:rPr>
            </w:pPr>
          </w:p>
        </w:tc>
        <w:tc>
          <w:tcPr>
            <w:tcW w:w="50" w:type="pct"/>
            <w:shd w:val="clear" w:color="auto" w:fill="auto"/>
            <w:vAlign w:val="center"/>
          </w:tcPr>
          <w:p w14:paraId="4ACE3CBB" w14:textId="77777777" w:rsidR="006F587A" w:rsidRDefault="006F587A">
            <w:pPr>
              <w:rPr>
                <w:rFonts w:ascii="Times New Roman" w:hAnsi="Times New Roman"/>
                <w:sz w:val="20"/>
                <w:szCs w:val="20"/>
              </w:rPr>
            </w:pPr>
          </w:p>
        </w:tc>
        <w:tc>
          <w:tcPr>
            <w:tcW w:w="500" w:type="pct"/>
            <w:shd w:val="clear" w:color="auto" w:fill="auto"/>
            <w:vAlign w:val="center"/>
          </w:tcPr>
          <w:p w14:paraId="4ACE3CBC" w14:textId="77777777" w:rsidR="006F587A" w:rsidRDefault="006F587A">
            <w:pPr>
              <w:rPr>
                <w:rFonts w:ascii="Times New Roman" w:hAnsi="Times New Roman"/>
                <w:sz w:val="20"/>
                <w:szCs w:val="20"/>
              </w:rPr>
            </w:pPr>
          </w:p>
        </w:tc>
        <w:tc>
          <w:tcPr>
            <w:tcW w:w="50" w:type="pct"/>
            <w:shd w:val="clear" w:color="auto" w:fill="auto"/>
            <w:vAlign w:val="center"/>
          </w:tcPr>
          <w:p w14:paraId="4ACE3CBD" w14:textId="77777777" w:rsidR="006F587A" w:rsidRDefault="006F587A">
            <w:pPr>
              <w:rPr>
                <w:rFonts w:ascii="Times New Roman" w:hAnsi="Times New Roman"/>
                <w:sz w:val="20"/>
                <w:szCs w:val="20"/>
              </w:rPr>
            </w:pPr>
          </w:p>
        </w:tc>
        <w:tc>
          <w:tcPr>
            <w:tcW w:w="50" w:type="pct"/>
            <w:shd w:val="clear" w:color="auto" w:fill="auto"/>
            <w:vAlign w:val="center"/>
          </w:tcPr>
          <w:p w14:paraId="4ACE3CBE" w14:textId="77777777" w:rsidR="006F587A" w:rsidRDefault="006F587A">
            <w:pPr>
              <w:rPr>
                <w:rFonts w:ascii="Times New Roman" w:hAnsi="Times New Roman"/>
                <w:sz w:val="20"/>
                <w:szCs w:val="20"/>
              </w:rPr>
            </w:pPr>
          </w:p>
        </w:tc>
        <w:tc>
          <w:tcPr>
            <w:tcW w:w="50" w:type="pct"/>
            <w:shd w:val="clear" w:color="auto" w:fill="auto"/>
            <w:vAlign w:val="center"/>
          </w:tcPr>
          <w:p w14:paraId="4ACE3CBF" w14:textId="77777777" w:rsidR="006F587A" w:rsidRDefault="006F587A">
            <w:pPr>
              <w:rPr>
                <w:rFonts w:ascii="Times New Roman" w:hAnsi="Times New Roman"/>
                <w:sz w:val="20"/>
                <w:szCs w:val="20"/>
              </w:rPr>
            </w:pPr>
          </w:p>
        </w:tc>
        <w:tc>
          <w:tcPr>
            <w:tcW w:w="500" w:type="pct"/>
            <w:shd w:val="clear" w:color="auto" w:fill="auto"/>
            <w:vAlign w:val="center"/>
          </w:tcPr>
          <w:p w14:paraId="4ACE3CC0" w14:textId="77777777" w:rsidR="006F587A" w:rsidRDefault="006F587A">
            <w:pPr>
              <w:rPr>
                <w:rFonts w:ascii="Times New Roman" w:hAnsi="Times New Roman"/>
                <w:sz w:val="20"/>
                <w:szCs w:val="20"/>
              </w:rPr>
            </w:pPr>
          </w:p>
        </w:tc>
        <w:tc>
          <w:tcPr>
            <w:tcW w:w="50" w:type="pct"/>
            <w:shd w:val="clear" w:color="auto" w:fill="auto"/>
            <w:vAlign w:val="center"/>
          </w:tcPr>
          <w:p w14:paraId="4ACE3CC1" w14:textId="77777777" w:rsidR="006F587A" w:rsidRDefault="006F587A">
            <w:pPr>
              <w:rPr>
                <w:rFonts w:ascii="Times New Roman" w:hAnsi="Times New Roman"/>
                <w:sz w:val="20"/>
                <w:szCs w:val="20"/>
              </w:rPr>
            </w:pPr>
          </w:p>
        </w:tc>
      </w:tr>
      <w:tr w:rsidR="006F587A" w14:paraId="4ACE3CC8"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3CC3"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 xml:space="preserve">(In Millions, Except Par </w:t>
            </w:r>
            <w:r>
              <w:rPr>
                <w:rFonts w:ascii="Arial" w:eastAsia="宋体" w:hAnsi="Arial" w:cs="Arial"/>
                <w:b/>
                <w:bCs/>
                <w:color w:val="333333"/>
                <w:sz w:val="18"/>
                <w:szCs w:val="18"/>
              </w:rPr>
              <w:t>Value)</w:t>
            </w:r>
          </w:p>
        </w:tc>
        <w:tc>
          <w:tcPr>
            <w:tcW w:w="0" w:type="auto"/>
            <w:shd w:val="clear" w:color="auto" w:fill="auto"/>
            <w:tcMar>
              <w:top w:w="40" w:type="dxa"/>
              <w:left w:w="40" w:type="dxa"/>
              <w:bottom w:w="40" w:type="dxa"/>
              <w:right w:w="40" w:type="dxa"/>
            </w:tcMar>
            <w:vAlign w:val="bottom"/>
          </w:tcPr>
          <w:p w14:paraId="4ACE3CC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3CC5"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28, </w:t>
            </w:r>
            <w:r>
              <w:rPr>
                <w:rFonts w:ascii="Arial" w:eastAsia="宋体" w:hAnsi="Arial" w:cs="Arial"/>
                <w:b/>
                <w:bCs/>
                <w:color w:val="333333"/>
                <w:sz w:val="18"/>
                <w:szCs w:val="18"/>
              </w:rPr>
              <w:br/>
              <w:t>2019</w:t>
            </w:r>
          </w:p>
        </w:tc>
        <w:tc>
          <w:tcPr>
            <w:tcW w:w="0" w:type="auto"/>
            <w:shd w:val="clear" w:color="auto" w:fill="auto"/>
            <w:tcMar>
              <w:top w:w="40" w:type="dxa"/>
              <w:left w:w="40" w:type="dxa"/>
              <w:bottom w:w="40" w:type="dxa"/>
              <w:right w:w="40" w:type="dxa"/>
            </w:tcMar>
            <w:vAlign w:val="bottom"/>
          </w:tcPr>
          <w:p w14:paraId="4ACE3CC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3CC7"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29, </w:t>
            </w:r>
            <w:r>
              <w:rPr>
                <w:rFonts w:ascii="Arial" w:eastAsia="宋体" w:hAnsi="Arial" w:cs="Arial"/>
                <w:b/>
                <w:bCs/>
                <w:color w:val="333333"/>
                <w:sz w:val="18"/>
                <w:szCs w:val="18"/>
              </w:rPr>
              <w:br/>
              <w:t>2018</w:t>
            </w:r>
          </w:p>
        </w:tc>
      </w:tr>
      <w:tr w:rsidR="006F587A" w14:paraId="4ACE3CCE" w14:textId="77777777">
        <w:tc>
          <w:tcPr>
            <w:tcW w:w="0" w:type="auto"/>
            <w:shd w:val="clear" w:color="auto" w:fill="auto"/>
            <w:tcMar>
              <w:top w:w="40" w:type="dxa"/>
              <w:left w:w="40" w:type="dxa"/>
              <w:bottom w:w="40" w:type="dxa"/>
              <w:right w:w="40" w:type="dxa"/>
            </w:tcMar>
            <w:vAlign w:val="bottom"/>
          </w:tcPr>
          <w:p w14:paraId="4ACE3CC9"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Assets</w:t>
            </w:r>
          </w:p>
        </w:tc>
        <w:tc>
          <w:tcPr>
            <w:tcW w:w="0" w:type="auto"/>
            <w:shd w:val="clear" w:color="auto" w:fill="auto"/>
            <w:tcMar>
              <w:top w:w="40" w:type="dxa"/>
              <w:left w:w="40" w:type="dxa"/>
              <w:bottom w:w="40" w:type="dxa"/>
              <w:right w:w="40" w:type="dxa"/>
            </w:tcMar>
            <w:vAlign w:val="bottom"/>
          </w:tcPr>
          <w:p w14:paraId="4ACE3CC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CC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CC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CC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3CD4" w14:textId="77777777">
        <w:tc>
          <w:tcPr>
            <w:tcW w:w="0" w:type="auto"/>
            <w:shd w:val="clear" w:color="auto" w:fill="auto"/>
            <w:tcMar>
              <w:top w:w="40" w:type="dxa"/>
              <w:left w:w="40" w:type="dxa"/>
              <w:bottom w:w="40" w:type="dxa"/>
              <w:right w:w="40" w:type="dxa"/>
            </w:tcMar>
            <w:vAlign w:val="bottom"/>
          </w:tcPr>
          <w:p w14:paraId="4ACE3CC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Current assets:</w:t>
            </w:r>
          </w:p>
        </w:tc>
        <w:tc>
          <w:tcPr>
            <w:tcW w:w="0" w:type="auto"/>
            <w:shd w:val="clear" w:color="auto" w:fill="auto"/>
            <w:tcMar>
              <w:top w:w="40" w:type="dxa"/>
              <w:left w:w="40" w:type="dxa"/>
              <w:bottom w:w="40" w:type="dxa"/>
              <w:right w:w="40" w:type="dxa"/>
            </w:tcMar>
            <w:vAlign w:val="bottom"/>
          </w:tcPr>
          <w:p w14:paraId="4ACE3CD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CD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CD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CD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3CDE" w14:textId="77777777">
        <w:tc>
          <w:tcPr>
            <w:tcW w:w="0" w:type="auto"/>
            <w:shd w:val="clear" w:color="auto" w:fill="auto"/>
            <w:tcMar>
              <w:top w:w="40" w:type="dxa"/>
              <w:left w:w="240" w:type="dxa"/>
              <w:bottom w:w="40" w:type="dxa"/>
              <w:right w:w="40" w:type="dxa"/>
            </w:tcMar>
            <w:vAlign w:val="bottom"/>
          </w:tcPr>
          <w:p w14:paraId="4ACE3CD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Cash and cash equivalents</w:t>
            </w:r>
          </w:p>
        </w:tc>
        <w:tc>
          <w:tcPr>
            <w:tcW w:w="0" w:type="auto"/>
            <w:shd w:val="clear" w:color="auto" w:fill="auto"/>
            <w:tcMar>
              <w:top w:w="40" w:type="dxa"/>
              <w:left w:w="40" w:type="dxa"/>
              <w:bottom w:w="40" w:type="dxa"/>
              <w:right w:w="40" w:type="dxa"/>
            </w:tcMar>
            <w:vAlign w:val="bottom"/>
          </w:tcPr>
          <w:p w14:paraId="4ACE3CD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CD7"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3CD8"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4,194</w:t>
            </w:r>
          </w:p>
        </w:tc>
        <w:tc>
          <w:tcPr>
            <w:tcW w:w="0" w:type="auto"/>
            <w:shd w:val="clear" w:color="auto" w:fill="auto"/>
            <w:vAlign w:val="bottom"/>
          </w:tcPr>
          <w:p w14:paraId="4ACE3CD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CD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CD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CD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3,019</w:t>
            </w:r>
          </w:p>
        </w:tc>
        <w:tc>
          <w:tcPr>
            <w:tcW w:w="0" w:type="auto"/>
            <w:shd w:val="clear" w:color="auto" w:fill="auto"/>
            <w:vAlign w:val="bottom"/>
          </w:tcPr>
          <w:p w14:paraId="4ACE3CDD" w14:textId="77777777" w:rsidR="006F587A" w:rsidRDefault="006F587A">
            <w:pPr>
              <w:textAlignment w:val="bottom"/>
              <w:rPr>
                <w:rFonts w:ascii="Times New Roman" w:hAnsi="Times New Roman"/>
                <w:sz w:val="20"/>
                <w:szCs w:val="20"/>
              </w:rPr>
            </w:pPr>
          </w:p>
        </w:tc>
      </w:tr>
      <w:tr w:rsidR="006F587A" w14:paraId="4ACE3CE6" w14:textId="77777777">
        <w:tc>
          <w:tcPr>
            <w:tcW w:w="0" w:type="auto"/>
            <w:shd w:val="clear" w:color="auto" w:fill="auto"/>
            <w:tcMar>
              <w:top w:w="40" w:type="dxa"/>
              <w:left w:w="240" w:type="dxa"/>
              <w:bottom w:w="40" w:type="dxa"/>
              <w:right w:w="40" w:type="dxa"/>
            </w:tcMar>
            <w:vAlign w:val="bottom"/>
          </w:tcPr>
          <w:p w14:paraId="4ACE3CD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Short-term investments</w:t>
            </w:r>
          </w:p>
        </w:tc>
        <w:tc>
          <w:tcPr>
            <w:tcW w:w="0" w:type="auto"/>
            <w:shd w:val="clear" w:color="auto" w:fill="auto"/>
            <w:tcMar>
              <w:top w:w="40" w:type="dxa"/>
              <w:left w:w="40" w:type="dxa"/>
              <w:bottom w:w="40" w:type="dxa"/>
              <w:right w:w="40" w:type="dxa"/>
            </w:tcMar>
            <w:vAlign w:val="bottom"/>
          </w:tcPr>
          <w:p w14:paraId="4ACE3CE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CE1"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1,082</w:t>
            </w:r>
          </w:p>
        </w:tc>
        <w:tc>
          <w:tcPr>
            <w:tcW w:w="0" w:type="auto"/>
            <w:shd w:val="clear" w:color="auto" w:fill="auto"/>
            <w:vAlign w:val="bottom"/>
          </w:tcPr>
          <w:p w14:paraId="4ACE3CE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CE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CE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2,788</w:t>
            </w:r>
          </w:p>
        </w:tc>
        <w:tc>
          <w:tcPr>
            <w:tcW w:w="0" w:type="auto"/>
            <w:shd w:val="clear" w:color="auto" w:fill="auto"/>
            <w:vAlign w:val="bottom"/>
          </w:tcPr>
          <w:p w14:paraId="4ACE3CE5" w14:textId="77777777" w:rsidR="006F587A" w:rsidRDefault="006F587A">
            <w:pPr>
              <w:textAlignment w:val="bottom"/>
              <w:rPr>
                <w:rFonts w:ascii="Times New Roman" w:hAnsi="Times New Roman"/>
                <w:sz w:val="20"/>
                <w:szCs w:val="20"/>
              </w:rPr>
            </w:pPr>
          </w:p>
        </w:tc>
      </w:tr>
      <w:tr w:rsidR="006F587A" w14:paraId="4ACE3CEE" w14:textId="77777777">
        <w:tc>
          <w:tcPr>
            <w:tcW w:w="0" w:type="auto"/>
            <w:shd w:val="clear" w:color="auto" w:fill="auto"/>
            <w:tcMar>
              <w:top w:w="40" w:type="dxa"/>
              <w:left w:w="240" w:type="dxa"/>
              <w:bottom w:w="40" w:type="dxa"/>
              <w:right w:w="40" w:type="dxa"/>
            </w:tcMar>
            <w:vAlign w:val="bottom"/>
          </w:tcPr>
          <w:p w14:paraId="4ACE3CE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Trading assets</w:t>
            </w:r>
          </w:p>
        </w:tc>
        <w:tc>
          <w:tcPr>
            <w:tcW w:w="0" w:type="auto"/>
            <w:shd w:val="clear" w:color="auto" w:fill="auto"/>
            <w:tcMar>
              <w:top w:w="40" w:type="dxa"/>
              <w:left w:w="40" w:type="dxa"/>
              <w:bottom w:w="40" w:type="dxa"/>
              <w:right w:w="40" w:type="dxa"/>
            </w:tcMar>
            <w:vAlign w:val="bottom"/>
          </w:tcPr>
          <w:p w14:paraId="4ACE3CE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CE9"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7,847</w:t>
            </w:r>
          </w:p>
        </w:tc>
        <w:tc>
          <w:tcPr>
            <w:tcW w:w="0" w:type="auto"/>
            <w:shd w:val="clear" w:color="auto" w:fill="auto"/>
            <w:vAlign w:val="bottom"/>
          </w:tcPr>
          <w:p w14:paraId="4ACE3CE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CE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CE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5,843</w:t>
            </w:r>
          </w:p>
        </w:tc>
        <w:tc>
          <w:tcPr>
            <w:tcW w:w="0" w:type="auto"/>
            <w:shd w:val="clear" w:color="auto" w:fill="auto"/>
            <w:vAlign w:val="bottom"/>
          </w:tcPr>
          <w:p w14:paraId="4ACE3CED" w14:textId="77777777" w:rsidR="006F587A" w:rsidRDefault="006F587A">
            <w:pPr>
              <w:textAlignment w:val="bottom"/>
              <w:rPr>
                <w:rFonts w:ascii="Times New Roman" w:hAnsi="Times New Roman"/>
                <w:sz w:val="20"/>
                <w:szCs w:val="20"/>
              </w:rPr>
            </w:pPr>
          </w:p>
        </w:tc>
      </w:tr>
      <w:tr w:rsidR="006F587A" w14:paraId="4ACE3CF6" w14:textId="77777777">
        <w:tc>
          <w:tcPr>
            <w:tcW w:w="0" w:type="auto"/>
            <w:shd w:val="clear" w:color="auto" w:fill="auto"/>
            <w:tcMar>
              <w:top w:w="40" w:type="dxa"/>
              <w:left w:w="240" w:type="dxa"/>
              <w:bottom w:w="40" w:type="dxa"/>
              <w:right w:w="40" w:type="dxa"/>
            </w:tcMar>
            <w:vAlign w:val="bottom"/>
          </w:tcPr>
          <w:p w14:paraId="4ACE3CE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Accounts receivable, net of allowance for </w:t>
            </w:r>
            <w:r>
              <w:rPr>
                <w:rFonts w:ascii="Arial" w:eastAsia="宋体" w:hAnsi="Arial" w:cs="Arial"/>
                <w:color w:val="333333"/>
                <w:sz w:val="18"/>
                <w:szCs w:val="18"/>
              </w:rPr>
              <w:t>doubtful accounts</w:t>
            </w:r>
          </w:p>
        </w:tc>
        <w:tc>
          <w:tcPr>
            <w:tcW w:w="0" w:type="auto"/>
            <w:shd w:val="clear" w:color="auto" w:fill="auto"/>
            <w:tcMar>
              <w:top w:w="40" w:type="dxa"/>
              <w:left w:w="40" w:type="dxa"/>
              <w:bottom w:w="40" w:type="dxa"/>
              <w:right w:w="40" w:type="dxa"/>
            </w:tcMar>
            <w:vAlign w:val="bottom"/>
          </w:tcPr>
          <w:p w14:paraId="4ACE3CF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CF1"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7,659</w:t>
            </w:r>
          </w:p>
        </w:tc>
        <w:tc>
          <w:tcPr>
            <w:tcW w:w="0" w:type="auto"/>
            <w:shd w:val="clear" w:color="auto" w:fill="auto"/>
            <w:vAlign w:val="bottom"/>
          </w:tcPr>
          <w:p w14:paraId="4ACE3CF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CF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CF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6,722</w:t>
            </w:r>
          </w:p>
        </w:tc>
        <w:tc>
          <w:tcPr>
            <w:tcW w:w="0" w:type="auto"/>
            <w:shd w:val="clear" w:color="auto" w:fill="auto"/>
            <w:vAlign w:val="bottom"/>
          </w:tcPr>
          <w:p w14:paraId="4ACE3CF5" w14:textId="77777777" w:rsidR="006F587A" w:rsidRDefault="006F587A">
            <w:pPr>
              <w:textAlignment w:val="bottom"/>
              <w:rPr>
                <w:rFonts w:ascii="Times New Roman" w:hAnsi="Times New Roman"/>
                <w:sz w:val="20"/>
                <w:szCs w:val="20"/>
              </w:rPr>
            </w:pPr>
          </w:p>
        </w:tc>
      </w:tr>
      <w:tr w:rsidR="006F587A" w14:paraId="4ACE3CFE" w14:textId="77777777">
        <w:tc>
          <w:tcPr>
            <w:tcW w:w="0" w:type="auto"/>
            <w:shd w:val="clear" w:color="auto" w:fill="auto"/>
            <w:tcMar>
              <w:top w:w="40" w:type="dxa"/>
              <w:left w:w="240" w:type="dxa"/>
              <w:bottom w:w="40" w:type="dxa"/>
              <w:right w:w="40" w:type="dxa"/>
            </w:tcMar>
            <w:vAlign w:val="bottom"/>
          </w:tcPr>
          <w:p w14:paraId="4ACE3CF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Inventories</w:t>
            </w:r>
          </w:p>
        </w:tc>
        <w:tc>
          <w:tcPr>
            <w:tcW w:w="0" w:type="auto"/>
            <w:shd w:val="clear" w:color="auto" w:fill="auto"/>
            <w:tcMar>
              <w:top w:w="40" w:type="dxa"/>
              <w:left w:w="40" w:type="dxa"/>
              <w:bottom w:w="40" w:type="dxa"/>
              <w:right w:w="40" w:type="dxa"/>
            </w:tcMar>
            <w:vAlign w:val="bottom"/>
          </w:tcPr>
          <w:p w14:paraId="4ACE3CF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CF9"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8,744</w:t>
            </w:r>
          </w:p>
        </w:tc>
        <w:tc>
          <w:tcPr>
            <w:tcW w:w="0" w:type="auto"/>
            <w:shd w:val="clear" w:color="auto" w:fill="auto"/>
            <w:vAlign w:val="bottom"/>
          </w:tcPr>
          <w:p w14:paraId="4ACE3CF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CF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CF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7,253</w:t>
            </w:r>
          </w:p>
        </w:tc>
        <w:tc>
          <w:tcPr>
            <w:tcW w:w="0" w:type="auto"/>
            <w:shd w:val="clear" w:color="auto" w:fill="auto"/>
            <w:vAlign w:val="bottom"/>
          </w:tcPr>
          <w:p w14:paraId="4ACE3CFD" w14:textId="77777777" w:rsidR="006F587A" w:rsidRDefault="006F587A">
            <w:pPr>
              <w:textAlignment w:val="bottom"/>
              <w:rPr>
                <w:rFonts w:ascii="Times New Roman" w:hAnsi="Times New Roman"/>
                <w:sz w:val="20"/>
                <w:szCs w:val="20"/>
              </w:rPr>
            </w:pPr>
          </w:p>
        </w:tc>
      </w:tr>
      <w:tr w:rsidR="006F587A" w14:paraId="4ACE3D06" w14:textId="77777777">
        <w:tc>
          <w:tcPr>
            <w:tcW w:w="0" w:type="auto"/>
            <w:shd w:val="clear" w:color="auto" w:fill="auto"/>
            <w:tcMar>
              <w:top w:w="40" w:type="dxa"/>
              <w:left w:w="240" w:type="dxa"/>
              <w:bottom w:w="40" w:type="dxa"/>
              <w:right w:w="40" w:type="dxa"/>
            </w:tcMar>
            <w:vAlign w:val="bottom"/>
          </w:tcPr>
          <w:p w14:paraId="4ACE3CF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lastRenderedPageBreak/>
              <w:t>Other current assets</w:t>
            </w:r>
          </w:p>
        </w:tc>
        <w:tc>
          <w:tcPr>
            <w:tcW w:w="0" w:type="auto"/>
            <w:shd w:val="clear" w:color="auto" w:fill="auto"/>
            <w:tcMar>
              <w:top w:w="40" w:type="dxa"/>
              <w:left w:w="40" w:type="dxa"/>
              <w:bottom w:w="40" w:type="dxa"/>
              <w:right w:w="40" w:type="dxa"/>
            </w:tcMar>
            <w:vAlign w:val="bottom"/>
          </w:tcPr>
          <w:p w14:paraId="4ACE3D0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D01"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1,713</w:t>
            </w:r>
          </w:p>
        </w:tc>
        <w:tc>
          <w:tcPr>
            <w:tcW w:w="0" w:type="auto"/>
            <w:shd w:val="clear" w:color="auto" w:fill="auto"/>
            <w:vAlign w:val="bottom"/>
          </w:tcPr>
          <w:p w14:paraId="4ACE3D0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D0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D0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3,162</w:t>
            </w:r>
          </w:p>
        </w:tc>
        <w:tc>
          <w:tcPr>
            <w:tcW w:w="0" w:type="auto"/>
            <w:shd w:val="clear" w:color="auto" w:fill="auto"/>
            <w:vAlign w:val="bottom"/>
          </w:tcPr>
          <w:p w14:paraId="4ACE3D05" w14:textId="77777777" w:rsidR="006F587A" w:rsidRDefault="006F587A">
            <w:pPr>
              <w:textAlignment w:val="bottom"/>
              <w:rPr>
                <w:rFonts w:ascii="Times New Roman" w:hAnsi="Times New Roman"/>
                <w:sz w:val="20"/>
                <w:szCs w:val="20"/>
              </w:rPr>
            </w:pPr>
          </w:p>
        </w:tc>
      </w:tr>
      <w:tr w:rsidR="006F587A" w14:paraId="4ACE3D0E" w14:textId="77777777">
        <w:tc>
          <w:tcPr>
            <w:tcW w:w="0" w:type="auto"/>
            <w:shd w:val="clear" w:color="auto" w:fill="auto"/>
            <w:tcMar>
              <w:top w:w="40" w:type="dxa"/>
              <w:left w:w="40" w:type="dxa"/>
              <w:bottom w:w="40" w:type="dxa"/>
              <w:right w:w="40" w:type="dxa"/>
            </w:tcMar>
            <w:vAlign w:val="bottom"/>
          </w:tcPr>
          <w:p w14:paraId="4ACE3D07"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Total current assets</w:t>
            </w:r>
          </w:p>
        </w:tc>
        <w:tc>
          <w:tcPr>
            <w:tcW w:w="0" w:type="auto"/>
            <w:shd w:val="clear" w:color="auto" w:fill="auto"/>
            <w:tcMar>
              <w:top w:w="40" w:type="dxa"/>
              <w:left w:w="40" w:type="dxa"/>
              <w:bottom w:w="40" w:type="dxa"/>
              <w:right w:w="40" w:type="dxa"/>
            </w:tcMar>
            <w:vAlign w:val="bottom"/>
          </w:tcPr>
          <w:p w14:paraId="4ACE3D0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3D09"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31,239</w:t>
            </w:r>
          </w:p>
        </w:tc>
        <w:tc>
          <w:tcPr>
            <w:tcW w:w="0" w:type="auto"/>
            <w:tcBorders>
              <w:top w:val="single" w:sz="8" w:space="0" w:color="333333"/>
              <w:bottom w:val="single" w:sz="8" w:space="0" w:color="333333"/>
            </w:tcBorders>
            <w:shd w:val="clear" w:color="auto" w:fill="auto"/>
            <w:vAlign w:val="bottom"/>
          </w:tcPr>
          <w:p w14:paraId="4ACE3D0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D0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3D0C"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28,787</w:t>
            </w:r>
          </w:p>
        </w:tc>
        <w:tc>
          <w:tcPr>
            <w:tcW w:w="0" w:type="auto"/>
            <w:tcBorders>
              <w:top w:val="single" w:sz="8" w:space="0" w:color="333333"/>
              <w:bottom w:val="single" w:sz="8" w:space="0" w:color="333333"/>
            </w:tcBorders>
            <w:shd w:val="clear" w:color="auto" w:fill="auto"/>
            <w:vAlign w:val="bottom"/>
          </w:tcPr>
          <w:p w14:paraId="4ACE3D0D" w14:textId="77777777" w:rsidR="006F587A" w:rsidRDefault="006F587A">
            <w:pPr>
              <w:textAlignment w:val="bottom"/>
              <w:rPr>
                <w:rFonts w:ascii="Times New Roman" w:hAnsi="Times New Roman"/>
                <w:sz w:val="20"/>
                <w:szCs w:val="20"/>
              </w:rPr>
            </w:pPr>
          </w:p>
        </w:tc>
      </w:tr>
      <w:tr w:rsidR="006F587A" w14:paraId="4ACE3D14" w14:textId="77777777">
        <w:tc>
          <w:tcPr>
            <w:tcW w:w="0" w:type="auto"/>
            <w:shd w:val="clear" w:color="auto" w:fill="auto"/>
            <w:tcMar>
              <w:top w:w="40" w:type="dxa"/>
              <w:left w:w="40" w:type="dxa"/>
              <w:bottom w:w="40" w:type="dxa"/>
              <w:right w:w="40" w:type="dxa"/>
            </w:tcMar>
            <w:vAlign w:val="bottom"/>
          </w:tcPr>
          <w:p w14:paraId="4ACE3D0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D1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D1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D1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D1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3D1C" w14:textId="77777777">
        <w:tc>
          <w:tcPr>
            <w:tcW w:w="0" w:type="auto"/>
            <w:shd w:val="clear" w:color="auto" w:fill="auto"/>
            <w:tcMar>
              <w:top w:w="40" w:type="dxa"/>
              <w:left w:w="40" w:type="dxa"/>
              <w:bottom w:w="40" w:type="dxa"/>
              <w:right w:w="40" w:type="dxa"/>
            </w:tcMar>
            <w:vAlign w:val="bottom"/>
          </w:tcPr>
          <w:p w14:paraId="4ACE3D15"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Property, plant and equipment, net</w:t>
            </w:r>
          </w:p>
        </w:tc>
        <w:tc>
          <w:tcPr>
            <w:tcW w:w="0" w:type="auto"/>
            <w:shd w:val="clear" w:color="auto" w:fill="auto"/>
            <w:tcMar>
              <w:top w:w="40" w:type="dxa"/>
              <w:left w:w="40" w:type="dxa"/>
              <w:bottom w:w="40" w:type="dxa"/>
              <w:right w:w="40" w:type="dxa"/>
            </w:tcMar>
            <w:vAlign w:val="bottom"/>
          </w:tcPr>
          <w:p w14:paraId="4ACE3D1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D17"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55,386</w:t>
            </w:r>
          </w:p>
        </w:tc>
        <w:tc>
          <w:tcPr>
            <w:tcW w:w="0" w:type="auto"/>
            <w:shd w:val="clear" w:color="auto" w:fill="auto"/>
            <w:vAlign w:val="bottom"/>
          </w:tcPr>
          <w:p w14:paraId="4ACE3D1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D1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D1A"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48,976</w:t>
            </w:r>
          </w:p>
        </w:tc>
        <w:tc>
          <w:tcPr>
            <w:tcW w:w="0" w:type="auto"/>
            <w:shd w:val="clear" w:color="auto" w:fill="auto"/>
            <w:vAlign w:val="bottom"/>
          </w:tcPr>
          <w:p w14:paraId="4ACE3D1B" w14:textId="77777777" w:rsidR="006F587A" w:rsidRDefault="006F587A">
            <w:pPr>
              <w:textAlignment w:val="bottom"/>
              <w:rPr>
                <w:rFonts w:ascii="Times New Roman" w:hAnsi="Times New Roman"/>
                <w:sz w:val="20"/>
                <w:szCs w:val="20"/>
              </w:rPr>
            </w:pPr>
          </w:p>
        </w:tc>
      </w:tr>
      <w:tr w:rsidR="006F587A" w14:paraId="4ACE3D24" w14:textId="77777777">
        <w:tc>
          <w:tcPr>
            <w:tcW w:w="0" w:type="auto"/>
            <w:shd w:val="clear" w:color="auto" w:fill="auto"/>
            <w:tcMar>
              <w:top w:w="40" w:type="dxa"/>
              <w:left w:w="40" w:type="dxa"/>
              <w:bottom w:w="40" w:type="dxa"/>
              <w:right w:w="40" w:type="dxa"/>
            </w:tcMar>
            <w:vAlign w:val="bottom"/>
          </w:tcPr>
          <w:p w14:paraId="4ACE3D1D"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Equity investments</w:t>
            </w:r>
          </w:p>
        </w:tc>
        <w:tc>
          <w:tcPr>
            <w:tcW w:w="0" w:type="auto"/>
            <w:shd w:val="clear" w:color="auto" w:fill="auto"/>
            <w:tcMar>
              <w:top w:w="40" w:type="dxa"/>
              <w:left w:w="40" w:type="dxa"/>
              <w:bottom w:w="40" w:type="dxa"/>
              <w:right w:w="40" w:type="dxa"/>
            </w:tcMar>
            <w:vAlign w:val="bottom"/>
          </w:tcPr>
          <w:p w14:paraId="4ACE3D1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D1F"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3,967</w:t>
            </w:r>
          </w:p>
        </w:tc>
        <w:tc>
          <w:tcPr>
            <w:tcW w:w="0" w:type="auto"/>
            <w:shd w:val="clear" w:color="auto" w:fill="auto"/>
            <w:vAlign w:val="bottom"/>
          </w:tcPr>
          <w:p w14:paraId="4ACE3D2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D2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D22"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6,042</w:t>
            </w:r>
          </w:p>
        </w:tc>
        <w:tc>
          <w:tcPr>
            <w:tcW w:w="0" w:type="auto"/>
            <w:shd w:val="clear" w:color="auto" w:fill="auto"/>
            <w:vAlign w:val="bottom"/>
          </w:tcPr>
          <w:p w14:paraId="4ACE3D23" w14:textId="77777777" w:rsidR="006F587A" w:rsidRDefault="006F587A">
            <w:pPr>
              <w:textAlignment w:val="bottom"/>
              <w:rPr>
                <w:rFonts w:ascii="Times New Roman" w:hAnsi="Times New Roman"/>
                <w:sz w:val="20"/>
                <w:szCs w:val="20"/>
              </w:rPr>
            </w:pPr>
          </w:p>
        </w:tc>
      </w:tr>
      <w:tr w:rsidR="006F587A" w14:paraId="4ACE3D2C" w14:textId="77777777">
        <w:tc>
          <w:tcPr>
            <w:tcW w:w="0" w:type="auto"/>
            <w:shd w:val="clear" w:color="auto" w:fill="auto"/>
            <w:tcMar>
              <w:top w:w="40" w:type="dxa"/>
              <w:left w:w="40" w:type="dxa"/>
              <w:bottom w:w="40" w:type="dxa"/>
              <w:right w:w="40" w:type="dxa"/>
            </w:tcMar>
            <w:vAlign w:val="bottom"/>
          </w:tcPr>
          <w:p w14:paraId="4ACE3D25"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Other long-term investments</w:t>
            </w:r>
          </w:p>
        </w:tc>
        <w:tc>
          <w:tcPr>
            <w:tcW w:w="0" w:type="auto"/>
            <w:shd w:val="clear" w:color="auto" w:fill="auto"/>
            <w:tcMar>
              <w:top w:w="40" w:type="dxa"/>
              <w:left w:w="40" w:type="dxa"/>
              <w:bottom w:w="40" w:type="dxa"/>
              <w:right w:w="40" w:type="dxa"/>
            </w:tcMar>
            <w:vAlign w:val="bottom"/>
          </w:tcPr>
          <w:p w14:paraId="4ACE3D2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D27"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3,276</w:t>
            </w:r>
          </w:p>
        </w:tc>
        <w:tc>
          <w:tcPr>
            <w:tcW w:w="0" w:type="auto"/>
            <w:shd w:val="clear" w:color="auto" w:fill="auto"/>
            <w:vAlign w:val="bottom"/>
          </w:tcPr>
          <w:p w14:paraId="4ACE3D2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D2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D2A"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3,388</w:t>
            </w:r>
          </w:p>
        </w:tc>
        <w:tc>
          <w:tcPr>
            <w:tcW w:w="0" w:type="auto"/>
            <w:shd w:val="clear" w:color="auto" w:fill="auto"/>
            <w:vAlign w:val="bottom"/>
          </w:tcPr>
          <w:p w14:paraId="4ACE3D2B" w14:textId="77777777" w:rsidR="006F587A" w:rsidRDefault="006F587A">
            <w:pPr>
              <w:textAlignment w:val="bottom"/>
              <w:rPr>
                <w:rFonts w:ascii="Times New Roman" w:hAnsi="Times New Roman"/>
                <w:sz w:val="20"/>
                <w:szCs w:val="20"/>
              </w:rPr>
            </w:pPr>
          </w:p>
        </w:tc>
      </w:tr>
      <w:tr w:rsidR="006F587A" w14:paraId="4ACE3D34" w14:textId="77777777">
        <w:tc>
          <w:tcPr>
            <w:tcW w:w="0" w:type="auto"/>
            <w:shd w:val="clear" w:color="auto" w:fill="auto"/>
            <w:tcMar>
              <w:top w:w="40" w:type="dxa"/>
              <w:left w:w="40" w:type="dxa"/>
              <w:bottom w:w="40" w:type="dxa"/>
              <w:right w:w="40" w:type="dxa"/>
            </w:tcMar>
            <w:vAlign w:val="bottom"/>
          </w:tcPr>
          <w:p w14:paraId="4ACE3D2D"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Goodwill</w:t>
            </w:r>
          </w:p>
        </w:tc>
        <w:tc>
          <w:tcPr>
            <w:tcW w:w="0" w:type="auto"/>
            <w:shd w:val="clear" w:color="auto" w:fill="auto"/>
            <w:tcMar>
              <w:top w:w="40" w:type="dxa"/>
              <w:left w:w="40" w:type="dxa"/>
              <w:bottom w:w="40" w:type="dxa"/>
              <w:right w:w="40" w:type="dxa"/>
            </w:tcMar>
            <w:vAlign w:val="bottom"/>
          </w:tcPr>
          <w:p w14:paraId="4ACE3D2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D2F"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26,276</w:t>
            </w:r>
          </w:p>
        </w:tc>
        <w:tc>
          <w:tcPr>
            <w:tcW w:w="0" w:type="auto"/>
            <w:shd w:val="clear" w:color="auto" w:fill="auto"/>
            <w:vAlign w:val="bottom"/>
          </w:tcPr>
          <w:p w14:paraId="4ACE3D3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D3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D32"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24,513</w:t>
            </w:r>
          </w:p>
        </w:tc>
        <w:tc>
          <w:tcPr>
            <w:tcW w:w="0" w:type="auto"/>
            <w:shd w:val="clear" w:color="auto" w:fill="auto"/>
            <w:vAlign w:val="bottom"/>
          </w:tcPr>
          <w:p w14:paraId="4ACE3D33" w14:textId="77777777" w:rsidR="006F587A" w:rsidRDefault="006F587A">
            <w:pPr>
              <w:textAlignment w:val="bottom"/>
              <w:rPr>
                <w:rFonts w:ascii="Times New Roman" w:hAnsi="Times New Roman"/>
                <w:sz w:val="20"/>
                <w:szCs w:val="20"/>
              </w:rPr>
            </w:pPr>
          </w:p>
        </w:tc>
      </w:tr>
      <w:tr w:rsidR="006F587A" w14:paraId="4ACE3D3C" w14:textId="77777777">
        <w:tc>
          <w:tcPr>
            <w:tcW w:w="0" w:type="auto"/>
            <w:shd w:val="clear" w:color="auto" w:fill="auto"/>
            <w:tcMar>
              <w:top w:w="40" w:type="dxa"/>
              <w:left w:w="40" w:type="dxa"/>
              <w:bottom w:w="40" w:type="dxa"/>
              <w:right w:w="40" w:type="dxa"/>
            </w:tcMar>
            <w:vAlign w:val="bottom"/>
          </w:tcPr>
          <w:p w14:paraId="4ACE3D35"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Identified intangible assets, net</w:t>
            </w:r>
          </w:p>
        </w:tc>
        <w:tc>
          <w:tcPr>
            <w:tcW w:w="0" w:type="auto"/>
            <w:shd w:val="clear" w:color="auto" w:fill="auto"/>
            <w:tcMar>
              <w:top w:w="40" w:type="dxa"/>
              <w:left w:w="40" w:type="dxa"/>
              <w:bottom w:w="40" w:type="dxa"/>
              <w:right w:w="40" w:type="dxa"/>
            </w:tcMar>
            <w:vAlign w:val="bottom"/>
          </w:tcPr>
          <w:p w14:paraId="4ACE3D3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D37"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10,827</w:t>
            </w:r>
          </w:p>
        </w:tc>
        <w:tc>
          <w:tcPr>
            <w:tcW w:w="0" w:type="auto"/>
            <w:shd w:val="clear" w:color="auto" w:fill="auto"/>
            <w:vAlign w:val="bottom"/>
          </w:tcPr>
          <w:p w14:paraId="4ACE3D3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D3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D3A"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11,836</w:t>
            </w:r>
          </w:p>
        </w:tc>
        <w:tc>
          <w:tcPr>
            <w:tcW w:w="0" w:type="auto"/>
            <w:shd w:val="clear" w:color="auto" w:fill="auto"/>
            <w:vAlign w:val="bottom"/>
          </w:tcPr>
          <w:p w14:paraId="4ACE3D3B" w14:textId="77777777" w:rsidR="006F587A" w:rsidRDefault="006F587A">
            <w:pPr>
              <w:textAlignment w:val="bottom"/>
              <w:rPr>
                <w:rFonts w:ascii="Times New Roman" w:hAnsi="Times New Roman"/>
                <w:sz w:val="20"/>
                <w:szCs w:val="20"/>
              </w:rPr>
            </w:pPr>
          </w:p>
        </w:tc>
      </w:tr>
      <w:tr w:rsidR="006F587A" w14:paraId="4ACE3D44" w14:textId="77777777">
        <w:tc>
          <w:tcPr>
            <w:tcW w:w="0" w:type="auto"/>
            <w:shd w:val="clear" w:color="auto" w:fill="auto"/>
            <w:tcMar>
              <w:top w:w="40" w:type="dxa"/>
              <w:left w:w="40" w:type="dxa"/>
              <w:bottom w:w="40" w:type="dxa"/>
              <w:right w:w="40" w:type="dxa"/>
            </w:tcMar>
            <w:vAlign w:val="bottom"/>
          </w:tcPr>
          <w:p w14:paraId="4ACE3D3D"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Other long-term assets</w:t>
            </w:r>
          </w:p>
        </w:tc>
        <w:tc>
          <w:tcPr>
            <w:tcW w:w="0" w:type="auto"/>
            <w:shd w:val="clear" w:color="auto" w:fill="auto"/>
            <w:tcMar>
              <w:top w:w="40" w:type="dxa"/>
              <w:left w:w="40" w:type="dxa"/>
              <w:bottom w:w="40" w:type="dxa"/>
              <w:right w:w="40" w:type="dxa"/>
            </w:tcMar>
            <w:vAlign w:val="bottom"/>
          </w:tcPr>
          <w:p w14:paraId="4ACE3D3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3D3F"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5,553</w:t>
            </w:r>
          </w:p>
        </w:tc>
        <w:tc>
          <w:tcPr>
            <w:tcW w:w="0" w:type="auto"/>
            <w:tcBorders>
              <w:bottom w:val="single" w:sz="8" w:space="0" w:color="333333"/>
            </w:tcBorders>
            <w:shd w:val="clear" w:color="auto" w:fill="auto"/>
            <w:vAlign w:val="bottom"/>
          </w:tcPr>
          <w:p w14:paraId="4ACE3D4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D4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D42"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4,421</w:t>
            </w:r>
          </w:p>
        </w:tc>
        <w:tc>
          <w:tcPr>
            <w:tcW w:w="0" w:type="auto"/>
            <w:shd w:val="clear" w:color="auto" w:fill="auto"/>
            <w:vAlign w:val="bottom"/>
          </w:tcPr>
          <w:p w14:paraId="4ACE3D43" w14:textId="77777777" w:rsidR="006F587A" w:rsidRDefault="006F587A">
            <w:pPr>
              <w:textAlignment w:val="bottom"/>
              <w:rPr>
                <w:rFonts w:ascii="Times New Roman" w:hAnsi="Times New Roman"/>
                <w:sz w:val="20"/>
                <w:szCs w:val="20"/>
              </w:rPr>
            </w:pPr>
          </w:p>
        </w:tc>
      </w:tr>
      <w:tr w:rsidR="006F587A" w14:paraId="4ACE3D4E" w14:textId="77777777">
        <w:tc>
          <w:tcPr>
            <w:tcW w:w="0" w:type="auto"/>
            <w:shd w:val="clear" w:color="auto" w:fill="auto"/>
            <w:tcMar>
              <w:top w:w="40" w:type="dxa"/>
              <w:left w:w="240" w:type="dxa"/>
              <w:bottom w:w="40" w:type="dxa"/>
              <w:right w:w="40" w:type="dxa"/>
            </w:tcMar>
            <w:vAlign w:val="bottom"/>
          </w:tcPr>
          <w:p w14:paraId="4ACE3D45"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Total assets</w:t>
            </w:r>
          </w:p>
        </w:tc>
        <w:tc>
          <w:tcPr>
            <w:tcW w:w="0" w:type="auto"/>
            <w:shd w:val="clear" w:color="auto" w:fill="auto"/>
            <w:tcMar>
              <w:top w:w="40" w:type="dxa"/>
              <w:left w:w="40" w:type="dxa"/>
              <w:bottom w:w="40" w:type="dxa"/>
              <w:right w:w="40" w:type="dxa"/>
            </w:tcMar>
            <w:vAlign w:val="bottom"/>
          </w:tcPr>
          <w:p w14:paraId="4ACE3D4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3D47"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3D48"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136,524</w:t>
            </w:r>
          </w:p>
        </w:tc>
        <w:tc>
          <w:tcPr>
            <w:tcW w:w="0" w:type="auto"/>
            <w:tcBorders>
              <w:top w:val="single" w:sz="8" w:space="0" w:color="333333"/>
              <w:bottom w:val="double" w:sz="6" w:space="0" w:color="333333"/>
            </w:tcBorders>
            <w:shd w:val="clear" w:color="auto" w:fill="auto"/>
            <w:vAlign w:val="bottom"/>
          </w:tcPr>
          <w:p w14:paraId="4ACE3D4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D4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3D4B"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3D4C"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127,963</w:t>
            </w:r>
          </w:p>
        </w:tc>
        <w:tc>
          <w:tcPr>
            <w:tcW w:w="0" w:type="auto"/>
            <w:tcBorders>
              <w:top w:val="single" w:sz="8" w:space="0" w:color="333333"/>
              <w:bottom w:val="double" w:sz="6" w:space="0" w:color="333333"/>
            </w:tcBorders>
            <w:shd w:val="clear" w:color="auto" w:fill="auto"/>
            <w:vAlign w:val="bottom"/>
          </w:tcPr>
          <w:p w14:paraId="4ACE3D4D" w14:textId="77777777" w:rsidR="006F587A" w:rsidRDefault="006F587A">
            <w:pPr>
              <w:textAlignment w:val="bottom"/>
              <w:rPr>
                <w:rFonts w:ascii="Times New Roman" w:hAnsi="Times New Roman"/>
                <w:sz w:val="20"/>
                <w:szCs w:val="20"/>
              </w:rPr>
            </w:pPr>
          </w:p>
        </w:tc>
      </w:tr>
      <w:tr w:rsidR="006F587A" w14:paraId="4ACE3D54" w14:textId="77777777">
        <w:tc>
          <w:tcPr>
            <w:tcW w:w="0" w:type="auto"/>
            <w:shd w:val="clear" w:color="auto" w:fill="auto"/>
            <w:tcMar>
              <w:top w:w="40" w:type="dxa"/>
              <w:left w:w="40" w:type="dxa"/>
              <w:bottom w:w="40" w:type="dxa"/>
              <w:right w:w="40" w:type="dxa"/>
            </w:tcMar>
            <w:vAlign w:val="bottom"/>
          </w:tcPr>
          <w:p w14:paraId="4ACE3D4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D5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D5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D5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D5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3D5A" w14:textId="77777777">
        <w:tc>
          <w:tcPr>
            <w:tcW w:w="0" w:type="auto"/>
            <w:shd w:val="clear" w:color="auto" w:fill="auto"/>
            <w:tcMar>
              <w:top w:w="40" w:type="dxa"/>
              <w:left w:w="40" w:type="dxa"/>
              <w:bottom w:w="40" w:type="dxa"/>
              <w:right w:w="40" w:type="dxa"/>
            </w:tcMar>
            <w:vAlign w:val="bottom"/>
          </w:tcPr>
          <w:p w14:paraId="4ACE3D55"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Liabilities, temporary equity, and stockholders’ equity</w:t>
            </w:r>
          </w:p>
        </w:tc>
        <w:tc>
          <w:tcPr>
            <w:tcW w:w="0" w:type="auto"/>
            <w:shd w:val="clear" w:color="auto" w:fill="auto"/>
            <w:tcMar>
              <w:top w:w="40" w:type="dxa"/>
              <w:left w:w="40" w:type="dxa"/>
              <w:bottom w:w="40" w:type="dxa"/>
              <w:right w:w="40" w:type="dxa"/>
            </w:tcMar>
            <w:vAlign w:val="bottom"/>
          </w:tcPr>
          <w:p w14:paraId="4ACE3D5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D5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D5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D5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3D60" w14:textId="77777777">
        <w:tc>
          <w:tcPr>
            <w:tcW w:w="0" w:type="auto"/>
            <w:shd w:val="clear" w:color="auto" w:fill="auto"/>
            <w:tcMar>
              <w:top w:w="40" w:type="dxa"/>
              <w:left w:w="40" w:type="dxa"/>
              <w:bottom w:w="40" w:type="dxa"/>
              <w:right w:w="40" w:type="dxa"/>
            </w:tcMar>
            <w:vAlign w:val="bottom"/>
          </w:tcPr>
          <w:p w14:paraId="4ACE3D5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Current liabilities:</w:t>
            </w:r>
          </w:p>
        </w:tc>
        <w:tc>
          <w:tcPr>
            <w:tcW w:w="0" w:type="auto"/>
            <w:shd w:val="clear" w:color="auto" w:fill="auto"/>
            <w:tcMar>
              <w:top w:w="40" w:type="dxa"/>
              <w:left w:w="40" w:type="dxa"/>
              <w:bottom w:w="40" w:type="dxa"/>
              <w:right w:w="40" w:type="dxa"/>
            </w:tcMar>
            <w:vAlign w:val="bottom"/>
          </w:tcPr>
          <w:p w14:paraId="4ACE3D5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D5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D5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D5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3D6A" w14:textId="77777777">
        <w:tc>
          <w:tcPr>
            <w:tcW w:w="0" w:type="auto"/>
            <w:shd w:val="clear" w:color="auto" w:fill="auto"/>
            <w:tcMar>
              <w:top w:w="40" w:type="dxa"/>
              <w:left w:w="240" w:type="dxa"/>
              <w:bottom w:w="40" w:type="dxa"/>
              <w:right w:w="40" w:type="dxa"/>
            </w:tcMar>
            <w:vAlign w:val="bottom"/>
          </w:tcPr>
          <w:p w14:paraId="4ACE3D6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Short-term debt</w:t>
            </w:r>
          </w:p>
        </w:tc>
        <w:tc>
          <w:tcPr>
            <w:tcW w:w="0" w:type="auto"/>
            <w:shd w:val="clear" w:color="auto" w:fill="auto"/>
            <w:tcMar>
              <w:top w:w="40" w:type="dxa"/>
              <w:left w:w="40" w:type="dxa"/>
              <w:bottom w:w="40" w:type="dxa"/>
              <w:right w:w="40" w:type="dxa"/>
            </w:tcMar>
            <w:vAlign w:val="bottom"/>
          </w:tcPr>
          <w:p w14:paraId="4ACE3D6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D63"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3D64"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3,693</w:t>
            </w:r>
          </w:p>
        </w:tc>
        <w:tc>
          <w:tcPr>
            <w:tcW w:w="0" w:type="auto"/>
            <w:shd w:val="clear" w:color="auto" w:fill="auto"/>
            <w:vAlign w:val="bottom"/>
          </w:tcPr>
          <w:p w14:paraId="4ACE3D6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D6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D6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3D6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1,261</w:t>
            </w:r>
          </w:p>
        </w:tc>
        <w:tc>
          <w:tcPr>
            <w:tcW w:w="0" w:type="auto"/>
            <w:shd w:val="clear" w:color="auto" w:fill="auto"/>
            <w:vAlign w:val="bottom"/>
          </w:tcPr>
          <w:p w14:paraId="4ACE3D69" w14:textId="77777777" w:rsidR="006F587A" w:rsidRDefault="006F587A">
            <w:pPr>
              <w:textAlignment w:val="bottom"/>
              <w:rPr>
                <w:rFonts w:ascii="Times New Roman" w:hAnsi="Times New Roman"/>
                <w:sz w:val="20"/>
                <w:szCs w:val="20"/>
              </w:rPr>
            </w:pPr>
          </w:p>
        </w:tc>
      </w:tr>
      <w:tr w:rsidR="006F587A" w14:paraId="4ACE3D72" w14:textId="77777777">
        <w:tc>
          <w:tcPr>
            <w:tcW w:w="0" w:type="auto"/>
            <w:shd w:val="clear" w:color="auto" w:fill="auto"/>
            <w:tcMar>
              <w:top w:w="40" w:type="dxa"/>
              <w:left w:w="240" w:type="dxa"/>
              <w:bottom w:w="40" w:type="dxa"/>
              <w:right w:w="40" w:type="dxa"/>
            </w:tcMar>
            <w:vAlign w:val="bottom"/>
          </w:tcPr>
          <w:p w14:paraId="4ACE3D6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Accounts payable</w:t>
            </w:r>
          </w:p>
        </w:tc>
        <w:tc>
          <w:tcPr>
            <w:tcW w:w="0" w:type="auto"/>
            <w:shd w:val="clear" w:color="auto" w:fill="auto"/>
            <w:tcMar>
              <w:top w:w="40" w:type="dxa"/>
              <w:left w:w="40" w:type="dxa"/>
              <w:bottom w:w="40" w:type="dxa"/>
              <w:right w:w="40" w:type="dxa"/>
            </w:tcMar>
            <w:vAlign w:val="bottom"/>
          </w:tcPr>
          <w:p w14:paraId="4ACE3D6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D6D"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4,128</w:t>
            </w:r>
          </w:p>
        </w:tc>
        <w:tc>
          <w:tcPr>
            <w:tcW w:w="0" w:type="auto"/>
            <w:shd w:val="clear" w:color="auto" w:fill="auto"/>
            <w:vAlign w:val="bottom"/>
          </w:tcPr>
          <w:p w14:paraId="4ACE3D6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D6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D70"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3,824</w:t>
            </w:r>
          </w:p>
        </w:tc>
        <w:tc>
          <w:tcPr>
            <w:tcW w:w="0" w:type="auto"/>
            <w:shd w:val="clear" w:color="auto" w:fill="auto"/>
            <w:vAlign w:val="bottom"/>
          </w:tcPr>
          <w:p w14:paraId="4ACE3D71" w14:textId="77777777" w:rsidR="006F587A" w:rsidRDefault="006F587A">
            <w:pPr>
              <w:textAlignment w:val="bottom"/>
              <w:rPr>
                <w:rFonts w:ascii="Times New Roman" w:hAnsi="Times New Roman"/>
                <w:sz w:val="20"/>
                <w:szCs w:val="20"/>
              </w:rPr>
            </w:pPr>
          </w:p>
        </w:tc>
      </w:tr>
      <w:tr w:rsidR="006F587A" w14:paraId="4ACE3D7A" w14:textId="77777777">
        <w:tc>
          <w:tcPr>
            <w:tcW w:w="0" w:type="auto"/>
            <w:shd w:val="clear" w:color="auto" w:fill="auto"/>
            <w:tcMar>
              <w:top w:w="40" w:type="dxa"/>
              <w:left w:w="240" w:type="dxa"/>
              <w:bottom w:w="40" w:type="dxa"/>
              <w:right w:w="40" w:type="dxa"/>
            </w:tcMar>
            <w:vAlign w:val="bottom"/>
          </w:tcPr>
          <w:p w14:paraId="4ACE3D7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Accrued compensation and benefits</w:t>
            </w:r>
          </w:p>
        </w:tc>
        <w:tc>
          <w:tcPr>
            <w:tcW w:w="0" w:type="auto"/>
            <w:shd w:val="clear" w:color="auto" w:fill="auto"/>
            <w:tcMar>
              <w:top w:w="40" w:type="dxa"/>
              <w:left w:w="40" w:type="dxa"/>
              <w:bottom w:w="40" w:type="dxa"/>
              <w:right w:w="40" w:type="dxa"/>
            </w:tcMar>
            <w:vAlign w:val="bottom"/>
          </w:tcPr>
          <w:p w14:paraId="4ACE3D7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D75"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3,853</w:t>
            </w:r>
          </w:p>
        </w:tc>
        <w:tc>
          <w:tcPr>
            <w:tcW w:w="0" w:type="auto"/>
            <w:shd w:val="clear" w:color="auto" w:fill="auto"/>
            <w:vAlign w:val="bottom"/>
          </w:tcPr>
          <w:p w14:paraId="4ACE3D7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D7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D7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3,622</w:t>
            </w:r>
          </w:p>
        </w:tc>
        <w:tc>
          <w:tcPr>
            <w:tcW w:w="0" w:type="auto"/>
            <w:shd w:val="clear" w:color="auto" w:fill="auto"/>
            <w:vAlign w:val="bottom"/>
          </w:tcPr>
          <w:p w14:paraId="4ACE3D79" w14:textId="77777777" w:rsidR="006F587A" w:rsidRDefault="006F587A">
            <w:pPr>
              <w:textAlignment w:val="bottom"/>
              <w:rPr>
                <w:rFonts w:ascii="Times New Roman" w:hAnsi="Times New Roman"/>
                <w:sz w:val="20"/>
                <w:szCs w:val="20"/>
              </w:rPr>
            </w:pPr>
          </w:p>
        </w:tc>
      </w:tr>
      <w:tr w:rsidR="006F587A" w14:paraId="4ACE3D82" w14:textId="77777777">
        <w:tc>
          <w:tcPr>
            <w:tcW w:w="0" w:type="auto"/>
            <w:shd w:val="clear" w:color="auto" w:fill="auto"/>
            <w:tcMar>
              <w:top w:w="40" w:type="dxa"/>
              <w:left w:w="240" w:type="dxa"/>
              <w:bottom w:w="40" w:type="dxa"/>
              <w:right w:w="40" w:type="dxa"/>
            </w:tcMar>
            <w:vAlign w:val="bottom"/>
          </w:tcPr>
          <w:p w14:paraId="4ACE3D7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Other accrued </w:t>
            </w:r>
            <w:r>
              <w:rPr>
                <w:rFonts w:ascii="Arial" w:eastAsia="宋体" w:hAnsi="Arial" w:cs="Arial"/>
                <w:color w:val="333333"/>
                <w:sz w:val="18"/>
                <w:szCs w:val="18"/>
              </w:rPr>
              <w:t>liabilities</w:t>
            </w:r>
          </w:p>
        </w:tc>
        <w:tc>
          <w:tcPr>
            <w:tcW w:w="0" w:type="auto"/>
            <w:shd w:val="clear" w:color="auto" w:fill="auto"/>
            <w:tcMar>
              <w:top w:w="40" w:type="dxa"/>
              <w:left w:w="40" w:type="dxa"/>
              <w:bottom w:w="40" w:type="dxa"/>
              <w:right w:w="40" w:type="dxa"/>
            </w:tcMar>
            <w:vAlign w:val="bottom"/>
          </w:tcPr>
          <w:p w14:paraId="4ACE3D7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D7D"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10,636</w:t>
            </w:r>
          </w:p>
        </w:tc>
        <w:tc>
          <w:tcPr>
            <w:tcW w:w="0" w:type="auto"/>
            <w:shd w:val="clear" w:color="auto" w:fill="auto"/>
            <w:vAlign w:val="bottom"/>
          </w:tcPr>
          <w:p w14:paraId="4ACE3D7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D7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D80"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7,919</w:t>
            </w:r>
          </w:p>
        </w:tc>
        <w:tc>
          <w:tcPr>
            <w:tcW w:w="0" w:type="auto"/>
            <w:shd w:val="clear" w:color="auto" w:fill="auto"/>
            <w:vAlign w:val="bottom"/>
          </w:tcPr>
          <w:p w14:paraId="4ACE3D81" w14:textId="77777777" w:rsidR="006F587A" w:rsidRDefault="006F587A">
            <w:pPr>
              <w:textAlignment w:val="bottom"/>
              <w:rPr>
                <w:rFonts w:ascii="Times New Roman" w:hAnsi="Times New Roman"/>
                <w:sz w:val="20"/>
                <w:szCs w:val="20"/>
              </w:rPr>
            </w:pPr>
          </w:p>
        </w:tc>
      </w:tr>
      <w:tr w:rsidR="006F587A" w14:paraId="4ACE3D8A" w14:textId="77777777">
        <w:tc>
          <w:tcPr>
            <w:tcW w:w="0" w:type="auto"/>
            <w:shd w:val="clear" w:color="auto" w:fill="auto"/>
            <w:tcMar>
              <w:top w:w="40" w:type="dxa"/>
              <w:left w:w="40" w:type="dxa"/>
              <w:bottom w:w="40" w:type="dxa"/>
              <w:right w:w="40" w:type="dxa"/>
            </w:tcMar>
            <w:vAlign w:val="bottom"/>
          </w:tcPr>
          <w:p w14:paraId="4ACE3D83"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Total current liabilities</w:t>
            </w:r>
          </w:p>
        </w:tc>
        <w:tc>
          <w:tcPr>
            <w:tcW w:w="0" w:type="auto"/>
            <w:shd w:val="clear" w:color="auto" w:fill="auto"/>
            <w:tcMar>
              <w:top w:w="40" w:type="dxa"/>
              <w:left w:w="40" w:type="dxa"/>
              <w:bottom w:w="40" w:type="dxa"/>
              <w:right w:w="40" w:type="dxa"/>
            </w:tcMar>
            <w:vAlign w:val="bottom"/>
          </w:tcPr>
          <w:p w14:paraId="4ACE3D8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3D85"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22,310</w:t>
            </w:r>
          </w:p>
        </w:tc>
        <w:tc>
          <w:tcPr>
            <w:tcW w:w="0" w:type="auto"/>
            <w:tcBorders>
              <w:top w:val="single" w:sz="8" w:space="0" w:color="333333"/>
              <w:bottom w:val="single" w:sz="8" w:space="0" w:color="333333"/>
            </w:tcBorders>
            <w:shd w:val="clear" w:color="auto" w:fill="auto"/>
            <w:vAlign w:val="bottom"/>
          </w:tcPr>
          <w:p w14:paraId="4ACE3D8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D8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3D88"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16,626</w:t>
            </w:r>
          </w:p>
        </w:tc>
        <w:tc>
          <w:tcPr>
            <w:tcW w:w="0" w:type="auto"/>
            <w:tcBorders>
              <w:top w:val="single" w:sz="8" w:space="0" w:color="333333"/>
              <w:bottom w:val="single" w:sz="8" w:space="0" w:color="333333"/>
            </w:tcBorders>
            <w:shd w:val="clear" w:color="auto" w:fill="auto"/>
            <w:vAlign w:val="bottom"/>
          </w:tcPr>
          <w:p w14:paraId="4ACE3D89" w14:textId="77777777" w:rsidR="006F587A" w:rsidRDefault="006F587A">
            <w:pPr>
              <w:textAlignment w:val="bottom"/>
              <w:rPr>
                <w:rFonts w:ascii="Times New Roman" w:hAnsi="Times New Roman"/>
                <w:sz w:val="20"/>
                <w:szCs w:val="20"/>
              </w:rPr>
            </w:pPr>
          </w:p>
        </w:tc>
      </w:tr>
      <w:tr w:rsidR="006F587A" w14:paraId="4ACE3D90" w14:textId="77777777">
        <w:tc>
          <w:tcPr>
            <w:tcW w:w="0" w:type="auto"/>
            <w:shd w:val="clear" w:color="auto" w:fill="auto"/>
            <w:tcMar>
              <w:top w:w="40" w:type="dxa"/>
              <w:left w:w="40" w:type="dxa"/>
              <w:bottom w:w="40" w:type="dxa"/>
              <w:right w:w="40" w:type="dxa"/>
            </w:tcMar>
            <w:vAlign w:val="bottom"/>
          </w:tcPr>
          <w:p w14:paraId="4ACE3D8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D8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D8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D8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D8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3D98" w14:textId="77777777">
        <w:tc>
          <w:tcPr>
            <w:tcW w:w="0" w:type="auto"/>
            <w:shd w:val="clear" w:color="auto" w:fill="auto"/>
            <w:tcMar>
              <w:top w:w="40" w:type="dxa"/>
              <w:left w:w="40" w:type="dxa"/>
              <w:bottom w:w="40" w:type="dxa"/>
              <w:right w:w="40" w:type="dxa"/>
            </w:tcMar>
            <w:vAlign w:val="bottom"/>
          </w:tcPr>
          <w:p w14:paraId="4ACE3D91"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Debt</w:t>
            </w:r>
          </w:p>
        </w:tc>
        <w:tc>
          <w:tcPr>
            <w:tcW w:w="0" w:type="auto"/>
            <w:shd w:val="clear" w:color="auto" w:fill="auto"/>
            <w:tcMar>
              <w:top w:w="40" w:type="dxa"/>
              <w:left w:w="40" w:type="dxa"/>
              <w:bottom w:w="40" w:type="dxa"/>
              <w:right w:w="40" w:type="dxa"/>
            </w:tcMar>
            <w:vAlign w:val="bottom"/>
          </w:tcPr>
          <w:p w14:paraId="4ACE3D9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D93"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25,308</w:t>
            </w:r>
          </w:p>
        </w:tc>
        <w:tc>
          <w:tcPr>
            <w:tcW w:w="0" w:type="auto"/>
            <w:shd w:val="clear" w:color="auto" w:fill="auto"/>
            <w:vAlign w:val="bottom"/>
          </w:tcPr>
          <w:p w14:paraId="4ACE3D9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D9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D96"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25,098</w:t>
            </w:r>
          </w:p>
        </w:tc>
        <w:tc>
          <w:tcPr>
            <w:tcW w:w="0" w:type="auto"/>
            <w:shd w:val="clear" w:color="auto" w:fill="auto"/>
            <w:vAlign w:val="bottom"/>
          </w:tcPr>
          <w:p w14:paraId="4ACE3D97" w14:textId="77777777" w:rsidR="006F587A" w:rsidRDefault="006F587A">
            <w:pPr>
              <w:textAlignment w:val="bottom"/>
              <w:rPr>
                <w:rFonts w:ascii="Times New Roman" w:hAnsi="Times New Roman"/>
                <w:sz w:val="20"/>
                <w:szCs w:val="20"/>
              </w:rPr>
            </w:pPr>
          </w:p>
        </w:tc>
      </w:tr>
      <w:tr w:rsidR="006F587A" w14:paraId="4ACE3DA0" w14:textId="77777777">
        <w:tc>
          <w:tcPr>
            <w:tcW w:w="0" w:type="auto"/>
            <w:shd w:val="clear" w:color="auto" w:fill="auto"/>
            <w:tcMar>
              <w:top w:w="40" w:type="dxa"/>
              <w:left w:w="40" w:type="dxa"/>
              <w:bottom w:w="40" w:type="dxa"/>
              <w:right w:w="40" w:type="dxa"/>
            </w:tcMar>
            <w:vAlign w:val="bottom"/>
          </w:tcPr>
          <w:p w14:paraId="4ACE3D99"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Contract liabilities</w:t>
            </w:r>
          </w:p>
        </w:tc>
        <w:tc>
          <w:tcPr>
            <w:tcW w:w="0" w:type="auto"/>
            <w:shd w:val="clear" w:color="auto" w:fill="auto"/>
            <w:tcMar>
              <w:top w:w="40" w:type="dxa"/>
              <w:left w:w="40" w:type="dxa"/>
              <w:bottom w:w="40" w:type="dxa"/>
              <w:right w:w="40" w:type="dxa"/>
            </w:tcMar>
            <w:vAlign w:val="bottom"/>
          </w:tcPr>
          <w:p w14:paraId="4ACE3D9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D9B"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1,368</w:t>
            </w:r>
          </w:p>
        </w:tc>
        <w:tc>
          <w:tcPr>
            <w:tcW w:w="0" w:type="auto"/>
            <w:shd w:val="clear" w:color="auto" w:fill="auto"/>
            <w:vAlign w:val="bottom"/>
          </w:tcPr>
          <w:p w14:paraId="4ACE3D9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D9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D9E"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2,049</w:t>
            </w:r>
          </w:p>
        </w:tc>
        <w:tc>
          <w:tcPr>
            <w:tcW w:w="0" w:type="auto"/>
            <w:shd w:val="clear" w:color="auto" w:fill="auto"/>
            <w:vAlign w:val="bottom"/>
          </w:tcPr>
          <w:p w14:paraId="4ACE3D9F" w14:textId="77777777" w:rsidR="006F587A" w:rsidRDefault="006F587A">
            <w:pPr>
              <w:textAlignment w:val="bottom"/>
              <w:rPr>
                <w:rFonts w:ascii="Times New Roman" w:hAnsi="Times New Roman"/>
                <w:sz w:val="20"/>
                <w:szCs w:val="20"/>
              </w:rPr>
            </w:pPr>
          </w:p>
        </w:tc>
      </w:tr>
      <w:tr w:rsidR="006F587A" w14:paraId="4ACE3DA8" w14:textId="77777777">
        <w:tc>
          <w:tcPr>
            <w:tcW w:w="0" w:type="auto"/>
            <w:shd w:val="clear" w:color="auto" w:fill="auto"/>
            <w:tcMar>
              <w:top w:w="40" w:type="dxa"/>
              <w:left w:w="40" w:type="dxa"/>
              <w:bottom w:w="40" w:type="dxa"/>
              <w:right w:w="40" w:type="dxa"/>
            </w:tcMar>
            <w:vAlign w:val="bottom"/>
          </w:tcPr>
          <w:p w14:paraId="4ACE3DA1"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Income taxes payable, non-current</w:t>
            </w:r>
          </w:p>
        </w:tc>
        <w:tc>
          <w:tcPr>
            <w:tcW w:w="0" w:type="auto"/>
            <w:shd w:val="clear" w:color="auto" w:fill="auto"/>
            <w:tcMar>
              <w:top w:w="40" w:type="dxa"/>
              <w:left w:w="40" w:type="dxa"/>
              <w:bottom w:w="40" w:type="dxa"/>
              <w:right w:w="40" w:type="dxa"/>
            </w:tcMar>
            <w:vAlign w:val="bottom"/>
          </w:tcPr>
          <w:p w14:paraId="4ACE3DA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DA3"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4,919</w:t>
            </w:r>
          </w:p>
        </w:tc>
        <w:tc>
          <w:tcPr>
            <w:tcW w:w="0" w:type="auto"/>
            <w:shd w:val="clear" w:color="auto" w:fill="auto"/>
            <w:vAlign w:val="bottom"/>
          </w:tcPr>
          <w:p w14:paraId="4ACE3DA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DA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DA6"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4,897</w:t>
            </w:r>
          </w:p>
        </w:tc>
        <w:tc>
          <w:tcPr>
            <w:tcW w:w="0" w:type="auto"/>
            <w:shd w:val="clear" w:color="auto" w:fill="auto"/>
            <w:vAlign w:val="bottom"/>
          </w:tcPr>
          <w:p w14:paraId="4ACE3DA7" w14:textId="77777777" w:rsidR="006F587A" w:rsidRDefault="006F587A">
            <w:pPr>
              <w:textAlignment w:val="bottom"/>
              <w:rPr>
                <w:rFonts w:ascii="Times New Roman" w:hAnsi="Times New Roman"/>
                <w:sz w:val="20"/>
                <w:szCs w:val="20"/>
              </w:rPr>
            </w:pPr>
          </w:p>
        </w:tc>
      </w:tr>
      <w:tr w:rsidR="006F587A" w14:paraId="4ACE3DB0" w14:textId="77777777">
        <w:tc>
          <w:tcPr>
            <w:tcW w:w="0" w:type="auto"/>
            <w:shd w:val="clear" w:color="auto" w:fill="auto"/>
            <w:tcMar>
              <w:top w:w="40" w:type="dxa"/>
              <w:left w:w="40" w:type="dxa"/>
              <w:bottom w:w="40" w:type="dxa"/>
              <w:right w:w="40" w:type="dxa"/>
            </w:tcMar>
            <w:vAlign w:val="bottom"/>
          </w:tcPr>
          <w:p w14:paraId="4ACE3DA9"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Deferred income taxes</w:t>
            </w:r>
          </w:p>
        </w:tc>
        <w:tc>
          <w:tcPr>
            <w:tcW w:w="0" w:type="auto"/>
            <w:shd w:val="clear" w:color="auto" w:fill="auto"/>
            <w:tcMar>
              <w:top w:w="40" w:type="dxa"/>
              <w:left w:w="40" w:type="dxa"/>
              <w:bottom w:w="40" w:type="dxa"/>
              <w:right w:w="40" w:type="dxa"/>
            </w:tcMar>
            <w:vAlign w:val="bottom"/>
          </w:tcPr>
          <w:p w14:paraId="4ACE3DA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DAB"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2,044</w:t>
            </w:r>
          </w:p>
        </w:tc>
        <w:tc>
          <w:tcPr>
            <w:tcW w:w="0" w:type="auto"/>
            <w:shd w:val="clear" w:color="auto" w:fill="auto"/>
            <w:vAlign w:val="bottom"/>
          </w:tcPr>
          <w:p w14:paraId="4ACE3DA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DA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DAE"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1,665</w:t>
            </w:r>
          </w:p>
        </w:tc>
        <w:tc>
          <w:tcPr>
            <w:tcW w:w="0" w:type="auto"/>
            <w:shd w:val="clear" w:color="auto" w:fill="auto"/>
            <w:vAlign w:val="bottom"/>
          </w:tcPr>
          <w:p w14:paraId="4ACE3DAF" w14:textId="77777777" w:rsidR="006F587A" w:rsidRDefault="006F587A">
            <w:pPr>
              <w:textAlignment w:val="bottom"/>
              <w:rPr>
                <w:rFonts w:ascii="Times New Roman" w:hAnsi="Times New Roman"/>
                <w:sz w:val="20"/>
                <w:szCs w:val="20"/>
              </w:rPr>
            </w:pPr>
          </w:p>
        </w:tc>
      </w:tr>
      <w:tr w:rsidR="006F587A" w14:paraId="4ACE3DB8" w14:textId="77777777">
        <w:tc>
          <w:tcPr>
            <w:tcW w:w="0" w:type="auto"/>
            <w:shd w:val="clear" w:color="auto" w:fill="auto"/>
            <w:tcMar>
              <w:top w:w="40" w:type="dxa"/>
              <w:left w:w="40" w:type="dxa"/>
              <w:bottom w:w="40" w:type="dxa"/>
              <w:right w:w="40" w:type="dxa"/>
            </w:tcMar>
            <w:vAlign w:val="bottom"/>
          </w:tcPr>
          <w:p w14:paraId="4ACE3DB1"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Other long-term liabilities</w:t>
            </w:r>
          </w:p>
        </w:tc>
        <w:tc>
          <w:tcPr>
            <w:tcW w:w="0" w:type="auto"/>
            <w:shd w:val="clear" w:color="auto" w:fill="auto"/>
            <w:tcMar>
              <w:top w:w="40" w:type="dxa"/>
              <w:left w:w="40" w:type="dxa"/>
              <w:bottom w:w="40" w:type="dxa"/>
              <w:right w:w="40" w:type="dxa"/>
            </w:tcMar>
            <w:vAlign w:val="bottom"/>
          </w:tcPr>
          <w:p w14:paraId="4ACE3DB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DB3"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2,916</w:t>
            </w:r>
          </w:p>
        </w:tc>
        <w:tc>
          <w:tcPr>
            <w:tcW w:w="0" w:type="auto"/>
            <w:shd w:val="clear" w:color="auto" w:fill="auto"/>
            <w:vAlign w:val="bottom"/>
          </w:tcPr>
          <w:p w14:paraId="4ACE3DB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DB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DB6"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2,646</w:t>
            </w:r>
          </w:p>
        </w:tc>
        <w:tc>
          <w:tcPr>
            <w:tcW w:w="0" w:type="auto"/>
            <w:shd w:val="clear" w:color="auto" w:fill="auto"/>
            <w:vAlign w:val="bottom"/>
          </w:tcPr>
          <w:p w14:paraId="4ACE3DB7" w14:textId="77777777" w:rsidR="006F587A" w:rsidRDefault="006F587A">
            <w:pPr>
              <w:textAlignment w:val="bottom"/>
              <w:rPr>
                <w:rFonts w:ascii="Times New Roman" w:hAnsi="Times New Roman"/>
                <w:sz w:val="20"/>
                <w:szCs w:val="20"/>
              </w:rPr>
            </w:pPr>
          </w:p>
        </w:tc>
      </w:tr>
      <w:tr w:rsidR="006F587A" w14:paraId="4ACE3DBE" w14:textId="77777777">
        <w:tc>
          <w:tcPr>
            <w:tcW w:w="0" w:type="auto"/>
            <w:shd w:val="clear" w:color="auto" w:fill="auto"/>
            <w:tcMar>
              <w:top w:w="40" w:type="dxa"/>
              <w:left w:w="40" w:type="dxa"/>
              <w:bottom w:w="40" w:type="dxa"/>
              <w:right w:w="40" w:type="dxa"/>
            </w:tcMar>
            <w:vAlign w:val="bottom"/>
          </w:tcPr>
          <w:p w14:paraId="4ACE3DB9"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Commitments and Contingencies (Note 20)</w:t>
            </w:r>
          </w:p>
        </w:tc>
        <w:tc>
          <w:tcPr>
            <w:tcW w:w="0" w:type="auto"/>
            <w:shd w:val="clear" w:color="auto" w:fill="auto"/>
            <w:tcMar>
              <w:top w:w="40" w:type="dxa"/>
              <w:left w:w="40" w:type="dxa"/>
              <w:bottom w:w="40" w:type="dxa"/>
              <w:right w:w="40" w:type="dxa"/>
            </w:tcMar>
            <w:vAlign w:val="bottom"/>
          </w:tcPr>
          <w:p w14:paraId="4ACE3DB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DBB" w14:textId="77777777" w:rsidR="006F587A" w:rsidRDefault="006F587A">
            <w:pPr>
              <w:textAlignment w:val="bottom"/>
              <w:rPr>
                <w:rFonts w:ascii="Times New Roman" w:hAnsi="Times New Roman"/>
                <w:sz w:val="18"/>
                <w:szCs w:val="18"/>
              </w:rPr>
            </w:pPr>
          </w:p>
        </w:tc>
        <w:tc>
          <w:tcPr>
            <w:tcW w:w="0" w:type="auto"/>
            <w:shd w:val="clear" w:color="auto" w:fill="auto"/>
            <w:tcMar>
              <w:top w:w="40" w:type="dxa"/>
              <w:left w:w="40" w:type="dxa"/>
              <w:bottom w:w="40" w:type="dxa"/>
              <w:right w:w="40" w:type="dxa"/>
            </w:tcMar>
            <w:vAlign w:val="bottom"/>
          </w:tcPr>
          <w:p w14:paraId="4ACE3DB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DBD" w14:textId="77777777" w:rsidR="006F587A" w:rsidRDefault="006F587A">
            <w:pPr>
              <w:textAlignment w:val="bottom"/>
              <w:rPr>
                <w:rFonts w:ascii="Times New Roman" w:hAnsi="Times New Roman"/>
                <w:sz w:val="18"/>
                <w:szCs w:val="18"/>
              </w:rPr>
            </w:pPr>
          </w:p>
        </w:tc>
      </w:tr>
      <w:tr w:rsidR="006F587A" w14:paraId="4ACE3DC6" w14:textId="77777777">
        <w:tc>
          <w:tcPr>
            <w:tcW w:w="0" w:type="auto"/>
            <w:shd w:val="clear" w:color="auto" w:fill="auto"/>
            <w:tcMar>
              <w:top w:w="40" w:type="dxa"/>
              <w:left w:w="40" w:type="dxa"/>
              <w:bottom w:w="40" w:type="dxa"/>
              <w:right w:w="40" w:type="dxa"/>
            </w:tcMar>
            <w:vAlign w:val="bottom"/>
          </w:tcPr>
          <w:p w14:paraId="4ACE3DBF"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 xml:space="preserve">Temporary equity </w:t>
            </w:r>
          </w:p>
        </w:tc>
        <w:tc>
          <w:tcPr>
            <w:tcW w:w="0" w:type="auto"/>
            <w:shd w:val="clear" w:color="auto" w:fill="auto"/>
            <w:tcMar>
              <w:top w:w="40" w:type="dxa"/>
              <w:left w:w="40" w:type="dxa"/>
              <w:bottom w:w="40" w:type="dxa"/>
              <w:right w:w="40" w:type="dxa"/>
            </w:tcMar>
            <w:vAlign w:val="bottom"/>
          </w:tcPr>
          <w:p w14:paraId="4ACE3DC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DC1"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155</w:t>
            </w:r>
          </w:p>
        </w:tc>
        <w:tc>
          <w:tcPr>
            <w:tcW w:w="0" w:type="auto"/>
            <w:shd w:val="clear" w:color="auto" w:fill="auto"/>
            <w:vAlign w:val="bottom"/>
          </w:tcPr>
          <w:p w14:paraId="4ACE3DC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DC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DC4"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419</w:t>
            </w:r>
          </w:p>
        </w:tc>
        <w:tc>
          <w:tcPr>
            <w:tcW w:w="0" w:type="auto"/>
            <w:shd w:val="clear" w:color="auto" w:fill="auto"/>
            <w:vAlign w:val="bottom"/>
          </w:tcPr>
          <w:p w14:paraId="4ACE3DC5" w14:textId="77777777" w:rsidR="006F587A" w:rsidRDefault="006F587A">
            <w:pPr>
              <w:textAlignment w:val="bottom"/>
              <w:rPr>
                <w:rFonts w:ascii="Times New Roman" w:hAnsi="Times New Roman"/>
                <w:sz w:val="20"/>
                <w:szCs w:val="20"/>
              </w:rPr>
            </w:pPr>
          </w:p>
        </w:tc>
      </w:tr>
      <w:tr w:rsidR="006F587A" w14:paraId="4ACE3DCC" w14:textId="77777777">
        <w:tc>
          <w:tcPr>
            <w:tcW w:w="0" w:type="auto"/>
            <w:shd w:val="clear" w:color="auto" w:fill="auto"/>
            <w:tcMar>
              <w:top w:w="40" w:type="dxa"/>
              <w:left w:w="40" w:type="dxa"/>
              <w:bottom w:w="40" w:type="dxa"/>
              <w:right w:w="40" w:type="dxa"/>
            </w:tcMar>
            <w:vAlign w:val="bottom"/>
          </w:tcPr>
          <w:p w14:paraId="4ACE3DC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Stockholders’ equity:</w:t>
            </w:r>
          </w:p>
        </w:tc>
        <w:tc>
          <w:tcPr>
            <w:tcW w:w="0" w:type="auto"/>
            <w:shd w:val="clear" w:color="auto" w:fill="auto"/>
            <w:tcMar>
              <w:top w:w="40" w:type="dxa"/>
              <w:left w:w="40" w:type="dxa"/>
              <w:bottom w:w="40" w:type="dxa"/>
              <w:right w:w="40" w:type="dxa"/>
            </w:tcMar>
            <w:vAlign w:val="bottom"/>
          </w:tcPr>
          <w:p w14:paraId="4ACE3DC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DC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DC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DC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3DD4" w14:textId="77777777">
        <w:tc>
          <w:tcPr>
            <w:tcW w:w="0" w:type="auto"/>
            <w:shd w:val="clear" w:color="auto" w:fill="auto"/>
            <w:tcMar>
              <w:top w:w="40" w:type="dxa"/>
              <w:left w:w="240" w:type="dxa"/>
              <w:bottom w:w="40" w:type="dxa"/>
              <w:right w:w="40" w:type="dxa"/>
            </w:tcMar>
            <w:vAlign w:val="bottom"/>
          </w:tcPr>
          <w:p w14:paraId="4ACE3DC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Preferred stock, $0.001 par value, 50 shares authorized; none issued</w:t>
            </w:r>
          </w:p>
        </w:tc>
        <w:tc>
          <w:tcPr>
            <w:tcW w:w="0" w:type="auto"/>
            <w:shd w:val="clear" w:color="auto" w:fill="auto"/>
            <w:tcMar>
              <w:top w:w="40" w:type="dxa"/>
              <w:left w:w="40" w:type="dxa"/>
              <w:bottom w:w="40" w:type="dxa"/>
              <w:right w:w="40" w:type="dxa"/>
            </w:tcMar>
            <w:vAlign w:val="bottom"/>
          </w:tcPr>
          <w:p w14:paraId="4ACE3DC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DCF"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3DD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DD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DD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3DD3" w14:textId="77777777" w:rsidR="006F587A" w:rsidRDefault="006F587A">
            <w:pPr>
              <w:textAlignment w:val="bottom"/>
              <w:rPr>
                <w:rFonts w:ascii="Times New Roman" w:hAnsi="Times New Roman"/>
                <w:sz w:val="20"/>
                <w:szCs w:val="20"/>
              </w:rPr>
            </w:pPr>
          </w:p>
        </w:tc>
      </w:tr>
      <w:tr w:rsidR="006F587A" w14:paraId="4ACE3DDC" w14:textId="77777777">
        <w:tc>
          <w:tcPr>
            <w:tcW w:w="0" w:type="auto"/>
            <w:shd w:val="clear" w:color="auto" w:fill="auto"/>
            <w:tcMar>
              <w:top w:w="40" w:type="dxa"/>
              <w:left w:w="240" w:type="dxa"/>
              <w:bottom w:w="40" w:type="dxa"/>
              <w:right w:w="40" w:type="dxa"/>
            </w:tcMar>
            <w:vAlign w:val="bottom"/>
          </w:tcPr>
          <w:p w14:paraId="4ACE3DD5"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 xml:space="preserve">Common </w:t>
            </w:r>
            <w:r>
              <w:rPr>
                <w:rFonts w:ascii="Arial" w:eastAsia="宋体" w:hAnsi="Arial" w:cs="Arial"/>
                <w:color w:val="333333"/>
                <w:sz w:val="18"/>
                <w:szCs w:val="18"/>
              </w:rPr>
              <w:t>stock, $0.001 par value, 10,000 shares authorized; 4,290 shares issued and outstanding (4,516 issued and outstanding in 2018) and capital in excess of par value</w:t>
            </w:r>
          </w:p>
        </w:tc>
        <w:tc>
          <w:tcPr>
            <w:tcW w:w="0" w:type="auto"/>
            <w:shd w:val="clear" w:color="auto" w:fill="auto"/>
            <w:tcMar>
              <w:top w:w="40" w:type="dxa"/>
              <w:left w:w="40" w:type="dxa"/>
              <w:bottom w:w="40" w:type="dxa"/>
              <w:right w:w="40" w:type="dxa"/>
            </w:tcMar>
            <w:vAlign w:val="bottom"/>
          </w:tcPr>
          <w:p w14:paraId="4ACE3DD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DD7"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25,261</w:t>
            </w:r>
          </w:p>
        </w:tc>
        <w:tc>
          <w:tcPr>
            <w:tcW w:w="0" w:type="auto"/>
            <w:shd w:val="clear" w:color="auto" w:fill="auto"/>
            <w:vAlign w:val="bottom"/>
          </w:tcPr>
          <w:p w14:paraId="4ACE3DD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DD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DD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25,365</w:t>
            </w:r>
          </w:p>
        </w:tc>
        <w:tc>
          <w:tcPr>
            <w:tcW w:w="0" w:type="auto"/>
            <w:shd w:val="clear" w:color="auto" w:fill="auto"/>
            <w:vAlign w:val="bottom"/>
          </w:tcPr>
          <w:p w14:paraId="4ACE3DDB" w14:textId="77777777" w:rsidR="006F587A" w:rsidRDefault="006F587A">
            <w:pPr>
              <w:textAlignment w:val="bottom"/>
              <w:rPr>
                <w:rFonts w:ascii="Times New Roman" w:hAnsi="Times New Roman"/>
                <w:sz w:val="20"/>
                <w:szCs w:val="20"/>
              </w:rPr>
            </w:pPr>
          </w:p>
        </w:tc>
      </w:tr>
      <w:tr w:rsidR="006F587A" w14:paraId="4ACE3DE4" w14:textId="77777777">
        <w:tc>
          <w:tcPr>
            <w:tcW w:w="0" w:type="auto"/>
            <w:shd w:val="clear" w:color="auto" w:fill="auto"/>
            <w:tcMar>
              <w:top w:w="40" w:type="dxa"/>
              <w:left w:w="240" w:type="dxa"/>
              <w:bottom w:w="40" w:type="dxa"/>
              <w:right w:w="40" w:type="dxa"/>
            </w:tcMar>
            <w:vAlign w:val="bottom"/>
          </w:tcPr>
          <w:p w14:paraId="4ACE3DD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Accumulated other comprehensive income (loss)</w:t>
            </w:r>
          </w:p>
        </w:tc>
        <w:tc>
          <w:tcPr>
            <w:tcW w:w="0" w:type="auto"/>
            <w:shd w:val="clear" w:color="auto" w:fill="auto"/>
            <w:tcMar>
              <w:top w:w="40" w:type="dxa"/>
              <w:left w:w="40" w:type="dxa"/>
              <w:bottom w:w="40" w:type="dxa"/>
              <w:right w:w="40" w:type="dxa"/>
            </w:tcMar>
            <w:vAlign w:val="bottom"/>
          </w:tcPr>
          <w:p w14:paraId="4ACE3DD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DDF"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(1,280</w:t>
            </w:r>
          </w:p>
        </w:tc>
        <w:tc>
          <w:tcPr>
            <w:tcW w:w="0" w:type="auto"/>
            <w:shd w:val="clear" w:color="auto" w:fill="auto"/>
            <w:tcMar>
              <w:top w:w="40" w:type="dxa"/>
              <w:bottom w:w="40" w:type="dxa"/>
              <w:right w:w="40" w:type="dxa"/>
            </w:tcMar>
            <w:vAlign w:val="bottom"/>
          </w:tcPr>
          <w:p w14:paraId="4ACE3DE0"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3DE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DE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(974</w:t>
            </w:r>
          </w:p>
        </w:tc>
        <w:tc>
          <w:tcPr>
            <w:tcW w:w="0" w:type="auto"/>
            <w:shd w:val="clear" w:color="auto" w:fill="auto"/>
            <w:tcMar>
              <w:top w:w="40" w:type="dxa"/>
              <w:bottom w:w="40" w:type="dxa"/>
              <w:right w:w="40" w:type="dxa"/>
            </w:tcMar>
            <w:vAlign w:val="bottom"/>
          </w:tcPr>
          <w:p w14:paraId="4ACE3DE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3DEC" w14:textId="77777777">
        <w:tc>
          <w:tcPr>
            <w:tcW w:w="0" w:type="auto"/>
            <w:shd w:val="clear" w:color="auto" w:fill="auto"/>
            <w:tcMar>
              <w:top w:w="40" w:type="dxa"/>
              <w:left w:w="240" w:type="dxa"/>
              <w:bottom w:w="40" w:type="dxa"/>
              <w:right w:w="40" w:type="dxa"/>
            </w:tcMar>
            <w:vAlign w:val="bottom"/>
          </w:tcPr>
          <w:p w14:paraId="4ACE3DE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Retained earnings</w:t>
            </w:r>
          </w:p>
        </w:tc>
        <w:tc>
          <w:tcPr>
            <w:tcW w:w="0" w:type="auto"/>
            <w:shd w:val="clear" w:color="auto" w:fill="auto"/>
            <w:tcMar>
              <w:top w:w="40" w:type="dxa"/>
              <w:left w:w="40" w:type="dxa"/>
              <w:bottom w:w="40" w:type="dxa"/>
              <w:right w:w="40" w:type="dxa"/>
            </w:tcMar>
            <w:vAlign w:val="bottom"/>
          </w:tcPr>
          <w:p w14:paraId="4ACE3DE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DE7"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53,523</w:t>
            </w:r>
          </w:p>
        </w:tc>
        <w:tc>
          <w:tcPr>
            <w:tcW w:w="0" w:type="auto"/>
            <w:shd w:val="clear" w:color="auto" w:fill="auto"/>
            <w:vAlign w:val="bottom"/>
          </w:tcPr>
          <w:p w14:paraId="4ACE3DE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DE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DE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50,172</w:t>
            </w:r>
          </w:p>
        </w:tc>
        <w:tc>
          <w:tcPr>
            <w:tcW w:w="0" w:type="auto"/>
            <w:shd w:val="clear" w:color="auto" w:fill="auto"/>
            <w:vAlign w:val="bottom"/>
          </w:tcPr>
          <w:p w14:paraId="4ACE3DEB" w14:textId="77777777" w:rsidR="006F587A" w:rsidRDefault="006F587A">
            <w:pPr>
              <w:textAlignment w:val="bottom"/>
              <w:rPr>
                <w:rFonts w:ascii="Times New Roman" w:hAnsi="Times New Roman"/>
                <w:sz w:val="20"/>
                <w:szCs w:val="20"/>
              </w:rPr>
            </w:pPr>
          </w:p>
        </w:tc>
      </w:tr>
      <w:tr w:rsidR="006F587A" w14:paraId="4ACE3DF4" w14:textId="77777777">
        <w:tc>
          <w:tcPr>
            <w:tcW w:w="0" w:type="auto"/>
            <w:shd w:val="clear" w:color="auto" w:fill="auto"/>
            <w:tcMar>
              <w:top w:w="40" w:type="dxa"/>
              <w:left w:w="40" w:type="dxa"/>
              <w:bottom w:w="40" w:type="dxa"/>
              <w:right w:w="40" w:type="dxa"/>
            </w:tcMar>
            <w:vAlign w:val="bottom"/>
          </w:tcPr>
          <w:p w14:paraId="4ACE3DED"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Total stockholders’ equity</w:t>
            </w:r>
          </w:p>
        </w:tc>
        <w:tc>
          <w:tcPr>
            <w:tcW w:w="0" w:type="auto"/>
            <w:shd w:val="clear" w:color="auto" w:fill="auto"/>
            <w:tcMar>
              <w:top w:w="40" w:type="dxa"/>
              <w:left w:w="40" w:type="dxa"/>
              <w:bottom w:w="40" w:type="dxa"/>
              <w:right w:w="40" w:type="dxa"/>
            </w:tcMar>
            <w:vAlign w:val="bottom"/>
          </w:tcPr>
          <w:p w14:paraId="4ACE3DE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3DEF"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77,504</w:t>
            </w:r>
          </w:p>
        </w:tc>
        <w:tc>
          <w:tcPr>
            <w:tcW w:w="0" w:type="auto"/>
            <w:tcBorders>
              <w:top w:val="single" w:sz="8" w:space="0" w:color="333333"/>
              <w:bottom w:val="single" w:sz="8" w:space="0" w:color="333333"/>
            </w:tcBorders>
            <w:shd w:val="clear" w:color="auto" w:fill="auto"/>
            <w:vAlign w:val="bottom"/>
          </w:tcPr>
          <w:p w14:paraId="4ACE3DF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DF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3DF2"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74,563</w:t>
            </w:r>
          </w:p>
        </w:tc>
        <w:tc>
          <w:tcPr>
            <w:tcW w:w="0" w:type="auto"/>
            <w:tcBorders>
              <w:top w:val="single" w:sz="8" w:space="0" w:color="333333"/>
              <w:bottom w:val="single" w:sz="8" w:space="0" w:color="333333"/>
            </w:tcBorders>
            <w:shd w:val="clear" w:color="auto" w:fill="auto"/>
            <w:vAlign w:val="bottom"/>
          </w:tcPr>
          <w:p w14:paraId="4ACE3DF3" w14:textId="77777777" w:rsidR="006F587A" w:rsidRDefault="006F587A">
            <w:pPr>
              <w:textAlignment w:val="bottom"/>
              <w:rPr>
                <w:rFonts w:ascii="Times New Roman" w:hAnsi="Times New Roman"/>
                <w:sz w:val="20"/>
                <w:szCs w:val="20"/>
              </w:rPr>
            </w:pPr>
          </w:p>
        </w:tc>
      </w:tr>
      <w:tr w:rsidR="006F587A" w14:paraId="4ACE3DFE" w14:textId="77777777">
        <w:tc>
          <w:tcPr>
            <w:tcW w:w="0" w:type="auto"/>
            <w:shd w:val="clear" w:color="auto" w:fill="auto"/>
            <w:tcMar>
              <w:top w:w="40" w:type="dxa"/>
              <w:left w:w="240" w:type="dxa"/>
              <w:bottom w:w="40" w:type="dxa"/>
              <w:right w:w="40" w:type="dxa"/>
            </w:tcMar>
            <w:vAlign w:val="bottom"/>
          </w:tcPr>
          <w:p w14:paraId="4ACE3DF5"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Total liabilities, temporary equity, and stockholders’ equity</w:t>
            </w:r>
          </w:p>
        </w:tc>
        <w:tc>
          <w:tcPr>
            <w:tcW w:w="0" w:type="auto"/>
            <w:shd w:val="clear" w:color="auto" w:fill="auto"/>
            <w:tcMar>
              <w:top w:w="40" w:type="dxa"/>
              <w:left w:w="40" w:type="dxa"/>
              <w:bottom w:w="40" w:type="dxa"/>
              <w:right w:w="40" w:type="dxa"/>
            </w:tcMar>
            <w:vAlign w:val="bottom"/>
          </w:tcPr>
          <w:p w14:paraId="4ACE3DF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333333"/>
            </w:tcBorders>
            <w:shd w:val="clear" w:color="auto" w:fill="auto"/>
            <w:tcMar>
              <w:top w:w="40" w:type="dxa"/>
              <w:left w:w="40" w:type="dxa"/>
              <w:bottom w:w="40" w:type="dxa"/>
            </w:tcMar>
            <w:vAlign w:val="bottom"/>
          </w:tcPr>
          <w:p w14:paraId="4ACE3DF7"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bottom w:val="double" w:sz="6" w:space="0" w:color="333333"/>
            </w:tcBorders>
            <w:shd w:val="clear" w:color="auto" w:fill="auto"/>
            <w:tcMar>
              <w:top w:w="40" w:type="dxa"/>
              <w:bottom w:w="40" w:type="dxa"/>
            </w:tcMar>
            <w:vAlign w:val="bottom"/>
          </w:tcPr>
          <w:p w14:paraId="4ACE3DF8"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136,524</w:t>
            </w:r>
          </w:p>
        </w:tc>
        <w:tc>
          <w:tcPr>
            <w:tcW w:w="0" w:type="auto"/>
            <w:tcBorders>
              <w:bottom w:val="double" w:sz="6" w:space="0" w:color="333333"/>
            </w:tcBorders>
            <w:shd w:val="clear" w:color="auto" w:fill="auto"/>
            <w:vAlign w:val="bottom"/>
          </w:tcPr>
          <w:p w14:paraId="4ACE3DF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DF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333333"/>
            </w:tcBorders>
            <w:shd w:val="clear" w:color="auto" w:fill="auto"/>
            <w:tcMar>
              <w:top w:w="40" w:type="dxa"/>
              <w:left w:w="40" w:type="dxa"/>
              <w:bottom w:w="40" w:type="dxa"/>
            </w:tcMar>
            <w:vAlign w:val="bottom"/>
          </w:tcPr>
          <w:p w14:paraId="4ACE3DFB"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bottom w:val="double" w:sz="6" w:space="0" w:color="333333"/>
            </w:tcBorders>
            <w:shd w:val="clear" w:color="auto" w:fill="auto"/>
            <w:tcMar>
              <w:top w:w="40" w:type="dxa"/>
              <w:bottom w:w="40" w:type="dxa"/>
            </w:tcMar>
            <w:vAlign w:val="bottom"/>
          </w:tcPr>
          <w:p w14:paraId="4ACE3DFC"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127,963</w:t>
            </w:r>
          </w:p>
        </w:tc>
        <w:tc>
          <w:tcPr>
            <w:tcW w:w="0" w:type="auto"/>
            <w:tcBorders>
              <w:bottom w:val="double" w:sz="6" w:space="0" w:color="333333"/>
            </w:tcBorders>
            <w:shd w:val="clear" w:color="auto" w:fill="auto"/>
            <w:vAlign w:val="bottom"/>
          </w:tcPr>
          <w:p w14:paraId="4ACE3DFD" w14:textId="77777777" w:rsidR="006F587A" w:rsidRDefault="006F587A">
            <w:pPr>
              <w:textAlignment w:val="bottom"/>
              <w:rPr>
                <w:rFonts w:ascii="Times New Roman" w:hAnsi="Times New Roman"/>
                <w:sz w:val="20"/>
                <w:szCs w:val="20"/>
              </w:rPr>
            </w:pPr>
          </w:p>
        </w:tc>
      </w:tr>
    </w:tbl>
    <w:p w14:paraId="4ACE3DFF" w14:textId="77777777" w:rsidR="006F587A" w:rsidRDefault="007B2B61">
      <w:pPr>
        <w:spacing w:line="288" w:lineRule="auto"/>
        <w:rPr>
          <w:rFonts w:ascii="Times New Roman" w:hAnsi="Times New Roman"/>
          <w:sz w:val="18"/>
          <w:szCs w:val="18"/>
        </w:rPr>
      </w:pPr>
      <w:r>
        <w:rPr>
          <w:rFonts w:ascii="Arial" w:eastAsia="宋体" w:hAnsi="Arial" w:cs="Arial"/>
          <w:i/>
          <w:iCs/>
          <w:color w:val="333333"/>
          <w:sz w:val="18"/>
          <w:szCs w:val="18"/>
        </w:rPr>
        <w:t>See accompanying notes.</w:t>
      </w:r>
    </w:p>
    <w:p w14:paraId="4ACE3E00"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3E02" w14:textId="77777777">
        <w:tc>
          <w:tcPr>
            <w:tcW w:w="0" w:type="auto"/>
            <w:gridSpan w:val="3"/>
            <w:shd w:val="clear" w:color="auto" w:fill="auto"/>
            <w:vAlign w:val="center"/>
          </w:tcPr>
          <w:p w14:paraId="4ACE3E01" w14:textId="77777777" w:rsidR="006F587A" w:rsidRDefault="006F587A">
            <w:pPr>
              <w:rPr>
                <w:rFonts w:ascii="Times New Roman" w:hAnsi="Times New Roman"/>
                <w:sz w:val="20"/>
                <w:szCs w:val="20"/>
              </w:rPr>
            </w:pPr>
          </w:p>
        </w:tc>
      </w:tr>
      <w:tr w:rsidR="006F587A" w14:paraId="4ACE3E06" w14:textId="77777777">
        <w:tc>
          <w:tcPr>
            <w:tcW w:w="1300" w:type="pct"/>
            <w:shd w:val="clear" w:color="auto" w:fill="auto"/>
            <w:vAlign w:val="center"/>
          </w:tcPr>
          <w:p w14:paraId="4ACE3E03" w14:textId="77777777" w:rsidR="006F587A" w:rsidRDefault="006F587A">
            <w:pPr>
              <w:rPr>
                <w:rFonts w:ascii="Times New Roman" w:hAnsi="Times New Roman"/>
                <w:sz w:val="20"/>
                <w:szCs w:val="20"/>
              </w:rPr>
            </w:pPr>
          </w:p>
        </w:tc>
        <w:tc>
          <w:tcPr>
            <w:tcW w:w="1600" w:type="pct"/>
            <w:shd w:val="clear" w:color="auto" w:fill="auto"/>
            <w:vAlign w:val="center"/>
          </w:tcPr>
          <w:p w14:paraId="4ACE3E04" w14:textId="77777777" w:rsidR="006F587A" w:rsidRDefault="006F587A">
            <w:pPr>
              <w:rPr>
                <w:rFonts w:ascii="Times New Roman" w:hAnsi="Times New Roman"/>
                <w:sz w:val="20"/>
                <w:szCs w:val="20"/>
              </w:rPr>
            </w:pPr>
          </w:p>
        </w:tc>
        <w:tc>
          <w:tcPr>
            <w:tcW w:w="2100" w:type="pct"/>
            <w:shd w:val="clear" w:color="auto" w:fill="auto"/>
            <w:vAlign w:val="center"/>
          </w:tcPr>
          <w:p w14:paraId="4ACE3E05" w14:textId="77777777" w:rsidR="006F587A" w:rsidRDefault="006F587A">
            <w:pPr>
              <w:rPr>
                <w:rFonts w:ascii="Times New Roman" w:hAnsi="Times New Roman"/>
                <w:sz w:val="20"/>
                <w:szCs w:val="20"/>
              </w:rPr>
            </w:pPr>
          </w:p>
        </w:tc>
      </w:tr>
      <w:tr w:rsidR="006F587A" w14:paraId="4ACE3E0A" w14:textId="77777777">
        <w:tc>
          <w:tcPr>
            <w:tcW w:w="0" w:type="auto"/>
            <w:tcBorders>
              <w:top w:val="single" w:sz="8" w:space="0" w:color="0071C5"/>
              <w:right w:val="single" w:sz="36" w:space="0" w:color="0071C5"/>
            </w:tcBorders>
            <w:shd w:val="clear" w:color="auto" w:fill="auto"/>
            <w:tcMar>
              <w:top w:w="40" w:type="dxa"/>
              <w:left w:w="40" w:type="dxa"/>
              <w:bottom w:w="40" w:type="dxa"/>
              <w:right w:w="40" w:type="dxa"/>
            </w:tcMar>
            <w:vAlign w:val="center"/>
          </w:tcPr>
          <w:p w14:paraId="4ACE3E07" w14:textId="77777777" w:rsidR="006F587A" w:rsidRDefault="007B2B61">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BD" wp14:editId="4ACE6DBE">
                  <wp:extent cx="304800" cy="304800"/>
                  <wp:effectExtent l="0" t="0" r="0" b="0"/>
                  <wp:docPr id="195" name="图片 280"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280"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E08" w14:textId="77777777" w:rsidR="006F587A" w:rsidRDefault="007B2B61">
            <w:pPr>
              <w:textAlignment w:val="bottom"/>
              <w:rPr>
                <w:rFonts w:ascii="Times New Roman" w:hAnsi="Times New Roman"/>
                <w:sz w:val="16"/>
                <w:szCs w:val="16"/>
              </w:rPr>
            </w:pPr>
            <w:r>
              <w:rPr>
                <w:rFonts w:ascii="Arial" w:eastAsia="宋体" w:hAnsi="Arial" w:cs="Arial"/>
                <w:color w:val="333333"/>
                <w:sz w:val="16"/>
                <w:szCs w:val="16"/>
              </w:rPr>
              <w:t> Consolidated Balance Sheets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3E09"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71</w:t>
            </w:r>
          </w:p>
        </w:tc>
      </w:tr>
    </w:tbl>
    <w:p w14:paraId="4ACE3E0B" w14:textId="77777777" w:rsidR="006F587A" w:rsidRDefault="007B2B61">
      <w:r>
        <w:pict w14:anchorId="4ACE6DBF">
          <v:rect id="_x0000_i1097" style="width:415.3pt;height:1.5pt" o:hralign="center" o:hrstd="t" o:hr="t" fillcolor="#a0a0a0" stroked="f"/>
        </w:pict>
      </w:r>
    </w:p>
    <w:p w14:paraId="4ACE3E0C" w14:textId="77777777" w:rsidR="006F587A" w:rsidRDefault="007B2B61">
      <w:pPr>
        <w:spacing w:line="288" w:lineRule="auto"/>
        <w:jc w:val="right"/>
        <w:rPr>
          <w:rFonts w:ascii="Times New Roman" w:hAnsi="Times New Roman"/>
          <w:sz w:val="16"/>
          <w:szCs w:val="16"/>
        </w:rPr>
      </w:pPr>
      <w:hyperlink r:id="rId136" w:anchor="s9DB683E2CF52561EB8A73BE37F5BF9BE" w:history="1">
        <w:r>
          <w:rPr>
            <w:rStyle w:val="a5"/>
            <w:rFonts w:ascii="Arial" w:eastAsia="宋体" w:hAnsi="Arial" w:cs="Arial"/>
            <w:b/>
            <w:bCs/>
            <w:sz w:val="16"/>
            <w:szCs w:val="16"/>
          </w:rPr>
          <w:t>Table of Contents</w:t>
        </w:r>
      </w:hyperlink>
    </w:p>
    <w:p w14:paraId="4ACE3E0D" w14:textId="77777777" w:rsidR="006F587A" w:rsidRDefault="006F587A">
      <w:pPr>
        <w:spacing w:line="288" w:lineRule="auto"/>
        <w:jc w:val="right"/>
        <w:rPr>
          <w:rFonts w:ascii="Times New Roman" w:hAnsi="Times New Roman"/>
          <w:sz w:val="16"/>
          <w:szCs w:val="16"/>
        </w:rPr>
      </w:pPr>
    </w:p>
    <w:p w14:paraId="4ACE3E0E"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6F587A" w14:paraId="4ACE3E10" w14:textId="77777777">
        <w:tc>
          <w:tcPr>
            <w:tcW w:w="0" w:type="auto"/>
            <w:shd w:val="clear" w:color="auto" w:fill="auto"/>
            <w:vAlign w:val="center"/>
          </w:tcPr>
          <w:p w14:paraId="4ACE3E0F" w14:textId="77777777" w:rsidR="006F587A" w:rsidRDefault="006F587A">
            <w:pPr>
              <w:rPr>
                <w:rFonts w:ascii="Times New Roman" w:hAnsi="Times New Roman"/>
                <w:sz w:val="20"/>
                <w:szCs w:val="20"/>
              </w:rPr>
            </w:pPr>
          </w:p>
        </w:tc>
      </w:tr>
      <w:tr w:rsidR="006F587A" w14:paraId="4ACE3E12" w14:textId="77777777">
        <w:tc>
          <w:tcPr>
            <w:tcW w:w="5000" w:type="pct"/>
            <w:shd w:val="clear" w:color="auto" w:fill="auto"/>
            <w:vAlign w:val="center"/>
          </w:tcPr>
          <w:p w14:paraId="4ACE3E11" w14:textId="77777777" w:rsidR="006F587A" w:rsidRDefault="006F587A">
            <w:pPr>
              <w:rPr>
                <w:rFonts w:ascii="Times New Roman" w:hAnsi="Times New Roman"/>
                <w:sz w:val="20"/>
                <w:szCs w:val="20"/>
              </w:rPr>
            </w:pPr>
          </w:p>
        </w:tc>
      </w:tr>
      <w:tr w:rsidR="006F587A" w14:paraId="4ACE3E14" w14:textId="77777777">
        <w:tc>
          <w:tcPr>
            <w:tcW w:w="0" w:type="auto"/>
            <w:shd w:val="clear" w:color="auto" w:fill="0071C5"/>
            <w:tcMar>
              <w:top w:w="40" w:type="dxa"/>
              <w:left w:w="880" w:type="dxa"/>
              <w:bottom w:w="40" w:type="dxa"/>
              <w:right w:w="40" w:type="dxa"/>
            </w:tcMar>
            <w:vAlign w:val="bottom"/>
          </w:tcPr>
          <w:p w14:paraId="4ACE3E13" w14:textId="77777777" w:rsidR="006F587A" w:rsidRDefault="007B2B61">
            <w:pPr>
              <w:textAlignment w:val="bottom"/>
              <w:rPr>
                <w:rFonts w:ascii="Times New Roman" w:hAnsi="Times New Roman"/>
                <w:sz w:val="36"/>
                <w:szCs w:val="36"/>
              </w:rPr>
            </w:pPr>
            <w:r>
              <w:rPr>
                <w:rFonts w:ascii="Arial" w:eastAsia="宋体" w:hAnsi="Arial" w:cs="Arial"/>
                <w:b/>
                <w:bCs/>
                <w:color w:val="FFFFFF"/>
                <w:sz w:val="36"/>
                <w:szCs w:val="36"/>
              </w:rPr>
              <w:lastRenderedPageBreak/>
              <w:t>CONSOLIDATED STATEMENTS OF CASH FLOWS</w:t>
            </w:r>
          </w:p>
        </w:tc>
      </w:tr>
    </w:tbl>
    <w:p w14:paraId="4ACE3E15" w14:textId="77777777" w:rsidR="006F587A" w:rsidRDefault="006F587A">
      <w:pPr>
        <w:rPr>
          <w:vanish/>
        </w:rPr>
      </w:pPr>
    </w:p>
    <w:tbl>
      <w:tblPr>
        <w:tblW w:w="5000" w:type="pct"/>
        <w:tblCellMar>
          <w:left w:w="0" w:type="dxa"/>
          <w:right w:w="0" w:type="dxa"/>
        </w:tblCellMar>
        <w:tblLook w:val="04A0" w:firstRow="1" w:lastRow="0" w:firstColumn="1" w:lastColumn="0" w:noHBand="0" w:noVBand="1"/>
      </w:tblPr>
      <w:tblGrid>
        <w:gridCol w:w="4974"/>
        <w:gridCol w:w="130"/>
        <w:gridCol w:w="142"/>
        <w:gridCol w:w="738"/>
        <w:gridCol w:w="100"/>
        <w:gridCol w:w="130"/>
        <w:gridCol w:w="142"/>
        <w:gridCol w:w="739"/>
        <w:gridCol w:w="100"/>
        <w:gridCol w:w="130"/>
        <w:gridCol w:w="142"/>
        <w:gridCol w:w="739"/>
        <w:gridCol w:w="100"/>
      </w:tblGrid>
      <w:tr w:rsidR="006F587A" w14:paraId="4ACE3E17" w14:textId="77777777">
        <w:tc>
          <w:tcPr>
            <w:tcW w:w="0" w:type="auto"/>
            <w:gridSpan w:val="13"/>
            <w:shd w:val="clear" w:color="auto" w:fill="auto"/>
            <w:vAlign w:val="center"/>
          </w:tcPr>
          <w:p w14:paraId="4ACE3E16" w14:textId="77777777" w:rsidR="006F587A" w:rsidRDefault="006F587A">
            <w:pPr>
              <w:rPr>
                <w:rFonts w:ascii="Times New Roman" w:hAnsi="Times New Roman"/>
                <w:sz w:val="20"/>
                <w:szCs w:val="20"/>
              </w:rPr>
            </w:pPr>
          </w:p>
        </w:tc>
      </w:tr>
      <w:tr w:rsidR="006F587A" w14:paraId="4ACE3E25" w14:textId="77777777">
        <w:tc>
          <w:tcPr>
            <w:tcW w:w="3050" w:type="pct"/>
            <w:shd w:val="clear" w:color="auto" w:fill="auto"/>
            <w:vAlign w:val="center"/>
          </w:tcPr>
          <w:p w14:paraId="4ACE3E18" w14:textId="77777777" w:rsidR="006F587A" w:rsidRDefault="006F587A">
            <w:pPr>
              <w:rPr>
                <w:rFonts w:ascii="Times New Roman" w:hAnsi="Times New Roman"/>
                <w:sz w:val="20"/>
                <w:szCs w:val="20"/>
              </w:rPr>
            </w:pPr>
          </w:p>
        </w:tc>
        <w:tc>
          <w:tcPr>
            <w:tcW w:w="50" w:type="pct"/>
            <w:shd w:val="clear" w:color="auto" w:fill="auto"/>
            <w:vAlign w:val="center"/>
          </w:tcPr>
          <w:p w14:paraId="4ACE3E19" w14:textId="77777777" w:rsidR="006F587A" w:rsidRDefault="006F587A">
            <w:pPr>
              <w:rPr>
                <w:rFonts w:ascii="Times New Roman" w:hAnsi="Times New Roman"/>
                <w:sz w:val="20"/>
                <w:szCs w:val="20"/>
              </w:rPr>
            </w:pPr>
          </w:p>
        </w:tc>
        <w:tc>
          <w:tcPr>
            <w:tcW w:w="50" w:type="pct"/>
            <w:shd w:val="clear" w:color="auto" w:fill="auto"/>
            <w:vAlign w:val="center"/>
          </w:tcPr>
          <w:p w14:paraId="4ACE3E1A" w14:textId="77777777" w:rsidR="006F587A" w:rsidRDefault="006F587A">
            <w:pPr>
              <w:rPr>
                <w:rFonts w:ascii="Times New Roman" w:hAnsi="Times New Roman"/>
                <w:sz w:val="20"/>
                <w:szCs w:val="20"/>
              </w:rPr>
            </w:pPr>
          </w:p>
        </w:tc>
        <w:tc>
          <w:tcPr>
            <w:tcW w:w="500" w:type="pct"/>
            <w:shd w:val="clear" w:color="auto" w:fill="auto"/>
            <w:vAlign w:val="center"/>
          </w:tcPr>
          <w:p w14:paraId="4ACE3E1B" w14:textId="77777777" w:rsidR="006F587A" w:rsidRDefault="006F587A">
            <w:pPr>
              <w:rPr>
                <w:rFonts w:ascii="Times New Roman" w:hAnsi="Times New Roman"/>
                <w:sz w:val="20"/>
                <w:szCs w:val="20"/>
              </w:rPr>
            </w:pPr>
          </w:p>
        </w:tc>
        <w:tc>
          <w:tcPr>
            <w:tcW w:w="50" w:type="pct"/>
            <w:shd w:val="clear" w:color="auto" w:fill="auto"/>
            <w:vAlign w:val="center"/>
          </w:tcPr>
          <w:p w14:paraId="4ACE3E1C" w14:textId="77777777" w:rsidR="006F587A" w:rsidRDefault="006F587A">
            <w:pPr>
              <w:rPr>
                <w:rFonts w:ascii="Times New Roman" w:hAnsi="Times New Roman"/>
                <w:sz w:val="20"/>
                <w:szCs w:val="20"/>
              </w:rPr>
            </w:pPr>
          </w:p>
        </w:tc>
        <w:tc>
          <w:tcPr>
            <w:tcW w:w="50" w:type="pct"/>
            <w:shd w:val="clear" w:color="auto" w:fill="auto"/>
            <w:vAlign w:val="center"/>
          </w:tcPr>
          <w:p w14:paraId="4ACE3E1D" w14:textId="77777777" w:rsidR="006F587A" w:rsidRDefault="006F587A">
            <w:pPr>
              <w:rPr>
                <w:rFonts w:ascii="Times New Roman" w:hAnsi="Times New Roman"/>
                <w:sz w:val="20"/>
                <w:szCs w:val="20"/>
              </w:rPr>
            </w:pPr>
          </w:p>
        </w:tc>
        <w:tc>
          <w:tcPr>
            <w:tcW w:w="50" w:type="pct"/>
            <w:shd w:val="clear" w:color="auto" w:fill="auto"/>
            <w:vAlign w:val="center"/>
          </w:tcPr>
          <w:p w14:paraId="4ACE3E1E" w14:textId="77777777" w:rsidR="006F587A" w:rsidRDefault="006F587A">
            <w:pPr>
              <w:rPr>
                <w:rFonts w:ascii="Times New Roman" w:hAnsi="Times New Roman"/>
                <w:sz w:val="20"/>
                <w:szCs w:val="20"/>
              </w:rPr>
            </w:pPr>
          </w:p>
        </w:tc>
        <w:tc>
          <w:tcPr>
            <w:tcW w:w="500" w:type="pct"/>
            <w:shd w:val="clear" w:color="auto" w:fill="auto"/>
            <w:vAlign w:val="center"/>
          </w:tcPr>
          <w:p w14:paraId="4ACE3E1F" w14:textId="77777777" w:rsidR="006F587A" w:rsidRDefault="006F587A">
            <w:pPr>
              <w:rPr>
                <w:rFonts w:ascii="Times New Roman" w:hAnsi="Times New Roman"/>
                <w:sz w:val="20"/>
                <w:szCs w:val="20"/>
              </w:rPr>
            </w:pPr>
          </w:p>
        </w:tc>
        <w:tc>
          <w:tcPr>
            <w:tcW w:w="50" w:type="pct"/>
            <w:shd w:val="clear" w:color="auto" w:fill="auto"/>
            <w:vAlign w:val="center"/>
          </w:tcPr>
          <w:p w14:paraId="4ACE3E20" w14:textId="77777777" w:rsidR="006F587A" w:rsidRDefault="006F587A">
            <w:pPr>
              <w:rPr>
                <w:rFonts w:ascii="Times New Roman" w:hAnsi="Times New Roman"/>
                <w:sz w:val="20"/>
                <w:szCs w:val="20"/>
              </w:rPr>
            </w:pPr>
          </w:p>
        </w:tc>
        <w:tc>
          <w:tcPr>
            <w:tcW w:w="50" w:type="pct"/>
            <w:shd w:val="clear" w:color="auto" w:fill="auto"/>
            <w:vAlign w:val="center"/>
          </w:tcPr>
          <w:p w14:paraId="4ACE3E21" w14:textId="77777777" w:rsidR="006F587A" w:rsidRDefault="006F587A">
            <w:pPr>
              <w:rPr>
                <w:rFonts w:ascii="Times New Roman" w:hAnsi="Times New Roman"/>
                <w:sz w:val="20"/>
                <w:szCs w:val="20"/>
              </w:rPr>
            </w:pPr>
          </w:p>
        </w:tc>
        <w:tc>
          <w:tcPr>
            <w:tcW w:w="50" w:type="pct"/>
            <w:shd w:val="clear" w:color="auto" w:fill="auto"/>
            <w:vAlign w:val="center"/>
          </w:tcPr>
          <w:p w14:paraId="4ACE3E22" w14:textId="77777777" w:rsidR="006F587A" w:rsidRDefault="006F587A">
            <w:pPr>
              <w:rPr>
                <w:rFonts w:ascii="Times New Roman" w:hAnsi="Times New Roman"/>
                <w:sz w:val="20"/>
                <w:szCs w:val="20"/>
              </w:rPr>
            </w:pPr>
          </w:p>
        </w:tc>
        <w:tc>
          <w:tcPr>
            <w:tcW w:w="500" w:type="pct"/>
            <w:shd w:val="clear" w:color="auto" w:fill="auto"/>
            <w:vAlign w:val="center"/>
          </w:tcPr>
          <w:p w14:paraId="4ACE3E23" w14:textId="77777777" w:rsidR="006F587A" w:rsidRDefault="006F587A">
            <w:pPr>
              <w:rPr>
                <w:rFonts w:ascii="Times New Roman" w:hAnsi="Times New Roman"/>
                <w:sz w:val="20"/>
                <w:szCs w:val="20"/>
              </w:rPr>
            </w:pPr>
          </w:p>
        </w:tc>
        <w:tc>
          <w:tcPr>
            <w:tcW w:w="50" w:type="pct"/>
            <w:shd w:val="clear" w:color="auto" w:fill="auto"/>
            <w:vAlign w:val="center"/>
          </w:tcPr>
          <w:p w14:paraId="4ACE3E24" w14:textId="77777777" w:rsidR="006F587A" w:rsidRDefault="006F587A">
            <w:pPr>
              <w:rPr>
                <w:rFonts w:ascii="Times New Roman" w:hAnsi="Times New Roman"/>
                <w:sz w:val="20"/>
                <w:szCs w:val="20"/>
              </w:rPr>
            </w:pPr>
          </w:p>
        </w:tc>
      </w:tr>
      <w:tr w:rsidR="006F587A" w14:paraId="4ACE3E2D"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3E26"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 xml:space="preserve">Years </w:t>
            </w:r>
            <w:r>
              <w:rPr>
                <w:rFonts w:ascii="Arial" w:eastAsia="宋体" w:hAnsi="Arial" w:cs="Arial"/>
                <w:b/>
                <w:bCs/>
                <w:color w:val="333333"/>
                <w:sz w:val="18"/>
                <w:szCs w:val="18"/>
              </w:rPr>
              <w:t>Ended (In Millions)</w:t>
            </w:r>
          </w:p>
        </w:tc>
        <w:tc>
          <w:tcPr>
            <w:tcW w:w="0" w:type="auto"/>
            <w:shd w:val="clear" w:color="auto" w:fill="auto"/>
            <w:tcMar>
              <w:top w:w="40" w:type="dxa"/>
              <w:left w:w="40" w:type="dxa"/>
              <w:bottom w:w="40" w:type="dxa"/>
              <w:right w:w="40" w:type="dxa"/>
            </w:tcMar>
            <w:vAlign w:val="bottom"/>
          </w:tcPr>
          <w:p w14:paraId="4ACE3E2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3E28"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28, </w:t>
            </w:r>
            <w:r>
              <w:rPr>
                <w:rFonts w:ascii="Arial" w:eastAsia="宋体" w:hAnsi="Arial" w:cs="Arial"/>
                <w:b/>
                <w:bCs/>
                <w:color w:val="333333"/>
                <w:sz w:val="18"/>
                <w:szCs w:val="18"/>
              </w:rPr>
              <w:br/>
              <w:t>2019</w:t>
            </w:r>
          </w:p>
        </w:tc>
        <w:tc>
          <w:tcPr>
            <w:tcW w:w="0" w:type="auto"/>
            <w:shd w:val="clear" w:color="auto" w:fill="auto"/>
            <w:tcMar>
              <w:top w:w="40" w:type="dxa"/>
              <w:left w:w="40" w:type="dxa"/>
              <w:bottom w:w="40" w:type="dxa"/>
              <w:right w:w="40" w:type="dxa"/>
            </w:tcMar>
            <w:vAlign w:val="bottom"/>
          </w:tcPr>
          <w:p w14:paraId="4ACE3E2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3E2A"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29, </w:t>
            </w:r>
            <w:r>
              <w:rPr>
                <w:rFonts w:ascii="Arial" w:eastAsia="宋体" w:hAnsi="Arial" w:cs="Arial"/>
                <w:b/>
                <w:bCs/>
                <w:color w:val="333333"/>
                <w:sz w:val="18"/>
                <w:szCs w:val="18"/>
              </w:rPr>
              <w:br/>
              <w:t>2018</w:t>
            </w:r>
          </w:p>
        </w:tc>
        <w:tc>
          <w:tcPr>
            <w:tcW w:w="0" w:type="auto"/>
            <w:shd w:val="clear" w:color="auto" w:fill="auto"/>
            <w:tcMar>
              <w:top w:w="40" w:type="dxa"/>
              <w:left w:w="40" w:type="dxa"/>
              <w:bottom w:w="40" w:type="dxa"/>
              <w:right w:w="40" w:type="dxa"/>
            </w:tcMar>
            <w:vAlign w:val="bottom"/>
          </w:tcPr>
          <w:p w14:paraId="4ACE3E2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3E2C"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30, </w:t>
            </w:r>
            <w:r>
              <w:rPr>
                <w:rFonts w:ascii="Arial" w:eastAsia="宋体" w:hAnsi="Arial" w:cs="Arial"/>
                <w:b/>
                <w:bCs/>
                <w:color w:val="333333"/>
                <w:sz w:val="18"/>
                <w:szCs w:val="18"/>
              </w:rPr>
              <w:br/>
              <w:t>2017</w:t>
            </w:r>
          </w:p>
        </w:tc>
      </w:tr>
      <w:tr w:rsidR="006F587A" w14:paraId="4ACE3E3B" w14:textId="77777777">
        <w:tc>
          <w:tcPr>
            <w:tcW w:w="0" w:type="auto"/>
            <w:shd w:val="clear" w:color="auto" w:fill="auto"/>
            <w:tcMar>
              <w:top w:w="40" w:type="dxa"/>
              <w:left w:w="40" w:type="dxa"/>
              <w:bottom w:w="40" w:type="dxa"/>
              <w:right w:w="40" w:type="dxa"/>
            </w:tcMar>
            <w:vAlign w:val="bottom"/>
          </w:tcPr>
          <w:p w14:paraId="4ACE3E2E"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Cash and cash equivalents, beginning of period</w:t>
            </w:r>
          </w:p>
        </w:tc>
        <w:tc>
          <w:tcPr>
            <w:tcW w:w="0" w:type="auto"/>
            <w:shd w:val="clear" w:color="auto" w:fill="auto"/>
            <w:tcMar>
              <w:top w:w="40" w:type="dxa"/>
              <w:left w:w="40" w:type="dxa"/>
              <w:bottom w:w="40" w:type="dxa"/>
              <w:right w:w="40" w:type="dxa"/>
            </w:tcMar>
            <w:vAlign w:val="bottom"/>
          </w:tcPr>
          <w:p w14:paraId="4ACE3E2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tcMar>
            <w:vAlign w:val="bottom"/>
          </w:tcPr>
          <w:p w14:paraId="4ACE3E30"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bottom w:val="single" w:sz="8" w:space="0" w:color="333333"/>
            </w:tcBorders>
            <w:shd w:val="clear" w:color="auto" w:fill="auto"/>
            <w:tcMar>
              <w:top w:w="40" w:type="dxa"/>
              <w:bottom w:w="40" w:type="dxa"/>
            </w:tcMar>
            <w:vAlign w:val="bottom"/>
          </w:tcPr>
          <w:p w14:paraId="4ACE3E31"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3,019</w:t>
            </w:r>
          </w:p>
        </w:tc>
        <w:tc>
          <w:tcPr>
            <w:tcW w:w="0" w:type="auto"/>
            <w:tcBorders>
              <w:bottom w:val="single" w:sz="8" w:space="0" w:color="333333"/>
            </w:tcBorders>
            <w:shd w:val="clear" w:color="auto" w:fill="auto"/>
            <w:vAlign w:val="bottom"/>
          </w:tcPr>
          <w:p w14:paraId="4ACE3E3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E3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tcMar>
            <w:vAlign w:val="bottom"/>
          </w:tcPr>
          <w:p w14:paraId="4ACE3E34"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bottom w:val="single" w:sz="8" w:space="0" w:color="333333"/>
            </w:tcBorders>
            <w:shd w:val="clear" w:color="auto" w:fill="auto"/>
            <w:tcMar>
              <w:top w:w="40" w:type="dxa"/>
              <w:bottom w:w="40" w:type="dxa"/>
            </w:tcMar>
            <w:vAlign w:val="bottom"/>
          </w:tcPr>
          <w:p w14:paraId="4ACE3E35"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3,433</w:t>
            </w:r>
          </w:p>
        </w:tc>
        <w:tc>
          <w:tcPr>
            <w:tcW w:w="0" w:type="auto"/>
            <w:tcBorders>
              <w:bottom w:val="single" w:sz="8" w:space="0" w:color="333333"/>
            </w:tcBorders>
            <w:shd w:val="clear" w:color="auto" w:fill="auto"/>
            <w:vAlign w:val="bottom"/>
          </w:tcPr>
          <w:p w14:paraId="4ACE3E3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E3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tcMar>
            <w:vAlign w:val="bottom"/>
          </w:tcPr>
          <w:p w14:paraId="4ACE3E38"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bottom w:val="single" w:sz="8" w:space="0" w:color="333333"/>
            </w:tcBorders>
            <w:shd w:val="clear" w:color="auto" w:fill="auto"/>
            <w:tcMar>
              <w:top w:w="40" w:type="dxa"/>
              <w:bottom w:w="40" w:type="dxa"/>
            </w:tcMar>
            <w:vAlign w:val="bottom"/>
          </w:tcPr>
          <w:p w14:paraId="4ACE3E39"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5,560</w:t>
            </w:r>
          </w:p>
        </w:tc>
        <w:tc>
          <w:tcPr>
            <w:tcW w:w="0" w:type="auto"/>
            <w:tcBorders>
              <w:bottom w:val="single" w:sz="8" w:space="0" w:color="333333"/>
            </w:tcBorders>
            <w:shd w:val="clear" w:color="auto" w:fill="auto"/>
            <w:vAlign w:val="bottom"/>
          </w:tcPr>
          <w:p w14:paraId="4ACE3E3A" w14:textId="77777777" w:rsidR="006F587A" w:rsidRDefault="006F587A">
            <w:pPr>
              <w:textAlignment w:val="bottom"/>
              <w:rPr>
                <w:rFonts w:ascii="Times New Roman" w:hAnsi="Times New Roman"/>
                <w:sz w:val="20"/>
                <w:szCs w:val="20"/>
              </w:rPr>
            </w:pPr>
          </w:p>
        </w:tc>
      </w:tr>
      <w:tr w:rsidR="006F587A" w14:paraId="4ACE3E43" w14:textId="77777777">
        <w:tc>
          <w:tcPr>
            <w:tcW w:w="0" w:type="auto"/>
            <w:shd w:val="clear" w:color="auto" w:fill="auto"/>
            <w:tcMar>
              <w:top w:w="40" w:type="dxa"/>
              <w:left w:w="40" w:type="dxa"/>
              <w:bottom w:w="40" w:type="dxa"/>
              <w:right w:w="40" w:type="dxa"/>
            </w:tcMar>
            <w:vAlign w:val="bottom"/>
          </w:tcPr>
          <w:p w14:paraId="4ACE3E3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Cash flows provided by (used for) operating activities:</w:t>
            </w:r>
          </w:p>
        </w:tc>
        <w:tc>
          <w:tcPr>
            <w:tcW w:w="0" w:type="auto"/>
            <w:shd w:val="clear" w:color="auto" w:fill="auto"/>
            <w:tcMar>
              <w:top w:w="40" w:type="dxa"/>
              <w:left w:w="40" w:type="dxa"/>
              <w:bottom w:w="40" w:type="dxa"/>
              <w:right w:w="40" w:type="dxa"/>
            </w:tcMar>
            <w:vAlign w:val="bottom"/>
          </w:tcPr>
          <w:p w14:paraId="4ACE3E3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E3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E3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E4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E4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E4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3E4E" w14:textId="77777777">
        <w:tc>
          <w:tcPr>
            <w:tcW w:w="0" w:type="auto"/>
            <w:shd w:val="clear" w:color="auto" w:fill="auto"/>
            <w:tcMar>
              <w:top w:w="40" w:type="dxa"/>
              <w:left w:w="240" w:type="dxa"/>
              <w:bottom w:w="40" w:type="dxa"/>
              <w:right w:w="40" w:type="dxa"/>
            </w:tcMar>
            <w:vAlign w:val="bottom"/>
          </w:tcPr>
          <w:p w14:paraId="4ACE3E4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Net income</w:t>
            </w:r>
          </w:p>
        </w:tc>
        <w:tc>
          <w:tcPr>
            <w:tcW w:w="0" w:type="auto"/>
            <w:shd w:val="clear" w:color="auto" w:fill="auto"/>
            <w:tcMar>
              <w:top w:w="40" w:type="dxa"/>
              <w:left w:w="40" w:type="dxa"/>
              <w:bottom w:w="40" w:type="dxa"/>
              <w:right w:w="40" w:type="dxa"/>
            </w:tcMar>
            <w:vAlign w:val="bottom"/>
          </w:tcPr>
          <w:p w14:paraId="4ACE3E4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E46"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21,048</w:t>
            </w:r>
          </w:p>
        </w:tc>
        <w:tc>
          <w:tcPr>
            <w:tcW w:w="0" w:type="auto"/>
            <w:shd w:val="clear" w:color="auto" w:fill="auto"/>
            <w:vAlign w:val="bottom"/>
          </w:tcPr>
          <w:p w14:paraId="4ACE3E4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E4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E4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21,053</w:t>
            </w:r>
          </w:p>
        </w:tc>
        <w:tc>
          <w:tcPr>
            <w:tcW w:w="0" w:type="auto"/>
            <w:shd w:val="clear" w:color="auto" w:fill="auto"/>
            <w:vAlign w:val="bottom"/>
          </w:tcPr>
          <w:p w14:paraId="4ACE3E4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E4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E4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9,601</w:t>
            </w:r>
          </w:p>
        </w:tc>
        <w:tc>
          <w:tcPr>
            <w:tcW w:w="0" w:type="auto"/>
            <w:shd w:val="clear" w:color="auto" w:fill="auto"/>
            <w:vAlign w:val="bottom"/>
          </w:tcPr>
          <w:p w14:paraId="4ACE3E4D" w14:textId="77777777" w:rsidR="006F587A" w:rsidRDefault="006F587A">
            <w:pPr>
              <w:textAlignment w:val="bottom"/>
              <w:rPr>
                <w:rFonts w:ascii="Times New Roman" w:hAnsi="Times New Roman"/>
                <w:sz w:val="20"/>
                <w:szCs w:val="20"/>
              </w:rPr>
            </w:pPr>
          </w:p>
        </w:tc>
      </w:tr>
      <w:tr w:rsidR="006F587A" w14:paraId="4ACE3E56" w14:textId="77777777">
        <w:tc>
          <w:tcPr>
            <w:tcW w:w="0" w:type="auto"/>
            <w:shd w:val="clear" w:color="auto" w:fill="auto"/>
            <w:tcMar>
              <w:top w:w="40" w:type="dxa"/>
              <w:left w:w="240" w:type="dxa"/>
              <w:bottom w:w="40" w:type="dxa"/>
              <w:right w:w="40" w:type="dxa"/>
            </w:tcMar>
            <w:vAlign w:val="bottom"/>
          </w:tcPr>
          <w:p w14:paraId="4ACE3E4F"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Adjustments to reconcile net income to net cash provided by operating activities:</w:t>
            </w:r>
          </w:p>
        </w:tc>
        <w:tc>
          <w:tcPr>
            <w:tcW w:w="0" w:type="auto"/>
            <w:shd w:val="clear" w:color="auto" w:fill="auto"/>
            <w:tcMar>
              <w:top w:w="40" w:type="dxa"/>
              <w:left w:w="40" w:type="dxa"/>
              <w:bottom w:w="40" w:type="dxa"/>
              <w:right w:w="40" w:type="dxa"/>
            </w:tcMar>
            <w:vAlign w:val="bottom"/>
          </w:tcPr>
          <w:p w14:paraId="4ACE3E5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E5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E5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E5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E5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E5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3E61" w14:textId="77777777">
        <w:tc>
          <w:tcPr>
            <w:tcW w:w="0" w:type="auto"/>
            <w:shd w:val="clear" w:color="auto" w:fill="auto"/>
            <w:tcMar>
              <w:top w:w="40" w:type="dxa"/>
              <w:left w:w="560" w:type="dxa"/>
              <w:bottom w:w="40" w:type="dxa"/>
              <w:right w:w="40" w:type="dxa"/>
            </w:tcMar>
            <w:vAlign w:val="bottom"/>
          </w:tcPr>
          <w:p w14:paraId="4ACE3E5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Depreciation</w:t>
            </w:r>
          </w:p>
        </w:tc>
        <w:tc>
          <w:tcPr>
            <w:tcW w:w="0" w:type="auto"/>
            <w:shd w:val="clear" w:color="auto" w:fill="auto"/>
            <w:tcMar>
              <w:top w:w="40" w:type="dxa"/>
              <w:left w:w="40" w:type="dxa"/>
              <w:bottom w:w="40" w:type="dxa"/>
              <w:right w:w="40" w:type="dxa"/>
            </w:tcMar>
            <w:vAlign w:val="bottom"/>
          </w:tcPr>
          <w:p w14:paraId="4ACE3E5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E59"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9,204</w:t>
            </w:r>
          </w:p>
        </w:tc>
        <w:tc>
          <w:tcPr>
            <w:tcW w:w="0" w:type="auto"/>
            <w:shd w:val="clear" w:color="auto" w:fill="auto"/>
            <w:vAlign w:val="bottom"/>
          </w:tcPr>
          <w:p w14:paraId="4ACE3E5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E5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E5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7,520</w:t>
            </w:r>
          </w:p>
        </w:tc>
        <w:tc>
          <w:tcPr>
            <w:tcW w:w="0" w:type="auto"/>
            <w:shd w:val="clear" w:color="auto" w:fill="auto"/>
            <w:vAlign w:val="bottom"/>
          </w:tcPr>
          <w:p w14:paraId="4ACE3E5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E5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E5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6,752</w:t>
            </w:r>
          </w:p>
        </w:tc>
        <w:tc>
          <w:tcPr>
            <w:tcW w:w="0" w:type="auto"/>
            <w:shd w:val="clear" w:color="auto" w:fill="auto"/>
            <w:vAlign w:val="bottom"/>
          </w:tcPr>
          <w:p w14:paraId="4ACE3E60" w14:textId="77777777" w:rsidR="006F587A" w:rsidRDefault="006F587A">
            <w:pPr>
              <w:textAlignment w:val="bottom"/>
              <w:rPr>
                <w:rFonts w:ascii="Times New Roman" w:hAnsi="Times New Roman"/>
                <w:sz w:val="20"/>
                <w:szCs w:val="20"/>
              </w:rPr>
            </w:pPr>
          </w:p>
        </w:tc>
      </w:tr>
      <w:tr w:rsidR="006F587A" w14:paraId="4ACE3E6C" w14:textId="77777777">
        <w:tc>
          <w:tcPr>
            <w:tcW w:w="0" w:type="auto"/>
            <w:shd w:val="clear" w:color="auto" w:fill="auto"/>
            <w:tcMar>
              <w:top w:w="40" w:type="dxa"/>
              <w:left w:w="560" w:type="dxa"/>
              <w:bottom w:w="40" w:type="dxa"/>
              <w:right w:w="40" w:type="dxa"/>
            </w:tcMar>
            <w:vAlign w:val="bottom"/>
          </w:tcPr>
          <w:p w14:paraId="4ACE3E6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Share-based compensation</w:t>
            </w:r>
          </w:p>
        </w:tc>
        <w:tc>
          <w:tcPr>
            <w:tcW w:w="0" w:type="auto"/>
            <w:shd w:val="clear" w:color="auto" w:fill="auto"/>
            <w:tcMar>
              <w:top w:w="40" w:type="dxa"/>
              <w:left w:w="40" w:type="dxa"/>
              <w:bottom w:w="40" w:type="dxa"/>
              <w:right w:w="40" w:type="dxa"/>
            </w:tcMar>
            <w:vAlign w:val="bottom"/>
          </w:tcPr>
          <w:p w14:paraId="4ACE3E6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E64"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1,705</w:t>
            </w:r>
          </w:p>
        </w:tc>
        <w:tc>
          <w:tcPr>
            <w:tcW w:w="0" w:type="auto"/>
            <w:shd w:val="clear" w:color="auto" w:fill="auto"/>
            <w:vAlign w:val="bottom"/>
          </w:tcPr>
          <w:p w14:paraId="4ACE3E6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E6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E6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1,546</w:t>
            </w:r>
          </w:p>
        </w:tc>
        <w:tc>
          <w:tcPr>
            <w:tcW w:w="0" w:type="auto"/>
            <w:shd w:val="clear" w:color="auto" w:fill="auto"/>
            <w:vAlign w:val="bottom"/>
          </w:tcPr>
          <w:p w14:paraId="4ACE3E6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E6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E6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1,358</w:t>
            </w:r>
          </w:p>
        </w:tc>
        <w:tc>
          <w:tcPr>
            <w:tcW w:w="0" w:type="auto"/>
            <w:shd w:val="clear" w:color="auto" w:fill="auto"/>
            <w:vAlign w:val="bottom"/>
          </w:tcPr>
          <w:p w14:paraId="4ACE3E6B" w14:textId="77777777" w:rsidR="006F587A" w:rsidRDefault="006F587A">
            <w:pPr>
              <w:textAlignment w:val="bottom"/>
              <w:rPr>
                <w:rFonts w:ascii="Times New Roman" w:hAnsi="Times New Roman"/>
                <w:sz w:val="20"/>
                <w:szCs w:val="20"/>
              </w:rPr>
            </w:pPr>
          </w:p>
        </w:tc>
      </w:tr>
      <w:tr w:rsidR="006F587A" w14:paraId="4ACE3E77" w14:textId="77777777">
        <w:tc>
          <w:tcPr>
            <w:tcW w:w="0" w:type="auto"/>
            <w:shd w:val="clear" w:color="auto" w:fill="auto"/>
            <w:tcMar>
              <w:top w:w="40" w:type="dxa"/>
              <w:left w:w="560" w:type="dxa"/>
              <w:bottom w:w="40" w:type="dxa"/>
              <w:right w:w="40" w:type="dxa"/>
            </w:tcMar>
            <w:vAlign w:val="bottom"/>
          </w:tcPr>
          <w:p w14:paraId="4ACE3E6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Amortization of intangibles</w:t>
            </w:r>
          </w:p>
        </w:tc>
        <w:tc>
          <w:tcPr>
            <w:tcW w:w="0" w:type="auto"/>
            <w:shd w:val="clear" w:color="auto" w:fill="auto"/>
            <w:tcMar>
              <w:top w:w="40" w:type="dxa"/>
              <w:left w:w="40" w:type="dxa"/>
              <w:bottom w:w="40" w:type="dxa"/>
              <w:right w:w="40" w:type="dxa"/>
            </w:tcMar>
            <w:vAlign w:val="bottom"/>
          </w:tcPr>
          <w:p w14:paraId="4ACE3E6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E6F"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1,622</w:t>
            </w:r>
          </w:p>
        </w:tc>
        <w:tc>
          <w:tcPr>
            <w:tcW w:w="0" w:type="auto"/>
            <w:shd w:val="clear" w:color="auto" w:fill="auto"/>
            <w:vAlign w:val="bottom"/>
          </w:tcPr>
          <w:p w14:paraId="4ACE3E7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E7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E7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1,565</w:t>
            </w:r>
          </w:p>
        </w:tc>
        <w:tc>
          <w:tcPr>
            <w:tcW w:w="0" w:type="auto"/>
            <w:shd w:val="clear" w:color="auto" w:fill="auto"/>
            <w:vAlign w:val="bottom"/>
          </w:tcPr>
          <w:p w14:paraId="4ACE3E7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E7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E75"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1,377</w:t>
            </w:r>
          </w:p>
        </w:tc>
        <w:tc>
          <w:tcPr>
            <w:tcW w:w="0" w:type="auto"/>
            <w:shd w:val="clear" w:color="auto" w:fill="auto"/>
            <w:vAlign w:val="bottom"/>
          </w:tcPr>
          <w:p w14:paraId="4ACE3E76" w14:textId="77777777" w:rsidR="006F587A" w:rsidRDefault="006F587A">
            <w:pPr>
              <w:textAlignment w:val="bottom"/>
              <w:rPr>
                <w:rFonts w:ascii="Times New Roman" w:hAnsi="Times New Roman"/>
                <w:sz w:val="20"/>
                <w:szCs w:val="20"/>
              </w:rPr>
            </w:pPr>
          </w:p>
        </w:tc>
      </w:tr>
      <w:tr w:rsidR="006F587A" w14:paraId="4ACE3E82" w14:textId="77777777">
        <w:tc>
          <w:tcPr>
            <w:tcW w:w="0" w:type="auto"/>
            <w:shd w:val="clear" w:color="auto" w:fill="auto"/>
            <w:tcMar>
              <w:top w:w="40" w:type="dxa"/>
              <w:left w:w="560" w:type="dxa"/>
              <w:bottom w:w="40" w:type="dxa"/>
              <w:right w:w="40" w:type="dxa"/>
            </w:tcMar>
            <w:vAlign w:val="bottom"/>
          </w:tcPr>
          <w:p w14:paraId="4ACE3E7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(Gains) losses on equity investments, net</w:t>
            </w:r>
          </w:p>
        </w:tc>
        <w:tc>
          <w:tcPr>
            <w:tcW w:w="0" w:type="auto"/>
            <w:shd w:val="clear" w:color="auto" w:fill="auto"/>
            <w:tcMar>
              <w:top w:w="40" w:type="dxa"/>
              <w:left w:w="40" w:type="dxa"/>
              <w:bottom w:w="40" w:type="dxa"/>
              <w:right w:w="40" w:type="dxa"/>
            </w:tcMar>
            <w:vAlign w:val="bottom"/>
          </w:tcPr>
          <w:p w14:paraId="4ACE3E7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E7A"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(892</w:t>
            </w:r>
          </w:p>
        </w:tc>
        <w:tc>
          <w:tcPr>
            <w:tcW w:w="0" w:type="auto"/>
            <w:shd w:val="clear" w:color="auto" w:fill="auto"/>
            <w:tcMar>
              <w:top w:w="40" w:type="dxa"/>
              <w:bottom w:w="40" w:type="dxa"/>
              <w:right w:w="40" w:type="dxa"/>
            </w:tcMar>
            <w:vAlign w:val="bottom"/>
          </w:tcPr>
          <w:p w14:paraId="4ACE3E7B"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3E7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E7D"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155</w:t>
            </w:r>
          </w:p>
        </w:tc>
        <w:tc>
          <w:tcPr>
            <w:tcW w:w="0" w:type="auto"/>
            <w:shd w:val="clear" w:color="auto" w:fill="auto"/>
            <w:vAlign w:val="bottom"/>
          </w:tcPr>
          <w:p w14:paraId="4ACE3E7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E7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E80"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(2,583</w:t>
            </w:r>
          </w:p>
        </w:tc>
        <w:tc>
          <w:tcPr>
            <w:tcW w:w="0" w:type="auto"/>
            <w:shd w:val="clear" w:color="auto" w:fill="auto"/>
            <w:tcMar>
              <w:top w:w="40" w:type="dxa"/>
              <w:bottom w:w="40" w:type="dxa"/>
              <w:right w:w="40" w:type="dxa"/>
            </w:tcMar>
            <w:vAlign w:val="bottom"/>
          </w:tcPr>
          <w:p w14:paraId="4ACE3E8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3E8D" w14:textId="77777777">
        <w:tc>
          <w:tcPr>
            <w:tcW w:w="0" w:type="auto"/>
            <w:shd w:val="clear" w:color="auto" w:fill="auto"/>
            <w:tcMar>
              <w:top w:w="40" w:type="dxa"/>
              <w:left w:w="560" w:type="dxa"/>
              <w:bottom w:w="40" w:type="dxa"/>
              <w:right w:w="40" w:type="dxa"/>
            </w:tcMar>
            <w:vAlign w:val="bottom"/>
          </w:tcPr>
          <w:p w14:paraId="4ACE3E8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(Gains) losses on divestitures</w:t>
            </w:r>
          </w:p>
        </w:tc>
        <w:tc>
          <w:tcPr>
            <w:tcW w:w="0" w:type="auto"/>
            <w:shd w:val="clear" w:color="auto" w:fill="auto"/>
            <w:tcMar>
              <w:top w:w="40" w:type="dxa"/>
              <w:left w:w="40" w:type="dxa"/>
              <w:bottom w:w="40" w:type="dxa"/>
              <w:right w:w="40" w:type="dxa"/>
            </w:tcMar>
            <w:vAlign w:val="bottom"/>
          </w:tcPr>
          <w:p w14:paraId="4ACE3E8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E85"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(690</w:t>
            </w:r>
          </w:p>
        </w:tc>
        <w:tc>
          <w:tcPr>
            <w:tcW w:w="0" w:type="auto"/>
            <w:shd w:val="clear" w:color="auto" w:fill="auto"/>
            <w:tcMar>
              <w:top w:w="40" w:type="dxa"/>
              <w:bottom w:w="40" w:type="dxa"/>
              <w:right w:w="40" w:type="dxa"/>
            </w:tcMar>
            <w:vAlign w:val="bottom"/>
          </w:tcPr>
          <w:p w14:paraId="4ACE3E86"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3E8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E8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(497</w:t>
            </w:r>
          </w:p>
        </w:tc>
        <w:tc>
          <w:tcPr>
            <w:tcW w:w="0" w:type="auto"/>
            <w:shd w:val="clear" w:color="auto" w:fill="auto"/>
            <w:tcMar>
              <w:top w:w="40" w:type="dxa"/>
              <w:bottom w:w="40" w:type="dxa"/>
              <w:right w:w="40" w:type="dxa"/>
            </w:tcMar>
            <w:vAlign w:val="bottom"/>
          </w:tcPr>
          <w:p w14:paraId="4ACE3E8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3E8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E8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(387</w:t>
            </w:r>
          </w:p>
        </w:tc>
        <w:tc>
          <w:tcPr>
            <w:tcW w:w="0" w:type="auto"/>
            <w:shd w:val="clear" w:color="auto" w:fill="auto"/>
            <w:tcMar>
              <w:top w:w="40" w:type="dxa"/>
              <w:bottom w:w="40" w:type="dxa"/>
              <w:right w:w="40" w:type="dxa"/>
            </w:tcMar>
            <w:vAlign w:val="bottom"/>
          </w:tcPr>
          <w:p w14:paraId="4ACE3E8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3E95" w14:textId="77777777">
        <w:tc>
          <w:tcPr>
            <w:tcW w:w="0" w:type="auto"/>
            <w:shd w:val="clear" w:color="auto" w:fill="auto"/>
            <w:tcMar>
              <w:top w:w="40" w:type="dxa"/>
              <w:left w:w="560" w:type="dxa"/>
              <w:bottom w:w="40" w:type="dxa"/>
              <w:right w:w="40" w:type="dxa"/>
            </w:tcMar>
            <w:vAlign w:val="bottom"/>
          </w:tcPr>
          <w:p w14:paraId="4ACE3E8E"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Changes in assets and liabilities:</w:t>
            </w:r>
          </w:p>
        </w:tc>
        <w:tc>
          <w:tcPr>
            <w:tcW w:w="0" w:type="auto"/>
            <w:shd w:val="clear" w:color="auto" w:fill="auto"/>
            <w:tcMar>
              <w:top w:w="40" w:type="dxa"/>
              <w:left w:w="40" w:type="dxa"/>
              <w:bottom w:w="40" w:type="dxa"/>
              <w:right w:w="40" w:type="dxa"/>
            </w:tcMar>
            <w:vAlign w:val="bottom"/>
          </w:tcPr>
          <w:p w14:paraId="4ACE3E8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E9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E9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E9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E9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E9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3EA0" w14:textId="77777777">
        <w:tc>
          <w:tcPr>
            <w:tcW w:w="0" w:type="auto"/>
            <w:shd w:val="clear" w:color="auto" w:fill="auto"/>
            <w:tcMar>
              <w:top w:w="40" w:type="dxa"/>
              <w:left w:w="880" w:type="dxa"/>
              <w:bottom w:w="40" w:type="dxa"/>
              <w:right w:w="40" w:type="dxa"/>
            </w:tcMar>
            <w:vAlign w:val="bottom"/>
          </w:tcPr>
          <w:p w14:paraId="4ACE3E9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Accounts receivable</w:t>
            </w:r>
          </w:p>
        </w:tc>
        <w:tc>
          <w:tcPr>
            <w:tcW w:w="0" w:type="auto"/>
            <w:shd w:val="clear" w:color="auto" w:fill="auto"/>
            <w:tcMar>
              <w:top w:w="40" w:type="dxa"/>
              <w:left w:w="40" w:type="dxa"/>
              <w:bottom w:w="40" w:type="dxa"/>
              <w:right w:w="40" w:type="dxa"/>
            </w:tcMar>
            <w:vAlign w:val="bottom"/>
          </w:tcPr>
          <w:p w14:paraId="4ACE3E9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E98"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(935</w:t>
            </w:r>
          </w:p>
        </w:tc>
        <w:tc>
          <w:tcPr>
            <w:tcW w:w="0" w:type="auto"/>
            <w:shd w:val="clear" w:color="auto" w:fill="auto"/>
            <w:tcMar>
              <w:top w:w="40" w:type="dxa"/>
              <w:bottom w:w="40" w:type="dxa"/>
              <w:right w:w="40" w:type="dxa"/>
            </w:tcMar>
            <w:vAlign w:val="bottom"/>
          </w:tcPr>
          <w:p w14:paraId="4ACE3E99"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3E9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E9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(1,714</w:t>
            </w:r>
          </w:p>
        </w:tc>
        <w:tc>
          <w:tcPr>
            <w:tcW w:w="0" w:type="auto"/>
            <w:shd w:val="clear" w:color="auto" w:fill="auto"/>
            <w:tcMar>
              <w:top w:w="40" w:type="dxa"/>
              <w:bottom w:w="40" w:type="dxa"/>
              <w:right w:w="40" w:type="dxa"/>
            </w:tcMar>
            <w:vAlign w:val="bottom"/>
          </w:tcPr>
          <w:p w14:paraId="4ACE3E9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3E9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E9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(781</w:t>
            </w:r>
          </w:p>
        </w:tc>
        <w:tc>
          <w:tcPr>
            <w:tcW w:w="0" w:type="auto"/>
            <w:shd w:val="clear" w:color="auto" w:fill="auto"/>
            <w:tcMar>
              <w:top w:w="40" w:type="dxa"/>
              <w:bottom w:w="40" w:type="dxa"/>
              <w:right w:w="40" w:type="dxa"/>
            </w:tcMar>
            <w:vAlign w:val="bottom"/>
          </w:tcPr>
          <w:p w14:paraId="4ACE3E9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3EAB" w14:textId="77777777">
        <w:tc>
          <w:tcPr>
            <w:tcW w:w="0" w:type="auto"/>
            <w:shd w:val="clear" w:color="auto" w:fill="auto"/>
            <w:tcMar>
              <w:top w:w="40" w:type="dxa"/>
              <w:left w:w="880" w:type="dxa"/>
              <w:bottom w:w="40" w:type="dxa"/>
              <w:right w:w="40" w:type="dxa"/>
            </w:tcMar>
            <w:vAlign w:val="bottom"/>
          </w:tcPr>
          <w:p w14:paraId="4ACE3EA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Inventories</w:t>
            </w:r>
          </w:p>
        </w:tc>
        <w:tc>
          <w:tcPr>
            <w:tcW w:w="0" w:type="auto"/>
            <w:shd w:val="clear" w:color="auto" w:fill="auto"/>
            <w:tcMar>
              <w:top w:w="40" w:type="dxa"/>
              <w:left w:w="40" w:type="dxa"/>
              <w:bottom w:w="40" w:type="dxa"/>
              <w:right w:w="40" w:type="dxa"/>
            </w:tcMar>
            <w:vAlign w:val="bottom"/>
          </w:tcPr>
          <w:p w14:paraId="4ACE3EA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EA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(1,481</w:t>
            </w:r>
          </w:p>
        </w:tc>
        <w:tc>
          <w:tcPr>
            <w:tcW w:w="0" w:type="auto"/>
            <w:shd w:val="clear" w:color="auto" w:fill="auto"/>
            <w:tcMar>
              <w:top w:w="40" w:type="dxa"/>
              <w:bottom w:w="40" w:type="dxa"/>
              <w:right w:w="40" w:type="dxa"/>
            </w:tcMar>
            <w:vAlign w:val="bottom"/>
          </w:tcPr>
          <w:p w14:paraId="4ACE3EA4"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3EA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EA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(214</w:t>
            </w:r>
          </w:p>
        </w:tc>
        <w:tc>
          <w:tcPr>
            <w:tcW w:w="0" w:type="auto"/>
            <w:shd w:val="clear" w:color="auto" w:fill="auto"/>
            <w:tcMar>
              <w:top w:w="40" w:type="dxa"/>
              <w:bottom w:w="40" w:type="dxa"/>
              <w:right w:w="40" w:type="dxa"/>
            </w:tcMar>
            <w:vAlign w:val="bottom"/>
          </w:tcPr>
          <w:p w14:paraId="4ACE3EA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3EA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EA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(1,300</w:t>
            </w:r>
          </w:p>
        </w:tc>
        <w:tc>
          <w:tcPr>
            <w:tcW w:w="0" w:type="auto"/>
            <w:shd w:val="clear" w:color="auto" w:fill="auto"/>
            <w:tcMar>
              <w:top w:w="40" w:type="dxa"/>
              <w:bottom w:w="40" w:type="dxa"/>
              <w:right w:w="40" w:type="dxa"/>
            </w:tcMar>
            <w:vAlign w:val="bottom"/>
          </w:tcPr>
          <w:p w14:paraId="4ACE3EA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3EB6" w14:textId="77777777">
        <w:tc>
          <w:tcPr>
            <w:tcW w:w="0" w:type="auto"/>
            <w:shd w:val="clear" w:color="auto" w:fill="auto"/>
            <w:tcMar>
              <w:top w:w="40" w:type="dxa"/>
              <w:left w:w="880" w:type="dxa"/>
              <w:bottom w:w="40" w:type="dxa"/>
              <w:right w:w="40" w:type="dxa"/>
            </w:tcMar>
            <w:vAlign w:val="bottom"/>
          </w:tcPr>
          <w:p w14:paraId="4ACE3EA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Accounts payable</w:t>
            </w:r>
          </w:p>
        </w:tc>
        <w:tc>
          <w:tcPr>
            <w:tcW w:w="0" w:type="auto"/>
            <w:shd w:val="clear" w:color="auto" w:fill="auto"/>
            <w:tcMar>
              <w:top w:w="40" w:type="dxa"/>
              <w:left w:w="40" w:type="dxa"/>
              <w:bottom w:w="40" w:type="dxa"/>
              <w:right w:w="40" w:type="dxa"/>
            </w:tcMar>
            <w:vAlign w:val="bottom"/>
          </w:tcPr>
          <w:p w14:paraId="4ACE3EA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EAE"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696</w:t>
            </w:r>
          </w:p>
        </w:tc>
        <w:tc>
          <w:tcPr>
            <w:tcW w:w="0" w:type="auto"/>
            <w:shd w:val="clear" w:color="auto" w:fill="auto"/>
            <w:vAlign w:val="bottom"/>
          </w:tcPr>
          <w:p w14:paraId="4ACE3EA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EB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EB1"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211</w:t>
            </w:r>
          </w:p>
        </w:tc>
        <w:tc>
          <w:tcPr>
            <w:tcW w:w="0" w:type="auto"/>
            <w:shd w:val="clear" w:color="auto" w:fill="auto"/>
            <w:vAlign w:val="bottom"/>
          </w:tcPr>
          <w:p w14:paraId="4ACE3EB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EB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EB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191</w:t>
            </w:r>
          </w:p>
        </w:tc>
        <w:tc>
          <w:tcPr>
            <w:tcW w:w="0" w:type="auto"/>
            <w:shd w:val="clear" w:color="auto" w:fill="auto"/>
            <w:vAlign w:val="bottom"/>
          </w:tcPr>
          <w:p w14:paraId="4ACE3EB5" w14:textId="77777777" w:rsidR="006F587A" w:rsidRDefault="006F587A">
            <w:pPr>
              <w:textAlignment w:val="bottom"/>
              <w:rPr>
                <w:rFonts w:ascii="Times New Roman" w:hAnsi="Times New Roman"/>
                <w:sz w:val="20"/>
                <w:szCs w:val="20"/>
              </w:rPr>
            </w:pPr>
          </w:p>
        </w:tc>
      </w:tr>
      <w:tr w:rsidR="006F587A" w14:paraId="4ACE3EC1" w14:textId="77777777">
        <w:tc>
          <w:tcPr>
            <w:tcW w:w="0" w:type="auto"/>
            <w:shd w:val="clear" w:color="auto" w:fill="auto"/>
            <w:tcMar>
              <w:top w:w="40" w:type="dxa"/>
              <w:left w:w="880" w:type="dxa"/>
              <w:bottom w:w="40" w:type="dxa"/>
              <w:right w:w="40" w:type="dxa"/>
            </w:tcMar>
            <w:vAlign w:val="bottom"/>
          </w:tcPr>
          <w:p w14:paraId="4ACE3EB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Accrued compensation and benefits</w:t>
            </w:r>
          </w:p>
        </w:tc>
        <w:tc>
          <w:tcPr>
            <w:tcW w:w="0" w:type="auto"/>
            <w:shd w:val="clear" w:color="auto" w:fill="auto"/>
            <w:tcMar>
              <w:top w:w="40" w:type="dxa"/>
              <w:left w:w="40" w:type="dxa"/>
              <w:bottom w:w="40" w:type="dxa"/>
              <w:right w:w="40" w:type="dxa"/>
            </w:tcMar>
            <w:vAlign w:val="bottom"/>
          </w:tcPr>
          <w:p w14:paraId="4ACE3EB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EB9"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91</w:t>
            </w:r>
          </w:p>
        </w:tc>
        <w:tc>
          <w:tcPr>
            <w:tcW w:w="0" w:type="auto"/>
            <w:shd w:val="clear" w:color="auto" w:fill="auto"/>
            <w:vAlign w:val="bottom"/>
          </w:tcPr>
          <w:p w14:paraId="4ACE3EB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EB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EB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(260</w:t>
            </w:r>
          </w:p>
        </w:tc>
        <w:tc>
          <w:tcPr>
            <w:tcW w:w="0" w:type="auto"/>
            <w:shd w:val="clear" w:color="auto" w:fill="auto"/>
            <w:tcMar>
              <w:top w:w="40" w:type="dxa"/>
              <w:bottom w:w="40" w:type="dxa"/>
              <w:right w:w="40" w:type="dxa"/>
            </w:tcMar>
            <w:vAlign w:val="bottom"/>
          </w:tcPr>
          <w:p w14:paraId="4ACE3EB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3EB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EB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311</w:t>
            </w:r>
          </w:p>
        </w:tc>
        <w:tc>
          <w:tcPr>
            <w:tcW w:w="0" w:type="auto"/>
            <w:shd w:val="clear" w:color="auto" w:fill="auto"/>
            <w:vAlign w:val="bottom"/>
          </w:tcPr>
          <w:p w14:paraId="4ACE3EC0" w14:textId="77777777" w:rsidR="006F587A" w:rsidRDefault="006F587A">
            <w:pPr>
              <w:textAlignment w:val="bottom"/>
              <w:rPr>
                <w:rFonts w:ascii="Times New Roman" w:hAnsi="Times New Roman"/>
                <w:sz w:val="20"/>
                <w:szCs w:val="20"/>
              </w:rPr>
            </w:pPr>
          </w:p>
        </w:tc>
      </w:tr>
      <w:tr w:rsidR="006F587A" w14:paraId="4ACE3ECC" w14:textId="77777777">
        <w:tc>
          <w:tcPr>
            <w:tcW w:w="0" w:type="auto"/>
            <w:shd w:val="clear" w:color="auto" w:fill="auto"/>
            <w:tcMar>
              <w:top w:w="40" w:type="dxa"/>
              <w:left w:w="880" w:type="dxa"/>
              <w:bottom w:w="40" w:type="dxa"/>
              <w:right w:w="40" w:type="dxa"/>
            </w:tcMar>
            <w:vAlign w:val="bottom"/>
          </w:tcPr>
          <w:p w14:paraId="4ACE3EC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Customer deposits and prepaid supply agreements</w:t>
            </w:r>
          </w:p>
        </w:tc>
        <w:tc>
          <w:tcPr>
            <w:tcW w:w="0" w:type="auto"/>
            <w:shd w:val="clear" w:color="auto" w:fill="auto"/>
            <w:tcMar>
              <w:top w:w="40" w:type="dxa"/>
              <w:left w:w="40" w:type="dxa"/>
              <w:bottom w:w="40" w:type="dxa"/>
              <w:right w:w="40" w:type="dxa"/>
            </w:tcMar>
            <w:vAlign w:val="bottom"/>
          </w:tcPr>
          <w:p w14:paraId="4ACE3EC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EC4"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(782</w:t>
            </w:r>
          </w:p>
        </w:tc>
        <w:tc>
          <w:tcPr>
            <w:tcW w:w="0" w:type="auto"/>
            <w:shd w:val="clear" w:color="auto" w:fill="auto"/>
            <w:tcMar>
              <w:top w:w="40" w:type="dxa"/>
              <w:bottom w:w="40" w:type="dxa"/>
              <w:right w:w="40" w:type="dxa"/>
            </w:tcMar>
            <w:vAlign w:val="bottom"/>
          </w:tcPr>
          <w:p w14:paraId="4ACE3EC5"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3EC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EC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1,367</w:t>
            </w:r>
          </w:p>
        </w:tc>
        <w:tc>
          <w:tcPr>
            <w:tcW w:w="0" w:type="auto"/>
            <w:shd w:val="clear" w:color="auto" w:fill="auto"/>
            <w:vAlign w:val="bottom"/>
          </w:tcPr>
          <w:p w14:paraId="4ACE3EC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EC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EC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1,105</w:t>
            </w:r>
          </w:p>
        </w:tc>
        <w:tc>
          <w:tcPr>
            <w:tcW w:w="0" w:type="auto"/>
            <w:shd w:val="clear" w:color="auto" w:fill="auto"/>
            <w:vAlign w:val="bottom"/>
          </w:tcPr>
          <w:p w14:paraId="4ACE3ECB" w14:textId="77777777" w:rsidR="006F587A" w:rsidRDefault="006F587A">
            <w:pPr>
              <w:textAlignment w:val="bottom"/>
              <w:rPr>
                <w:rFonts w:ascii="Times New Roman" w:hAnsi="Times New Roman"/>
                <w:sz w:val="20"/>
                <w:szCs w:val="20"/>
              </w:rPr>
            </w:pPr>
          </w:p>
        </w:tc>
      </w:tr>
      <w:tr w:rsidR="006F587A" w14:paraId="4ACE3ED7" w14:textId="77777777">
        <w:tc>
          <w:tcPr>
            <w:tcW w:w="0" w:type="auto"/>
            <w:shd w:val="clear" w:color="auto" w:fill="auto"/>
            <w:tcMar>
              <w:top w:w="40" w:type="dxa"/>
              <w:left w:w="880" w:type="dxa"/>
              <w:bottom w:w="40" w:type="dxa"/>
              <w:right w:w="40" w:type="dxa"/>
            </w:tcMar>
            <w:vAlign w:val="bottom"/>
          </w:tcPr>
          <w:p w14:paraId="4ACE3EC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Income taxes</w:t>
            </w:r>
          </w:p>
        </w:tc>
        <w:tc>
          <w:tcPr>
            <w:tcW w:w="0" w:type="auto"/>
            <w:shd w:val="clear" w:color="auto" w:fill="auto"/>
            <w:tcMar>
              <w:top w:w="40" w:type="dxa"/>
              <w:left w:w="40" w:type="dxa"/>
              <w:bottom w:w="40" w:type="dxa"/>
              <w:right w:w="40" w:type="dxa"/>
            </w:tcMar>
            <w:vAlign w:val="bottom"/>
          </w:tcPr>
          <w:p w14:paraId="4ACE3EC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ECF"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885</w:t>
            </w:r>
          </w:p>
        </w:tc>
        <w:tc>
          <w:tcPr>
            <w:tcW w:w="0" w:type="auto"/>
            <w:shd w:val="clear" w:color="auto" w:fill="auto"/>
            <w:vAlign w:val="bottom"/>
          </w:tcPr>
          <w:p w14:paraId="4ACE3ED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ED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ED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(1,601</w:t>
            </w:r>
          </w:p>
        </w:tc>
        <w:tc>
          <w:tcPr>
            <w:tcW w:w="0" w:type="auto"/>
            <w:shd w:val="clear" w:color="auto" w:fill="auto"/>
            <w:tcMar>
              <w:top w:w="40" w:type="dxa"/>
              <w:bottom w:w="40" w:type="dxa"/>
              <w:right w:w="40" w:type="dxa"/>
            </w:tcMar>
            <w:vAlign w:val="bottom"/>
          </w:tcPr>
          <w:p w14:paraId="4ACE3ED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3ED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ED5"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6,778</w:t>
            </w:r>
          </w:p>
        </w:tc>
        <w:tc>
          <w:tcPr>
            <w:tcW w:w="0" w:type="auto"/>
            <w:shd w:val="clear" w:color="auto" w:fill="auto"/>
            <w:vAlign w:val="bottom"/>
          </w:tcPr>
          <w:p w14:paraId="4ACE3ED6" w14:textId="77777777" w:rsidR="006F587A" w:rsidRDefault="006F587A">
            <w:pPr>
              <w:textAlignment w:val="bottom"/>
              <w:rPr>
                <w:rFonts w:ascii="Times New Roman" w:hAnsi="Times New Roman"/>
                <w:sz w:val="20"/>
                <w:szCs w:val="20"/>
              </w:rPr>
            </w:pPr>
          </w:p>
        </w:tc>
      </w:tr>
      <w:tr w:rsidR="006F587A" w14:paraId="4ACE3EE2" w14:textId="77777777">
        <w:tc>
          <w:tcPr>
            <w:tcW w:w="0" w:type="auto"/>
            <w:shd w:val="clear" w:color="auto" w:fill="auto"/>
            <w:tcMar>
              <w:top w:w="40" w:type="dxa"/>
              <w:left w:w="880" w:type="dxa"/>
              <w:bottom w:w="40" w:type="dxa"/>
              <w:right w:w="40" w:type="dxa"/>
            </w:tcMar>
            <w:vAlign w:val="bottom"/>
          </w:tcPr>
          <w:p w14:paraId="4ACE3ED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Other assets and </w:t>
            </w:r>
            <w:r>
              <w:rPr>
                <w:rFonts w:ascii="Arial" w:eastAsia="宋体" w:hAnsi="Arial" w:cs="Arial"/>
                <w:color w:val="333333"/>
                <w:sz w:val="18"/>
                <w:szCs w:val="18"/>
              </w:rPr>
              <w:t>liabilities</w:t>
            </w:r>
          </w:p>
        </w:tc>
        <w:tc>
          <w:tcPr>
            <w:tcW w:w="0" w:type="auto"/>
            <w:shd w:val="clear" w:color="auto" w:fill="auto"/>
            <w:tcMar>
              <w:top w:w="40" w:type="dxa"/>
              <w:left w:w="40" w:type="dxa"/>
              <w:bottom w:w="40" w:type="dxa"/>
              <w:right w:w="40" w:type="dxa"/>
            </w:tcMar>
            <w:vAlign w:val="bottom"/>
          </w:tcPr>
          <w:p w14:paraId="4ACE3ED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EDA"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2,674</w:t>
            </w:r>
          </w:p>
        </w:tc>
        <w:tc>
          <w:tcPr>
            <w:tcW w:w="0" w:type="auto"/>
            <w:shd w:val="clear" w:color="auto" w:fill="auto"/>
            <w:vAlign w:val="bottom"/>
          </w:tcPr>
          <w:p w14:paraId="4ACE3ED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ED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EDD"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301</w:t>
            </w:r>
          </w:p>
        </w:tc>
        <w:tc>
          <w:tcPr>
            <w:tcW w:w="0" w:type="auto"/>
            <w:shd w:val="clear" w:color="auto" w:fill="auto"/>
            <w:vAlign w:val="bottom"/>
          </w:tcPr>
          <w:p w14:paraId="4ACE3ED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ED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EE0"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(312</w:t>
            </w:r>
          </w:p>
        </w:tc>
        <w:tc>
          <w:tcPr>
            <w:tcW w:w="0" w:type="auto"/>
            <w:shd w:val="clear" w:color="auto" w:fill="auto"/>
            <w:tcMar>
              <w:top w:w="40" w:type="dxa"/>
              <w:bottom w:w="40" w:type="dxa"/>
              <w:right w:w="40" w:type="dxa"/>
            </w:tcMar>
            <w:vAlign w:val="bottom"/>
          </w:tcPr>
          <w:p w14:paraId="4ACE3EE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3EED" w14:textId="77777777">
        <w:tc>
          <w:tcPr>
            <w:tcW w:w="0" w:type="auto"/>
            <w:shd w:val="clear" w:color="auto" w:fill="auto"/>
            <w:tcMar>
              <w:top w:w="40" w:type="dxa"/>
              <w:left w:w="240" w:type="dxa"/>
              <w:bottom w:w="40" w:type="dxa"/>
              <w:right w:w="40" w:type="dxa"/>
            </w:tcMar>
            <w:vAlign w:val="bottom"/>
          </w:tcPr>
          <w:p w14:paraId="4ACE3EE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Total adjustments</w:t>
            </w:r>
          </w:p>
        </w:tc>
        <w:tc>
          <w:tcPr>
            <w:tcW w:w="0" w:type="auto"/>
            <w:shd w:val="clear" w:color="auto" w:fill="auto"/>
            <w:tcMar>
              <w:top w:w="40" w:type="dxa"/>
              <w:left w:w="40" w:type="dxa"/>
              <w:bottom w:w="40" w:type="dxa"/>
              <w:right w:w="40" w:type="dxa"/>
            </w:tcMar>
            <w:vAlign w:val="bottom"/>
          </w:tcPr>
          <w:p w14:paraId="4ACE3EE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tcBorders>
            <w:shd w:val="clear" w:color="auto" w:fill="auto"/>
            <w:tcMar>
              <w:top w:w="40" w:type="dxa"/>
              <w:left w:w="40" w:type="dxa"/>
              <w:bottom w:w="40" w:type="dxa"/>
            </w:tcMar>
            <w:vAlign w:val="bottom"/>
          </w:tcPr>
          <w:p w14:paraId="4ACE3EE5"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12,097</w:t>
            </w:r>
          </w:p>
        </w:tc>
        <w:tc>
          <w:tcPr>
            <w:tcW w:w="0" w:type="auto"/>
            <w:tcBorders>
              <w:top w:val="single" w:sz="8" w:space="0" w:color="333333"/>
            </w:tcBorders>
            <w:shd w:val="clear" w:color="auto" w:fill="auto"/>
            <w:vAlign w:val="bottom"/>
          </w:tcPr>
          <w:p w14:paraId="4ACE3EE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EE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tcBorders>
            <w:shd w:val="clear" w:color="auto" w:fill="auto"/>
            <w:tcMar>
              <w:top w:w="40" w:type="dxa"/>
              <w:left w:w="40" w:type="dxa"/>
              <w:bottom w:w="40" w:type="dxa"/>
            </w:tcMar>
            <w:vAlign w:val="bottom"/>
          </w:tcPr>
          <w:p w14:paraId="4ACE3EE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8,379</w:t>
            </w:r>
          </w:p>
        </w:tc>
        <w:tc>
          <w:tcPr>
            <w:tcW w:w="0" w:type="auto"/>
            <w:tcBorders>
              <w:top w:val="single" w:sz="8" w:space="0" w:color="333333"/>
            </w:tcBorders>
            <w:shd w:val="clear" w:color="auto" w:fill="auto"/>
            <w:vAlign w:val="bottom"/>
          </w:tcPr>
          <w:p w14:paraId="4ACE3EE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EE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tcBorders>
            <w:shd w:val="clear" w:color="auto" w:fill="auto"/>
            <w:tcMar>
              <w:top w:w="40" w:type="dxa"/>
              <w:left w:w="40" w:type="dxa"/>
              <w:bottom w:w="40" w:type="dxa"/>
            </w:tcMar>
            <w:vAlign w:val="bottom"/>
          </w:tcPr>
          <w:p w14:paraId="4ACE3EE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12,509</w:t>
            </w:r>
          </w:p>
        </w:tc>
        <w:tc>
          <w:tcPr>
            <w:tcW w:w="0" w:type="auto"/>
            <w:tcBorders>
              <w:top w:val="single" w:sz="8" w:space="0" w:color="333333"/>
            </w:tcBorders>
            <w:shd w:val="clear" w:color="auto" w:fill="auto"/>
            <w:vAlign w:val="bottom"/>
          </w:tcPr>
          <w:p w14:paraId="4ACE3EEC" w14:textId="77777777" w:rsidR="006F587A" w:rsidRDefault="006F587A">
            <w:pPr>
              <w:textAlignment w:val="bottom"/>
              <w:rPr>
                <w:rFonts w:ascii="Times New Roman" w:hAnsi="Times New Roman"/>
                <w:sz w:val="20"/>
                <w:szCs w:val="20"/>
              </w:rPr>
            </w:pPr>
          </w:p>
        </w:tc>
      </w:tr>
      <w:tr w:rsidR="006F587A" w14:paraId="4ACE3EF8" w14:textId="77777777">
        <w:tc>
          <w:tcPr>
            <w:tcW w:w="0" w:type="auto"/>
            <w:shd w:val="clear" w:color="auto" w:fill="auto"/>
            <w:tcMar>
              <w:top w:w="40" w:type="dxa"/>
              <w:left w:w="40" w:type="dxa"/>
              <w:bottom w:w="40" w:type="dxa"/>
              <w:right w:w="40" w:type="dxa"/>
            </w:tcMar>
            <w:vAlign w:val="bottom"/>
          </w:tcPr>
          <w:p w14:paraId="4ACE3EEE"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Net cash provided by operating activities</w:t>
            </w:r>
          </w:p>
        </w:tc>
        <w:tc>
          <w:tcPr>
            <w:tcW w:w="0" w:type="auto"/>
            <w:shd w:val="clear" w:color="auto" w:fill="auto"/>
            <w:tcMar>
              <w:top w:w="40" w:type="dxa"/>
              <w:left w:w="40" w:type="dxa"/>
              <w:bottom w:w="40" w:type="dxa"/>
              <w:right w:w="40" w:type="dxa"/>
            </w:tcMar>
            <w:vAlign w:val="bottom"/>
          </w:tcPr>
          <w:p w14:paraId="4ACE3EE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3EF0"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33,145</w:t>
            </w:r>
          </w:p>
        </w:tc>
        <w:tc>
          <w:tcPr>
            <w:tcW w:w="0" w:type="auto"/>
            <w:tcBorders>
              <w:top w:val="single" w:sz="8" w:space="0" w:color="333333"/>
              <w:bottom w:val="single" w:sz="8" w:space="0" w:color="333333"/>
            </w:tcBorders>
            <w:shd w:val="clear" w:color="auto" w:fill="auto"/>
            <w:vAlign w:val="bottom"/>
          </w:tcPr>
          <w:p w14:paraId="4ACE3EF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EF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3EF3"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29,432</w:t>
            </w:r>
          </w:p>
        </w:tc>
        <w:tc>
          <w:tcPr>
            <w:tcW w:w="0" w:type="auto"/>
            <w:tcBorders>
              <w:top w:val="single" w:sz="8" w:space="0" w:color="333333"/>
              <w:bottom w:val="single" w:sz="8" w:space="0" w:color="333333"/>
            </w:tcBorders>
            <w:shd w:val="clear" w:color="auto" w:fill="auto"/>
            <w:vAlign w:val="bottom"/>
          </w:tcPr>
          <w:p w14:paraId="4ACE3EF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EF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3EF6"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22,110</w:t>
            </w:r>
          </w:p>
        </w:tc>
        <w:tc>
          <w:tcPr>
            <w:tcW w:w="0" w:type="auto"/>
            <w:tcBorders>
              <w:top w:val="single" w:sz="8" w:space="0" w:color="333333"/>
              <w:bottom w:val="single" w:sz="8" w:space="0" w:color="333333"/>
            </w:tcBorders>
            <w:shd w:val="clear" w:color="auto" w:fill="auto"/>
            <w:vAlign w:val="bottom"/>
          </w:tcPr>
          <w:p w14:paraId="4ACE3EF7" w14:textId="77777777" w:rsidR="006F587A" w:rsidRDefault="006F587A">
            <w:pPr>
              <w:textAlignment w:val="bottom"/>
              <w:rPr>
                <w:rFonts w:ascii="Times New Roman" w:hAnsi="Times New Roman"/>
                <w:sz w:val="20"/>
                <w:szCs w:val="20"/>
              </w:rPr>
            </w:pPr>
          </w:p>
        </w:tc>
      </w:tr>
      <w:tr w:rsidR="006F587A" w14:paraId="4ACE3F00" w14:textId="77777777">
        <w:tc>
          <w:tcPr>
            <w:tcW w:w="0" w:type="auto"/>
            <w:shd w:val="clear" w:color="auto" w:fill="auto"/>
            <w:tcMar>
              <w:top w:w="40" w:type="dxa"/>
              <w:left w:w="40" w:type="dxa"/>
              <w:bottom w:w="40" w:type="dxa"/>
              <w:right w:w="40" w:type="dxa"/>
            </w:tcMar>
            <w:vAlign w:val="bottom"/>
          </w:tcPr>
          <w:p w14:paraId="4ACE3EF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Cash flows provided by (used for) investing activities:</w:t>
            </w:r>
          </w:p>
        </w:tc>
        <w:tc>
          <w:tcPr>
            <w:tcW w:w="0" w:type="auto"/>
            <w:shd w:val="clear" w:color="auto" w:fill="auto"/>
            <w:tcMar>
              <w:top w:w="40" w:type="dxa"/>
              <w:left w:w="40" w:type="dxa"/>
              <w:bottom w:w="40" w:type="dxa"/>
              <w:right w:w="40" w:type="dxa"/>
            </w:tcMar>
            <w:vAlign w:val="bottom"/>
          </w:tcPr>
          <w:p w14:paraId="4ACE3EF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EF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EF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EF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EF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EF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3F0B" w14:textId="77777777">
        <w:tc>
          <w:tcPr>
            <w:tcW w:w="0" w:type="auto"/>
            <w:shd w:val="clear" w:color="auto" w:fill="auto"/>
            <w:tcMar>
              <w:top w:w="40" w:type="dxa"/>
              <w:left w:w="240" w:type="dxa"/>
              <w:bottom w:w="40" w:type="dxa"/>
              <w:right w:w="40" w:type="dxa"/>
            </w:tcMar>
            <w:vAlign w:val="bottom"/>
          </w:tcPr>
          <w:p w14:paraId="4ACE3F0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Additions to </w:t>
            </w:r>
            <w:r>
              <w:rPr>
                <w:rFonts w:ascii="Arial" w:eastAsia="宋体" w:hAnsi="Arial" w:cs="Arial"/>
                <w:color w:val="333333"/>
                <w:sz w:val="18"/>
                <w:szCs w:val="18"/>
              </w:rPr>
              <w:t>property, plant and equipment</w:t>
            </w:r>
          </w:p>
        </w:tc>
        <w:tc>
          <w:tcPr>
            <w:tcW w:w="0" w:type="auto"/>
            <w:shd w:val="clear" w:color="auto" w:fill="auto"/>
            <w:tcMar>
              <w:top w:w="40" w:type="dxa"/>
              <w:left w:w="40" w:type="dxa"/>
              <w:bottom w:w="40" w:type="dxa"/>
              <w:right w:w="40" w:type="dxa"/>
            </w:tcMar>
            <w:vAlign w:val="bottom"/>
          </w:tcPr>
          <w:p w14:paraId="4ACE3F0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F0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(16,213</w:t>
            </w:r>
          </w:p>
        </w:tc>
        <w:tc>
          <w:tcPr>
            <w:tcW w:w="0" w:type="auto"/>
            <w:shd w:val="clear" w:color="auto" w:fill="auto"/>
            <w:tcMar>
              <w:top w:w="40" w:type="dxa"/>
              <w:bottom w:w="40" w:type="dxa"/>
              <w:right w:w="40" w:type="dxa"/>
            </w:tcMar>
            <w:vAlign w:val="bottom"/>
          </w:tcPr>
          <w:p w14:paraId="4ACE3F04"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3F0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F0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(15,181</w:t>
            </w:r>
          </w:p>
        </w:tc>
        <w:tc>
          <w:tcPr>
            <w:tcW w:w="0" w:type="auto"/>
            <w:shd w:val="clear" w:color="auto" w:fill="auto"/>
            <w:tcMar>
              <w:top w:w="40" w:type="dxa"/>
              <w:bottom w:w="40" w:type="dxa"/>
              <w:right w:w="40" w:type="dxa"/>
            </w:tcMar>
            <w:vAlign w:val="bottom"/>
          </w:tcPr>
          <w:p w14:paraId="4ACE3F0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3F0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F0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(11,778</w:t>
            </w:r>
          </w:p>
        </w:tc>
        <w:tc>
          <w:tcPr>
            <w:tcW w:w="0" w:type="auto"/>
            <w:shd w:val="clear" w:color="auto" w:fill="auto"/>
            <w:tcMar>
              <w:top w:w="40" w:type="dxa"/>
              <w:bottom w:w="40" w:type="dxa"/>
              <w:right w:w="40" w:type="dxa"/>
            </w:tcMar>
            <w:vAlign w:val="bottom"/>
          </w:tcPr>
          <w:p w14:paraId="4ACE3F0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3F16" w14:textId="77777777">
        <w:tc>
          <w:tcPr>
            <w:tcW w:w="0" w:type="auto"/>
            <w:shd w:val="clear" w:color="auto" w:fill="auto"/>
            <w:tcMar>
              <w:top w:w="40" w:type="dxa"/>
              <w:left w:w="240" w:type="dxa"/>
              <w:bottom w:w="40" w:type="dxa"/>
              <w:right w:w="40" w:type="dxa"/>
            </w:tcMar>
            <w:vAlign w:val="bottom"/>
          </w:tcPr>
          <w:p w14:paraId="4ACE3F0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Acquisitions, net of cash acquired</w:t>
            </w:r>
          </w:p>
        </w:tc>
        <w:tc>
          <w:tcPr>
            <w:tcW w:w="0" w:type="auto"/>
            <w:shd w:val="clear" w:color="auto" w:fill="auto"/>
            <w:tcMar>
              <w:top w:w="40" w:type="dxa"/>
              <w:left w:w="40" w:type="dxa"/>
              <w:bottom w:w="40" w:type="dxa"/>
              <w:right w:w="40" w:type="dxa"/>
            </w:tcMar>
            <w:vAlign w:val="bottom"/>
          </w:tcPr>
          <w:p w14:paraId="4ACE3F0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F0E"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(1,958</w:t>
            </w:r>
          </w:p>
        </w:tc>
        <w:tc>
          <w:tcPr>
            <w:tcW w:w="0" w:type="auto"/>
            <w:shd w:val="clear" w:color="auto" w:fill="auto"/>
            <w:tcMar>
              <w:top w:w="40" w:type="dxa"/>
              <w:bottom w:w="40" w:type="dxa"/>
              <w:right w:w="40" w:type="dxa"/>
            </w:tcMar>
            <w:vAlign w:val="bottom"/>
          </w:tcPr>
          <w:p w14:paraId="4ACE3F0F"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3F1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F11"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(190</w:t>
            </w:r>
          </w:p>
        </w:tc>
        <w:tc>
          <w:tcPr>
            <w:tcW w:w="0" w:type="auto"/>
            <w:shd w:val="clear" w:color="auto" w:fill="auto"/>
            <w:tcMar>
              <w:top w:w="40" w:type="dxa"/>
              <w:bottom w:w="40" w:type="dxa"/>
              <w:right w:w="40" w:type="dxa"/>
            </w:tcMar>
            <w:vAlign w:val="bottom"/>
          </w:tcPr>
          <w:p w14:paraId="4ACE3F1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3F1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F1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(14,499</w:t>
            </w:r>
          </w:p>
        </w:tc>
        <w:tc>
          <w:tcPr>
            <w:tcW w:w="0" w:type="auto"/>
            <w:shd w:val="clear" w:color="auto" w:fill="auto"/>
            <w:tcMar>
              <w:top w:w="40" w:type="dxa"/>
              <w:bottom w:w="40" w:type="dxa"/>
              <w:right w:w="40" w:type="dxa"/>
            </w:tcMar>
            <w:vAlign w:val="bottom"/>
          </w:tcPr>
          <w:p w14:paraId="4ACE3F1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3F21" w14:textId="77777777">
        <w:tc>
          <w:tcPr>
            <w:tcW w:w="0" w:type="auto"/>
            <w:shd w:val="clear" w:color="auto" w:fill="auto"/>
            <w:tcMar>
              <w:top w:w="40" w:type="dxa"/>
              <w:left w:w="240" w:type="dxa"/>
              <w:bottom w:w="40" w:type="dxa"/>
              <w:right w:w="40" w:type="dxa"/>
            </w:tcMar>
            <w:vAlign w:val="bottom"/>
          </w:tcPr>
          <w:p w14:paraId="4ACE3F1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Purchases of available-for-sale debt investments</w:t>
            </w:r>
          </w:p>
        </w:tc>
        <w:tc>
          <w:tcPr>
            <w:tcW w:w="0" w:type="auto"/>
            <w:shd w:val="clear" w:color="auto" w:fill="auto"/>
            <w:tcMar>
              <w:top w:w="40" w:type="dxa"/>
              <w:left w:w="40" w:type="dxa"/>
              <w:bottom w:w="40" w:type="dxa"/>
              <w:right w:w="40" w:type="dxa"/>
            </w:tcMar>
            <w:vAlign w:val="bottom"/>
          </w:tcPr>
          <w:p w14:paraId="4ACE3F1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F19"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(2,268</w:t>
            </w:r>
          </w:p>
        </w:tc>
        <w:tc>
          <w:tcPr>
            <w:tcW w:w="0" w:type="auto"/>
            <w:shd w:val="clear" w:color="auto" w:fill="auto"/>
            <w:tcMar>
              <w:top w:w="40" w:type="dxa"/>
              <w:bottom w:w="40" w:type="dxa"/>
              <w:right w:w="40" w:type="dxa"/>
            </w:tcMar>
            <w:vAlign w:val="bottom"/>
          </w:tcPr>
          <w:p w14:paraId="4ACE3F1A"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3F1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F1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(3,843</w:t>
            </w:r>
          </w:p>
        </w:tc>
        <w:tc>
          <w:tcPr>
            <w:tcW w:w="0" w:type="auto"/>
            <w:shd w:val="clear" w:color="auto" w:fill="auto"/>
            <w:tcMar>
              <w:top w:w="40" w:type="dxa"/>
              <w:bottom w:w="40" w:type="dxa"/>
              <w:right w:w="40" w:type="dxa"/>
            </w:tcMar>
            <w:vAlign w:val="bottom"/>
          </w:tcPr>
          <w:p w14:paraId="4ACE3F1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3F1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F1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(2,746</w:t>
            </w:r>
          </w:p>
        </w:tc>
        <w:tc>
          <w:tcPr>
            <w:tcW w:w="0" w:type="auto"/>
            <w:shd w:val="clear" w:color="auto" w:fill="auto"/>
            <w:tcMar>
              <w:top w:w="40" w:type="dxa"/>
              <w:bottom w:w="40" w:type="dxa"/>
              <w:right w:w="40" w:type="dxa"/>
            </w:tcMar>
            <w:vAlign w:val="bottom"/>
          </w:tcPr>
          <w:p w14:paraId="4ACE3F2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3F2C" w14:textId="77777777">
        <w:tc>
          <w:tcPr>
            <w:tcW w:w="0" w:type="auto"/>
            <w:shd w:val="clear" w:color="auto" w:fill="auto"/>
            <w:tcMar>
              <w:top w:w="40" w:type="dxa"/>
              <w:left w:w="240" w:type="dxa"/>
              <w:bottom w:w="40" w:type="dxa"/>
              <w:right w:w="40" w:type="dxa"/>
            </w:tcMar>
            <w:vAlign w:val="bottom"/>
          </w:tcPr>
          <w:p w14:paraId="4ACE3F2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Sales of </w:t>
            </w:r>
            <w:r>
              <w:rPr>
                <w:rFonts w:ascii="Arial" w:eastAsia="宋体" w:hAnsi="Arial" w:cs="Arial"/>
                <w:color w:val="333333"/>
                <w:sz w:val="18"/>
                <w:szCs w:val="18"/>
              </w:rPr>
              <w:t>available-for-sale debt investments</w:t>
            </w:r>
          </w:p>
        </w:tc>
        <w:tc>
          <w:tcPr>
            <w:tcW w:w="0" w:type="auto"/>
            <w:shd w:val="clear" w:color="auto" w:fill="auto"/>
            <w:tcMar>
              <w:top w:w="40" w:type="dxa"/>
              <w:left w:w="40" w:type="dxa"/>
              <w:bottom w:w="40" w:type="dxa"/>
              <w:right w:w="40" w:type="dxa"/>
            </w:tcMar>
            <w:vAlign w:val="bottom"/>
          </w:tcPr>
          <w:p w14:paraId="4ACE3F2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F24"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238</w:t>
            </w:r>
          </w:p>
        </w:tc>
        <w:tc>
          <w:tcPr>
            <w:tcW w:w="0" w:type="auto"/>
            <w:shd w:val="clear" w:color="auto" w:fill="auto"/>
            <w:vAlign w:val="bottom"/>
          </w:tcPr>
          <w:p w14:paraId="4ACE3F2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F2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F2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195</w:t>
            </w:r>
          </w:p>
        </w:tc>
        <w:tc>
          <w:tcPr>
            <w:tcW w:w="0" w:type="auto"/>
            <w:shd w:val="clear" w:color="auto" w:fill="auto"/>
            <w:vAlign w:val="bottom"/>
          </w:tcPr>
          <w:p w14:paraId="4ACE3F2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F2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F2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1,833</w:t>
            </w:r>
          </w:p>
        </w:tc>
        <w:tc>
          <w:tcPr>
            <w:tcW w:w="0" w:type="auto"/>
            <w:shd w:val="clear" w:color="auto" w:fill="auto"/>
            <w:vAlign w:val="bottom"/>
          </w:tcPr>
          <w:p w14:paraId="4ACE3F2B" w14:textId="77777777" w:rsidR="006F587A" w:rsidRDefault="006F587A">
            <w:pPr>
              <w:textAlignment w:val="bottom"/>
              <w:rPr>
                <w:rFonts w:ascii="Times New Roman" w:hAnsi="Times New Roman"/>
                <w:sz w:val="20"/>
                <w:szCs w:val="20"/>
              </w:rPr>
            </w:pPr>
          </w:p>
        </w:tc>
      </w:tr>
      <w:tr w:rsidR="006F587A" w14:paraId="4ACE3F37" w14:textId="77777777">
        <w:tc>
          <w:tcPr>
            <w:tcW w:w="0" w:type="auto"/>
            <w:shd w:val="clear" w:color="auto" w:fill="auto"/>
            <w:tcMar>
              <w:top w:w="40" w:type="dxa"/>
              <w:left w:w="240" w:type="dxa"/>
              <w:bottom w:w="40" w:type="dxa"/>
              <w:right w:w="40" w:type="dxa"/>
            </w:tcMar>
            <w:vAlign w:val="bottom"/>
          </w:tcPr>
          <w:p w14:paraId="4ACE3F2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Maturities of available-for-sale debt investments</w:t>
            </w:r>
          </w:p>
        </w:tc>
        <w:tc>
          <w:tcPr>
            <w:tcW w:w="0" w:type="auto"/>
            <w:shd w:val="clear" w:color="auto" w:fill="auto"/>
            <w:tcMar>
              <w:top w:w="40" w:type="dxa"/>
              <w:left w:w="40" w:type="dxa"/>
              <w:bottom w:w="40" w:type="dxa"/>
              <w:right w:w="40" w:type="dxa"/>
            </w:tcMar>
            <w:vAlign w:val="bottom"/>
          </w:tcPr>
          <w:p w14:paraId="4ACE3F2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F2F"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3,988</w:t>
            </w:r>
          </w:p>
        </w:tc>
        <w:tc>
          <w:tcPr>
            <w:tcW w:w="0" w:type="auto"/>
            <w:shd w:val="clear" w:color="auto" w:fill="auto"/>
            <w:vAlign w:val="bottom"/>
          </w:tcPr>
          <w:p w14:paraId="4ACE3F3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F3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F3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2,968</w:t>
            </w:r>
          </w:p>
        </w:tc>
        <w:tc>
          <w:tcPr>
            <w:tcW w:w="0" w:type="auto"/>
            <w:shd w:val="clear" w:color="auto" w:fill="auto"/>
            <w:vAlign w:val="bottom"/>
          </w:tcPr>
          <w:p w14:paraId="4ACE3F3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F3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F35"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3,687</w:t>
            </w:r>
          </w:p>
        </w:tc>
        <w:tc>
          <w:tcPr>
            <w:tcW w:w="0" w:type="auto"/>
            <w:shd w:val="clear" w:color="auto" w:fill="auto"/>
            <w:vAlign w:val="bottom"/>
          </w:tcPr>
          <w:p w14:paraId="4ACE3F36" w14:textId="77777777" w:rsidR="006F587A" w:rsidRDefault="006F587A">
            <w:pPr>
              <w:textAlignment w:val="bottom"/>
              <w:rPr>
                <w:rFonts w:ascii="Times New Roman" w:hAnsi="Times New Roman"/>
                <w:sz w:val="20"/>
                <w:szCs w:val="20"/>
              </w:rPr>
            </w:pPr>
          </w:p>
        </w:tc>
      </w:tr>
      <w:tr w:rsidR="006F587A" w14:paraId="4ACE3F42" w14:textId="77777777">
        <w:tc>
          <w:tcPr>
            <w:tcW w:w="0" w:type="auto"/>
            <w:shd w:val="clear" w:color="auto" w:fill="auto"/>
            <w:tcMar>
              <w:top w:w="40" w:type="dxa"/>
              <w:left w:w="240" w:type="dxa"/>
              <w:bottom w:w="40" w:type="dxa"/>
              <w:right w:w="40" w:type="dxa"/>
            </w:tcMar>
            <w:vAlign w:val="bottom"/>
          </w:tcPr>
          <w:p w14:paraId="4ACE3F3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Purchases of trading assets</w:t>
            </w:r>
          </w:p>
        </w:tc>
        <w:tc>
          <w:tcPr>
            <w:tcW w:w="0" w:type="auto"/>
            <w:shd w:val="clear" w:color="auto" w:fill="auto"/>
            <w:tcMar>
              <w:top w:w="40" w:type="dxa"/>
              <w:left w:w="40" w:type="dxa"/>
              <w:bottom w:w="40" w:type="dxa"/>
              <w:right w:w="40" w:type="dxa"/>
            </w:tcMar>
            <w:vAlign w:val="bottom"/>
          </w:tcPr>
          <w:p w14:paraId="4ACE3F3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F3A"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(9,162</w:t>
            </w:r>
          </w:p>
        </w:tc>
        <w:tc>
          <w:tcPr>
            <w:tcW w:w="0" w:type="auto"/>
            <w:shd w:val="clear" w:color="auto" w:fill="auto"/>
            <w:tcMar>
              <w:top w:w="40" w:type="dxa"/>
              <w:bottom w:w="40" w:type="dxa"/>
              <w:right w:w="40" w:type="dxa"/>
            </w:tcMar>
            <w:vAlign w:val="bottom"/>
          </w:tcPr>
          <w:p w14:paraId="4ACE3F3B"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3F3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F3D"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(9,503</w:t>
            </w:r>
          </w:p>
        </w:tc>
        <w:tc>
          <w:tcPr>
            <w:tcW w:w="0" w:type="auto"/>
            <w:shd w:val="clear" w:color="auto" w:fill="auto"/>
            <w:tcMar>
              <w:top w:w="40" w:type="dxa"/>
              <w:bottom w:w="40" w:type="dxa"/>
              <w:right w:w="40" w:type="dxa"/>
            </w:tcMar>
            <w:vAlign w:val="bottom"/>
          </w:tcPr>
          <w:p w14:paraId="4ACE3F3E"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3F3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F40"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(13,700</w:t>
            </w:r>
          </w:p>
        </w:tc>
        <w:tc>
          <w:tcPr>
            <w:tcW w:w="0" w:type="auto"/>
            <w:shd w:val="clear" w:color="auto" w:fill="auto"/>
            <w:tcMar>
              <w:top w:w="40" w:type="dxa"/>
              <w:bottom w:w="40" w:type="dxa"/>
              <w:right w:w="40" w:type="dxa"/>
            </w:tcMar>
            <w:vAlign w:val="bottom"/>
          </w:tcPr>
          <w:p w14:paraId="4ACE3F4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3F4D" w14:textId="77777777">
        <w:tc>
          <w:tcPr>
            <w:tcW w:w="0" w:type="auto"/>
            <w:shd w:val="clear" w:color="auto" w:fill="auto"/>
            <w:tcMar>
              <w:top w:w="40" w:type="dxa"/>
              <w:left w:w="240" w:type="dxa"/>
              <w:bottom w:w="40" w:type="dxa"/>
              <w:right w:w="40" w:type="dxa"/>
            </w:tcMar>
            <w:vAlign w:val="bottom"/>
          </w:tcPr>
          <w:p w14:paraId="4ACE3F4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Maturities and sales of trading assets</w:t>
            </w:r>
          </w:p>
        </w:tc>
        <w:tc>
          <w:tcPr>
            <w:tcW w:w="0" w:type="auto"/>
            <w:shd w:val="clear" w:color="auto" w:fill="auto"/>
            <w:tcMar>
              <w:top w:w="40" w:type="dxa"/>
              <w:left w:w="40" w:type="dxa"/>
              <w:bottom w:w="40" w:type="dxa"/>
              <w:right w:w="40" w:type="dxa"/>
            </w:tcMar>
            <w:vAlign w:val="bottom"/>
          </w:tcPr>
          <w:p w14:paraId="4ACE3F4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F45"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7,178</w:t>
            </w:r>
          </w:p>
        </w:tc>
        <w:tc>
          <w:tcPr>
            <w:tcW w:w="0" w:type="auto"/>
            <w:shd w:val="clear" w:color="auto" w:fill="auto"/>
            <w:vAlign w:val="bottom"/>
          </w:tcPr>
          <w:p w14:paraId="4ACE3F4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F4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F4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12,111</w:t>
            </w:r>
          </w:p>
        </w:tc>
        <w:tc>
          <w:tcPr>
            <w:tcW w:w="0" w:type="auto"/>
            <w:shd w:val="clear" w:color="auto" w:fill="auto"/>
            <w:vAlign w:val="bottom"/>
          </w:tcPr>
          <w:p w14:paraId="4ACE3F4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F4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F4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13,970</w:t>
            </w:r>
          </w:p>
        </w:tc>
        <w:tc>
          <w:tcPr>
            <w:tcW w:w="0" w:type="auto"/>
            <w:shd w:val="clear" w:color="auto" w:fill="auto"/>
            <w:vAlign w:val="bottom"/>
          </w:tcPr>
          <w:p w14:paraId="4ACE3F4C" w14:textId="77777777" w:rsidR="006F587A" w:rsidRDefault="006F587A">
            <w:pPr>
              <w:textAlignment w:val="bottom"/>
              <w:rPr>
                <w:rFonts w:ascii="Times New Roman" w:hAnsi="Times New Roman"/>
                <w:sz w:val="20"/>
                <w:szCs w:val="20"/>
              </w:rPr>
            </w:pPr>
          </w:p>
        </w:tc>
      </w:tr>
      <w:tr w:rsidR="006F587A" w14:paraId="4ACE3F58" w14:textId="77777777">
        <w:tc>
          <w:tcPr>
            <w:tcW w:w="0" w:type="auto"/>
            <w:shd w:val="clear" w:color="auto" w:fill="auto"/>
            <w:tcMar>
              <w:top w:w="40" w:type="dxa"/>
              <w:left w:w="240" w:type="dxa"/>
              <w:bottom w:w="40" w:type="dxa"/>
              <w:right w:w="40" w:type="dxa"/>
            </w:tcMar>
            <w:vAlign w:val="bottom"/>
          </w:tcPr>
          <w:p w14:paraId="4ACE3F4E"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Purchases of equity investments</w:t>
            </w:r>
          </w:p>
        </w:tc>
        <w:tc>
          <w:tcPr>
            <w:tcW w:w="0" w:type="auto"/>
            <w:shd w:val="clear" w:color="auto" w:fill="auto"/>
            <w:tcMar>
              <w:top w:w="40" w:type="dxa"/>
              <w:left w:w="40" w:type="dxa"/>
              <w:bottom w:w="40" w:type="dxa"/>
              <w:right w:w="40" w:type="dxa"/>
            </w:tcMar>
            <w:vAlign w:val="bottom"/>
          </w:tcPr>
          <w:p w14:paraId="4ACE3F4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F50"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(522</w:t>
            </w:r>
          </w:p>
        </w:tc>
        <w:tc>
          <w:tcPr>
            <w:tcW w:w="0" w:type="auto"/>
            <w:shd w:val="clear" w:color="auto" w:fill="auto"/>
            <w:tcMar>
              <w:top w:w="40" w:type="dxa"/>
              <w:bottom w:w="40" w:type="dxa"/>
              <w:right w:w="40" w:type="dxa"/>
            </w:tcMar>
            <w:vAlign w:val="bottom"/>
          </w:tcPr>
          <w:p w14:paraId="4ACE3F51"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3F5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F53"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(874</w:t>
            </w:r>
          </w:p>
        </w:tc>
        <w:tc>
          <w:tcPr>
            <w:tcW w:w="0" w:type="auto"/>
            <w:shd w:val="clear" w:color="auto" w:fill="auto"/>
            <w:tcMar>
              <w:top w:w="40" w:type="dxa"/>
              <w:bottom w:w="40" w:type="dxa"/>
              <w:right w:w="40" w:type="dxa"/>
            </w:tcMar>
            <w:vAlign w:val="bottom"/>
          </w:tcPr>
          <w:p w14:paraId="4ACE3F5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3F5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F5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(1,619</w:t>
            </w:r>
          </w:p>
        </w:tc>
        <w:tc>
          <w:tcPr>
            <w:tcW w:w="0" w:type="auto"/>
            <w:shd w:val="clear" w:color="auto" w:fill="auto"/>
            <w:tcMar>
              <w:top w:w="40" w:type="dxa"/>
              <w:bottom w:w="40" w:type="dxa"/>
              <w:right w:w="40" w:type="dxa"/>
            </w:tcMar>
            <w:vAlign w:val="bottom"/>
          </w:tcPr>
          <w:p w14:paraId="4ACE3F5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3F63" w14:textId="77777777">
        <w:tc>
          <w:tcPr>
            <w:tcW w:w="0" w:type="auto"/>
            <w:shd w:val="clear" w:color="auto" w:fill="auto"/>
            <w:tcMar>
              <w:top w:w="40" w:type="dxa"/>
              <w:left w:w="240" w:type="dxa"/>
              <w:bottom w:w="40" w:type="dxa"/>
              <w:right w:w="40" w:type="dxa"/>
            </w:tcMar>
            <w:vAlign w:val="bottom"/>
          </w:tcPr>
          <w:p w14:paraId="4ACE3F5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Sales of equity investments</w:t>
            </w:r>
          </w:p>
        </w:tc>
        <w:tc>
          <w:tcPr>
            <w:tcW w:w="0" w:type="auto"/>
            <w:shd w:val="clear" w:color="auto" w:fill="auto"/>
            <w:tcMar>
              <w:top w:w="40" w:type="dxa"/>
              <w:left w:w="40" w:type="dxa"/>
              <w:bottom w:w="40" w:type="dxa"/>
              <w:right w:w="40" w:type="dxa"/>
            </w:tcMar>
            <w:vAlign w:val="bottom"/>
          </w:tcPr>
          <w:p w14:paraId="4ACE3F5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F5B"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2,688</w:t>
            </w:r>
          </w:p>
        </w:tc>
        <w:tc>
          <w:tcPr>
            <w:tcW w:w="0" w:type="auto"/>
            <w:shd w:val="clear" w:color="auto" w:fill="auto"/>
            <w:vAlign w:val="bottom"/>
          </w:tcPr>
          <w:p w14:paraId="4ACE3F5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F5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F5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2,802</w:t>
            </w:r>
          </w:p>
        </w:tc>
        <w:tc>
          <w:tcPr>
            <w:tcW w:w="0" w:type="auto"/>
            <w:shd w:val="clear" w:color="auto" w:fill="auto"/>
            <w:vAlign w:val="bottom"/>
          </w:tcPr>
          <w:p w14:paraId="4ACE3F5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F6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F61"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5,236</w:t>
            </w:r>
          </w:p>
        </w:tc>
        <w:tc>
          <w:tcPr>
            <w:tcW w:w="0" w:type="auto"/>
            <w:shd w:val="clear" w:color="auto" w:fill="auto"/>
            <w:vAlign w:val="bottom"/>
          </w:tcPr>
          <w:p w14:paraId="4ACE3F62" w14:textId="77777777" w:rsidR="006F587A" w:rsidRDefault="006F587A">
            <w:pPr>
              <w:textAlignment w:val="bottom"/>
              <w:rPr>
                <w:rFonts w:ascii="Times New Roman" w:hAnsi="Times New Roman"/>
                <w:sz w:val="20"/>
                <w:szCs w:val="20"/>
              </w:rPr>
            </w:pPr>
          </w:p>
        </w:tc>
      </w:tr>
      <w:tr w:rsidR="006F587A" w14:paraId="4ACE3F6E" w14:textId="77777777">
        <w:tc>
          <w:tcPr>
            <w:tcW w:w="0" w:type="auto"/>
            <w:shd w:val="clear" w:color="auto" w:fill="auto"/>
            <w:tcMar>
              <w:top w:w="40" w:type="dxa"/>
              <w:left w:w="240" w:type="dxa"/>
              <w:bottom w:w="40" w:type="dxa"/>
              <w:right w:w="40" w:type="dxa"/>
            </w:tcMar>
            <w:vAlign w:val="bottom"/>
          </w:tcPr>
          <w:p w14:paraId="4ACE3F6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Proceeds from divestitures</w:t>
            </w:r>
          </w:p>
        </w:tc>
        <w:tc>
          <w:tcPr>
            <w:tcW w:w="0" w:type="auto"/>
            <w:shd w:val="clear" w:color="auto" w:fill="auto"/>
            <w:tcMar>
              <w:top w:w="40" w:type="dxa"/>
              <w:left w:w="40" w:type="dxa"/>
              <w:bottom w:w="40" w:type="dxa"/>
              <w:right w:w="40" w:type="dxa"/>
            </w:tcMar>
            <w:vAlign w:val="bottom"/>
          </w:tcPr>
          <w:p w14:paraId="4ACE3F6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F66"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911</w:t>
            </w:r>
          </w:p>
        </w:tc>
        <w:tc>
          <w:tcPr>
            <w:tcW w:w="0" w:type="auto"/>
            <w:shd w:val="clear" w:color="auto" w:fill="auto"/>
            <w:vAlign w:val="bottom"/>
          </w:tcPr>
          <w:p w14:paraId="4ACE3F6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F6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F6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548</w:t>
            </w:r>
          </w:p>
        </w:tc>
        <w:tc>
          <w:tcPr>
            <w:tcW w:w="0" w:type="auto"/>
            <w:shd w:val="clear" w:color="auto" w:fill="auto"/>
            <w:vAlign w:val="bottom"/>
          </w:tcPr>
          <w:p w14:paraId="4ACE3F6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F6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F6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3,124</w:t>
            </w:r>
          </w:p>
        </w:tc>
        <w:tc>
          <w:tcPr>
            <w:tcW w:w="0" w:type="auto"/>
            <w:shd w:val="clear" w:color="auto" w:fill="auto"/>
            <w:vAlign w:val="bottom"/>
          </w:tcPr>
          <w:p w14:paraId="4ACE3F6D" w14:textId="77777777" w:rsidR="006F587A" w:rsidRDefault="006F587A">
            <w:pPr>
              <w:textAlignment w:val="bottom"/>
              <w:rPr>
                <w:rFonts w:ascii="Times New Roman" w:hAnsi="Times New Roman"/>
                <w:sz w:val="20"/>
                <w:szCs w:val="20"/>
              </w:rPr>
            </w:pPr>
          </w:p>
        </w:tc>
      </w:tr>
      <w:tr w:rsidR="006F587A" w14:paraId="4ACE3F79" w14:textId="77777777">
        <w:tc>
          <w:tcPr>
            <w:tcW w:w="0" w:type="auto"/>
            <w:shd w:val="clear" w:color="auto" w:fill="auto"/>
            <w:tcMar>
              <w:top w:w="40" w:type="dxa"/>
              <w:left w:w="240" w:type="dxa"/>
              <w:bottom w:w="40" w:type="dxa"/>
              <w:right w:w="40" w:type="dxa"/>
            </w:tcMar>
            <w:vAlign w:val="bottom"/>
          </w:tcPr>
          <w:p w14:paraId="4ACE3F6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Other investing</w:t>
            </w:r>
          </w:p>
        </w:tc>
        <w:tc>
          <w:tcPr>
            <w:tcW w:w="0" w:type="auto"/>
            <w:shd w:val="clear" w:color="auto" w:fill="auto"/>
            <w:tcMar>
              <w:top w:w="40" w:type="dxa"/>
              <w:left w:w="40" w:type="dxa"/>
              <w:bottom w:w="40" w:type="dxa"/>
              <w:right w:w="40" w:type="dxa"/>
            </w:tcMar>
            <w:vAlign w:val="bottom"/>
          </w:tcPr>
          <w:p w14:paraId="4ACE3F7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F71"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715</w:t>
            </w:r>
          </w:p>
        </w:tc>
        <w:tc>
          <w:tcPr>
            <w:tcW w:w="0" w:type="auto"/>
            <w:shd w:val="clear" w:color="auto" w:fill="auto"/>
            <w:vAlign w:val="bottom"/>
          </w:tcPr>
          <w:p w14:paraId="4ACE3F7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F7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F7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(272</w:t>
            </w:r>
          </w:p>
        </w:tc>
        <w:tc>
          <w:tcPr>
            <w:tcW w:w="0" w:type="auto"/>
            <w:shd w:val="clear" w:color="auto" w:fill="auto"/>
            <w:tcMar>
              <w:top w:w="40" w:type="dxa"/>
              <w:bottom w:w="40" w:type="dxa"/>
              <w:right w:w="40" w:type="dxa"/>
            </w:tcMar>
            <w:vAlign w:val="bottom"/>
          </w:tcPr>
          <w:p w14:paraId="4ACE3F7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3F7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F7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730</w:t>
            </w:r>
          </w:p>
        </w:tc>
        <w:tc>
          <w:tcPr>
            <w:tcW w:w="0" w:type="auto"/>
            <w:shd w:val="clear" w:color="auto" w:fill="auto"/>
            <w:vAlign w:val="bottom"/>
          </w:tcPr>
          <w:p w14:paraId="4ACE3F78" w14:textId="77777777" w:rsidR="006F587A" w:rsidRDefault="006F587A">
            <w:pPr>
              <w:textAlignment w:val="bottom"/>
              <w:rPr>
                <w:rFonts w:ascii="Times New Roman" w:hAnsi="Times New Roman"/>
                <w:sz w:val="20"/>
                <w:szCs w:val="20"/>
              </w:rPr>
            </w:pPr>
          </w:p>
        </w:tc>
      </w:tr>
      <w:tr w:rsidR="006F587A" w14:paraId="4ACE3F84" w14:textId="77777777">
        <w:tc>
          <w:tcPr>
            <w:tcW w:w="0" w:type="auto"/>
            <w:shd w:val="clear" w:color="auto" w:fill="auto"/>
            <w:tcMar>
              <w:top w:w="40" w:type="dxa"/>
              <w:left w:w="40" w:type="dxa"/>
              <w:bottom w:w="40" w:type="dxa"/>
              <w:right w:w="40" w:type="dxa"/>
            </w:tcMar>
            <w:vAlign w:val="bottom"/>
          </w:tcPr>
          <w:p w14:paraId="4ACE3F7A"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 xml:space="preserve">Net cash used for </w:t>
            </w:r>
            <w:r>
              <w:rPr>
                <w:rFonts w:ascii="Arial" w:eastAsia="宋体" w:hAnsi="Arial" w:cs="Arial"/>
                <w:b/>
                <w:bCs/>
                <w:color w:val="333333"/>
                <w:sz w:val="18"/>
                <w:szCs w:val="18"/>
              </w:rPr>
              <w:t>investing activities</w:t>
            </w:r>
          </w:p>
        </w:tc>
        <w:tc>
          <w:tcPr>
            <w:tcW w:w="0" w:type="auto"/>
            <w:shd w:val="clear" w:color="auto" w:fill="auto"/>
            <w:tcMar>
              <w:top w:w="40" w:type="dxa"/>
              <w:left w:w="40" w:type="dxa"/>
              <w:bottom w:w="40" w:type="dxa"/>
              <w:right w:w="40" w:type="dxa"/>
            </w:tcMar>
            <w:vAlign w:val="bottom"/>
          </w:tcPr>
          <w:p w14:paraId="4ACE3F7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3F7C"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(14,405</w:t>
            </w:r>
          </w:p>
        </w:tc>
        <w:tc>
          <w:tcPr>
            <w:tcW w:w="0" w:type="auto"/>
            <w:tcBorders>
              <w:top w:val="single" w:sz="8" w:space="0" w:color="333333"/>
              <w:bottom w:val="single" w:sz="8" w:space="0" w:color="333333"/>
            </w:tcBorders>
            <w:shd w:val="clear" w:color="auto" w:fill="auto"/>
            <w:tcMar>
              <w:top w:w="40" w:type="dxa"/>
              <w:bottom w:w="40" w:type="dxa"/>
              <w:right w:w="40" w:type="dxa"/>
            </w:tcMar>
            <w:vAlign w:val="bottom"/>
          </w:tcPr>
          <w:p w14:paraId="4ACE3F7D"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left w:w="40" w:type="dxa"/>
              <w:bottom w:w="40" w:type="dxa"/>
              <w:right w:w="40" w:type="dxa"/>
            </w:tcMar>
            <w:vAlign w:val="bottom"/>
          </w:tcPr>
          <w:p w14:paraId="4ACE3F7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3F7F"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(11,239</w:t>
            </w:r>
          </w:p>
        </w:tc>
        <w:tc>
          <w:tcPr>
            <w:tcW w:w="0" w:type="auto"/>
            <w:tcBorders>
              <w:top w:val="single" w:sz="8" w:space="0" w:color="333333"/>
              <w:bottom w:val="single" w:sz="8" w:space="0" w:color="333333"/>
            </w:tcBorders>
            <w:shd w:val="clear" w:color="auto" w:fill="auto"/>
            <w:tcMar>
              <w:top w:w="40" w:type="dxa"/>
              <w:bottom w:w="40" w:type="dxa"/>
              <w:right w:w="40" w:type="dxa"/>
            </w:tcMar>
            <w:vAlign w:val="bottom"/>
          </w:tcPr>
          <w:p w14:paraId="4ACE3F80"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4ACE3F8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3F82"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(15,762</w:t>
            </w:r>
          </w:p>
        </w:tc>
        <w:tc>
          <w:tcPr>
            <w:tcW w:w="0" w:type="auto"/>
            <w:tcBorders>
              <w:top w:val="single" w:sz="8" w:space="0" w:color="333333"/>
              <w:bottom w:val="single" w:sz="8" w:space="0" w:color="333333"/>
            </w:tcBorders>
            <w:shd w:val="clear" w:color="auto" w:fill="auto"/>
            <w:tcMar>
              <w:top w:w="40" w:type="dxa"/>
              <w:bottom w:w="40" w:type="dxa"/>
              <w:right w:w="40" w:type="dxa"/>
            </w:tcMar>
            <w:vAlign w:val="bottom"/>
          </w:tcPr>
          <w:p w14:paraId="4ACE3F83"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r>
      <w:tr w:rsidR="006F587A" w14:paraId="4ACE3F8C" w14:textId="77777777">
        <w:tc>
          <w:tcPr>
            <w:tcW w:w="0" w:type="auto"/>
            <w:shd w:val="clear" w:color="auto" w:fill="auto"/>
            <w:tcMar>
              <w:top w:w="40" w:type="dxa"/>
              <w:left w:w="40" w:type="dxa"/>
              <w:bottom w:w="40" w:type="dxa"/>
              <w:right w:w="40" w:type="dxa"/>
            </w:tcMar>
            <w:vAlign w:val="bottom"/>
          </w:tcPr>
          <w:p w14:paraId="4ACE3F8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Cash flows provided by (used for) financing activities:</w:t>
            </w:r>
          </w:p>
        </w:tc>
        <w:tc>
          <w:tcPr>
            <w:tcW w:w="0" w:type="auto"/>
            <w:shd w:val="clear" w:color="auto" w:fill="auto"/>
            <w:tcMar>
              <w:top w:w="40" w:type="dxa"/>
              <w:left w:w="40" w:type="dxa"/>
              <w:bottom w:w="40" w:type="dxa"/>
              <w:right w:w="40" w:type="dxa"/>
            </w:tcMar>
            <w:vAlign w:val="bottom"/>
          </w:tcPr>
          <w:p w14:paraId="4ACE3F8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F8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F8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F8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F8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F8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3F97" w14:textId="77777777">
        <w:tc>
          <w:tcPr>
            <w:tcW w:w="0" w:type="auto"/>
            <w:shd w:val="clear" w:color="auto" w:fill="auto"/>
            <w:tcMar>
              <w:top w:w="40" w:type="dxa"/>
              <w:left w:w="240" w:type="dxa"/>
              <w:bottom w:w="40" w:type="dxa"/>
              <w:right w:w="40" w:type="dxa"/>
            </w:tcMar>
            <w:vAlign w:val="bottom"/>
          </w:tcPr>
          <w:p w14:paraId="4ACE3F8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Issuance of long-term debt, net of issuance costs</w:t>
            </w:r>
          </w:p>
        </w:tc>
        <w:tc>
          <w:tcPr>
            <w:tcW w:w="0" w:type="auto"/>
            <w:shd w:val="clear" w:color="auto" w:fill="auto"/>
            <w:tcMar>
              <w:top w:w="40" w:type="dxa"/>
              <w:left w:w="40" w:type="dxa"/>
              <w:bottom w:w="40" w:type="dxa"/>
              <w:right w:w="40" w:type="dxa"/>
            </w:tcMar>
            <w:vAlign w:val="bottom"/>
          </w:tcPr>
          <w:p w14:paraId="4ACE3F8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F8F"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3,392</w:t>
            </w:r>
          </w:p>
        </w:tc>
        <w:tc>
          <w:tcPr>
            <w:tcW w:w="0" w:type="auto"/>
            <w:shd w:val="clear" w:color="auto" w:fill="auto"/>
            <w:vAlign w:val="bottom"/>
          </w:tcPr>
          <w:p w14:paraId="4ACE3F9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F9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F9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423</w:t>
            </w:r>
          </w:p>
        </w:tc>
        <w:tc>
          <w:tcPr>
            <w:tcW w:w="0" w:type="auto"/>
            <w:shd w:val="clear" w:color="auto" w:fill="auto"/>
            <w:vAlign w:val="bottom"/>
          </w:tcPr>
          <w:p w14:paraId="4ACE3F9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F9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F95"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7,716</w:t>
            </w:r>
          </w:p>
        </w:tc>
        <w:tc>
          <w:tcPr>
            <w:tcW w:w="0" w:type="auto"/>
            <w:shd w:val="clear" w:color="auto" w:fill="auto"/>
            <w:vAlign w:val="bottom"/>
          </w:tcPr>
          <w:p w14:paraId="4ACE3F96" w14:textId="77777777" w:rsidR="006F587A" w:rsidRDefault="006F587A">
            <w:pPr>
              <w:textAlignment w:val="bottom"/>
              <w:rPr>
                <w:rFonts w:ascii="Times New Roman" w:hAnsi="Times New Roman"/>
                <w:sz w:val="20"/>
                <w:szCs w:val="20"/>
              </w:rPr>
            </w:pPr>
          </w:p>
        </w:tc>
      </w:tr>
      <w:tr w:rsidR="006F587A" w14:paraId="4ACE3FA2" w14:textId="77777777">
        <w:tc>
          <w:tcPr>
            <w:tcW w:w="0" w:type="auto"/>
            <w:shd w:val="clear" w:color="auto" w:fill="auto"/>
            <w:tcMar>
              <w:top w:w="40" w:type="dxa"/>
              <w:left w:w="240" w:type="dxa"/>
              <w:bottom w:w="40" w:type="dxa"/>
              <w:right w:w="40" w:type="dxa"/>
            </w:tcMar>
            <w:vAlign w:val="bottom"/>
          </w:tcPr>
          <w:p w14:paraId="4ACE3F9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Repayment of debt and debt conversion</w:t>
            </w:r>
          </w:p>
        </w:tc>
        <w:tc>
          <w:tcPr>
            <w:tcW w:w="0" w:type="auto"/>
            <w:shd w:val="clear" w:color="auto" w:fill="auto"/>
            <w:tcMar>
              <w:top w:w="40" w:type="dxa"/>
              <w:left w:w="40" w:type="dxa"/>
              <w:bottom w:w="40" w:type="dxa"/>
              <w:right w:w="40" w:type="dxa"/>
            </w:tcMar>
            <w:vAlign w:val="bottom"/>
          </w:tcPr>
          <w:p w14:paraId="4ACE3F9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F9A"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(2,627</w:t>
            </w:r>
          </w:p>
        </w:tc>
        <w:tc>
          <w:tcPr>
            <w:tcW w:w="0" w:type="auto"/>
            <w:shd w:val="clear" w:color="auto" w:fill="auto"/>
            <w:tcMar>
              <w:top w:w="40" w:type="dxa"/>
              <w:bottom w:w="40" w:type="dxa"/>
              <w:right w:w="40" w:type="dxa"/>
            </w:tcMar>
            <w:vAlign w:val="bottom"/>
          </w:tcPr>
          <w:p w14:paraId="4ACE3F9B"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3F9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F9D"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(3,026</w:t>
            </w:r>
          </w:p>
        </w:tc>
        <w:tc>
          <w:tcPr>
            <w:tcW w:w="0" w:type="auto"/>
            <w:shd w:val="clear" w:color="auto" w:fill="auto"/>
            <w:tcMar>
              <w:top w:w="40" w:type="dxa"/>
              <w:bottom w:w="40" w:type="dxa"/>
              <w:right w:w="40" w:type="dxa"/>
            </w:tcMar>
            <w:vAlign w:val="bottom"/>
          </w:tcPr>
          <w:p w14:paraId="4ACE3F9E"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3F9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FA0"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(8,080</w:t>
            </w:r>
          </w:p>
        </w:tc>
        <w:tc>
          <w:tcPr>
            <w:tcW w:w="0" w:type="auto"/>
            <w:shd w:val="clear" w:color="auto" w:fill="auto"/>
            <w:tcMar>
              <w:top w:w="40" w:type="dxa"/>
              <w:bottom w:w="40" w:type="dxa"/>
              <w:right w:w="40" w:type="dxa"/>
            </w:tcMar>
            <w:vAlign w:val="bottom"/>
          </w:tcPr>
          <w:p w14:paraId="4ACE3FA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3FAD" w14:textId="77777777">
        <w:tc>
          <w:tcPr>
            <w:tcW w:w="0" w:type="auto"/>
            <w:shd w:val="clear" w:color="auto" w:fill="auto"/>
            <w:tcMar>
              <w:top w:w="40" w:type="dxa"/>
              <w:left w:w="240" w:type="dxa"/>
              <w:bottom w:w="40" w:type="dxa"/>
              <w:right w:w="40" w:type="dxa"/>
            </w:tcMar>
            <w:vAlign w:val="bottom"/>
          </w:tcPr>
          <w:p w14:paraId="4ACE3FA3"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Proceeds from sales of common stock through employee equity incentive plans</w:t>
            </w:r>
          </w:p>
        </w:tc>
        <w:tc>
          <w:tcPr>
            <w:tcW w:w="0" w:type="auto"/>
            <w:shd w:val="clear" w:color="auto" w:fill="auto"/>
            <w:tcMar>
              <w:top w:w="40" w:type="dxa"/>
              <w:left w:w="40" w:type="dxa"/>
              <w:bottom w:w="40" w:type="dxa"/>
              <w:right w:w="40" w:type="dxa"/>
            </w:tcMar>
            <w:vAlign w:val="bottom"/>
          </w:tcPr>
          <w:p w14:paraId="4ACE3FA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FA5"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750</w:t>
            </w:r>
          </w:p>
        </w:tc>
        <w:tc>
          <w:tcPr>
            <w:tcW w:w="0" w:type="auto"/>
            <w:shd w:val="clear" w:color="auto" w:fill="auto"/>
            <w:vAlign w:val="bottom"/>
          </w:tcPr>
          <w:p w14:paraId="4ACE3FA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FA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FA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555</w:t>
            </w:r>
          </w:p>
        </w:tc>
        <w:tc>
          <w:tcPr>
            <w:tcW w:w="0" w:type="auto"/>
            <w:shd w:val="clear" w:color="auto" w:fill="auto"/>
            <w:vAlign w:val="bottom"/>
          </w:tcPr>
          <w:p w14:paraId="4ACE3FA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FA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FA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770</w:t>
            </w:r>
          </w:p>
        </w:tc>
        <w:tc>
          <w:tcPr>
            <w:tcW w:w="0" w:type="auto"/>
            <w:shd w:val="clear" w:color="auto" w:fill="auto"/>
            <w:vAlign w:val="bottom"/>
          </w:tcPr>
          <w:p w14:paraId="4ACE3FAC" w14:textId="77777777" w:rsidR="006F587A" w:rsidRDefault="006F587A">
            <w:pPr>
              <w:textAlignment w:val="bottom"/>
              <w:rPr>
                <w:rFonts w:ascii="Times New Roman" w:hAnsi="Times New Roman"/>
                <w:sz w:val="20"/>
                <w:szCs w:val="20"/>
              </w:rPr>
            </w:pPr>
          </w:p>
        </w:tc>
      </w:tr>
      <w:tr w:rsidR="006F587A" w14:paraId="4ACE3FB8" w14:textId="77777777">
        <w:tc>
          <w:tcPr>
            <w:tcW w:w="0" w:type="auto"/>
            <w:shd w:val="clear" w:color="auto" w:fill="auto"/>
            <w:tcMar>
              <w:top w:w="40" w:type="dxa"/>
              <w:left w:w="240" w:type="dxa"/>
              <w:bottom w:w="40" w:type="dxa"/>
              <w:right w:w="40" w:type="dxa"/>
            </w:tcMar>
            <w:vAlign w:val="bottom"/>
          </w:tcPr>
          <w:p w14:paraId="4ACE3FAE"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Repurchase of common stock</w:t>
            </w:r>
          </w:p>
        </w:tc>
        <w:tc>
          <w:tcPr>
            <w:tcW w:w="0" w:type="auto"/>
            <w:shd w:val="clear" w:color="auto" w:fill="auto"/>
            <w:tcMar>
              <w:top w:w="40" w:type="dxa"/>
              <w:left w:w="40" w:type="dxa"/>
              <w:bottom w:w="40" w:type="dxa"/>
              <w:right w:w="40" w:type="dxa"/>
            </w:tcMar>
            <w:vAlign w:val="bottom"/>
          </w:tcPr>
          <w:p w14:paraId="4ACE3FA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FB0"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(13,576</w:t>
            </w:r>
          </w:p>
        </w:tc>
        <w:tc>
          <w:tcPr>
            <w:tcW w:w="0" w:type="auto"/>
            <w:shd w:val="clear" w:color="auto" w:fill="auto"/>
            <w:tcMar>
              <w:top w:w="40" w:type="dxa"/>
              <w:bottom w:w="40" w:type="dxa"/>
              <w:right w:w="40" w:type="dxa"/>
            </w:tcMar>
            <w:vAlign w:val="bottom"/>
          </w:tcPr>
          <w:p w14:paraId="4ACE3FB1"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3FB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FB3"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(10,730</w:t>
            </w:r>
          </w:p>
        </w:tc>
        <w:tc>
          <w:tcPr>
            <w:tcW w:w="0" w:type="auto"/>
            <w:shd w:val="clear" w:color="auto" w:fill="auto"/>
            <w:tcMar>
              <w:top w:w="40" w:type="dxa"/>
              <w:bottom w:w="40" w:type="dxa"/>
              <w:right w:w="40" w:type="dxa"/>
            </w:tcMar>
            <w:vAlign w:val="bottom"/>
          </w:tcPr>
          <w:p w14:paraId="4ACE3FB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3FB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FB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(3,615</w:t>
            </w:r>
          </w:p>
        </w:tc>
        <w:tc>
          <w:tcPr>
            <w:tcW w:w="0" w:type="auto"/>
            <w:shd w:val="clear" w:color="auto" w:fill="auto"/>
            <w:tcMar>
              <w:top w:w="40" w:type="dxa"/>
              <w:bottom w:w="40" w:type="dxa"/>
              <w:right w:w="40" w:type="dxa"/>
            </w:tcMar>
            <w:vAlign w:val="bottom"/>
          </w:tcPr>
          <w:p w14:paraId="4ACE3FB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3FC3" w14:textId="77777777">
        <w:tc>
          <w:tcPr>
            <w:tcW w:w="0" w:type="auto"/>
            <w:shd w:val="clear" w:color="auto" w:fill="auto"/>
            <w:tcMar>
              <w:top w:w="40" w:type="dxa"/>
              <w:left w:w="240" w:type="dxa"/>
              <w:bottom w:w="40" w:type="dxa"/>
              <w:right w:w="40" w:type="dxa"/>
            </w:tcMar>
            <w:vAlign w:val="bottom"/>
          </w:tcPr>
          <w:p w14:paraId="4ACE3FB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lastRenderedPageBreak/>
              <w:t>Payment of dividends to stockholders</w:t>
            </w:r>
          </w:p>
        </w:tc>
        <w:tc>
          <w:tcPr>
            <w:tcW w:w="0" w:type="auto"/>
            <w:shd w:val="clear" w:color="auto" w:fill="auto"/>
            <w:tcMar>
              <w:top w:w="40" w:type="dxa"/>
              <w:left w:w="40" w:type="dxa"/>
              <w:bottom w:w="40" w:type="dxa"/>
              <w:right w:w="40" w:type="dxa"/>
            </w:tcMar>
            <w:vAlign w:val="bottom"/>
          </w:tcPr>
          <w:p w14:paraId="4ACE3FB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FBB"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(5,576</w:t>
            </w:r>
          </w:p>
        </w:tc>
        <w:tc>
          <w:tcPr>
            <w:tcW w:w="0" w:type="auto"/>
            <w:shd w:val="clear" w:color="auto" w:fill="auto"/>
            <w:tcMar>
              <w:top w:w="40" w:type="dxa"/>
              <w:bottom w:w="40" w:type="dxa"/>
              <w:right w:w="40" w:type="dxa"/>
            </w:tcMar>
            <w:vAlign w:val="bottom"/>
          </w:tcPr>
          <w:p w14:paraId="4ACE3FBC"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3FB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FB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(5,541</w:t>
            </w:r>
          </w:p>
        </w:tc>
        <w:tc>
          <w:tcPr>
            <w:tcW w:w="0" w:type="auto"/>
            <w:shd w:val="clear" w:color="auto" w:fill="auto"/>
            <w:tcMar>
              <w:top w:w="40" w:type="dxa"/>
              <w:bottom w:w="40" w:type="dxa"/>
              <w:right w:w="40" w:type="dxa"/>
            </w:tcMar>
            <w:vAlign w:val="bottom"/>
          </w:tcPr>
          <w:p w14:paraId="4ACE3FB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3FC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FC1"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(5,072</w:t>
            </w:r>
          </w:p>
        </w:tc>
        <w:tc>
          <w:tcPr>
            <w:tcW w:w="0" w:type="auto"/>
            <w:shd w:val="clear" w:color="auto" w:fill="auto"/>
            <w:tcMar>
              <w:top w:w="40" w:type="dxa"/>
              <w:bottom w:w="40" w:type="dxa"/>
              <w:right w:w="40" w:type="dxa"/>
            </w:tcMar>
            <w:vAlign w:val="bottom"/>
          </w:tcPr>
          <w:p w14:paraId="4ACE3FC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3FCE" w14:textId="77777777">
        <w:tc>
          <w:tcPr>
            <w:tcW w:w="0" w:type="auto"/>
            <w:shd w:val="clear" w:color="auto" w:fill="auto"/>
            <w:tcMar>
              <w:top w:w="40" w:type="dxa"/>
              <w:left w:w="240" w:type="dxa"/>
              <w:bottom w:w="40" w:type="dxa"/>
              <w:right w:w="40" w:type="dxa"/>
            </w:tcMar>
            <w:vAlign w:val="bottom"/>
          </w:tcPr>
          <w:p w14:paraId="4ACE3FC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Other financing</w:t>
            </w:r>
          </w:p>
        </w:tc>
        <w:tc>
          <w:tcPr>
            <w:tcW w:w="0" w:type="auto"/>
            <w:shd w:val="clear" w:color="auto" w:fill="auto"/>
            <w:tcMar>
              <w:top w:w="40" w:type="dxa"/>
              <w:left w:w="40" w:type="dxa"/>
              <w:bottom w:w="40" w:type="dxa"/>
              <w:right w:w="40" w:type="dxa"/>
            </w:tcMar>
            <w:vAlign w:val="bottom"/>
          </w:tcPr>
          <w:p w14:paraId="4ACE3FC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FC6"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72</w:t>
            </w:r>
          </w:p>
        </w:tc>
        <w:tc>
          <w:tcPr>
            <w:tcW w:w="0" w:type="auto"/>
            <w:shd w:val="clear" w:color="auto" w:fill="auto"/>
            <w:vAlign w:val="bottom"/>
          </w:tcPr>
          <w:p w14:paraId="4ACE3FC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FC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FC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(288</w:t>
            </w:r>
          </w:p>
        </w:tc>
        <w:tc>
          <w:tcPr>
            <w:tcW w:w="0" w:type="auto"/>
            <w:shd w:val="clear" w:color="auto" w:fill="auto"/>
            <w:tcMar>
              <w:top w:w="40" w:type="dxa"/>
              <w:bottom w:w="40" w:type="dxa"/>
              <w:right w:w="40" w:type="dxa"/>
            </w:tcMar>
            <w:vAlign w:val="bottom"/>
          </w:tcPr>
          <w:p w14:paraId="4ACE3FC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3FC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3FC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(194</w:t>
            </w:r>
          </w:p>
        </w:tc>
        <w:tc>
          <w:tcPr>
            <w:tcW w:w="0" w:type="auto"/>
            <w:shd w:val="clear" w:color="auto" w:fill="auto"/>
            <w:tcMar>
              <w:top w:w="40" w:type="dxa"/>
              <w:bottom w:w="40" w:type="dxa"/>
              <w:right w:w="40" w:type="dxa"/>
            </w:tcMar>
            <w:vAlign w:val="bottom"/>
          </w:tcPr>
          <w:p w14:paraId="4ACE3FC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3FD9" w14:textId="77777777">
        <w:tc>
          <w:tcPr>
            <w:tcW w:w="0" w:type="auto"/>
            <w:shd w:val="clear" w:color="auto" w:fill="auto"/>
            <w:tcMar>
              <w:top w:w="40" w:type="dxa"/>
              <w:left w:w="40" w:type="dxa"/>
              <w:bottom w:w="40" w:type="dxa"/>
              <w:right w:w="40" w:type="dxa"/>
            </w:tcMar>
            <w:vAlign w:val="bottom"/>
          </w:tcPr>
          <w:p w14:paraId="4ACE3FCF"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Net cash provided by (used for) financing activities</w:t>
            </w:r>
          </w:p>
        </w:tc>
        <w:tc>
          <w:tcPr>
            <w:tcW w:w="0" w:type="auto"/>
            <w:shd w:val="clear" w:color="auto" w:fill="auto"/>
            <w:tcMar>
              <w:top w:w="40" w:type="dxa"/>
              <w:left w:w="40" w:type="dxa"/>
              <w:bottom w:w="40" w:type="dxa"/>
              <w:right w:w="40" w:type="dxa"/>
            </w:tcMar>
            <w:vAlign w:val="bottom"/>
          </w:tcPr>
          <w:p w14:paraId="4ACE3FD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3FD1"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(17,565</w:t>
            </w:r>
          </w:p>
        </w:tc>
        <w:tc>
          <w:tcPr>
            <w:tcW w:w="0" w:type="auto"/>
            <w:tcBorders>
              <w:top w:val="single" w:sz="8" w:space="0" w:color="333333"/>
              <w:bottom w:val="single" w:sz="8" w:space="0" w:color="333333"/>
            </w:tcBorders>
            <w:shd w:val="clear" w:color="auto" w:fill="auto"/>
            <w:tcMar>
              <w:top w:w="40" w:type="dxa"/>
              <w:bottom w:w="40" w:type="dxa"/>
              <w:right w:w="40" w:type="dxa"/>
            </w:tcMar>
            <w:vAlign w:val="bottom"/>
          </w:tcPr>
          <w:p w14:paraId="4ACE3FD2"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left w:w="40" w:type="dxa"/>
              <w:bottom w:w="40" w:type="dxa"/>
              <w:right w:w="40" w:type="dxa"/>
            </w:tcMar>
            <w:vAlign w:val="bottom"/>
          </w:tcPr>
          <w:p w14:paraId="4ACE3FD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3FD4"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(18,607</w:t>
            </w:r>
          </w:p>
        </w:tc>
        <w:tc>
          <w:tcPr>
            <w:tcW w:w="0" w:type="auto"/>
            <w:tcBorders>
              <w:top w:val="single" w:sz="8" w:space="0" w:color="333333"/>
              <w:bottom w:val="single" w:sz="8" w:space="0" w:color="333333"/>
            </w:tcBorders>
            <w:shd w:val="clear" w:color="auto" w:fill="auto"/>
            <w:tcMar>
              <w:top w:w="40" w:type="dxa"/>
              <w:bottom w:w="40" w:type="dxa"/>
              <w:right w:w="40" w:type="dxa"/>
            </w:tcMar>
            <w:vAlign w:val="bottom"/>
          </w:tcPr>
          <w:p w14:paraId="4ACE3FD5"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4ACE3FD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3FD7"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(8,475</w:t>
            </w:r>
          </w:p>
        </w:tc>
        <w:tc>
          <w:tcPr>
            <w:tcW w:w="0" w:type="auto"/>
            <w:tcBorders>
              <w:top w:val="single" w:sz="8" w:space="0" w:color="333333"/>
              <w:bottom w:val="single" w:sz="8" w:space="0" w:color="333333"/>
            </w:tcBorders>
            <w:shd w:val="clear" w:color="auto" w:fill="auto"/>
            <w:tcMar>
              <w:top w:w="40" w:type="dxa"/>
              <w:bottom w:w="40" w:type="dxa"/>
              <w:right w:w="40" w:type="dxa"/>
            </w:tcMar>
            <w:vAlign w:val="bottom"/>
          </w:tcPr>
          <w:p w14:paraId="4ACE3FD8"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r>
      <w:tr w:rsidR="006F587A" w14:paraId="4ACE3FE4" w14:textId="77777777">
        <w:tc>
          <w:tcPr>
            <w:tcW w:w="0" w:type="auto"/>
            <w:shd w:val="clear" w:color="auto" w:fill="auto"/>
            <w:tcMar>
              <w:top w:w="40" w:type="dxa"/>
              <w:left w:w="40" w:type="dxa"/>
              <w:bottom w:w="40" w:type="dxa"/>
              <w:right w:w="40" w:type="dxa"/>
            </w:tcMar>
            <w:vAlign w:val="bottom"/>
          </w:tcPr>
          <w:p w14:paraId="4ACE3FDA"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Net increase (decrease) in cash and cash equivalents</w:t>
            </w:r>
          </w:p>
        </w:tc>
        <w:tc>
          <w:tcPr>
            <w:tcW w:w="0" w:type="auto"/>
            <w:shd w:val="clear" w:color="auto" w:fill="auto"/>
            <w:tcMar>
              <w:top w:w="40" w:type="dxa"/>
              <w:left w:w="40" w:type="dxa"/>
              <w:bottom w:w="40" w:type="dxa"/>
              <w:right w:w="40" w:type="dxa"/>
            </w:tcMar>
            <w:vAlign w:val="bottom"/>
          </w:tcPr>
          <w:p w14:paraId="4ACE3FD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3FDC"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1,175</w:t>
            </w:r>
          </w:p>
        </w:tc>
        <w:tc>
          <w:tcPr>
            <w:tcW w:w="0" w:type="auto"/>
            <w:tcBorders>
              <w:top w:val="single" w:sz="8" w:space="0" w:color="333333"/>
              <w:bottom w:val="single" w:sz="8" w:space="0" w:color="333333"/>
            </w:tcBorders>
            <w:shd w:val="clear" w:color="auto" w:fill="auto"/>
            <w:vAlign w:val="bottom"/>
          </w:tcPr>
          <w:p w14:paraId="4ACE3FD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FD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3FDF"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(414</w:t>
            </w:r>
          </w:p>
        </w:tc>
        <w:tc>
          <w:tcPr>
            <w:tcW w:w="0" w:type="auto"/>
            <w:tcBorders>
              <w:top w:val="single" w:sz="8" w:space="0" w:color="333333"/>
              <w:bottom w:val="single" w:sz="8" w:space="0" w:color="333333"/>
            </w:tcBorders>
            <w:shd w:val="clear" w:color="auto" w:fill="auto"/>
            <w:tcMar>
              <w:top w:w="40" w:type="dxa"/>
              <w:bottom w:w="40" w:type="dxa"/>
              <w:right w:w="40" w:type="dxa"/>
            </w:tcMar>
            <w:vAlign w:val="bottom"/>
          </w:tcPr>
          <w:p w14:paraId="4ACE3FE0"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4ACE3FE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3FE2"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(2,127</w:t>
            </w:r>
          </w:p>
        </w:tc>
        <w:tc>
          <w:tcPr>
            <w:tcW w:w="0" w:type="auto"/>
            <w:tcBorders>
              <w:top w:val="single" w:sz="8" w:space="0" w:color="333333"/>
              <w:bottom w:val="single" w:sz="8" w:space="0" w:color="333333"/>
            </w:tcBorders>
            <w:shd w:val="clear" w:color="auto" w:fill="auto"/>
            <w:tcMar>
              <w:top w:w="40" w:type="dxa"/>
              <w:bottom w:w="40" w:type="dxa"/>
              <w:right w:w="40" w:type="dxa"/>
            </w:tcMar>
            <w:vAlign w:val="bottom"/>
          </w:tcPr>
          <w:p w14:paraId="4ACE3FE3"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r>
      <w:tr w:rsidR="006F587A" w14:paraId="4ACE3FF2" w14:textId="77777777">
        <w:tc>
          <w:tcPr>
            <w:tcW w:w="0" w:type="auto"/>
            <w:shd w:val="clear" w:color="auto" w:fill="auto"/>
            <w:tcMar>
              <w:top w:w="40" w:type="dxa"/>
              <w:left w:w="40" w:type="dxa"/>
              <w:bottom w:w="40" w:type="dxa"/>
              <w:right w:w="40" w:type="dxa"/>
            </w:tcMar>
            <w:vAlign w:val="bottom"/>
          </w:tcPr>
          <w:p w14:paraId="4ACE3FE5"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 xml:space="preserve">Cash and cash equivalents, end of </w:t>
            </w:r>
            <w:r>
              <w:rPr>
                <w:rFonts w:ascii="Arial" w:eastAsia="宋体" w:hAnsi="Arial" w:cs="Arial"/>
                <w:b/>
                <w:bCs/>
                <w:color w:val="333333"/>
                <w:sz w:val="18"/>
                <w:szCs w:val="18"/>
              </w:rPr>
              <w:t>period</w:t>
            </w:r>
          </w:p>
        </w:tc>
        <w:tc>
          <w:tcPr>
            <w:tcW w:w="0" w:type="auto"/>
            <w:shd w:val="clear" w:color="auto" w:fill="auto"/>
            <w:tcMar>
              <w:top w:w="40" w:type="dxa"/>
              <w:left w:w="40" w:type="dxa"/>
              <w:bottom w:w="40" w:type="dxa"/>
              <w:right w:w="40" w:type="dxa"/>
            </w:tcMar>
            <w:vAlign w:val="bottom"/>
          </w:tcPr>
          <w:p w14:paraId="4ACE3FE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333333"/>
            </w:tcBorders>
            <w:shd w:val="clear" w:color="auto" w:fill="auto"/>
            <w:tcMar>
              <w:top w:w="40" w:type="dxa"/>
              <w:left w:w="40" w:type="dxa"/>
              <w:bottom w:w="40" w:type="dxa"/>
            </w:tcMar>
            <w:vAlign w:val="bottom"/>
          </w:tcPr>
          <w:p w14:paraId="4ACE3FE7"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bottom w:val="double" w:sz="6" w:space="0" w:color="333333"/>
            </w:tcBorders>
            <w:shd w:val="clear" w:color="auto" w:fill="auto"/>
            <w:tcMar>
              <w:top w:w="40" w:type="dxa"/>
              <w:bottom w:w="40" w:type="dxa"/>
            </w:tcMar>
            <w:vAlign w:val="bottom"/>
          </w:tcPr>
          <w:p w14:paraId="4ACE3FE8"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4,194</w:t>
            </w:r>
          </w:p>
        </w:tc>
        <w:tc>
          <w:tcPr>
            <w:tcW w:w="0" w:type="auto"/>
            <w:tcBorders>
              <w:bottom w:val="double" w:sz="6" w:space="0" w:color="333333"/>
            </w:tcBorders>
            <w:shd w:val="clear" w:color="auto" w:fill="auto"/>
            <w:vAlign w:val="bottom"/>
          </w:tcPr>
          <w:p w14:paraId="4ACE3FE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FE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333333"/>
            </w:tcBorders>
            <w:shd w:val="clear" w:color="auto" w:fill="auto"/>
            <w:tcMar>
              <w:top w:w="40" w:type="dxa"/>
              <w:left w:w="40" w:type="dxa"/>
              <w:bottom w:w="40" w:type="dxa"/>
            </w:tcMar>
            <w:vAlign w:val="bottom"/>
          </w:tcPr>
          <w:p w14:paraId="4ACE3FEB"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bottom w:val="double" w:sz="6" w:space="0" w:color="333333"/>
            </w:tcBorders>
            <w:shd w:val="clear" w:color="auto" w:fill="auto"/>
            <w:tcMar>
              <w:top w:w="40" w:type="dxa"/>
              <w:bottom w:w="40" w:type="dxa"/>
            </w:tcMar>
            <w:vAlign w:val="bottom"/>
          </w:tcPr>
          <w:p w14:paraId="4ACE3FEC"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3,019</w:t>
            </w:r>
          </w:p>
        </w:tc>
        <w:tc>
          <w:tcPr>
            <w:tcW w:w="0" w:type="auto"/>
            <w:tcBorders>
              <w:bottom w:val="double" w:sz="6" w:space="0" w:color="333333"/>
            </w:tcBorders>
            <w:shd w:val="clear" w:color="auto" w:fill="auto"/>
            <w:vAlign w:val="bottom"/>
          </w:tcPr>
          <w:p w14:paraId="4ACE3FE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3FE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333333"/>
            </w:tcBorders>
            <w:shd w:val="clear" w:color="auto" w:fill="auto"/>
            <w:tcMar>
              <w:top w:w="40" w:type="dxa"/>
              <w:left w:w="40" w:type="dxa"/>
              <w:bottom w:w="40" w:type="dxa"/>
            </w:tcMar>
            <w:vAlign w:val="bottom"/>
          </w:tcPr>
          <w:p w14:paraId="4ACE3FEF"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bottom w:val="double" w:sz="6" w:space="0" w:color="333333"/>
            </w:tcBorders>
            <w:shd w:val="clear" w:color="auto" w:fill="auto"/>
            <w:tcMar>
              <w:top w:w="40" w:type="dxa"/>
              <w:bottom w:w="40" w:type="dxa"/>
            </w:tcMar>
            <w:vAlign w:val="bottom"/>
          </w:tcPr>
          <w:p w14:paraId="4ACE3FF0"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3,433</w:t>
            </w:r>
          </w:p>
        </w:tc>
        <w:tc>
          <w:tcPr>
            <w:tcW w:w="0" w:type="auto"/>
            <w:tcBorders>
              <w:bottom w:val="double" w:sz="6" w:space="0" w:color="333333"/>
            </w:tcBorders>
            <w:shd w:val="clear" w:color="auto" w:fill="auto"/>
            <w:vAlign w:val="bottom"/>
          </w:tcPr>
          <w:p w14:paraId="4ACE3FF1" w14:textId="77777777" w:rsidR="006F587A" w:rsidRDefault="006F587A">
            <w:pPr>
              <w:textAlignment w:val="bottom"/>
              <w:rPr>
                <w:rFonts w:ascii="Times New Roman" w:hAnsi="Times New Roman"/>
                <w:sz w:val="20"/>
                <w:szCs w:val="20"/>
              </w:rPr>
            </w:pPr>
          </w:p>
        </w:tc>
      </w:tr>
      <w:tr w:rsidR="006F587A" w14:paraId="4ACE3FFA" w14:textId="77777777">
        <w:tc>
          <w:tcPr>
            <w:tcW w:w="0" w:type="auto"/>
            <w:shd w:val="clear" w:color="auto" w:fill="auto"/>
            <w:tcMar>
              <w:top w:w="40" w:type="dxa"/>
              <w:left w:w="40" w:type="dxa"/>
              <w:bottom w:w="40" w:type="dxa"/>
              <w:right w:w="40" w:type="dxa"/>
            </w:tcMar>
            <w:vAlign w:val="bottom"/>
          </w:tcPr>
          <w:p w14:paraId="4ACE3FF3"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Supplemental disclosures:</w:t>
            </w:r>
          </w:p>
        </w:tc>
        <w:tc>
          <w:tcPr>
            <w:tcW w:w="0" w:type="auto"/>
            <w:shd w:val="clear" w:color="auto" w:fill="auto"/>
            <w:tcMar>
              <w:top w:w="40" w:type="dxa"/>
              <w:left w:w="40" w:type="dxa"/>
              <w:bottom w:w="40" w:type="dxa"/>
              <w:right w:w="40" w:type="dxa"/>
            </w:tcMar>
            <w:vAlign w:val="bottom"/>
          </w:tcPr>
          <w:p w14:paraId="4ACE3FF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FF5" w14:textId="77777777" w:rsidR="006F587A" w:rsidRDefault="006F587A">
            <w:pPr>
              <w:textAlignment w:val="bottom"/>
              <w:rPr>
                <w:rFonts w:ascii="Times New Roman" w:hAnsi="Times New Roman"/>
                <w:sz w:val="18"/>
                <w:szCs w:val="18"/>
              </w:rPr>
            </w:pPr>
          </w:p>
        </w:tc>
        <w:tc>
          <w:tcPr>
            <w:tcW w:w="0" w:type="auto"/>
            <w:shd w:val="clear" w:color="auto" w:fill="auto"/>
            <w:tcMar>
              <w:top w:w="40" w:type="dxa"/>
              <w:left w:w="40" w:type="dxa"/>
              <w:bottom w:w="40" w:type="dxa"/>
              <w:right w:w="40" w:type="dxa"/>
            </w:tcMar>
            <w:vAlign w:val="bottom"/>
          </w:tcPr>
          <w:p w14:paraId="4ACE3FF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FF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3FF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3FF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4008" w14:textId="77777777">
        <w:tc>
          <w:tcPr>
            <w:tcW w:w="0" w:type="auto"/>
            <w:shd w:val="clear" w:color="auto" w:fill="auto"/>
            <w:tcMar>
              <w:top w:w="40" w:type="dxa"/>
              <w:left w:w="240" w:type="dxa"/>
              <w:bottom w:w="40" w:type="dxa"/>
              <w:right w:w="40" w:type="dxa"/>
            </w:tcMar>
            <w:vAlign w:val="bottom"/>
          </w:tcPr>
          <w:p w14:paraId="4ACE3FFB"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Acquisition of property, plant and equipment included in accounts payable and accrued liabilities</w:t>
            </w:r>
          </w:p>
        </w:tc>
        <w:tc>
          <w:tcPr>
            <w:tcW w:w="0" w:type="auto"/>
            <w:shd w:val="clear" w:color="auto" w:fill="auto"/>
            <w:tcMar>
              <w:top w:w="40" w:type="dxa"/>
              <w:left w:w="40" w:type="dxa"/>
              <w:bottom w:w="40" w:type="dxa"/>
              <w:right w:w="40" w:type="dxa"/>
            </w:tcMar>
            <w:vAlign w:val="bottom"/>
          </w:tcPr>
          <w:p w14:paraId="4ACE3FF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3FFD"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3FFE"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1,761</w:t>
            </w:r>
          </w:p>
        </w:tc>
        <w:tc>
          <w:tcPr>
            <w:tcW w:w="0" w:type="auto"/>
            <w:shd w:val="clear" w:color="auto" w:fill="auto"/>
            <w:vAlign w:val="bottom"/>
          </w:tcPr>
          <w:p w14:paraId="4ACE3FF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00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00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400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2,340</w:t>
            </w:r>
          </w:p>
        </w:tc>
        <w:tc>
          <w:tcPr>
            <w:tcW w:w="0" w:type="auto"/>
            <w:shd w:val="clear" w:color="auto" w:fill="auto"/>
            <w:vAlign w:val="bottom"/>
          </w:tcPr>
          <w:p w14:paraId="4ACE400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00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00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400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1,417</w:t>
            </w:r>
          </w:p>
        </w:tc>
        <w:tc>
          <w:tcPr>
            <w:tcW w:w="0" w:type="auto"/>
            <w:shd w:val="clear" w:color="auto" w:fill="auto"/>
            <w:vAlign w:val="bottom"/>
          </w:tcPr>
          <w:p w14:paraId="4ACE4007" w14:textId="77777777" w:rsidR="006F587A" w:rsidRDefault="006F587A">
            <w:pPr>
              <w:textAlignment w:val="bottom"/>
              <w:rPr>
                <w:rFonts w:ascii="Times New Roman" w:hAnsi="Times New Roman"/>
                <w:sz w:val="20"/>
                <w:szCs w:val="20"/>
              </w:rPr>
            </w:pPr>
          </w:p>
        </w:tc>
      </w:tr>
      <w:tr w:rsidR="006F587A" w14:paraId="4ACE4010" w14:textId="77777777">
        <w:tc>
          <w:tcPr>
            <w:tcW w:w="0" w:type="auto"/>
            <w:shd w:val="clear" w:color="auto" w:fill="auto"/>
            <w:tcMar>
              <w:top w:w="40" w:type="dxa"/>
              <w:left w:w="240" w:type="dxa"/>
              <w:bottom w:w="40" w:type="dxa"/>
              <w:right w:w="40" w:type="dxa"/>
            </w:tcMar>
            <w:vAlign w:val="bottom"/>
          </w:tcPr>
          <w:p w14:paraId="4ACE400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Cash paid during the year for:</w:t>
            </w:r>
          </w:p>
        </w:tc>
        <w:tc>
          <w:tcPr>
            <w:tcW w:w="0" w:type="auto"/>
            <w:shd w:val="clear" w:color="auto" w:fill="auto"/>
            <w:tcMar>
              <w:top w:w="40" w:type="dxa"/>
              <w:left w:w="40" w:type="dxa"/>
              <w:bottom w:w="40" w:type="dxa"/>
              <w:right w:w="40" w:type="dxa"/>
            </w:tcMar>
            <w:vAlign w:val="bottom"/>
          </w:tcPr>
          <w:p w14:paraId="4ACE400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00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00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00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00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00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401E" w14:textId="77777777">
        <w:tc>
          <w:tcPr>
            <w:tcW w:w="0" w:type="auto"/>
            <w:shd w:val="clear" w:color="auto" w:fill="auto"/>
            <w:tcMar>
              <w:top w:w="40" w:type="dxa"/>
              <w:left w:w="560" w:type="dxa"/>
              <w:bottom w:w="40" w:type="dxa"/>
              <w:right w:w="40" w:type="dxa"/>
            </w:tcMar>
            <w:vAlign w:val="bottom"/>
          </w:tcPr>
          <w:p w14:paraId="4ACE4011"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Interest, net of capitalized interest</w:t>
            </w:r>
          </w:p>
        </w:tc>
        <w:tc>
          <w:tcPr>
            <w:tcW w:w="0" w:type="auto"/>
            <w:shd w:val="clear" w:color="auto" w:fill="auto"/>
            <w:tcMar>
              <w:top w:w="40" w:type="dxa"/>
              <w:left w:w="40" w:type="dxa"/>
              <w:bottom w:w="40" w:type="dxa"/>
              <w:right w:w="40" w:type="dxa"/>
            </w:tcMar>
            <w:vAlign w:val="bottom"/>
          </w:tcPr>
          <w:p w14:paraId="4ACE401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013"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4014"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469</w:t>
            </w:r>
          </w:p>
        </w:tc>
        <w:tc>
          <w:tcPr>
            <w:tcW w:w="0" w:type="auto"/>
            <w:shd w:val="clear" w:color="auto" w:fill="auto"/>
            <w:vAlign w:val="bottom"/>
          </w:tcPr>
          <w:p w14:paraId="4ACE401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01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01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401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448</w:t>
            </w:r>
          </w:p>
        </w:tc>
        <w:tc>
          <w:tcPr>
            <w:tcW w:w="0" w:type="auto"/>
            <w:shd w:val="clear" w:color="auto" w:fill="auto"/>
            <w:vAlign w:val="bottom"/>
          </w:tcPr>
          <w:p w14:paraId="4ACE401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01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01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401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624</w:t>
            </w:r>
          </w:p>
        </w:tc>
        <w:tc>
          <w:tcPr>
            <w:tcW w:w="0" w:type="auto"/>
            <w:shd w:val="clear" w:color="auto" w:fill="auto"/>
            <w:vAlign w:val="bottom"/>
          </w:tcPr>
          <w:p w14:paraId="4ACE401D" w14:textId="77777777" w:rsidR="006F587A" w:rsidRDefault="006F587A">
            <w:pPr>
              <w:textAlignment w:val="bottom"/>
              <w:rPr>
                <w:rFonts w:ascii="Times New Roman" w:hAnsi="Times New Roman"/>
                <w:sz w:val="20"/>
                <w:szCs w:val="20"/>
              </w:rPr>
            </w:pPr>
          </w:p>
        </w:tc>
      </w:tr>
      <w:tr w:rsidR="006F587A" w14:paraId="4ACE402C" w14:textId="77777777">
        <w:tc>
          <w:tcPr>
            <w:tcW w:w="0" w:type="auto"/>
            <w:shd w:val="clear" w:color="auto" w:fill="auto"/>
            <w:tcMar>
              <w:top w:w="40" w:type="dxa"/>
              <w:left w:w="560" w:type="dxa"/>
              <w:bottom w:w="40" w:type="dxa"/>
              <w:right w:w="40" w:type="dxa"/>
            </w:tcMar>
            <w:vAlign w:val="bottom"/>
          </w:tcPr>
          <w:p w14:paraId="4ACE401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Income taxes, net of refunds</w:t>
            </w:r>
          </w:p>
        </w:tc>
        <w:tc>
          <w:tcPr>
            <w:tcW w:w="0" w:type="auto"/>
            <w:shd w:val="clear" w:color="auto" w:fill="auto"/>
            <w:tcMar>
              <w:top w:w="40" w:type="dxa"/>
              <w:left w:w="40" w:type="dxa"/>
              <w:bottom w:w="40" w:type="dxa"/>
              <w:right w:w="40" w:type="dxa"/>
            </w:tcMar>
            <w:vAlign w:val="bottom"/>
          </w:tcPr>
          <w:p w14:paraId="4ACE402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021"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4022"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2,110</w:t>
            </w:r>
          </w:p>
        </w:tc>
        <w:tc>
          <w:tcPr>
            <w:tcW w:w="0" w:type="auto"/>
            <w:shd w:val="clear" w:color="auto" w:fill="auto"/>
            <w:vAlign w:val="bottom"/>
          </w:tcPr>
          <w:p w14:paraId="4ACE402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02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02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402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3,813</w:t>
            </w:r>
          </w:p>
        </w:tc>
        <w:tc>
          <w:tcPr>
            <w:tcW w:w="0" w:type="auto"/>
            <w:shd w:val="clear" w:color="auto" w:fill="auto"/>
            <w:vAlign w:val="bottom"/>
          </w:tcPr>
          <w:p w14:paraId="4ACE402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02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02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402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3,824</w:t>
            </w:r>
          </w:p>
        </w:tc>
        <w:tc>
          <w:tcPr>
            <w:tcW w:w="0" w:type="auto"/>
            <w:shd w:val="clear" w:color="auto" w:fill="auto"/>
            <w:vAlign w:val="bottom"/>
          </w:tcPr>
          <w:p w14:paraId="4ACE402B" w14:textId="77777777" w:rsidR="006F587A" w:rsidRDefault="006F587A">
            <w:pPr>
              <w:textAlignment w:val="bottom"/>
              <w:rPr>
                <w:rFonts w:ascii="Times New Roman" w:hAnsi="Times New Roman"/>
                <w:sz w:val="20"/>
                <w:szCs w:val="20"/>
              </w:rPr>
            </w:pPr>
          </w:p>
        </w:tc>
      </w:tr>
    </w:tbl>
    <w:p w14:paraId="4ACE402D" w14:textId="77777777" w:rsidR="006F587A" w:rsidRDefault="007B2B61">
      <w:pPr>
        <w:rPr>
          <w:rFonts w:ascii="Times New Roman" w:hAnsi="Times New Roman"/>
          <w:sz w:val="18"/>
          <w:szCs w:val="18"/>
        </w:rPr>
      </w:pPr>
      <w:r>
        <w:rPr>
          <w:rFonts w:ascii="Arial" w:eastAsia="宋体" w:hAnsi="Arial" w:cs="Arial"/>
          <w:i/>
          <w:iCs/>
          <w:color w:val="333333"/>
          <w:sz w:val="18"/>
          <w:szCs w:val="18"/>
        </w:rPr>
        <w:t>See accompanying notes.</w:t>
      </w:r>
    </w:p>
    <w:p w14:paraId="4ACE402E"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4030" w14:textId="77777777">
        <w:tc>
          <w:tcPr>
            <w:tcW w:w="0" w:type="auto"/>
            <w:gridSpan w:val="3"/>
            <w:shd w:val="clear" w:color="auto" w:fill="auto"/>
            <w:vAlign w:val="center"/>
          </w:tcPr>
          <w:p w14:paraId="4ACE402F" w14:textId="77777777" w:rsidR="006F587A" w:rsidRDefault="006F587A">
            <w:pPr>
              <w:rPr>
                <w:rFonts w:ascii="Times New Roman" w:hAnsi="Times New Roman"/>
                <w:sz w:val="20"/>
                <w:szCs w:val="20"/>
              </w:rPr>
            </w:pPr>
          </w:p>
        </w:tc>
      </w:tr>
      <w:tr w:rsidR="006F587A" w14:paraId="4ACE4034" w14:textId="77777777">
        <w:tc>
          <w:tcPr>
            <w:tcW w:w="1300" w:type="pct"/>
            <w:shd w:val="clear" w:color="auto" w:fill="auto"/>
            <w:vAlign w:val="center"/>
          </w:tcPr>
          <w:p w14:paraId="4ACE4031" w14:textId="77777777" w:rsidR="006F587A" w:rsidRDefault="006F587A">
            <w:pPr>
              <w:rPr>
                <w:rFonts w:ascii="Times New Roman" w:hAnsi="Times New Roman"/>
                <w:sz w:val="20"/>
                <w:szCs w:val="20"/>
              </w:rPr>
            </w:pPr>
          </w:p>
        </w:tc>
        <w:tc>
          <w:tcPr>
            <w:tcW w:w="1600" w:type="pct"/>
            <w:shd w:val="clear" w:color="auto" w:fill="auto"/>
            <w:vAlign w:val="center"/>
          </w:tcPr>
          <w:p w14:paraId="4ACE4032" w14:textId="77777777" w:rsidR="006F587A" w:rsidRDefault="006F587A">
            <w:pPr>
              <w:rPr>
                <w:rFonts w:ascii="Times New Roman" w:hAnsi="Times New Roman"/>
                <w:sz w:val="20"/>
                <w:szCs w:val="20"/>
              </w:rPr>
            </w:pPr>
          </w:p>
        </w:tc>
        <w:tc>
          <w:tcPr>
            <w:tcW w:w="2100" w:type="pct"/>
            <w:shd w:val="clear" w:color="auto" w:fill="auto"/>
            <w:vAlign w:val="center"/>
          </w:tcPr>
          <w:p w14:paraId="4ACE4033" w14:textId="77777777" w:rsidR="006F587A" w:rsidRDefault="006F587A">
            <w:pPr>
              <w:rPr>
                <w:rFonts w:ascii="Times New Roman" w:hAnsi="Times New Roman"/>
                <w:sz w:val="20"/>
                <w:szCs w:val="20"/>
              </w:rPr>
            </w:pPr>
          </w:p>
        </w:tc>
      </w:tr>
      <w:tr w:rsidR="006F587A" w14:paraId="4ACE4038" w14:textId="77777777">
        <w:tc>
          <w:tcPr>
            <w:tcW w:w="0" w:type="auto"/>
            <w:tcBorders>
              <w:top w:val="single" w:sz="8" w:space="0" w:color="0071C5"/>
              <w:right w:val="single" w:sz="36" w:space="0" w:color="0071C5"/>
            </w:tcBorders>
            <w:shd w:val="clear" w:color="auto" w:fill="auto"/>
            <w:tcMar>
              <w:top w:w="40" w:type="dxa"/>
              <w:left w:w="40" w:type="dxa"/>
              <w:bottom w:w="40" w:type="dxa"/>
              <w:right w:w="40" w:type="dxa"/>
            </w:tcMar>
            <w:vAlign w:val="center"/>
          </w:tcPr>
          <w:p w14:paraId="4ACE4035" w14:textId="77777777" w:rsidR="006F587A" w:rsidRDefault="007B2B61">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C0" wp14:editId="4ACE6DC1">
                  <wp:extent cx="304800" cy="304800"/>
                  <wp:effectExtent l="0" t="0" r="0" b="0"/>
                  <wp:docPr id="201" name="图片 282"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82"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4036" w14:textId="77777777" w:rsidR="006F587A" w:rsidRDefault="007B2B61">
            <w:pPr>
              <w:textAlignment w:val="bottom"/>
              <w:rPr>
                <w:rFonts w:ascii="Times New Roman" w:hAnsi="Times New Roman"/>
                <w:sz w:val="16"/>
                <w:szCs w:val="16"/>
              </w:rPr>
            </w:pPr>
            <w:r>
              <w:rPr>
                <w:rFonts w:ascii="Arial" w:eastAsia="宋体" w:hAnsi="Arial" w:cs="Arial"/>
                <w:color w:val="333333"/>
                <w:sz w:val="16"/>
                <w:szCs w:val="16"/>
              </w:rPr>
              <w:t> Consolidated Statements of Cash Flows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4037"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72</w:t>
            </w:r>
          </w:p>
        </w:tc>
      </w:tr>
    </w:tbl>
    <w:p w14:paraId="4ACE4039" w14:textId="77777777" w:rsidR="006F587A" w:rsidRDefault="007B2B61">
      <w:r>
        <w:pict w14:anchorId="4ACE6DC2">
          <v:rect id="_x0000_i1098" style="width:415.3pt;height:1.5pt" o:hralign="center" o:hrstd="t" o:hr="t" fillcolor="#a0a0a0" stroked="f"/>
        </w:pict>
      </w:r>
    </w:p>
    <w:p w14:paraId="4ACE403A" w14:textId="77777777" w:rsidR="006F587A" w:rsidRDefault="007B2B61">
      <w:pPr>
        <w:spacing w:line="288" w:lineRule="auto"/>
        <w:jc w:val="right"/>
        <w:rPr>
          <w:rFonts w:ascii="Times New Roman" w:hAnsi="Times New Roman"/>
          <w:sz w:val="16"/>
          <w:szCs w:val="16"/>
        </w:rPr>
      </w:pPr>
      <w:hyperlink r:id="rId137" w:anchor="s9DB683E2CF52561EB8A73BE37F5BF9BE" w:history="1">
        <w:r>
          <w:rPr>
            <w:rStyle w:val="a5"/>
            <w:rFonts w:ascii="Arial" w:eastAsia="宋体" w:hAnsi="Arial" w:cs="Arial"/>
            <w:b/>
            <w:bCs/>
            <w:sz w:val="16"/>
            <w:szCs w:val="16"/>
          </w:rPr>
          <w:t>Table of Contents</w:t>
        </w:r>
      </w:hyperlink>
    </w:p>
    <w:p w14:paraId="4ACE403B" w14:textId="77777777" w:rsidR="006F587A" w:rsidRDefault="006F587A">
      <w:pPr>
        <w:spacing w:line="288" w:lineRule="auto"/>
        <w:jc w:val="right"/>
        <w:rPr>
          <w:rFonts w:ascii="Times New Roman" w:hAnsi="Times New Roman"/>
          <w:sz w:val="16"/>
          <w:szCs w:val="16"/>
        </w:rPr>
      </w:pPr>
    </w:p>
    <w:p w14:paraId="4ACE403C"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6F587A" w14:paraId="4ACE403E" w14:textId="77777777">
        <w:tc>
          <w:tcPr>
            <w:tcW w:w="0" w:type="auto"/>
            <w:shd w:val="clear" w:color="auto" w:fill="auto"/>
            <w:vAlign w:val="center"/>
          </w:tcPr>
          <w:p w14:paraId="4ACE403D" w14:textId="77777777" w:rsidR="006F587A" w:rsidRDefault="006F587A">
            <w:pPr>
              <w:rPr>
                <w:rFonts w:ascii="Times New Roman" w:hAnsi="Times New Roman"/>
                <w:sz w:val="20"/>
                <w:szCs w:val="20"/>
              </w:rPr>
            </w:pPr>
          </w:p>
        </w:tc>
      </w:tr>
      <w:tr w:rsidR="006F587A" w14:paraId="4ACE4040" w14:textId="77777777">
        <w:tc>
          <w:tcPr>
            <w:tcW w:w="5000" w:type="pct"/>
            <w:shd w:val="clear" w:color="auto" w:fill="auto"/>
            <w:vAlign w:val="center"/>
          </w:tcPr>
          <w:p w14:paraId="4ACE403F" w14:textId="77777777" w:rsidR="006F587A" w:rsidRDefault="006F587A">
            <w:pPr>
              <w:rPr>
                <w:rFonts w:ascii="Times New Roman" w:hAnsi="Times New Roman"/>
                <w:sz w:val="20"/>
                <w:szCs w:val="20"/>
              </w:rPr>
            </w:pPr>
          </w:p>
        </w:tc>
      </w:tr>
      <w:tr w:rsidR="006F587A" w14:paraId="4ACE4042" w14:textId="77777777">
        <w:tc>
          <w:tcPr>
            <w:tcW w:w="0" w:type="auto"/>
            <w:shd w:val="clear" w:color="auto" w:fill="0071C5"/>
            <w:tcMar>
              <w:top w:w="40" w:type="dxa"/>
              <w:left w:w="880" w:type="dxa"/>
              <w:bottom w:w="40" w:type="dxa"/>
              <w:right w:w="40" w:type="dxa"/>
            </w:tcMar>
            <w:vAlign w:val="bottom"/>
          </w:tcPr>
          <w:p w14:paraId="4ACE4041" w14:textId="77777777" w:rsidR="006F587A" w:rsidRDefault="007B2B61">
            <w:pPr>
              <w:textAlignment w:val="bottom"/>
              <w:rPr>
                <w:rFonts w:ascii="Times New Roman" w:hAnsi="Times New Roman"/>
                <w:sz w:val="36"/>
                <w:szCs w:val="36"/>
              </w:rPr>
            </w:pPr>
            <w:r>
              <w:rPr>
                <w:rFonts w:ascii="Arial" w:eastAsia="宋体" w:hAnsi="Arial" w:cs="Arial"/>
                <w:b/>
                <w:bCs/>
                <w:color w:val="FFFFFF"/>
                <w:sz w:val="36"/>
                <w:szCs w:val="36"/>
              </w:rPr>
              <w:t>CONSOLIDATED STATEMENTS OF STOCKHOLDERS' EQUITY</w:t>
            </w:r>
          </w:p>
        </w:tc>
      </w:tr>
    </w:tbl>
    <w:p w14:paraId="4ACE4043" w14:textId="77777777" w:rsidR="006F587A" w:rsidRDefault="006F587A">
      <w:pPr>
        <w:rPr>
          <w:vanish/>
        </w:rPr>
      </w:pPr>
    </w:p>
    <w:tbl>
      <w:tblPr>
        <w:tblW w:w="5000" w:type="pct"/>
        <w:tblCellMar>
          <w:left w:w="0" w:type="dxa"/>
          <w:right w:w="0" w:type="dxa"/>
        </w:tblCellMar>
        <w:tblLook w:val="04A0" w:firstRow="1" w:lastRow="0" w:firstColumn="1" w:lastColumn="0" w:noHBand="0" w:noVBand="1"/>
      </w:tblPr>
      <w:tblGrid>
        <w:gridCol w:w="2140"/>
        <w:gridCol w:w="130"/>
        <w:gridCol w:w="1036"/>
        <w:gridCol w:w="104"/>
        <w:gridCol w:w="131"/>
        <w:gridCol w:w="141"/>
        <w:gridCol w:w="931"/>
        <w:gridCol w:w="103"/>
        <w:gridCol w:w="130"/>
        <w:gridCol w:w="142"/>
        <w:gridCol w:w="1226"/>
        <w:gridCol w:w="102"/>
        <w:gridCol w:w="130"/>
        <w:gridCol w:w="142"/>
        <w:gridCol w:w="696"/>
        <w:gridCol w:w="100"/>
        <w:gridCol w:w="130"/>
        <w:gridCol w:w="141"/>
        <w:gridCol w:w="551"/>
        <w:gridCol w:w="100"/>
      </w:tblGrid>
      <w:tr w:rsidR="006F587A" w14:paraId="4ACE4045" w14:textId="77777777">
        <w:tc>
          <w:tcPr>
            <w:tcW w:w="0" w:type="auto"/>
            <w:gridSpan w:val="20"/>
            <w:shd w:val="clear" w:color="auto" w:fill="auto"/>
            <w:vAlign w:val="center"/>
          </w:tcPr>
          <w:p w14:paraId="4ACE4044" w14:textId="77777777" w:rsidR="006F587A" w:rsidRDefault="006F587A">
            <w:pPr>
              <w:rPr>
                <w:rFonts w:ascii="Times New Roman" w:hAnsi="Times New Roman"/>
                <w:sz w:val="20"/>
                <w:szCs w:val="20"/>
              </w:rPr>
            </w:pPr>
          </w:p>
        </w:tc>
      </w:tr>
      <w:tr w:rsidR="006F587A" w14:paraId="4ACE405A" w14:textId="77777777">
        <w:tc>
          <w:tcPr>
            <w:tcW w:w="1850" w:type="pct"/>
            <w:shd w:val="clear" w:color="auto" w:fill="auto"/>
            <w:vAlign w:val="center"/>
          </w:tcPr>
          <w:p w14:paraId="4ACE4046" w14:textId="77777777" w:rsidR="006F587A" w:rsidRDefault="006F587A">
            <w:pPr>
              <w:rPr>
                <w:rFonts w:ascii="Times New Roman" w:hAnsi="Times New Roman"/>
                <w:sz w:val="20"/>
                <w:szCs w:val="20"/>
              </w:rPr>
            </w:pPr>
          </w:p>
        </w:tc>
        <w:tc>
          <w:tcPr>
            <w:tcW w:w="50" w:type="pct"/>
            <w:shd w:val="clear" w:color="auto" w:fill="auto"/>
            <w:vAlign w:val="center"/>
          </w:tcPr>
          <w:p w14:paraId="4ACE4047" w14:textId="77777777" w:rsidR="006F587A" w:rsidRDefault="006F587A">
            <w:pPr>
              <w:rPr>
                <w:rFonts w:ascii="Times New Roman" w:hAnsi="Times New Roman"/>
                <w:sz w:val="20"/>
                <w:szCs w:val="20"/>
              </w:rPr>
            </w:pPr>
          </w:p>
        </w:tc>
        <w:tc>
          <w:tcPr>
            <w:tcW w:w="500" w:type="pct"/>
            <w:shd w:val="clear" w:color="auto" w:fill="auto"/>
            <w:vAlign w:val="center"/>
          </w:tcPr>
          <w:p w14:paraId="4ACE4048" w14:textId="77777777" w:rsidR="006F587A" w:rsidRDefault="006F587A">
            <w:pPr>
              <w:rPr>
                <w:rFonts w:ascii="Times New Roman" w:hAnsi="Times New Roman"/>
                <w:sz w:val="20"/>
                <w:szCs w:val="20"/>
              </w:rPr>
            </w:pPr>
          </w:p>
        </w:tc>
        <w:tc>
          <w:tcPr>
            <w:tcW w:w="50" w:type="pct"/>
            <w:shd w:val="clear" w:color="auto" w:fill="auto"/>
            <w:vAlign w:val="center"/>
          </w:tcPr>
          <w:p w14:paraId="4ACE4049" w14:textId="77777777" w:rsidR="006F587A" w:rsidRDefault="006F587A">
            <w:pPr>
              <w:rPr>
                <w:rFonts w:ascii="Times New Roman" w:hAnsi="Times New Roman"/>
                <w:sz w:val="20"/>
                <w:szCs w:val="20"/>
              </w:rPr>
            </w:pPr>
          </w:p>
        </w:tc>
        <w:tc>
          <w:tcPr>
            <w:tcW w:w="50" w:type="pct"/>
            <w:shd w:val="clear" w:color="auto" w:fill="auto"/>
            <w:vAlign w:val="center"/>
          </w:tcPr>
          <w:p w14:paraId="4ACE404A" w14:textId="77777777" w:rsidR="006F587A" w:rsidRDefault="006F587A">
            <w:pPr>
              <w:rPr>
                <w:rFonts w:ascii="Times New Roman" w:hAnsi="Times New Roman"/>
                <w:sz w:val="20"/>
                <w:szCs w:val="20"/>
              </w:rPr>
            </w:pPr>
          </w:p>
        </w:tc>
        <w:tc>
          <w:tcPr>
            <w:tcW w:w="50" w:type="pct"/>
            <w:shd w:val="clear" w:color="auto" w:fill="auto"/>
            <w:vAlign w:val="center"/>
          </w:tcPr>
          <w:p w14:paraId="4ACE404B" w14:textId="77777777" w:rsidR="006F587A" w:rsidRDefault="006F587A">
            <w:pPr>
              <w:rPr>
                <w:rFonts w:ascii="Times New Roman" w:hAnsi="Times New Roman"/>
                <w:sz w:val="20"/>
                <w:szCs w:val="20"/>
              </w:rPr>
            </w:pPr>
          </w:p>
        </w:tc>
        <w:tc>
          <w:tcPr>
            <w:tcW w:w="450" w:type="pct"/>
            <w:shd w:val="clear" w:color="auto" w:fill="auto"/>
            <w:vAlign w:val="center"/>
          </w:tcPr>
          <w:p w14:paraId="4ACE404C" w14:textId="77777777" w:rsidR="006F587A" w:rsidRDefault="006F587A">
            <w:pPr>
              <w:rPr>
                <w:rFonts w:ascii="Times New Roman" w:hAnsi="Times New Roman"/>
                <w:sz w:val="20"/>
                <w:szCs w:val="20"/>
              </w:rPr>
            </w:pPr>
          </w:p>
        </w:tc>
        <w:tc>
          <w:tcPr>
            <w:tcW w:w="50" w:type="pct"/>
            <w:shd w:val="clear" w:color="auto" w:fill="auto"/>
            <w:vAlign w:val="center"/>
          </w:tcPr>
          <w:p w14:paraId="4ACE404D" w14:textId="77777777" w:rsidR="006F587A" w:rsidRDefault="006F587A">
            <w:pPr>
              <w:rPr>
                <w:rFonts w:ascii="Times New Roman" w:hAnsi="Times New Roman"/>
                <w:sz w:val="20"/>
                <w:szCs w:val="20"/>
              </w:rPr>
            </w:pPr>
          </w:p>
        </w:tc>
        <w:tc>
          <w:tcPr>
            <w:tcW w:w="50" w:type="pct"/>
            <w:shd w:val="clear" w:color="auto" w:fill="auto"/>
            <w:vAlign w:val="center"/>
          </w:tcPr>
          <w:p w14:paraId="4ACE404E" w14:textId="77777777" w:rsidR="006F587A" w:rsidRDefault="006F587A">
            <w:pPr>
              <w:rPr>
                <w:rFonts w:ascii="Times New Roman" w:hAnsi="Times New Roman"/>
                <w:sz w:val="20"/>
                <w:szCs w:val="20"/>
              </w:rPr>
            </w:pPr>
          </w:p>
        </w:tc>
        <w:tc>
          <w:tcPr>
            <w:tcW w:w="50" w:type="pct"/>
            <w:shd w:val="clear" w:color="auto" w:fill="auto"/>
            <w:vAlign w:val="center"/>
          </w:tcPr>
          <w:p w14:paraId="4ACE404F" w14:textId="77777777" w:rsidR="006F587A" w:rsidRDefault="006F587A">
            <w:pPr>
              <w:rPr>
                <w:rFonts w:ascii="Times New Roman" w:hAnsi="Times New Roman"/>
                <w:sz w:val="20"/>
                <w:szCs w:val="20"/>
              </w:rPr>
            </w:pPr>
          </w:p>
        </w:tc>
        <w:tc>
          <w:tcPr>
            <w:tcW w:w="600" w:type="pct"/>
            <w:shd w:val="clear" w:color="auto" w:fill="auto"/>
            <w:vAlign w:val="center"/>
          </w:tcPr>
          <w:p w14:paraId="4ACE4050" w14:textId="77777777" w:rsidR="006F587A" w:rsidRDefault="006F587A">
            <w:pPr>
              <w:rPr>
                <w:rFonts w:ascii="Times New Roman" w:hAnsi="Times New Roman"/>
                <w:sz w:val="20"/>
                <w:szCs w:val="20"/>
              </w:rPr>
            </w:pPr>
          </w:p>
        </w:tc>
        <w:tc>
          <w:tcPr>
            <w:tcW w:w="50" w:type="pct"/>
            <w:shd w:val="clear" w:color="auto" w:fill="auto"/>
            <w:vAlign w:val="center"/>
          </w:tcPr>
          <w:p w14:paraId="4ACE4051" w14:textId="77777777" w:rsidR="006F587A" w:rsidRDefault="006F587A">
            <w:pPr>
              <w:rPr>
                <w:rFonts w:ascii="Times New Roman" w:hAnsi="Times New Roman"/>
                <w:sz w:val="20"/>
                <w:szCs w:val="20"/>
              </w:rPr>
            </w:pPr>
          </w:p>
        </w:tc>
        <w:tc>
          <w:tcPr>
            <w:tcW w:w="50" w:type="pct"/>
            <w:shd w:val="clear" w:color="auto" w:fill="auto"/>
            <w:vAlign w:val="center"/>
          </w:tcPr>
          <w:p w14:paraId="4ACE4052" w14:textId="77777777" w:rsidR="006F587A" w:rsidRDefault="006F587A">
            <w:pPr>
              <w:rPr>
                <w:rFonts w:ascii="Times New Roman" w:hAnsi="Times New Roman"/>
                <w:sz w:val="20"/>
                <w:szCs w:val="20"/>
              </w:rPr>
            </w:pPr>
          </w:p>
        </w:tc>
        <w:tc>
          <w:tcPr>
            <w:tcW w:w="50" w:type="pct"/>
            <w:shd w:val="clear" w:color="auto" w:fill="auto"/>
            <w:vAlign w:val="center"/>
          </w:tcPr>
          <w:p w14:paraId="4ACE4053" w14:textId="77777777" w:rsidR="006F587A" w:rsidRDefault="006F587A">
            <w:pPr>
              <w:rPr>
                <w:rFonts w:ascii="Times New Roman" w:hAnsi="Times New Roman"/>
                <w:sz w:val="20"/>
                <w:szCs w:val="20"/>
              </w:rPr>
            </w:pPr>
          </w:p>
        </w:tc>
        <w:tc>
          <w:tcPr>
            <w:tcW w:w="450" w:type="pct"/>
            <w:shd w:val="clear" w:color="auto" w:fill="auto"/>
            <w:vAlign w:val="center"/>
          </w:tcPr>
          <w:p w14:paraId="4ACE4054" w14:textId="77777777" w:rsidR="006F587A" w:rsidRDefault="006F587A">
            <w:pPr>
              <w:rPr>
                <w:rFonts w:ascii="Times New Roman" w:hAnsi="Times New Roman"/>
                <w:sz w:val="20"/>
                <w:szCs w:val="20"/>
              </w:rPr>
            </w:pPr>
          </w:p>
        </w:tc>
        <w:tc>
          <w:tcPr>
            <w:tcW w:w="50" w:type="pct"/>
            <w:shd w:val="clear" w:color="auto" w:fill="auto"/>
            <w:vAlign w:val="center"/>
          </w:tcPr>
          <w:p w14:paraId="4ACE4055" w14:textId="77777777" w:rsidR="006F587A" w:rsidRDefault="006F587A">
            <w:pPr>
              <w:rPr>
                <w:rFonts w:ascii="Times New Roman" w:hAnsi="Times New Roman"/>
                <w:sz w:val="20"/>
                <w:szCs w:val="20"/>
              </w:rPr>
            </w:pPr>
          </w:p>
        </w:tc>
        <w:tc>
          <w:tcPr>
            <w:tcW w:w="50" w:type="pct"/>
            <w:shd w:val="clear" w:color="auto" w:fill="auto"/>
            <w:vAlign w:val="center"/>
          </w:tcPr>
          <w:p w14:paraId="4ACE4056" w14:textId="77777777" w:rsidR="006F587A" w:rsidRDefault="006F587A">
            <w:pPr>
              <w:rPr>
                <w:rFonts w:ascii="Times New Roman" w:hAnsi="Times New Roman"/>
                <w:sz w:val="20"/>
                <w:szCs w:val="20"/>
              </w:rPr>
            </w:pPr>
          </w:p>
        </w:tc>
        <w:tc>
          <w:tcPr>
            <w:tcW w:w="50" w:type="pct"/>
            <w:shd w:val="clear" w:color="auto" w:fill="auto"/>
            <w:vAlign w:val="center"/>
          </w:tcPr>
          <w:p w14:paraId="4ACE4057" w14:textId="77777777" w:rsidR="006F587A" w:rsidRDefault="006F587A">
            <w:pPr>
              <w:rPr>
                <w:rFonts w:ascii="Times New Roman" w:hAnsi="Times New Roman"/>
                <w:sz w:val="20"/>
                <w:szCs w:val="20"/>
              </w:rPr>
            </w:pPr>
          </w:p>
        </w:tc>
        <w:tc>
          <w:tcPr>
            <w:tcW w:w="450" w:type="pct"/>
            <w:shd w:val="clear" w:color="auto" w:fill="auto"/>
            <w:vAlign w:val="center"/>
          </w:tcPr>
          <w:p w14:paraId="4ACE4058" w14:textId="77777777" w:rsidR="006F587A" w:rsidRDefault="006F587A">
            <w:pPr>
              <w:rPr>
                <w:rFonts w:ascii="Times New Roman" w:hAnsi="Times New Roman"/>
                <w:sz w:val="20"/>
                <w:szCs w:val="20"/>
              </w:rPr>
            </w:pPr>
          </w:p>
        </w:tc>
        <w:tc>
          <w:tcPr>
            <w:tcW w:w="50" w:type="pct"/>
            <w:shd w:val="clear" w:color="auto" w:fill="auto"/>
            <w:vAlign w:val="center"/>
          </w:tcPr>
          <w:p w14:paraId="4ACE4059" w14:textId="77777777" w:rsidR="006F587A" w:rsidRDefault="006F587A">
            <w:pPr>
              <w:rPr>
                <w:rFonts w:ascii="Times New Roman" w:hAnsi="Times New Roman"/>
                <w:sz w:val="20"/>
                <w:szCs w:val="20"/>
              </w:rPr>
            </w:pPr>
          </w:p>
        </w:tc>
      </w:tr>
      <w:tr w:rsidR="006F587A" w14:paraId="4ACE4064" w14:textId="77777777">
        <w:tc>
          <w:tcPr>
            <w:tcW w:w="0" w:type="auto"/>
            <w:shd w:val="clear" w:color="auto" w:fill="auto"/>
            <w:tcMar>
              <w:top w:w="40" w:type="dxa"/>
              <w:left w:w="40" w:type="dxa"/>
              <w:bottom w:w="40" w:type="dxa"/>
              <w:right w:w="40" w:type="dxa"/>
            </w:tcMar>
            <w:vAlign w:val="bottom"/>
          </w:tcPr>
          <w:p w14:paraId="4ACE405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05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71C5"/>
            </w:tcBorders>
            <w:shd w:val="clear" w:color="auto" w:fill="auto"/>
            <w:tcMar>
              <w:top w:w="40" w:type="dxa"/>
              <w:left w:w="40" w:type="dxa"/>
              <w:bottom w:w="40" w:type="dxa"/>
            </w:tcMar>
            <w:vAlign w:val="bottom"/>
          </w:tcPr>
          <w:p w14:paraId="4ACE405D"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Common Stock and Capital</w:t>
            </w:r>
            <w:r>
              <w:rPr>
                <w:rFonts w:ascii="Arial" w:eastAsia="宋体" w:hAnsi="Arial" w:cs="Arial"/>
                <w:b/>
                <w:bCs/>
                <w:color w:val="333333"/>
                <w:sz w:val="18"/>
                <w:szCs w:val="18"/>
              </w:rPr>
              <w:br/>
              <w:t>in Excess of Par Value</w:t>
            </w:r>
          </w:p>
        </w:tc>
        <w:tc>
          <w:tcPr>
            <w:tcW w:w="0" w:type="auto"/>
            <w:shd w:val="clear" w:color="auto" w:fill="auto"/>
            <w:tcMar>
              <w:top w:w="40" w:type="dxa"/>
              <w:left w:w="40" w:type="dxa"/>
              <w:bottom w:w="40" w:type="dxa"/>
              <w:right w:w="40" w:type="dxa"/>
            </w:tcMar>
            <w:vAlign w:val="bottom"/>
          </w:tcPr>
          <w:p w14:paraId="4ACE405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71C5"/>
            </w:tcBorders>
            <w:shd w:val="clear" w:color="auto" w:fill="auto"/>
            <w:tcMar>
              <w:top w:w="40" w:type="dxa"/>
              <w:left w:w="40" w:type="dxa"/>
              <w:bottom w:w="40" w:type="dxa"/>
              <w:right w:w="40" w:type="dxa"/>
            </w:tcMar>
            <w:vAlign w:val="bottom"/>
          </w:tcPr>
          <w:p w14:paraId="4ACE405F"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Accumulated</w:t>
            </w:r>
            <w:r>
              <w:rPr>
                <w:rFonts w:ascii="Arial" w:eastAsia="宋体" w:hAnsi="Arial" w:cs="Arial"/>
                <w:b/>
                <w:bCs/>
                <w:color w:val="333333"/>
                <w:sz w:val="18"/>
                <w:szCs w:val="18"/>
              </w:rPr>
              <w:br/>
              <w:t>Other</w:t>
            </w:r>
            <w:r>
              <w:rPr>
                <w:rFonts w:ascii="Arial" w:eastAsia="宋体" w:hAnsi="Arial" w:cs="Arial"/>
                <w:b/>
                <w:bCs/>
                <w:color w:val="333333"/>
                <w:sz w:val="18"/>
                <w:szCs w:val="18"/>
              </w:rPr>
              <w:br/>
              <w:t>Comprehensive</w:t>
            </w:r>
            <w:r>
              <w:rPr>
                <w:rFonts w:ascii="Arial" w:eastAsia="宋体" w:hAnsi="Arial" w:cs="Arial"/>
                <w:b/>
                <w:bCs/>
                <w:color w:val="333333"/>
                <w:sz w:val="18"/>
                <w:szCs w:val="18"/>
              </w:rPr>
              <w:br/>
              <w:t>Income (Loss)</w:t>
            </w:r>
          </w:p>
        </w:tc>
        <w:tc>
          <w:tcPr>
            <w:tcW w:w="0" w:type="auto"/>
            <w:vMerge w:val="restart"/>
            <w:shd w:val="clear" w:color="auto" w:fill="auto"/>
            <w:tcMar>
              <w:top w:w="40" w:type="dxa"/>
              <w:left w:w="40" w:type="dxa"/>
              <w:bottom w:w="40" w:type="dxa"/>
              <w:right w:w="40" w:type="dxa"/>
            </w:tcMar>
            <w:vAlign w:val="bottom"/>
          </w:tcPr>
          <w:p w14:paraId="4ACE406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71C5"/>
            </w:tcBorders>
            <w:shd w:val="clear" w:color="auto" w:fill="auto"/>
            <w:tcMar>
              <w:top w:w="40" w:type="dxa"/>
              <w:left w:w="40" w:type="dxa"/>
              <w:bottom w:w="40" w:type="dxa"/>
              <w:right w:w="40" w:type="dxa"/>
            </w:tcMar>
            <w:vAlign w:val="bottom"/>
          </w:tcPr>
          <w:p w14:paraId="4ACE4061"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Retained</w:t>
            </w:r>
            <w:r>
              <w:rPr>
                <w:rFonts w:ascii="Arial" w:eastAsia="宋体" w:hAnsi="Arial" w:cs="Arial"/>
                <w:b/>
                <w:bCs/>
                <w:color w:val="333333"/>
                <w:sz w:val="18"/>
                <w:szCs w:val="18"/>
              </w:rPr>
              <w:br/>
              <w:t>Earnings</w:t>
            </w:r>
          </w:p>
        </w:tc>
        <w:tc>
          <w:tcPr>
            <w:tcW w:w="0" w:type="auto"/>
            <w:vMerge w:val="restart"/>
            <w:shd w:val="clear" w:color="auto" w:fill="auto"/>
            <w:tcMar>
              <w:top w:w="40" w:type="dxa"/>
              <w:left w:w="40" w:type="dxa"/>
              <w:bottom w:w="40" w:type="dxa"/>
              <w:right w:w="40" w:type="dxa"/>
            </w:tcMar>
            <w:vAlign w:val="bottom"/>
          </w:tcPr>
          <w:p w14:paraId="4ACE406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71C5"/>
            </w:tcBorders>
            <w:shd w:val="clear" w:color="auto" w:fill="auto"/>
            <w:tcMar>
              <w:top w:w="40" w:type="dxa"/>
              <w:left w:w="40" w:type="dxa"/>
              <w:bottom w:w="40" w:type="dxa"/>
              <w:right w:w="40" w:type="dxa"/>
            </w:tcMar>
            <w:vAlign w:val="bottom"/>
          </w:tcPr>
          <w:p w14:paraId="4ACE4063"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Total</w:t>
            </w:r>
          </w:p>
        </w:tc>
      </w:tr>
      <w:tr w:rsidR="006F587A" w14:paraId="4ACE4070"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4065"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(In Millions, Except Per Share Amounts)</w:t>
            </w:r>
          </w:p>
        </w:tc>
        <w:tc>
          <w:tcPr>
            <w:tcW w:w="0" w:type="auto"/>
            <w:shd w:val="clear" w:color="auto" w:fill="auto"/>
            <w:tcMar>
              <w:top w:w="40" w:type="dxa"/>
              <w:left w:w="40" w:type="dxa"/>
              <w:bottom w:w="40" w:type="dxa"/>
              <w:right w:w="40" w:type="dxa"/>
            </w:tcMar>
            <w:vAlign w:val="bottom"/>
          </w:tcPr>
          <w:p w14:paraId="4ACE406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ACE4067"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Number of</w:t>
            </w:r>
            <w:r>
              <w:rPr>
                <w:rFonts w:ascii="Arial" w:eastAsia="宋体" w:hAnsi="Arial" w:cs="Arial"/>
                <w:b/>
                <w:bCs/>
                <w:color w:val="333333"/>
                <w:sz w:val="18"/>
                <w:szCs w:val="18"/>
              </w:rPr>
              <w:br/>
              <w:t>Shares</w:t>
            </w:r>
          </w:p>
        </w:tc>
        <w:tc>
          <w:tcPr>
            <w:tcW w:w="0" w:type="auto"/>
            <w:shd w:val="clear" w:color="auto" w:fill="auto"/>
            <w:tcMar>
              <w:top w:w="40" w:type="dxa"/>
              <w:left w:w="40" w:type="dxa"/>
              <w:bottom w:w="40" w:type="dxa"/>
              <w:right w:w="40" w:type="dxa"/>
            </w:tcMar>
            <w:vAlign w:val="bottom"/>
          </w:tcPr>
          <w:p w14:paraId="4ACE406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069"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Amount</w:t>
            </w:r>
          </w:p>
        </w:tc>
        <w:tc>
          <w:tcPr>
            <w:tcW w:w="0" w:type="auto"/>
            <w:shd w:val="clear" w:color="auto" w:fill="auto"/>
            <w:tcMar>
              <w:top w:w="40" w:type="dxa"/>
              <w:left w:w="40" w:type="dxa"/>
              <w:bottom w:w="40" w:type="dxa"/>
              <w:right w:w="40" w:type="dxa"/>
            </w:tcMar>
            <w:vAlign w:val="bottom"/>
          </w:tcPr>
          <w:p w14:paraId="4ACE406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71C5"/>
            </w:tcBorders>
            <w:shd w:val="clear" w:color="auto" w:fill="auto"/>
            <w:tcMar>
              <w:top w:w="40" w:type="dxa"/>
              <w:left w:w="40" w:type="dxa"/>
              <w:bottom w:w="40" w:type="dxa"/>
              <w:right w:w="40" w:type="dxa"/>
            </w:tcMar>
            <w:vAlign w:val="bottom"/>
          </w:tcPr>
          <w:p w14:paraId="4ACE406B" w14:textId="77777777" w:rsidR="006F587A" w:rsidRDefault="006F587A">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4ACE406C" w14:textId="77777777" w:rsidR="006F587A" w:rsidRDefault="006F587A">
            <w:pPr>
              <w:rPr>
                <w:rFonts w:ascii="Times New Roman" w:hAnsi="Times New Roman"/>
                <w:sz w:val="20"/>
                <w:szCs w:val="20"/>
              </w:rPr>
            </w:pPr>
          </w:p>
        </w:tc>
        <w:tc>
          <w:tcPr>
            <w:tcW w:w="0" w:type="auto"/>
            <w:gridSpan w:val="3"/>
            <w:vMerge/>
            <w:tcBorders>
              <w:bottom w:val="single" w:sz="8" w:space="0" w:color="0071C5"/>
            </w:tcBorders>
            <w:shd w:val="clear" w:color="auto" w:fill="auto"/>
            <w:tcMar>
              <w:top w:w="40" w:type="dxa"/>
              <w:left w:w="40" w:type="dxa"/>
              <w:bottom w:w="40" w:type="dxa"/>
              <w:right w:w="40" w:type="dxa"/>
            </w:tcMar>
            <w:vAlign w:val="bottom"/>
          </w:tcPr>
          <w:p w14:paraId="4ACE406D" w14:textId="77777777" w:rsidR="006F587A" w:rsidRDefault="006F587A">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4ACE406E" w14:textId="77777777" w:rsidR="006F587A" w:rsidRDefault="006F587A">
            <w:pPr>
              <w:rPr>
                <w:rFonts w:ascii="Times New Roman" w:hAnsi="Times New Roman"/>
                <w:sz w:val="20"/>
                <w:szCs w:val="20"/>
              </w:rPr>
            </w:pPr>
          </w:p>
        </w:tc>
        <w:tc>
          <w:tcPr>
            <w:tcW w:w="0" w:type="auto"/>
            <w:gridSpan w:val="3"/>
            <w:vMerge/>
            <w:tcBorders>
              <w:bottom w:val="single" w:sz="8" w:space="0" w:color="0071C5"/>
            </w:tcBorders>
            <w:shd w:val="clear" w:color="auto" w:fill="auto"/>
            <w:tcMar>
              <w:top w:w="40" w:type="dxa"/>
              <w:left w:w="40" w:type="dxa"/>
              <w:bottom w:w="40" w:type="dxa"/>
              <w:right w:w="40" w:type="dxa"/>
            </w:tcMar>
            <w:vAlign w:val="bottom"/>
          </w:tcPr>
          <w:p w14:paraId="4ACE406F" w14:textId="77777777" w:rsidR="006F587A" w:rsidRDefault="006F587A">
            <w:pPr>
              <w:rPr>
                <w:rFonts w:ascii="Times New Roman" w:hAnsi="Times New Roman"/>
                <w:sz w:val="20"/>
                <w:szCs w:val="20"/>
              </w:rPr>
            </w:pPr>
          </w:p>
        </w:tc>
      </w:tr>
      <w:tr w:rsidR="006F587A" w14:paraId="4ACE4085" w14:textId="77777777">
        <w:tc>
          <w:tcPr>
            <w:tcW w:w="0" w:type="auto"/>
            <w:shd w:val="clear" w:color="auto" w:fill="auto"/>
            <w:tcMar>
              <w:top w:w="40" w:type="dxa"/>
              <w:left w:w="40" w:type="dxa"/>
              <w:bottom w:w="40" w:type="dxa"/>
              <w:right w:w="40" w:type="dxa"/>
            </w:tcMar>
          </w:tcPr>
          <w:p w14:paraId="4ACE4071" w14:textId="77777777" w:rsidR="006F587A" w:rsidRDefault="007B2B61">
            <w:pPr>
              <w:textAlignment w:val="top"/>
              <w:rPr>
                <w:rFonts w:ascii="Times New Roman" w:hAnsi="Times New Roman"/>
                <w:sz w:val="18"/>
                <w:szCs w:val="18"/>
              </w:rPr>
            </w:pPr>
            <w:r>
              <w:rPr>
                <w:rFonts w:ascii="Arial" w:eastAsia="宋体" w:hAnsi="Arial" w:cs="Arial"/>
                <w:b/>
                <w:bCs/>
                <w:color w:val="333333"/>
                <w:sz w:val="18"/>
                <w:szCs w:val="18"/>
              </w:rPr>
              <w:t>Balance as of December 31, 2016</w:t>
            </w:r>
          </w:p>
        </w:tc>
        <w:tc>
          <w:tcPr>
            <w:tcW w:w="0" w:type="auto"/>
            <w:shd w:val="clear" w:color="auto" w:fill="auto"/>
            <w:tcMar>
              <w:top w:w="40" w:type="dxa"/>
              <w:left w:w="40" w:type="dxa"/>
              <w:bottom w:w="40" w:type="dxa"/>
              <w:right w:w="40" w:type="dxa"/>
            </w:tcMar>
            <w:vAlign w:val="bottom"/>
          </w:tcPr>
          <w:p w14:paraId="4ACE407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4073"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4,730</w:t>
            </w:r>
          </w:p>
        </w:tc>
        <w:tc>
          <w:tcPr>
            <w:tcW w:w="0" w:type="auto"/>
            <w:tcBorders>
              <w:top w:val="single" w:sz="8" w:space="0" w:color="0071C5"/>
            </w:tcBorders>
            <w:shd w:val="clear" w:color="auto" w:fill="auto"/>
            <w:vAlign w:val="bottom"/>
          </w:tcPr>
          <w:p w14:paraId="4ACE407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07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076"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bottom w:w="40" w:type="dxa"/>
            </w:tcMar>
            <w:vAlign w:val="bottom"/>
          </w:tcPr>
          <w:p w14:paraId="4ACE4077"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25,373</w:t>
            </w:r>
          </w:p>
        </w:tc>
        <w:tc>
          <w:tcPr>
            <w:tcW w:w="0" w:type="auto"/>
            <w:shd w:val="clear" w:color="auto" w:fill="auto"/>
            <w:vAlign w:val="bottom"/>
          </w:tcPr>
          <w:p w14:paraId="4ACE407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07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07A"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bottom w:w="40" w:type="dxa"/>
            </w:tcMar>
            <w:vAlign w:val="bottom"/>
          </w:tcPr>
          <w:p w14:paraId="4ACE407B"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106</w:t>
            </w:r>
          </w:p>
        </w:tc>
        <w:tc>
          <w:tcPr>
            <w:tcW w:w="0" w:type="auto"/>
            <w:shd w:val="clear" w:color="auto" w:fill="auto"/>
            <w:vAlign w:val="bottom"/>
          </w:tcPr>
          <w:p w14:paraId="4ACE407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07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07E"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bottom w:w="40" w:type="dxa"/>
            </w:tcMar>
            <w:vAlign w:val="bottom"/>
          </w:tcPr>
          <w:p w14:paraId="4ACE407F"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40,747</w:t>
            </w:r>
          </w:p>
        </w:tc>
        <w:tc>
          <w:tcPr>
            <w:tcW w:w="0" w:type="auto"/>
            <w:shd w:val="clear" w:color="auto" w:fill="auto"/>
            <w:vAlign w:val="bottom"/>
          </w:tcPr>
          <w:p w14:paraId="4ACE408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08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082"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bottom w:w="40" w:type="dxa"/>
            </w:tcMar>
            <w:vAlign w:val="bottom"/>
          </w:tcPr>
          <w:p w14:paraId="4ACE4083"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66,226</w:t>
            </w:r>
          </w:p>
        </w:tc>
        <w:tc>
          <w:tcPr>
            <w:tcW w:w="0" w:type="auto"/>
            <w:shd w:val="clear" w:color="auto" w:fill="auto"/>
            <w:vAlign w:val="bottom"/>
          </w:tcPr>
          <w:p w14:paraId="4ACE4084" w14:textId="77777777" w:rsidR="006F587A" w:rsidRDefault="006F587A">
            <w:pPr>
              <w:textAlignment w:val="bottom"/>
              <w:rPr>
                <w:rFonts w:ascii="Times New Roman" w:hAnsi="Times New Roman"/>
                <w:sz w:val="20"/>
                <w:szCs w:val="20"/>
              </w:rPr>
            </w:pPr>
          </w:p>
        </w:tc>
      </w:tr>
      <w:tr w:rsidR="006F587A" w14:paraId="4ACE4091" w14:textId="77777777">
        <w:tc>
          <w:tcPr>
            <w:tcW w:w="0" w:type="auto"/>
            <w:shd w:val="clear" w:color="auto" w:fill="auto"/>
            <w:tcMar>
              <w:top w:w="40" w:type="dxa"/>
              <w:left w:w="40" w:type="dxa"/>
              <w:bottom w:w="40" w:type="dxa"/>
              <w:right w:w="40" w:type="dxa"/>
            </w:tcMar>
          </w:tcPr>
          <w:p w14:paraId="4ACE4086" w14:textId="77777777" w:rsidR="006F587A" w:rsidRDefault="007B2B61">
            <w:pPr>
              <w:ind w:hanging="240"/>
              <w:textAlignment w:val="top"/>
              <w:rPr>
                <w:rFonts w:ascii="Times New Roman" w:hAnsi="Times New Roman"/>
                <w:sz w:val="18"/>
                <w:szCs w:val="18"/>
              </w:rPr>
            </w:pPr>
            <w:r>
              <w:rPr>
                <w:rFonts w:ascii="Arial" w:eastAsia="宋体" w:hAnsi="Arial" w:cs="Arial"/>
                <w:color w:val="333333"/>
                <w:sz w:val="18"/>
                <w:szCs w:val="18"/>
              </w:rPr>
              <w:t>Components of comprehensive income, net of tax:</w:t>
            </w:r>
          </w:p>
        </w:tc>
        <w:tc>
          <w:tcPr>
            <w:tcW w:w="0" w:type="auto"/>
            <w:shd w:val="clear" w:color="auto" w:fill="auto"/>
            <w:tcMar>
              <w:top w:w="40" w:type="dxa"/>
              <w:left w:w="40" w:type="dxa"/>
              <w:bottom w:w="40" w:type="dxa"/>
              <w:right w:w="40" w:type="dxa"/>
            </w:tcMar>
            <w:vAlign w:val="bottom"/>
          </w:tcPr>
          <w:p w14:paraId="4ACE408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ACE408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08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08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08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08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08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08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08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09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40A2" w14:textId="77777777">
        <w:tc>
          <w:tcPr>
            <w:tcW w:w="0" w:type="auto"/>
            <w:shd w:val="clear" w:color="auto" w:fill="auto"/>
            <w:tcMar>
              <w:top w:w="40" w:type="dxa"/>
              <w:left w:w="240" w:type="dxa"/>
              <w:bottom w:w="40" w:type="dxa"/>
              <w:right w:w="40" w:type="dxa"/>
            </w:tcMar>
            <w:vAlign w:val="bottom"/>
          </w:tcPr>
          <w:p w14:paraId="4ACE409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Net income</w:t>
            </w:r>
          </w:p>
        </w:tc>
        <w:tc>
          <w:tcPr>
            <w:tcW w:w="0" w:type="auto"/>
            <w:shd w:val="clear" w:color="auto" w:fill="auto"/>
            <w:tcMar>
              <w:top w:w="40" w:type="dxa"/>
              <w:left w:w="40" w:type="dxa"/>
              <w:bottom w:w="40" w:type="dxa"/>
              <w:right w:w="40" w:type="dxa"/>
            </w:tcMar>
            <w:vAlign w:val="bottom"/>
          </w:tcPr>
          <w:p w14:paraId="4ACE409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09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409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09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09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409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09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09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409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09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09D"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9,601</w:t>
            </w:r>
          </w:p>
        </w:tc>
        <w:tc>
          <w:tcPr>
            <w:tcW w:w="0" w:type="auto"/>
            <w:shd w:val="clear" w:color="auto" w:fill="auto"/>
            <w:vAlign w:val="bottom"/>
          </w:tcPr>
          <w:p w14:paraId="4ACE409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09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0A0"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9,601</w:t>
            </w:r>
          </w:p>
        </w:tc>
        <w:tc>
          <w:tcPr>
            <w:tcW w:w="0" w:type="auto"/>
            <w:shd w:val="clear" w:color="auto" w:fill="auto"/>
            <w:vAlign w:val="bottom"/>
          </w:tcPr>
          <w:p w14:paraId="4ACE40A1" w14:textId="77777777" w:rsidR="006F587A" w:rsidRDefault="006F587A">
            <w:pPr>
              <w:textAlignment w:val="bottom"/>
              <w:rPr>
                <w:rFonts w:ascii="Times New Roman" w:hAnsi="Times New Roman"/>
                <w:sz w:val="20"/>
                <w:szCs w:val="20"/>
              </w:rPr>
            </w:pPr>
          </w:p>
        </w:tc>
      </w:tr>
      <w:tr w:rsidR="006F587A" w14:paraId="4ACE40B3" w14:textId="77777777">
        <w:tc>
          <w:tcPr>
            <w:tcW w:w="0" w:type="auto"/>
            <w:shd w:val="clear" w:color="auto" w:fill="auto"/>
            <w:tcMar>
              <w:top w:w="40" w:type="dxa"/>
              <w:left w:w="240" w:type="dxa"/>
              <w:bottom w:w="40" w:type="dxa"/>
              <w:right w:w="40" w:type="dxa"/>
            </w:tcMar>
            <w:vAlign w:val="bottom"/>
          </w:tcPr>
          <w:p w14:paraId="4ACE40A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Other comprehensive income (loss)</w:t>
            </w:r>
          </w:p>
        </w:tc>
        <w:tc>
          <w:tcPr>
            <w:tcW w:w="0" w:type="auto"/>
            <w:shd w:val="clear" w:color="auto" w:fill="auto"/>
            <w:tcMar>
              <w:top w:w="40" w:type="dxa"/>
              <w:left w:w="40" w:type="dxa"/>
              <w:bottom w:w="40" w:type="dxa"/>
              <w:right w:w="40" w:type="dxa"/>
            </w:tcMar>
            <w:vAlign w:val="bottom"/>
          </w:tcPr>
          <w:p w14:paraId="4ACE40A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0A5"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40A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0A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0A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40A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0A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0A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756</w:t>
            </w:r>
          </w:p>
        </w:tc>
        <w:tc>
          <w:tcPr>
            <w:tcW w:w="0" w:type="auto"/>
            <w:shd w:val="clear" w:color="auto" w:fill="auto"/>
            <w:vAlign w:val="bottom"/>
          </w:tcPr>
          <w:p w14:paraId="4ACE40A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0A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0A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40A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0B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40B1"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756</w:t>
            </w:r>
          </w:p>
        </w:tc>
        <w:tc>
          <w:tcPr>
            <w:tcW w:w="0" w:type="auto"/>
            <w:tcBorders>
              <w:bottom w:val="single" w:sz="8" w:space="0" w:color="333333"/>
            </w:tcBorders>
            <w:shd w:val="clear" w:color="auto" w:fill="auto"/>
            <w:vAlign w:val="bottom"/>
          </w:tcPr>
          <w:p w14:paraId="4ACE40B2" w14:textId="77777777" w:rsidR="006F587A" w:rsidRDefault="006F587A">
            <w:pPr>
              <w:textAlignment w:val="bottom"/>
              <w:rPr>
                <w:rFonts w:ascii="Times New Roman" w:hAnsi="Times New Roman"/>
                <w:sz w:val="20"/>
                <w:szCs w:val="20"/>
              </w:rPr>
            </w:pPr>
          </w:p>
        </w:tc>
      </w:tr>
      <w:tr w:rsidR="006F587A" w14:paraId="4ACE40C0" w14:textId="77777777">
        <w:tc>
          <w:tcPr>
            <w:tcW w:w="0" w:type="auto"/>
            <w:shd w:val="clear" w:color="auto" w:fill="auto"/>
            <w:tcMar>
              <w:top w:w="40" w:type="dxa"/>
              <w:left w:w="560" w:type="dxa"/>
              <w:bottom w:w="40" w:type="dxa"/>
              <w:right w:w="40" w:type="dxa"/>
            </w:tcMar>
            <w:vAlign w:val="bottom"/>
          </w:tcPr>
          <w:p w14:paraId="4ACE40B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Total </w:t>
            </w:r>
            <w:r>
              <w:rPr>
                <w:rFonts w:ascii="Arial" w:eastAsia="宋体" w:hAnsi="Arial" w:cs="Arial"/>
                <w:color w:val="333333"/>
                <w:sz w:val="18"/>
                <w:szCs w:val="18"/>
              </w:rPr>
              <w:t>comprehensive income</w:t>
            </w:r>
          </w:p>
        </w:tc>
        <w:tc>
          <w:tcPr>
            <w:tcW w:w="0" w:type="auto"/>
            <w:shd w:val="clear" w:color="auto" w:fill="auto"/>
            <w:tcMar>
              <w:top w:w="40" w:type="dxa"/>
              <w:left w:w="40" w:type="dxa"/>
              <w:bottom w:w="40" w:type="dxa"/>
              <w:right w:w="40" w:type="dxa"/>
            </w:tcMar>
            <w:vAlign w:val="bottom"/>
          </w:tcPr>
          <w:p w14:paraId="4ACE40B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ACE40B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0B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0B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0B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0B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0B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0B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0B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40B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10,357</w:t>
            </w:r>
          </w:p>
        </w:tc>
        <w:tc>
          <w:tcPr>
            <w:tcW w:w="0" w:type="auto"/>
            <w:tcBorders>
              <w:top w:val="single" w:sz="8" w:space="0" w:color="333333"/>
              <w:bottom w:val="single" w:sz="8" w:space="0" w:color="333333"/>
            </w:tcBorders>
            <w:shd w:val="clear" w:color="auto" w:fill="auto"/>
            <w:vAlign w:val="bottom"/>
          </w:tcPr>
          <w:p w14:paraId="4ACE40BF" w14:textId="77777777" w:rsidR="006F587A" w:rsidRDefault="006F587A">
            <w:pPr>
              <w:textAlignment w:val="bottom"/>
              <w:rPr>
                <w:rFonts w:ascii="Times New Roman" w:hAnsi="Times New Roman"/>
                <w:sz w:val="20"/>
                <w:szCs w:val="20"/>
              </w:rPr>
            </w:pPr>
          </w:p>
        </w:tc>
      </w:tr>
      <w:tr w:rsidR="006F587A" w14:paraId="4ACE40D1" w14:textId="77777777">
        <w:tc>
          <w:tcPr>
            <w:tcW w:w="0" w:type="auto"/>
            <w:shd w:val="clear" w:color="auto" w:fill="auto"/>
            <w:tcMar>
              <w:top w:w="40" w:type="dxa"/>
              <w:left w:w="40" w:type="dxa"/>
              <w:bottom w:w="40" w:type="dxa"/>
              <w:right w:w="40" w:type="dxa"/>
            </w:tcMar>
            <w:vAlign w:val="bottom"/>
          </w:tcPr>
          <w:p w14:paraId="4ACE40C1"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Employee equity incentive plans and other ¹</w:t>
            </w:r>
          </w:p>
        </w:tc>
        <w:tc>
          <w:tcPr>
            <w:tcW w:w="0" w:type="auto"/>
            <w:shd w:val="clear" w:color="auto" w:fill="auto"/>
            <w:tcMar>
              <w:top w:w="40" w:type="dxa"/>
              <w:left w:w="40" w:type="dxa"/>
              <w:bottom w:w="40" w:type="dxa"/>
              <w:right w:w="40" w:type="dxa"/>
            </w:tcMar>
            <w:vAlign w:val="bottom"/>
          </w:tcPr>
          <w:p w14:paraId="4ACE40C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0C3"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70</w:t>
            </w:r>
          </w:p>
        </w:tc>
        <w:tc>
          <w:tcPr>
            <w:tcW w:w="0" w:type="auto"/>
            <w:shd w:val="clear" w:color="auto" w:fill="auto"/>
            <w:vAlign w:val="bottom"/>
          </w:tcPr>
          <w:p w14:paraId="4ACE40C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0C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0C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1,172</w:t>
            </w:r>
          </w:p>
        </w:tc>
        <w:tc>
          <w:tcPr>
            <w:tcW w:w="0" w:type="auto"/>
            <w:shd w:val="clear" w:color="auto" w:fill="auto"/>
            <w:vAlign w:val="bottom"/>
          </w:tcPr>
          <w:p w14:paraId="4ACE40C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0C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0C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40C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0C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0C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w:t>
            </w:r>
          </w:p>
        </w:tc>
        <w:tc>
          <w:tcPr>
            <w:tcW w:w="0" w:type="auto"/>
            <w:shd w:val="clear" w:color="auto" w:fill="auto"/>
            <w:tcMar>
              <w:top w:w="40" w:type="dxa"/>
              <w:bottom w:w="40" w:type="dxa"/>
              <w:right w:w="40" w:type="dxa"/>
            </w:tcMar>
            <w:vAlign w:val="bottom"/>
          </w:tcPr>
          <w:p w14:paraId="4ACE40C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40C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0C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1,171</w:t>
            </w:r>
          </w:p>
        </w:tc>
        <w:tc>
          <w:tcPr>
            <w:tcW w:w="0" w:type="auto"/>
            <w:shd w:val="clear" w:color="auto" w:fill="auto"/>
            <w:vAlign w:val="bottom"/>
          </w:tcPr>
          <w:p w14:paraId="4ACE40D0" w14:textId="77777777" w:rsidR="006F587A" w:rsidRDefault="006F587A">
            <w:pPr>
              <w:textAlignment w:val="bottom"/>
              <w:rPr>
                <w:rFonts w:ascii="Times New Roman" w:hAnsi="Times New Roman"/>
                <w:sz w:val="20"/>
                <w:szCs w:val="20"/>
              </w:rPr>
            </w:pPr>
          </w:p>
        </w:tc>
      </w:tr>
      <w:tr w:rsidR="006F587A" w14:paraId="4ACE40E2" w14:textId="77777777">
        <w:tc>
          <w:tcPr>
            <w:tcW w:w="0" w:type="auto"/>
            <w:shd w:val="clear" w:color="auto" w:fill="auto"/>
            <w:tcMar>
              <w:top w:w="40" w:type="dxa"/>
              <w:left w:w="40" w:type="dxa"/>
              <w:bottom w:w="40" w:type="dxa"/>
              <w:right w:w="40" w:type="dxa"/>
            </w:tcMar>
            <w:vAlign w:val="bottom"/>
          </w:tcPr>
          <w:p w14:paraId="4ACE40D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Share-based compensation</w:t>
            </w:r>
          </w:p>
        </w:tc>
        <w:tc>
          <w:tcPr>
            <w:tcW w:w="0" w:type="auto"/>
            <w:shd w:val="clear" w:color="auto" w:fill="auto"/>
            <w:tcMar>
              <w:top w:w="40" w:type="dxa"/>
              <w:left w:w="40" w:type="dxa"/>
              <w:bottom w:w="40" w:type="dxa"/>
              <w:right w:w="40" w:type="dxa"/>
            </w:tcMar>
            <w:vAlign w:val="bottom"/>
          </w:tcPr>
          <w:p w14:paraId="4ACE40D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0D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40D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0D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0D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1,296</w:t>
            </w:r>
          </w:p>
        </w:tc>
        <w:tc>
          <w:tcPr>
            <w:tcW w:w="0" w:type="auto"/>
            <w:shd w:val="clear" w:color="auto" w:fill="auto"/>
            <w:vAlign w:val="bottom"/>
          </w:tcPr>
          <w:p w14:paraId="4ACE40D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0D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0D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40D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0D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0DD"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40D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0D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0E0"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1,296</w:t>
            </w:r>
          </w:p>
        </w:tc>
        <w:tc>
          <w:tcPr>
            <w:tcW w:w="0" w:type="auto"/>
            <w:shd w:val="clear" w:color="auto" w:fill="auto"/>
            <w:vAlign w:val="bottom"/>
          </w:tcPr>
          <w:p w14:paraId="4ACE40E1" w14:textId="77777777" w:rsidR="006F587A" w:rsidRDefault="006F587A">
            <w:pPr>
              <w:textAlignment w:val="bottom"/>
              <w:rPr>
                <w:rFonts w:ascii="Times New Roman" w:hAnsi="Times New Roman"/>
                <w:sz w:val="20"/>
                <w:szCs w:val="20"/>
              </w:rPr>
            </w:pPr>
          </w:p>
        </w:tc>
      </w:tr>
      <w:tr w:rsidR="006F587A" w14:paraId="4ACE40F3" w14:textId="77777777">
        <w:tc>
          <w:tcPr>
            <w:tcW w:w="0" w:type="auto"/>
            <w:shd w:val="clear" w:color="auto" w:fill="auto"/>
            <w:tcMar>
              <w:top w:w="40" w:type="dxa"/>
              <w:left w:w="40" w:type="dxa"/>
              <w:bottom w:w="40" w:type="dxa"/>
              <w:right w:w="40" w:type="dxa"/>
            </w:tcMar>
            <w:vAlign w:val="bottom"/>
          </w:tcPr>
          <w:p w14:paraId="4ACE40E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Convertible debt</w:t>
            </w:r>
          </w:p>
        </w:tc>
        <w:tc>
          <w:tcPr>
            <w:tcW w:w="0" w:type="auto"/>
            <w:shd w:val="clear" w:color="auto" w:fill="auto"/>
            <w:tcMar>
              <w:top w:w="40" w:type="dxa"/>
              <w:left w:w="40" w:type="dxa"/>
              <w:bottom w:w="40" w:type="dxa"/>
              <w:right w:w="40" w:type="dxa"/>
            </w:tcMar>
            <w:vAlign w:val="bottom"/>
          </w:tcPr>
          <w:p w14:paraId="4ACE40E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0E5"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40E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0E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0E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(894</w:t>
            </w:r>
          </w:p>
        </w:tc>
        <w:tc>
          <w:tcPr>
            <w:tcW w:w="0" w:type="auto"/>
            <w:shd w:val="clear" w:color="auto" w:fill="auto"/>
            <w:tcMar>
              <w:top w:w="40" w:type="dxa"/>
              <w:bottom w:w="40" w:type="dxa"/>
              <w:right w:w="40" w:type="dxa"/>
            </w:tcMar>
            <w:vAlign w:val="bottom"/>
          </w:tcPr>
          <w:p w14:paraId="4ACE40E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40E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0E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40E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0E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0E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40E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0F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0F1"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(894</w:t>
            </w:r>
          </w:p>
        </w:tc>
        <w:tc>
          <w:tcPr>
            <w:tcW w:w="0" w:type="auto"/>
            <w:shd w:val="clear" w:color="auto" w:fill="auto"/>
            <w:tcMar>
              <w:top w:w="40" w:type="dxa"/>
              <w:bottom w:w="40" w:type="dxa"/>
              <w:right w:w="40" w:type="dxa"/>
            </w:tcMar>
            <w:vAlign w:val="bottom"/>
          </w:tcPr>
          <w:p w14:paraId="4ACE40F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4104" w14:textId="77777777">
        <w:tc>
          <w:tcPr>
            <w:tcW w:w="0" w:type="auto"/>
            <w:shd w:val="clear" w:color="auto" w:fill="auto"/>
            <w:tcMar>
              <w:top w:w="40" w:type="dxa"/>
              <w:left w:w="40" w:type="dxa"/>
              <w:bottom w:w="40" w:type="dxa"/>
              <w:right w:w="40" w:type="dxa"/>
            </w:tcMar>
            <w:vAlign w:val="bottom"/>
          </w:tcPr>
          <w:p w14:paraId="4ACE40F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Repurchase of common stock</w:t>
            </w:r>
          </w:p>
        </w:tc>
        <w:tc>
          <w:tcPr>
            <w:tcW w:w="0" w:type="auto"/>
            <w:shd w:val="clear" w:color="auto" w:fill="auto"/>
            <w:tcMar>
              <w:top w:w="40" w:type="dxa"/>
              <w:left w:w="40" w:type="dxa"/>
              <w:bottom w:w="40" w:type="dxa"/>
              <w:right w:w="40" w:type="dxa"/>
            </w:tcMar>
            <w:vAlign w:val="bottom"/>
          </w:tcPr>
          <w:p w14:paraId="4ACE40F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0F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(101</w:t>
            </w:r>
          </w:p>
        </w:tc>
        <w:tc>
          <w:tcPr>
            <w:tcW w:w="0" w:type="auto"/>
            <w:shd w:val="clear" w:color="auto" w:fill="auto"/>
            <w:tcMar>
              <w:top w:w="40" w:type="dxa"/>
              <w:bottom w:w="40" w:type="dxa"/>
              <w:right w:w="40" w:type="dxa"/>
            </w:tcMar>
            <w:vAlign w:val="bottom"/>
          </w:tcPr>
          <w:p w14:paraId="4ACE40F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40F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0F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(552</w:t>
            </w:r>
          </w:p>
        </w:tc>
        <w:tc>
          <w:tcPr>
            <w:tcW w:w="0" w:type="auto"/>
            <w:shd w:val="clear" w:color="auto" w:fill="auto"/>
            <w:tcMar>
              <w:top w:w="40" w:type="dxa"/>
              <w:bottom w:w="40" w:type="dxa"/>
              <w:right w:w="40" w:type="dxa"/>
            </w:tcMar>
            <w:vAlign w:val="bottom"/>
          </w:tcPr>
          <w:p w14:paraId="4ACE40F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40F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0F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40F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0F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0F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(3,057</w:t>
            </w:r>
          </w:p>
        </w:tc>
        <w:tc>
          <w:tcPr>
            <w:tcW w:w="0" w:type="auto"/>
            <w:shd w:val="clear" w:color="auto" w:fill="auto"/>
            <w:tcMar>
              <w:top w:w="40" w:type="dxa"/>
              <w:bottom w:w="40" w:type="dxa"/>
              <w:right w:w="40" w:type="dxa"/>
            </w:tcMar>
            <w:vAlign w:val="bottom"/>
          </w:tcPr>
          <w:p w14:paraId="4ACE410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410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10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(3,609</w:t>
            </w:r>
          </w:p>
        </w:tc>
        <w:tc>
          <w:tcPr>
            <w:tcW w:w="0" w:type="auto"/>
            <w:shd w:val="clear" w:color="auto" w:fill="auto"/>
            <w:tcMar>
              <w:top w:w="40" w:type="dxa"/>
              <w:bottom w:w="40" w:type="dxa"/>
              <w:right w:w="40" w:type="dxa"/>
            </w:tcMar>
            <w:vAlign w:val="bottom"/>
          </w:tcPr>
          <w:p w14:paraId="4ACE410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4115" w14:textId="77777777">
        <w:tc>
          <w:tcPr>
            <w:tcW w:w="0" w:type="auto"/>
            <w:shd w:val="clear" w:color="auto" w:fill="auto"/>
            <w:tcMar>
              <w:top w:w="40" w:type="dxa"/>
              <w:left w:w="40" w:type="dxa"/>
              <w:bottom w:w="40" w:type="dxa"/>
              <w:right w:w="40" w:type="dxa"/>
            </w:tcMar>
            <w:vAlign w:val="bottom"/>
          </w:tcPr>
          <w:p w14:paraId="4ACE410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Restricted stock unit withholdings</w:t>
            </w:r>
          </w:p>
        </w:tc>
        <w:tc>
          <w:tcPr>
            <w:tcW w:w="0" w:type="auto"/>
            <w:shd w:val="clear" w:color="auto" w:fill="auto"/>
            <w:tcMar>
              <w:top w:w="40" w:type="dxa"/>
              <w:left w:w="40" w:type="dxa"/>
              <w:bottom w:w="40" w:type="dxa"/>
              <w:right w:w="40" w:type="dxa"/>
            </w:tcMar>
            <w:vAlign w:val="bottom"/>
          </w:tcPr>
          <w:p w14:paraId="4ACE410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10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(12</w:t>
            </w:r>
          </w:p>
        </w:tc>
        <w:tc>
          <w:tcPr>
            <w:tcW w:w="0" w:type="auto"/>
            <w:shd w:val="clear" w:color="auto" w:fill="auto"/>
            <w:tcMar>
              <w:top w:w="40" w:type="dxa"/>
              <w:bottom w:w="40" w:type="dxa"/>
              <w:right w:w="40" w:type="dxa"/>
            </w:tcMar>
            <w:vAlign w:val="bottom"/>
          </w:tcPr>
          <w:p w14:paraId="4ACE410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410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10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(321</w:t>
            </w:r>
          </w:p>
        </w:tc>
        <w:tc>
          <w:tcPr>
            <w:tcW w:w="0" w:type="auto"/>
            <w:shd w:val="clear" w:color="auto" w:fill="auto"/>
            <w:tcMar>
              <w:top w:w="40" w:type="dxa"/>
              <w:bottom w:w="40" w:type="dxa"/>
              <w:right w:w="40" w:type="dxa"/>
            </w:tcMar>
            <w:vAlign w:val="bottom"/>
          </w:tcPr>
          <w:p w14:paraId="4ACE410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410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10D"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410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10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110"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(135</w:t>
            </w:r>
          </w:p>
        </w:tc>
        <w:tc>
          <w:tcPr>
            <w:tcW w:w="0" w:type="auto"/>
            <w:shd w:val="clear" w:color="auto" w:fill="auto"/>
            <w:tcMar>
              <w:top w:w="40" w:type="dxa"/>
              <w:bottom w:w="40" w:type="dxa"/>
              <w:right w:w="40" w:type="dxa"/>
            </w:tcMar>
            <w:vAlign w:val="bottom"/>
          </w:tcPr>
          <w:p w14:paraId="4ACE411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411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113"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(456</w:t>
            </w:r>
          </w:p>
        </w:tc>
        <w:tc>
          <w:tcPr>
            <w:tcW w:w="0" w:type="auto"/>
            <w:shd w:val="clear" w:color="auto" w:fill="auto"/>
            <w:tcMar>
              <w:top w:w="40" w:type="dxa"/>
              <w:bottom w:w="40" w:type="dxa"/>
              <w:right w:w="40" w:type="dxa"/>
            </w:tcMar>
            <w:vAlign w:val="bottom"/>
          </w:tcPr>
          <w:p w14:paraId="4ACE411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4126" w14:textId="77777777">
        <w:tc>
          <w:tcPr>
            <w:tcW w:w="0" w:type="auto"/>
            <w:shd w:val="clear" w:color="auto" w:fill="auto"/>
            <w:tcMar>
              <w:top w:w="40" w:type="dxa"/>
              <w:left w:w="40" w:type="dxa"/>
              <w:bottom w:w="40" w:type="dxa"/>
              <w:right w:w="40" w:type="dxa"/>
            </w:tcMar>
            <w:vAlign w:val="bottom"/>
          </w:tcPr>
          <w:p w14:paraId="4ACE4116"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lastRenderedPageBreak/>
              <w:t>Cash dividends declared ($1.0775 per share of common stock)</w:t>
            </w:r>
          </w:p>
        </w:tc>
        <w:tc>
          <w:tcPr>
            <w:tcW w:w="0" w:type="auto"/>
            <w:shd w:val="clear" w:color="auto" w:fill="auto"/>
            <w:tcMar>
              <w:top w:w="40" w:type="dxa"/>
              <w:left w:w="40" w:type="dxa"/>
              <w:bottom w:w="40" w:type="dxa"/>
              <w:right w:w="40" w:type="dxa"/>
            </w:tcMar>
            <w:vAlign w:val="bottom"/>
          </w:tcPr>
          <w:p w14:paraId="4ACE411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tcMar>
            <w:vAlign w:val="bottom"/>
          </w:tcPr>
          <w:p w14:paraId="4ACE411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tcBorders>
              <w:bottom w:val="single" w:sz="8" w:space="0" w:color="333333"/>
            </w:tcBorders>
            <w:shd w:val="clear" w:color="auto" w:fill="auto"/>
            <w:vAlign w:val="bottom"/>
          </w:tcPr>
          <w:p w14:paraId="4ACE411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11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11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411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11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11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411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12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121"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(5,072</w:t>
            </w:r>
          </w:p>
        </w:tc>
        <w:tc>
          <w:tcPr>
            <w:tcW w:w="0" w:type="auto"/>
            <w:shd w:val="clear" w:color="auto" w:fill="auto"/>
            <w:tcMar>
              <w:top w:w="40" w:type="dxa"/>
              <w:bottom w:w="40" w:type="dxa"/>
              <w:right w:w="40" w:type="dxa"/>
            </w:tcMar>
            <w:vAlign w:val="bottom"/>
          </w:tcPr>
          <w:p w14:paraId="4ACE412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412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412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(5,072</w:t>
            </w:r>
          </w:p>
        </w:tc>
        <w:tc>
          <w:tcPr>
            <w:tcW w:w="0" w:type="auto"/>
            <w:tcBorders>
              <w:bottom w:val="single" w:sz="8" w:space="0" w:color="333333"/>
            </w:tcBorders>
            <w:shd w:val="clear" w:color="auto" w:fill="auto"/>
            <w:tcMar>
              <w:top w:w="40" w:type="dxa"/>
              <w:bottom w:w="40" w:type="dxa"/>
              <w:right w:w="40" w:type="dxa"/>
            </w:tcMar>
            <w:vAlign w:val="bottom"/>
          </w:tcPr>
          <w:p w14:paraId="4ACE412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4137" w14:textId="77777777">
        <w:tc>
          <w:tcPr>
            <w:tcW w:w="0" w:type="auto"/>
            <w:shd w:val="clear" w:color="auto" w:fill="auto"/>
            <w:tcMar>
              <w:top w:w="40" w:type="dxa"/>
              <w:left w:w="40" w:type="dxa"/>
              <w:bottom w:w="40" w:type="dxa"/>
              <w:right w:w="40" w:type="dxa"/>
            </w:tcMar>
            <w:vAlign w:val="bottom"/>
          </w:tcPr>
          <w:p w14:paraId="4ACE4127"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Balance as of December 30, 2017</w:t>
            </w:r>
          </w:p>
        </w:tc>
        <w:tc>
          <w:tcPr>
            <w:tcW w:w="0" w:type="auto"/>
            <w:shd w:val="clear" w:color="auto" w:fill="auto"/>
            <w:tcMar>
              <w:top w:w="40" w:type="dxa"/>
              <w:left w:w="40" w:type="dxa"/>
              <w:bottom w:w="40" w:type="dxa"/>
              <w:right w:w="40" w:type="dxa"/>
            </w:tcMar>
            <w:vAlign w:val="bottom"/>
          </w:tcPr>
          <w:p w14:paraId="4ACE412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129"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4,687</w:t>
            </w:r>
          </w:p>
        </w:tc>
        <w:tc>
          <w:tcPr>
            <w:tcW w:w="0" w:type="auto"/>
            <w:shd w:val="clear" w:color="auto" w:fill="auto"/>
            <w:vAlign w:val="bottom"/>
          </w:tcPr>
          <w:p w14:paraId="4ACE412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12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tcBorders>
            <w:shd w:val="clear" w:color="auto" w:fill="auto"/>
            <w:tcMar>
              <w:top w:w="40" w:type="dxa"/>
              <w:left w:w="40" w:type="dxa"/>
              <w:bottom w:w="40" w:type="dxa"/>
            </w:tcMar>
            <w:vAlign w:val="bottom"/>
          </w:tcPr>
          <w:p w14:paraId="4ACE412C"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26,074</w:t>
            </w:r>
          </w:p>
        </w:tc>
        <w:tc>
          <w:tcPr>
            <w:tcW w:w="0" w:type="auto"/>
            <w:tcBorders>
              <w:top w:val="single" w:sz="8" w:space="0" w:color="333333"/>
            </w:tcBorders>
            <w:shd w:val="clear" w:color="auto" w:fill="auto"/>
            <w:vAlign w:val="bottom"/>
          </w:tcPr>
          <w:p w14:paraId="4ACE412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12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tcBorders>
            <w:shd w:val="clear" w:color="auto" w:fill="auto"/>
            <w:tcMar>
              <w:top w:w="40" w:type="dxa"/>
              <w:left w:w="40" w:type="dxa"/>
              <w:bottom w:w="40" w:type="dxa"/>
            </w:tcMar>
            <w:vAlign w:val="bottom"/>
          </w:tcPr>
          <w:p w14:paraId="4ACE412F"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862</w:t>
            </w:r>
          </w:p>
        </w:tc>
        <w:tc>
          <w:tcPr>
            <w:tcW w:w="0" w:type="auto"/>
            <w:tcBorders>
              <w:top w:val="single" w:sz="8" w:space="0" w:color="333333"/>
            </w:tcBorders>
            <w:shd w:val="clear" w:color="auto" w:fill="auto"/>
            <w:vAlign w:val="bottom"/>
          </w:tcPr>
          <w:p w14:paraId="4ACE413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13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tcBorders>
            <w:shd w:val="clear" w:color="auto" w:fill="auto"/>
            <w:tcMar>
              <w:top w:w="40" w:type="dxa"/>
              <w:left w:w="40" w:type="dxa"/>
              <w:bottom w:w="40" w:type="dxa"/>
            </w:tcMar>
            <w:vAlign w:val="bottom"/>
          </w:tcPr>
          <w:p w14:paraId="4ACE4132"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42,083</w:t>
            </w:r>
          </w:p>
        </w:tc>
        <w:tc>
          <w:tcPr>
            <w:tcW w:w="0" w:type="auto"/>
            <w:tcBorders>
              <w:top w:val="single" w:sz="8" w:space="0" w:color="333333"/>
            </w:tcBorders>
            <w:shd w:val="clear" w:color="auto" w:fill="auto"/>
            <w:vAlign w:val="bottom"/>
          </w:tcPr>
          <w:p w14:paraId="4ACE413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13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tcBorders>
            <w:shd w:val="clear" w:color="auto" w:fill="auto"/>
            <w:tcMar>
              <w:top w:w="40" w:type="dxa"/>
              <w:left w:w="40" w:type="dxa"/>
              <w:bottom w:w="40" w:type="dxa"/>
            </w:tcMar>
            <w:vAlign w:val="bottom"/>
          </w:tcPr>
          <w:p w14:paraId="4ACE4135"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69,019</w:t>
            </w:r>
          </w:p>
        </w:tc>
        <w:tc>
          <w:tcPr>
            <w:tcW w:w="0" w:type="auto"/>
            <w:tcBorders>
              <w:top w:val="single" w:sz="8" w:space="0" w:color="333333"/>
            </w:tcBorders>
            <w:shd w:val="clear" w:color="auto" w:fill="auto"/>
            <w:vAlign w:val="bottom"/>
          </w:tcPr>
          <w:p w14:paraId="4ACE4136" w14:textId="77777777" w:rsidR="006F587A" w:rsidRDefault="006F587A">
            <w:pPr>
              <w:textAlignment w:val="bottom"/>
              <w:rPr>
                <w:rFonts w:ascii="Times New Roman" w:hAnsi="Times New Roman"/>
                <w:sz w:val="20"/>
                <w:szCs w:val="20"/>
              </w:rPr>
            </w:pPr>
          </w:p>
        </w:tc>
      </w:tr>
      <w:tr w:rsidR="006F587A" w14:paraId="4ACE4148" w14:textId="77777777">
        <w:tc>
          <w:tcPr>
            <w:tcW w:w="0" w:type="auto"/>
            <w:shd w:val="clear" w:color="auto" w:fill="auto"/>
            <w:tcMar>
              <w:top w:w="40" w:type="dxa"/>
              <w:left w:w="40" w:type="dxa"/>
              <w:bottom w:w="40" w:type="dxa"/>
              <w:right w:w="40" w:type="dxa"/>
            </w:tcMar>
            <w:vAlign w:val="bottom"/>
          </w:tcPr>
          <w:p w14:paraId="4ACE4138"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 Adjustment to opening balance for change in accounting principle</w:t>
            </w:r>
          </w:p>
        </w:tc>
        <w:tc>
          <w:tcPr>
            <w:tcW w:w="0" w:type="auto"/>
            <w:shd w:val="clear" w:color="auto" w:fill="auto"/>
            <w:tcMar>
              <w:top w:w="40" w:type="dxa"/>
              <w:left w:w="40" w:type="dxa"/>
              <w:bottom w:w="40" w:type="dxa"/>
              <w:right w:w="40" w:type="dxa"/>
            </w:tcMar>
            <w:vAlign w:val="bottom"/>
          </w:tcPr>
          <w:p w14:paraId="4ACE413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tcMar>
            <w:vAlign w:val="bottom"/>
          </w:tcPr>
          <w:p w14:paraId="4ACE413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tcBorders>
              <w:bottom w:val="single" w:sz="8" w:space="0" w:color="333333"/>
            </w:tcBorders>
            <w:shd w:val="clear" w:color="auto" w:fill="auto"/>
            <w:vAlign w:val="bottom"/>
          </w:tcPr>
          <w:p w14:paraId="4ACE413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13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413D"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tcBorders>
              <w:bottom w:val="single" w:sz="8" w:space="0" w:color="333333"/>
            </w:tcBorders>
            <w:shd w:val="clear" w:color="auto" w:fill="auto"/>
            <w:vAlign w:val="bottom"/>
          </w:tcPr>
          <w:p w14:paraId="4ACE413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13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4140"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(1,790</w:t>
            </w:r>
          </w:p>
        </w:tc>
        <w:tc>
          <w:tcPr>
            <w:tcW w:w="0" w:type="auto"/>
            <w:tcBorders>
              <w:bottom w:val="single" w:sz="8" w:space="0" w:color="333333"/>
            </w:tcBorders>
            <w:shd w:val="clear" w:color="auto" w:fill="auto"/>
            <w:tcMar>
              <w:top w:w="40" w:type="dxa"/>
              <w:bottom w:w="40" w:type="dxa"/>
              <w:right w:w="40" w:type="dxa"/>
            </w:tcMar>
            <w:vAlign w:val="bottom"/>
          </w:tcPr>
          <w:p w14:paraId="4ACE414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414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4143"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2,424</w:t>
            </w:r>
          </w:p>
        </w:tc>
        <w:tc>
          <w:tcPr>
            <w:tcW w:w="0" w:type="auto"/>
            <w:tcBorders>
              <w:bottom w:val="single" w:sz="8" w:space="0" w:color="333333"/>
            </w:tcBorders>
            <w:shd w:val="clear" w:color="auto" w:fill="auto"/>
            <w:vAlign w:val="bottom"/>
          </w:tcPr>
          <w:p w14:paraId="4ACE414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14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414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634</w:t>
            </w:r>
          </w:p>
        </w:tc>
        <w:tc>
          <w:tcPr>
            <w:tcW w:w="0" w:type="auto"/>
            <w:tcBorders>
              <w:bottom w:val="single" w:sz="8" w:space="0" w:color="333333"/>
            </w:tcBorders>
            <w:shd w:val="clear" w:color="auto" w:fill="auto"/>
            <w:vAlign w:val="bottom"/>
          </w:tcPr>
          <w:p w14:paraId="4ACE4147" w14:textId="77777777" w:rsidR="006F587A" w:rsidRDefault="006F587A">
            <w:pPr>
              <w:textAlignment w:val="bottom"/>
              <w:rPr>
                <w:rFonts w:ascii="Times New Roman" w:hAnsi="Times New Roman"/>
                <w:sz w:val="20"/>
                <w:szCs w:val="20"/>
              </w:rPr>
            </w:pPr>
          </w:p>
        </w:tc>
      </w:tr>
      <w:tr w:rsidR="006F587A" w14:paraId="4ACE4159" w14:textId="77777777">
        <w:tc>
          <w:tcPr>
            <w:tcW w:w="0" w:type="auto"/>
            <w:shd w:val="clear" w:color="auto" w:fill="auto"/>
            <w:tcMar>
              <w:top w:w="40" w:type="dxa"/>
              <w:left w:w="40" w:type="dxa"/>
              <w:bottom w:w="40" w:type="dxa"/>
              <w:right w:w="40" w:type="dxa"/>
            </w:tcMar>
            <w:vAlign w:val="bottom"/>
          </w:tcPr>
          <w:p w14:paraId="4ACE4149"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Opening ba</w:t>
            </w:r>
            <w:r>
              <w:rPr>
                <w:rFonts w:ascii="Arial" w:eastAsia="宋体" w:hAnsi="Arial" w:cs="Arial"/>
                <w:b/>
                <w:bCs/>
                <w:color w:val="333333"/>
                <w:sz w:val="18"/>
                <w:szCs w:val="18"/>
              </w:rPr>
              <w:t>lance as of December 31, 2017</w:t>
            </w:r>
          </w:p>
        </w:tc>
        <w:tc>
          <w:tcPr>
            <w:tcW w:w="0" w:type="auto"/>
            <w:shd w:val="clear" w:color="auto" w:fill="auto"/>
            <w:tcMar>
              <w:top w:w="40" w:type="dxa"/>
              <w:left w:w="40" w:type="dxa"/>
              <w:bottom w:w="40" w:type="dxa"/>
              <w:right w:w="40" w:type="dxa"/>
            </w:tcMar>
            <w:vAlign w:val="bottom"/>
          </w:tcPr>
          <w:p w14:paraId="4ACE414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tcBorders>
            <w:shd w:val="clear" w:color="auto" w:fill="auto"/>
            <w:tcMar>
              <w:top w:w="40" w:type="dxa"/>
              <w:left w:w="40" w:type="dxa"/>
              <w:bottom w:w="40" w:type="dxa"/>
            </w:tcMar>
            <w:vAlign w:val="bottom"/>
          </w:tcPr>
          <w:p w14:paraId="4ACE414B"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4,687</w:t>
            </w:r>
          </w:p>
        </w:tc>
        <w:tc>
          <w:tcPr>
            <w:tcW w:w="0" w:type="auto"/>
            <w:tcBorders>
              <w:top w:val="single" w:sz="8" w:space="0" w:color="333333"/>
            </w:tcBorders>
            <w:shd w:val="clear" w:color="auto" w:fill="auto"/>
            <w:vAlign w:val="bottom"/>
          </w:tcPr>
          <w:p w14:paraId="4ACE414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14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tcBorders>
            <w:shd w:val="clear" w:color="auto" w:fill="auto"/>
            <w:tcMar>
              <w:top w:w="40" w:type="dxa"/>
              <w:left w:w="40" w:type="dxa"/>
              <w:bottom w:w="40" w:type="dxa"/>
            </w:tcMar>
            <w:vAlign w:val="bottom"/>
          </w:tcPr>
          <w:p w14:paraId="4ACE414E"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26,074</w:t>
            </w:r>
          </w:p>
        </w:tc>
        <w:tc>
          <w:tcPr>
            <w:tcW w:w="0" w:type="auto"/>
            <w:tcBorders>
              <w:top w:val="single" w:sz="8" w:space="0" w:color="333333"/>
            </w:tcBorders>
            <w:shd w:val="clear" w:color="auto" w:fill="auto"/>
            <w:vAlign w:val="bottom"/>
          </w:tcPr>
          <w:p w14:paraId="4ACE414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15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tcBorders>
            <w:shd w:val="clear" w:color="auto" w:fill="auto"/>
            <w:tcMar>
              <w:top w:w="40" w:type="dxa"/>
              <w:left w:w="40" w:type="dxa"/>
              <w:bottom w:w="40" w:type="dxa"/>
            </w:tcMar>
            <w:vAlign w:val="bottom"/>
          </w:tcPr>
          <w:p w14:paraId="4ACE4151"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(928</w:t>
            </w:r>
          </w:p>
        </w:tc>
        <w:tc>
          <w:tcPr>
            <w:tcW w:w="0" w:type="auto"/>
            <w:tcBorders>
              <w:top w:val="single" w:sz="8" w:space="0" w:color="333333"/>
            </w:tcBorders>
            <w:shd w:val="clear" w:color="auto" w:fill="auto"/>
            <w:tcMar>
              <w:top w:w="40" w:type="dxa"/>
              <w:bottom w:w="40" w:type="dxa"/>
              <w:right w:w="40" w:type="dxa"/>
            </w:tcMar>
            <w:vAlign w:val="bottom"/>
          </w:tcPr>
          <w:p w14:paraId="4ACE4152"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4ACE415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tcBorders>
            <w:shd w:val="clear" w:color="auto" w:fill="auto"/>
            <w:tcMar>
              <w:top w:w="40" w:type="dxa"/>
              <w:left w:w="40" w:type="dxa"/>
              <w:bottom w:w="40" w:type="dxa"/>
            </w:tcMar>
            <w:vAlign w:val="bottom"/>
          </w:tcPr>
          <w:p w14:paraId="4ACE4154"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44,507</w:t>
            </w:r>
          </w:p>
        </w:tc>
        <w:tc>
          <w:tcPr>
            <w:tcW w:w="0" w:type="auto"/>
            <w:tcBorders>
              <w:top w:val="single" w:sz="8" w:space="0" w:color="333333"/>
            </w:tcBorders>
            <w:shd w:val="clear" w:color="auto" w:fill="auto"/>
            <w:vAlign w:val="bottom"/>
          </w:tcPr>
          <w:p w14:paraId="4ACE415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15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tcBorders>
            <w:shd w:val="clear" w:color="auto" w:fill="auto"/>
            <w:tcMar>
              <w:top w:w="40" w:type="dxa"/>
              <w:left w:w="40" w:type="dxa"/>
              <w:bottom w:w="40" w:type="dxa"/>
            </w:tcMar>
            <w:vAlign w:val="bottom"/>
          </w:tcPr>
          <w:p w14:paraId="4ACE4157"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69,653</w:t>
            </w:r>
          </w:p>
        </w:tc>
        <w:tc>
          <w:tcPr>
            <w:tcW w:w="0" w:type="auto"/>
            <w:tcBorders>
              <w:top w:val="single" w:sz="8" w:space="0" w:color="333333"/>
            </w:tcBorders>
            <w:shd w:val="clear" w:color="auto" w:fill="auto"/>
            <w:vAlign w:val="bottom"/>
          </w:tcPr>
          <w:p w14:paraId="4ACE4158" w14:textId="77777777" w:rsidR="006F587A" w:rsidRDefault="006F587A">
            <w:pPr>
              <w:textAlignment w:val="bottom"/>
              <w:rPr>
                <w:rFonts w:ascii="Times New Roman" w:hAnsi="Times New Roman"/>
                <w:sz w:val="20"/>
                <w:szCs w:val="20"/>
              </w:rPr>
            </w:pPr>
          </w:p>
        </w:tc>
      </w:tr>
      <w:tr w:rsidR="006F587A" w14:paraId="4ACE4165" w14:textId="77777777">
        <w:tc>
          <w:tcPr>
            <w:tcW w:w="0" w:type="auto"/>
            <w:shd w:val="clear" w:color="auto" w:fill="auto"/>
            <w:tcMar>
              <w:top w:w="40" w:type="dxa"/>
              <w:left w:w="40" w:type="dxa"/>
              <w:bottom w:w="40" w:type="dxa"/>
              <w:right w:w="40" w:type="dxa"/>
            </w:tcMar>
            <w:vAlign w:val="bottom"/>
          </w:tcPr>
          <w:p w14:paraId="4ACE415A"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Components</w:t>
            </w:r>
            <w:r>
              <w:rPr>
                <w:rFonts w:ascii="Arial" w:eastAsia="宋体" w:hAnsi="Arial" w:cs="Arial"/>
                <w:color w:val="333333"/>
                <w:sz w:val="18"/>
                <w:szCs w:val="18"/>
              </w:rPr>
              <w:t xml:space="preserve"> of comprehensive income, net of tax:</w:t>
            </w:r>
          </w:p>
        </w:tc>
        <w:tc>
          <w:tcPr>
            <w:tcW w:w="0" w:type="auto"/>
            <w:shd w:val="clear" w:color="auto" w:fill="auto"/>
            <w:tcMar>
              <w:top w:w="40" w:type="dxa"/>
              <w:left w:w="40" w:type="dxa"/>
              <w:bottom w:w="40" w:type="dxa"/>
              <w:right w:w="40" w:type="dxa"/>
            </w:tcMar>
            <w:vAlign w:val="bottom"/>
          </w:tcPr>
          <w:p w14:paraId="4ACE415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ACE415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15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15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15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16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16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16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16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16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4176" w14:textId="77777777">
        <w:tc>
          <w:tcPr>
            <w:tcW w:w="0" w:type="auto"/>
            <w:shd w:val="clear" w:color="auto" w:fill="auto"/>
            <w:tcMar>
              <w:top w:w="40" w:type="dxa"/>
              <w:left w:w="240" w:type="dxa"/>
              <w:bottom w:w="40" w:type="dxa"/>
              <w:right w:w="40" w:type="dxa"/>
            </w:tcMar>
            <w:vAlign w:val="bottom"/>
          </w:tcPr>
          <w:p w14:paraId="4ACE416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Net income</w:t>
            </w:r>
          </w:p>
        </w:tc>
        <w:tc>
          <w:tcPr>
            <w:tcW w:w="0" w:type="auto"/>
            <w:shd w:val="clear" w:color="auto" w:fill="auto"/>
            <w:tcMar>
              <w:top w:w="40" w:type="dxa"/>
              <w:left w:w="40" w:type="dxa"/>
              <w:bottom w:w="40" w:type="dxa"/>
              <w:right w:w="40" w:type="dxa"/>
            </w:tcMar>
            <w:vAlign w:val="bottom"/>
          </w:tcPr>
          <w:p w14:paraId="4ACE416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16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416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16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16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 xml:space="preserve"> — </w:t>
            </w:r>
          </w:p>
        </w:tc>
        <w:tc>
          <w:tcPr>
            <w:tcW w:w="0" w:type="auto"/>
            <w:shd w:val="clear" w:color="auto" w:fill="auto"/>
            <w:vAlign w:val="bottom"/>
          </w:tcPr>
          <w:p w14:paraId="4ACE416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16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16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 xml:space="preserve"> — </w:t>
            </w:r>
          </w:p>
        </w:tc>
        <w:tc>
          <w:tcPr>
            <w:tcW w:w="0" w:type="auto"/>
            <w:shd w:val="clear" w:color="auto" w:fill="auto"/>
            <w:vAlign w:val="bottom"/>
          </w:tcPr>
          <w:p w14:paraId="4ACE416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17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171"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21,053</w:t>
            </w:r>
          </w:p>
        </w:tc>
        <w:tc>
          <w:tcPr>
            <w:tcW w:w="0" w:type="auto"/>
            <w:shd w:val="clear" w:color="auto" w:fill="auto"/>
            <w:vAlign w:val="bottom"/>
          </w:tcPr>
          <w:p w14:paraId="4ACE417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17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17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21,053</w:t>
            </w:r>
          </w:p>
        </w:tc>
        <w:tc>
          <w:tcPr>
            <w:tcW w:w="0" w:type="auto"/>
            <w:shd w:val="clear" w:color="auto" w:fill="auto"/>
            <w:vAlign w:val="bottom"/>
          </w:tcPr>
          <w:p w14:paraId="4ACE4175" w14:textId="77777777" w:rsidR="006F587A" w:rsidRDefault="006F587A">
            <w:pPr>
              <w:textAlignment w:val="bottom"/>
              <w:rPr>
                <w:rFonts w:ascii="Times New Roman" w:hAnsi="Times New Roman"/>
                <w:sz w:val="20"/>
                <w:szCs w:val="20"/>
              </w:rPr>
            </w:pPr>
          </w:p>
        </w:tc>
      </w:tr>
      <w:tr w:rsidR="006F587A" w14:paraId="4ACE4187" w14:textId="77777777">
        <w:tc>
          <w:tcPr>
            <w:tcW w:w="0" w:type="auto"/>
            <w:shd w:val="clear" w:color="auto" w:fill="auto"/>
            <w:tcMar>
              <w:top w:w="40" w:type="dxa"/>
              <w:left w:w="240" w:type="dxa"/>
              <w:bottom w:w="40" w:type="dxa"/>
              <w:right w:w="40" w:type="dxa"/>
            </w:tcMar>
            <w:vAlign w:val="bottom"/>
          </w:tcPr>
          <w:p w14:paraId="4ACE417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Other comprehensive income (loss)</w:t>
            </w:r>
          </w:p>
        </w:tc>
        <w:tc>
          <w:tcPr>
            <w:tcW w:w="0" w:type="auto"/>
            <w:shd w:val="clear" w:color="auto" w:fill="auto"/>
            <w:tcMar>
              <w:top w:w="40" w:type="dxa"/>
              <w:left w:w="40" w:type="dxa"/>
              <w:bottom w:w="40" w:type="dxa"/>
              <w:right w:w="40" w:type="dxa"/>
            </w:tcMar>
            <w:vAlign w:val="bottom"/>
          </w:tcPr>
          <w:p w14:paraId="4ACE417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17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417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17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17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 xml:space="preserve"> — </w:t>
            </w:r>
          </w:p>
        </w:tc>
        <w:tc>
          <w:tcPr>
            <w:tcW w:w="0" w:type="auto"/>
            <w:shd w:val="clear" w:color="auto" w:fill="auto"/>
            <w:vAlign w:val="bottom"/>
          </w:tcPr>
          <w:p w14:paraId="4ACE417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17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17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(46</w:t>
            </w:r>
          </w:p>
        </w:tc>
        <w:tc>
          <w:tcPr>
            <w:tcW w:w="0" w:type="auto"/>
            <w:shd w:val="clear" w:color="auto" w:fill="auto"/>
            <w:tcMar>
              <w:top w:w="40" w:type="dxa"/>
              <w:bottom w:w="40" w:type="dxa"/>
              <w:right w:w="40" w:type="dxa"/>
            </w:tcMar>
            <w:vAlign w:val="bottom"/>
          </w:tcPr>
          <w:p w14:paraId="4ACE418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418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18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 xml:space="preserve"> — </w:t>
            </w:r>
          </w:p>
        </w:tc>
        <w:tc>
          <w:tcPr>
            <w:tcW w:w="0" w:type="auto"/>
            <w:shd w:val="clear" w:color="auto" w:fill="auto"/>
            <w:vAlign w:val="bottom"/>
          </w:tcPr>
          <w:p w14:paraId="4ACE418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18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4185"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(46</w:t>
            </w:r>
          </w:p>
        </w:tc>
        <w:tc>
          <w:tcPr>
            <w:tcW w:w="0" w:type="auto"/>
            <w:tcBorders>
              <w:bottom w:val="single" w:sz="8" w:space="0" w:color="333333"/>
            </w:tcBorders>
            <w:shd w:val="clear" w:color="auto" w:fill="auto"/>
            <w:tcMar>
              <w:top w:w="40" w:type="dxa"/>
              <w:bottom w:w="40" w:type="dxa"/>
              <w:right w:w="40" w:type="dxa"/>
            </w:tcMar>
            <w:vAlign w:val="bottom"/>
          </w:tcPr>
          <w:p w14:paraId="4ACE418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4194" w14:textId="77777777">
        <w:tc>
          <w:tcPr>
            <w:tcW w:w="0" w:type="auto"/>
            <w:shd w:val="clear" w:color="auto" w:fill="auto"/>
            <w:tcMar>
              <w:top w:w="40" w:type="dxa"/>
              <w:left w:w="560" w:type="dxa"/>
              <w:bottom w:w="40" w:type="dxa"/>
              <w:right w:w="40" w:type="dxa"/>
            </w:tcMar>
            <w:vAlign w:val="bottom"/>
          </w:tcPr>
          <w:p w14:paraId="4ACE418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Total comprehensive income</w:t>
            </w:r>
          </w:p>
        </w:tc>
        <w:tc>
          <w:tcPr>
            <w:tcW w:w="0" w:type="auto"/>
            <w:shd w:val="clear" w:color="auto" w:fill="auto"/>
            <w:tcMar>
              <w:top w:w="40" w:type="dxa"/>
              <w:left w:w="40" w:type="dxa"/>
              <w:bottom w:w="40" w:type="dxa"/>
              <w:right w:w="40" w:type="dxa"/>
            </w:tcMar>
            <w:vAlign w:val="bottom"/>
          </w:tcPr>
          <w:p w14:paraId="4ACE418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ACE418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18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18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18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18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18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19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19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tcBorders>
            <w:shd w:val="clear" w:color="auto" w:fill="auto"/>
            <w:tcMar>
              <w:top w:w="40" w:type="dxa"/>
              <w:left w:w="40" w:type="dxa"/>
              <w:bottom w:w="40" w:type="dxa"/>
            </w:tcMar>
            <w:vAlign w:val="bottom"/>
          </w:tcPr>
          <w:p w14:paraId="4ACE419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21,007</w:t>
            </w:r>
          </w:p>
        </w:tc>
        <w:tc>
          <w:tcPr>
            <w:tcW w:w="0" w:type="auto"/>
            <w:tcBorders>
              <w:top w:val="single" w:sz="8" w:space="0" w:color="333333"/>
            </w:tcBorders>
            <w:shd w:val="clear" w:color="auto" w:fill="auto"/>
            <w:vAlign w:val="bottom"/>
          </w:tcPr>
          <w:p w14:paraId="4ACE4193" w14:textId="77777777" w:rsidR="006F587A" w:rsidRDefault="006F587A">
            <w:pPr>
              <w:textAlignment w:val="bottom"/>
              <w:rPr>
                <w:rFonts w:ascii="Times New Roman" w:hAnsi="Times New Roman"/>
                <w:sz w:val="20"/>
                <w:szCs w:val="20"/>
              </w:rPr>
            </w:pPr>
          </w:p>
        </w:tc>
      </w:tr>
      <w:tr w:rsidR="006F587A" w14:paraId="4ACE41A5" w14:textId="77777777">
        <w:tc>
          <w:tcPr>
            <w:tcW w:w="0" w:type="auto"/>
            <w:shd w:val="clear" w:color="auto" w:fill="auto"/>
            <w:tcMar>
              <w:top w:w="40" w:type="dxa"/>
              <w:left w:w="40" w:type="dxa"/>
              <w:bottom w:w="40" w:type="dxa"/>
              <w:right w:w="40" w:type="dxa"/>
            </w:tcMar>
            <w:vAlign w:val="bottom"/>
          </w:tcPr>
          <w:p w14:paraId="4ACE4195"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 xml:space="preserve">Employee equity </w:t>
            </w:r>
            <w:r>
              <w:rPr>
                <w:rFonts w:ascii="Arial" w:eastAsia="宋体" w:hAnsi="Arial" w:cs="Arial"/>
                <w:color w:val="333333"/>
                <w:sz w:val="18"/>
                <w:szCs w:val="18"/>
              </w:rPr>
              <w:t>incentive plans and other ¹</w:t>
            </w:r>
          </w:p>
        </w:tc>
        <w:tc>
          <w:tcPr>
            <w:tcW w:w="0" w:type="auto"/>
            <w:shd w:val="clear" w:color="auto" w:fill="auto"/>
            <w:tcMar>
              <w:top w:w="40" w:type="dxa"/>
              <w:left w:w="40" w:type="dxa"/>
              <w:bottom w:w="40" w:type="dxa"/>
              <w:right w:w="40" w:type="dxa"/>
            </w:tcMar>
            <w:vAlign w:val="bottom"/>
          </w:tcPr>
          <w:p w14:paraId="4ACE419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19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56</w:t>
            </w:r>
          </w:p>
        </w:tc>
        <w:tc>
          <w:tcPr>
            <w:tcW w:w="0" w:type="auto"/>
            <w:shd w:val="clear" w:color="auto" w:fill="auto"/>
            <w:vAlign w:val="bottom"/>
          </w:tcPr>
          <w:p w14:paraId="4ACE419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19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19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424</w:t>
            </w:r>
          </w:p>
        </w:tc>
        <w:tc>
          <w:tcPr>
            <w:tcW w:w="0" w:type="auto"/>
            <w:shd w:val="clear" w:color="auto" w:fill="auto"/>
            <w:vAlign w:val="bottom"/>
          </w:tcPr>
          <w:p w14:paraId="4ACE419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19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19D"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 xml:space="preserve"> — </w:t>
            </w:r>
          </w:p>
        </w:tc>
        <w:tc>
          <w:tcPr>
            <w:tcW w:w="0" w:type="auto"/>
            <w:shd w:val="clear" w:color="auto" w:fill="auto"/>
            <w:vAlign w:val="bottom"/>
          </w:tcPr>
          <w:p w14:paraId="4ACE419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19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1A0"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41A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1A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tcBorders>
            <w:shd w:val="clear" w:color="auto" w:fill="auto"/>
            <w:tcMar>
              <w:top w:w="40" w:type="dxa"/>
              <w:left w:w="40" w:type="dxa"/>
              <w:bottom w:w="40" w:type="dxa"/>
            </w:tcMar>
            <w:vAlign w:val="bottom"/>
          </w:tcPr>
          <w:p w14:paraId="4ACE41A3"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424</w:t>
            </w:r>
          </w:p>
        </w:tc>
        <w:tc>
          <w:tcPr>
            <w:tcW w:w="0" w:type="auto"/>
            <w:tcBorders>
              <w:top w:val="single" w:sz="8" w:space="0" w:color="333333"/>
            </w:tcBorders>
            <w:shd w:val="clear" w:color="auto" w:fill="auto"/>
            <w:vAlign w:val="bottom"/>
          </w:tcPr>
          <w:p w14:paraId="4ACE41A4" w14:textId="77777777" w:rsidR="006F587A" w:rsidRDefault="006F587A">
            <w:pPr>
              <w:textAlignment w:val="bottom"/>
              <w:rPr>
                <w:rFonts w:ascii="Times New Roman" w:hAnsi="Times New Roman"/>
                <w:sz w:val="20"/>
                <w:szCs w:val="20"/>
              </w:rPr>
            </w:pPr>
          </w:p>
        </w:tc>
      </w:tr>
      <w:tr w:rsidR="006F587A" w14:paraId="4ACE41B6" w14:textId="77777777">
        <w:tc>
          <w:tcPr>
            <w:tcW w:w="0" w:type="auto"/>
            <w:shd w:val="clear" w:color="auto" w:fill="auto"/>
            <w:tcMar>
              <w:top w:w="40" w:type="dxa"/>
              <w:left w:w="40" w:type="dxa"/>
              <w:bottom w:w="40" w:type="dxa"/>
              <w:right w:w="40" w:type="dxa"/>
            </w:tcMar>
            <w:vAlign w:val="bottom"/>
          </w:tcPr>
          <w:p w14:paraId="4ACE41A6"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Share-based compensation</w:t>
            </w:r>
          </w:p>
        </w:tc>
        <w:tc>
          <w:tcPr>
            <w:tcW w:w="0" w:type="auto"/>
            <w:shd w:val="clear" w:color="auto" w:fill="auto"/>
            <w:tcMar>
              <w:top w:w="40" w:type="dxa"/>
              <w:left w:w="40" w:type="dxa"/>
              <w:bottom w:w="40" w:type="dxa"/>
              <w:right w:w="40" w:type="dxa"/>
            </w:tcMar>
            <w:vAlign w:val="bottom"/>
          </w:tcPr>
          <w:p w14:paraId="4ACE41A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1A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41A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1A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1A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1,548</w:t>
            </w:r>
          </w:p>
        </w:tc>
        <w:tc>
          <w:tcPr>
            <w:tcW w:w="0" w:type="auto"/>
            <w:shd w:val="clear" w:color="auto" w:fill="auto"/>
            <w:vAlign w:val="bottom"/>
          </w:tcPr>
          <w:p w14:paraId="4ACE41A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1A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1A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 xml:space="preserve"> — </w:t>
            </w:r>
          </w:p>
        </w:tc>
        <w:tc>
          <w:tcPr>
            <w:tcW w:w="0" w:type="auto"/>
            <w:shd w:val="clear" w:color="auto" w:fill="auto"/>
            <w:vAlign w:val="bottom"/>
          </w:tcPr>
          <w:p w14:paraId="4ACE41A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1B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1B1"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41B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1B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1B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1,548</w:t>
            </w:r>
          </w:p>
        </w:tc>
        <w:tc>
          <w:tcPr>
            <w:tcW w:w="0" w:type="auto"/>
            <w:shd w:val="clear" w:color="auto" w:fill="auto"/>
            <w:vAlign w:val="bottom"/>
          </w:tcPr>
          <w:p w14:paraId="4ACE41B5" w14:textId="77777777" w:rsidR="006F587A" w:rsidRDefault="006F587A">
            <w:pPr>
              <w:textAlignment w:val="bottom"/>
              <w:rPr>
                <w:rFonts w:ascii="Times New Roman" w:hAnsi="Times New Roman"/>
                <w:sz w:val="20"/>
                <w:szCs w:val="20"/>
              </w:rPr>
            </w:pPr>
          </w:p>
        </w:tc>
      </w:tr>
      <w:tr w:rsidR="006F587A" w14:paraId="4ACE41C6" w14:textId="77777777">
        <w:tc>
          <w:tcPr>
            <w:tcW w:w="0" w:type="auto"/>
            <w:shd w:val="clear" w:color="auto" w:fill="auto"/>
            <w:tcMar>
              <w:top w:w="40" w:type="dxa"/>
              <w:left w:w="40" w:type="dxa"/>
              <w:bottom w:w="40" w:type="dxa"/>
              <w:right w:w="40" w:type="dxa"/>
            </w:tcMar>
            <w:vAlign w:val="bottom"/>
          </w:tcPr>
          <w:p w14:paraId="4ACE41B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Temporary equity reduction</w:t>
            </w:r>
          </w:p>
        </w:tc>
        <w:tc>
          <w:tcPr>
            <w:tcW w:w="0" w:type="auto"/>
            <w:shd w:val="clear" w:color="auto" w:fill="auto"/>
            <w:tcMar>
              <w:top w:w="40" w:type="dxa"/>
              <w:left w:w="40" w:type="dxa"/>
              <w:bottom w:w="40" w:type="dxa"/>
              <w:right w:w="40" w:type="dxa"/>
            </w:tcMar>
            <w:vAlign w:val="bottom"/>
          </w:tcPr>
          <w:p w14:paraId="4ACE41B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1B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41B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1B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1B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447</w:t>
            </w:r>
          </w:p>
        </w:tc>
        <w:tc>
          <w:tcPr>
            <w:tcW w:w="0" w:type="auto"/>
            <w:shd w:val="clear" w:color="auto" w:fill="auto"/>
            <w:vAlign w:val="bottom"/>
          </w:tcPr>
          <w:p w14:paraId="4ACE41B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1B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1B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1C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1C1"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41C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1C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1C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447</w:t>
            </w:r>
          </w:p>
        </w:tc>
        <w:tc>
          <w:tcPr>
            <w:tcW w:w="0" w:type="auto"/>
            <w:shd w:val="clear" w:color="auto" w:fill="auto"/>
            <w:vAlign w:val="bottom"/>
          </w:tcPr>
          <w:p w14:paraId="4ACE41C5" w14:textId="77777777" w:rsidR="006F587A" w:rsidRDefault="006F587A">
            <w:pPr>
              <w:textAlignment w:val="bottom"/>
              <w:rPr>
                <w:rFonts w:ascii="Times New Roman" w:hAnsi="Times New Roman"/>
                <w:sz w:val="20"/>
                <w:szCs w:val="20"/>
              </w:rPr>
            </w:pPr>
          </w:p>
        </w:tc>
      </w:tr>
      <w:tr w:rsidR="006F587A" w14:paraId="4ACE41D7" w14:textId="77777777">
        <w:tc>
          <w:tcPr>
            <w:tcW w:w="0" w:type="auto"/>
            <w:shd w:val="clear" w:color="auto" w:fill="auto"/>
            <w:tcMar>
              <w:top w:w="40" w:type="dxa"/>
              <w:left w:w="40" w:type="dxa"/>
              <w:bottom w:w="40" w:type="dxa"/>
              <w:right w:w="40" w:type="dxa"/>
            </w:tcMar>
            <w:vAlign w:val="bottom"/>
          </w:tcPr>
          <w:p w14:paraId="4ACE41C7"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Convertible debt</w:t>
            </w:r>
          </w:p>
        </w:tc>
        <w:tc>
          <w:tcPr>
            <w:tcW w:w="0" w:type="auto"/>
            <w:shd w:val="clear" w:color="auto" w:fill="auto"/>
            <w:tcMar>
              <w:top w:w="40" w:type="dxa"/>
              <w:left w:w="40" w:type="dxa"/>
              <w:bottom w:w="40" w:type="dxa"/>
              <w:right w:w="40" w:type="dxa"/>
            </w:tcMar>
            <w:vAlign w:val="bottom"/>
          </w:tcPr>
          <w:p w14:paraId="4ACE41C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1C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41C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1C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1C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(1,591</w:t>
            </w:r>
          </w:p>
        </w:tc>
        <w:tc>
          <w:tcPr>
            <w:tcW w:w="0" w:type="auto"/>
            <w:shd w:val="clear" w:color="auto" w:fill="auto"/>
            <w:tcMar>
              <w:top w:w="40" w:type="dxa"/>
              <w:bottom w:w="40" w:type="dxa"/>
              <w:right w:w="40" w:type="dxa"/>
            </w:tcMar>
            <w:vAlign w:val="bottom"/>
          </w:tcPr>
          <w:p w14:paraId="4ACE41C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41C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1C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 xml:space="preserve"> — </w:t>
            </w:r>
          </w:p>
        </w:tc>
        <w:tc>
          <w:tcPr>
            <w:tcW w:w="0" w:type="auto"/>
            <w:shd w:val="clear" w:color="auto" w:fill="auto"/>
            <w:vAlign w:val="bottom"/>
          </w:tcPr>
          <w:p w14:paraId="4ACE41D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1D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1D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41D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1D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1D5"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(1,591</w:t>
            </w:r>
          </w:p>
        </w:tc>
        <w:tc>
          <w:tcPr>
            <w:tcW w:w="0" w:type="auto"/>
            <w:shd w:val="clear" w:color="auto" w:fill="auto"/>
            <w:tcMar>
              <w:top w:w="40" w:type="dxa"/>
              <w:bottom w:w="40" w:type="dxa"/>
              <w:right w:w="40" w:type="dxa"/>
            </w:tcMar>
            <w:vAlign w:val="bottom"/>
          </w:tcPr>
          <w:p w14:paraId="4ACE41D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41E8" w14:textId="77777777">
        <w:tc>
          <w:tcPr>
            <w:tcW w:w="0" w:type="auto"/>
            <w:shd w:val="clear" w:color="auto" w:fill="auto"/>
            <w:tcMar>
              <w:top w:w="40" w:type="dxa"/>
              <w:left w:w="40" w:type="dxa"/>
              <w:bottom w:w="40" w:type="dxa"/>
              <w:right w:w="40" w:type="dxa"/>
            </w:tcMar>
            <w:vAlign w:val="bottom"/>
          </w:tcPr>
          <w:p w14:paraId="4ACE41D8"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 xml:space="preserve">Repurchase of </w:t>
            </w:r>
            <w:r>
              <w:rPr>
                <w:rFonts w:ascii="Arial" w:eastAsia="宋体" w:hAnsi="Arial" w:cs="Arial"/>
                <w:color w:val="333333"/>
                <w:sz w:val="18"/>
                <w:szCs w:val="18"/>
              </w:rPr>
              <w:t>common stock</w:t>
            </w:r>
          </w:p>
        </w:tc>
        <w:tc>
          <w:tcPr>
            <w:tcW w:w="0" w:type="auto"/>
            <w:shd w:val="clear" w:color="auto" w:fill="auto"/>
            <w:tcMar>
              <w:top w:w="40" w:type="dxa"/>
              <w:left w:w="40" w:type="dxa"/>
              <w:bottom w:w="40" w:type="dxa"/>
              <w:right w:w="40" w:type="dxa"/>
            </w:tcMar>
            <w:vAlign w:val="bottom"/>
          </w:tcPr>
          <w:p w14:paraId="4ACE41D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1D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(217</w:t>
            </w:r>
          </w:p>
        </w:tc>
        <w:tc>
          <w:tcPr>
            <w:tcW w:w="0" w:type="auto"/>
            <w:shd w:val="clear" w:color="auto" w:fill="auto"/>
            <w:tcMar>
              <w:top w:w="40" w:type="dxa"/>
              <w:bottom w:w="40" w:type="dxa"/>
              <w:right w:w="40" w:type="dxa"/>
            </w:tcMar>
            <w:vAlign w:val="bottom"/>
          </w:tcPr>
          <w:p w14:paraId="4ACE41D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41D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1DD"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(1,208</w:t>
            </w:r>
          </w:p>
        </w:tc>
        <w:tc>
          <w:tcPr>
            <w:tcW w:w="0" w:type="auto"/>
            <w:shd w:val="clear" w:color="auto" w:fill="auto"/>
            <w:tcMar>
              <w:top w:w="40" w:type="dxa"/>
              <w:bottom w:w="40" w:type="dxa"/>
              <w:right w:w="40" w:type="dxa"/>
            </w:tcMar>
            <w:vAlign w:val="bottom"/>
          </w:tcPr>
          <w:p w14:paraId="4ACE41DE"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41D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1E0"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 xml:space="preserve"> — </w:t>
            </w:r>
          </w:p>
        </w:tc>
        <w:tc>
          <w:tcPr>
            <w:tcW w:w="0" w:type="auto"/>
            <w:shd w:val="clear" w:color="auto" w:fill="auto"/>
            <w:vAlign w:val="bottom"/>
          </w:tcPr>
          <w:p w14:paraId="4ACE41E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1E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1E3"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(9,650</w:t>
            </w:r>
          </w:p>
        </w:tc>
        <w:tc>
          <w:tcPr>
            <w:tcW w:w="0" w:type="auto"/>
            <w:shd w:val="clear" w:color="auto" w:fill="auto"/>
            <w:tcMar>
              <w:top w:w="40" w:type="dxa"/>
              <w:bottom w:w="40" w:type="dxa"/>
              <w:right w:w="40" w:type="dxa"/>
            </w:tcMar>
            <w:vAlign w:val="bottom"/>
          </w:tcPr>
          <w:p w14:paraId="4ACE41E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41E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1E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(10,858</w:t>
            </w:r>
          </w:p>
        </w:tc>
        <w:tc>
          <w:tcPr>
            <w:tcW w:w="0" w:type="auto"/>
            <w:shd w:val="clear" w:color="auto" w:fill="auto"/>
            <w:tcMar>
              <w:top w:w="40" w:type="dxa"/>
              <w:bottom w:w="40" w:type="dxa"/>
              <w:right w:w="40" w:type="dxa"/>
            </w:tcMar>
            <w:vAlign w:val="bottom"/>
          </w:tcPr>
          <w:p w14:paraId="4ACE41E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41F9" w14:textId="77777777">
        <w:tc>
          <w:tcPr>
            <w:tcW w:w="0" w:type="auto"/>
            <w:shd w:val="clear" w:color="auto" w:fill="auto"/>
            <w:tcMar>
              <w:top w:w="40" w:type="dxa"/>
              <w:left w:w="40" w:type="dxa"/>
              <w:bottom w:w="40" w:type="dxa"/>
              <w:right w:w="40" w:type="dxa"/>
            </w:tcMar>
            <w:vAlign w:val="bottom"/>
          </w:tcPr>
          <w:p w14:paraId="4ACE41E9"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Restricted stock unit withholdings</w:t>
            </w:r>
          </w:p>
        </w:tc>
        <w:tc>
          <w:tcPr>
            <w:tcW w:w="0" w:type="auto"/>
            <w:shd w:val="clear" w:color="auto" w:fill="auto"/>
            <w:tcMar>
              <w:top w:w="40" w:type="dxa"/>
              <w:left w:w="40" w:type="dxa"/>
              <w:bottom w:w="40" w:type="dxa"/>
              <w:right w:w="40" w:type="dxa"/>
            </w:tcMar>
            <w:vAlign w:val="bottom"/>
          </w:tcPr>
          <w:p w14:paraId="4ACE41E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1E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w:t>
            </w:r>
          </w:p>
        </w:tc>
        <w:tc>
          <w:tcPr>
            <w:tcW w:w="0" w:type="auto"/>
            <w:shd w:val="clear" w:color="auto" w:fill="auto"/>
            <w:tcMar>
              <w:top w:w="40" w:type="dxa"/>
              <w:bottom w:w="40" w:type="dxa"/>
              <w:right w:w="40" w:type="dxa"/>
            </w:tcMar>
            <w:vAlign w:val="bottom"/>
          </w:tcPr>
          <w:p w14:paraId="4ACE41E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41E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1E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(329</w:t>
            </w:r>
          </w:p>
        </w:tc>
        <w:tc>
          <w:tcPr>
            <w:tcW w:w="0" w:type="auto"/>
            <w:shd w:val="clear" w:color="auto" w:fill="auto"/>
            <w:tcMar>
              <w:top w:w="40" w:type="dxa"/>
              <w:bottom w:w="40" w:type="dxa"/>
              <w:right w:w="40" w:type="dxa"/>
            </w:tcMar>
            <w:vAlign w:val="bottom"/>
          </w:tcPr>
          <w:p w14:paraId="4ACE41E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41F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1F1"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 xml:space="preserve"> — </w:t>
            </w:r>
          </w:p>
        </w:tc>
        <w:tc>
          <w:tcPr>
            <w:tcW w:w="0" w:type="auto"/>
            <w:shd w:val="clear" w:color="auto" w:fill="auto"/>
            <w:vAlign w:val="bottom"/>
          </w:tcPr>
          <w:p w14:paraId="4ACE41F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1F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1F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(197</w:t>
            </w:r>
          </w:p>
        </w:tc>
        <w:tc>
          <w:tcPr>
            <w:tcW w:w="0" w:type="auto"/>
            <w:shd w:val="clear" w:color="auto" w:fill="auto"/>
            <w:tcMar>
              <w:top w:w="40" w:type="dxa"/>
              <w:bottom w:w="40" w:type="dxa"/>
              <w:right w:w="40" w:type="dxa"/>
            </w:tcMar>
            <w:vAlign w:val="bottom"/>
          </w:tcPr>
          <w:p w14:paraId="4ACE41F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41F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1F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(526</w:t>
            </w:r>
          </w:p>
        </w:tc>
        <w:tc>
          <w:tcPr>
            <w:tcW w:w="0" w:type="auto"/>
            <w:shd w:val="clear" w:color="auto" w:fill="auto"/>
            <w:tcMar>
              <w:top w:w="40" w:type="dxa"/>
              <w:bottom w:w="40" w:type="dxa"/>
              <w:right w:w="40" w:type="dxa"/>
            </w:tcMar>
            <w:vAlign w:val="bottom"/>
          </w:tcPr>
          <w:p w14:paraId="4ACE41F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420A" w14:textId="77777777">
        <w:tc>
          <w:tcPr>
            <w:tcW w:w="0" w:type="auto"/>
            <w:shd w:val="clear" w:color="auto" w:fill="auto"/>
            <w:tcMar>
              <w:top w:w="40" w:type="dxa"/>
              <w:left w:w="40" w:type="dxa"/>
              <w:bottom w:w="40" w:type="dxa"/>
              <w:right w:w="40" w:type="dxa"/>
            </w:tcMar>
            <w:vAlign w:val="bottom"/>
          </w:tcPr>
          <w:p w14:paraId="4ACE41FA"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Cash dividends declared ($1.20 per share of common stock)</w:t>
            </w:r>
          </w:p>
        </w:tc>
        <w:tc>
          <w:tcPr>
            <w:tcW w:w="0" w:type="auto"/>
            <w:shd w:val="clear" w:color="auto" w:fill="auto"/>
            <w:tcMar>
              <w:top w:w="40" w:type="dxa"/>
              <w:left w:w="40" w:type="dxa"/>
              <w:bottom w:w="40" w:type="dxa"/>
              <w:right w:w="40" w:type="dxa"/>
            </w:tcMar>
            <w:vAlign w:val="bottom"/>
          </w:tcPr>
          <w:p w14:paraId="4ACE41F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1F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41F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1F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41F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 xml:space="preserve"> — </w:t>
            </w:r>
          </w:p>
        </w:tc>
        <w:tc>
          <w:tcPr>
            <w:tcW w:w="0" w:type="auto"/>
            <w:tcBorders>
              <w:bottom w:val="single" w:sz="8" w:space="0" w:color="333333"/>
            </w:tcBorders>
            <w:shd w:val="clear" w:color="auto" w:fill="auto"/>
            <w:vAlign w:val="bottom"/>
          </w:tcPr>
          <w:p w14:paraId="4ACE420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20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20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 xml:space="preserve"> — </w:t>
            </w:r>
          </w:p>
        </w:tc>
        <w:tc>
          <w:tcPr>
            <w:tcW w:w="0" w:type="auto"/>
            <w:shd w:val="clear" w:color="auto" w:fill="auto"/>
            <w:vAlign w:val="bottom"/>
          </w:tcPr>
          <w:p w14:paraId="4ACE420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20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205"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(5,541</w:t>
            </w:r>
          </w:p>
        </w:tc>
        <w:tc>
          <w:tcPr>
            <w:tcW w:w="0" w:type="auto"/>
            <w:shd w:val="clear" w:color="auto" w:fill="auto"/>
            <w:tcMar>
              <w:top w:w="40" w:type="dxa"/>
              <w:bottom w:w="40" w:type="dxa"/>
              <w:right w:w="40" w:type="dxa"/>
            </w:tcMar>
            <w:vAlign w:val="bottom"/>
          </w:tcPr>
          <w:p w14:paraId="4ACE420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420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20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(5,541</w:t>
            </w:r>
          </w:p>
        </w:tc>
        <w:tc>
          <w:tcPr>
            <w:tcW w:w="0" w:type="auto"/>
            <w:shd w:val="clear" w:color="auto" w:fill="auto"/>
            <w:tcMar>
              <w:top w:w="40" w:type="dxa"/>
              <w:bottom w:w="40" w:type="dxa"/>
              <w:right w:w="40" w:type="dxa"/>
            </w:tcMar>
            <w:vAlign w:val="bottom"/>
          </w:tcPr>
          <w:p w14:paraId="4ACE420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421B" w14:textId="77777777">
        <w:tc>
          <w:tcPr>
            <w:tcW w:w="0" w:type="auto"/>
            <w:shd w:val="clear" w:color="auto" w:fill="auto"/>
            <w:tcMar>
              <w:top w:w="40" w:type="dxa"/>
              <w:left w:w="40" w:type="dxa"/>
              <w:bottom w:w="40" w:type="dxa"/>
              <w:right w:w="40" w:type="dxa"/>
            </w:tcMar>
            <w:vAlign w:val="bottom"/>
          </w:tcPr>
          <w:p w14:paraId="4ACE420B"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 xml:space="preserve">Balance as </w:t>
            </w:r>
            <w:r>
              <w:rPr>
                <w:rFonts w:ascii="Arial" w:eastAsia="宋体" w:hAnsi="Arial" w:cs="Arial"/>
                <w:b/>
                <w:bCs/>
                <w:color w:val="333333"/>
                <w:sz w:val="18"/>
                <w:szCs w:val="18"/>
              </w:rPr>
              <w:t>of December 29, 2018</w:t>
            </w:r>
          </w:p>
        </w:tc>
        <w:tc>
          <w:tcPr>
            <w:tcW w:w="0" w:type="auto"/>
            <w:shd w:val="clear" w:color="auto" w:fill="auto"/>
            <w:tcMar>
              <w:top w:w="40" w:type="dxa"/>
              <w:left w:w="40" w:type="dxa"/>
              <w:bottom w:w="40" w:type="dxa"/>
              <w:right w:w="40" w:type="dxa"/>
            </w:tcMar>
            <w:vAlign w:val="bottom"/>
          </w:tcPr>
          <w:p w14:paraId="4ACE420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tcBorders>
            <w:shd w:val="clear" w:color="auto" w:fill="auto"/>
            <w:tcMar>
              <w:top w:w="40" w:type="dxa"/>
              <w:left w:w="40" w:type="dxa"/>
              <w:bottom w:w="40" w:type="dxa"/>
            </w:tcMar>
            <w:vAlign w:val="bottom"/>
          </w:tcPr>
          <w:p w14:paraId="4ACE420D"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4,516</w:t>
            </w:r>
          </w:p>
        </w:tc>
        <w:tc>
          <w:tcPr>
            <w:tcW w:w="0" w:type="auto"/>
            <w:tcBorders>
              <w:top w:val="single" w:sz="8" w:space="0" w:color="333333"/>
            </w:tcBorders>
            <w:shd w:val="clear" w:color="auto" w:fill="auto"/>
            <w:vAlign w:val="bottom"/>
          </w:tcPr>
          <w:p w14:paraId="4ACE420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20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210"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25,365</w:t>
            </w:r>
          </w:p>
        </w:tc>
        <w:tc>
          <w:tcPr>
            <w:tcW w:w="0" w:type="auto"/>
            <w:shd w:val="clear" w:color="auto" w:fill="auto"/>
            <w:vAlign w:val="bottom"/>
          </w:tcPr>
          <w:p w14:paraId="4ACE421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21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tcBorders>
            <w:shd w:val="clear" w:color="auto" w:fill="auto"/>
            <w:tcMar>
              <w:top w:w="40" w:type="dxa"/>
              <w:left w:w="40" w:type="dxa"/>
              <w:bottom w:w="40" w:type="dxa"/>
            </w:tcMar>
            <w:vAlign w:val="bottom"/>
          </w:tcPr>
          <w:p w14:paraId="4ACE4213"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(974</w:t>
            </w:r>
          </w:p>
        </w:tc>
        <w:tc>
          <w:tcPr>
            <w:tcW w:w="0" w:type="auto"/>
            <w:tcBorders>
              <w:top w:val="single" w:sz="8" w:space="0" w:color="333333"/>
            </w:tcBorders>
            <w:shd w:val="clear" w:color="auto" w:fill="auto"/>
            <w:tcMar>
              <w:top w:w="40" w:type="dxa"/>
              <w:bottom w:w="40" w:type="dxa"/>
              <w:right w:w="40" w:type="dxa"/>
            </w:tcMar>
            <w:vAlign w:val="bottom"/>
          </w:tcPr>
          <w:p w14:paraId="4ACE4214"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4ACE421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tcBorders>
            <w:shd w:val="clear" w:color="auto" w:fill="auto"/>
            <w:tcMar>
              <w:top w:w="40" w:type="dxa"/>
              <w:left w:w="40" w:type="dxa"/>
              <w:bottom w:w="40" w:type="dxa"/>
            </w:tcMar>
            <w:vAlign w:val="bottom"/>
          </w:tcPr>
          <w:p w14:paraId="4ACE4216"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50,172</w:t>
            </w:r>
          </w:p>
        </w:tc>
        <w:tc>
          <w:tcPr>
            <w:tcW w:w="0" w:type="auto"/>
            <w:tcBorders>
              <w:top w:val="single" w:sz="8" w:space="0" w:color="333333"/>
            </w:tcBorders>
            <w:shd w:val="clear" w:color="auto" w:fill="auto"/>
            <w:vAlign w:val="bottom"/>
          </w:tcPr>
          <w:p w14:paraId="4ACE421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21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tcBorders>
            <w:shd w:val="clear" w:color="auto" w:fill="auto"/>
            <w:tcMar>
              <w:top w:w="40" w:type="dxa"/>
              <w:left w:w="40" w:type="dxa"/>
              <w:bottom w:w="40" w:type="dxa"/>
            </w:tcMar>
            <w:vAlign w:val="bottom"/>
          </w:tcPr>
          <w:p w14:paraId="4ACE4219"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74,563</w:t>
            </w:r>
          </w:p>
        </w:tc>
        <w:tc>
          <w:tcPr>
            <w:tcW w:w="0" w:type="auto"/>
            <w:tcBorders>
              <w:top w:val="single" w:sz="8" w:space="0" w:color="333333"/>
            </w:tcBorders>
            <w:shd w:val="clear" w:color="auto" w:fill="auto"/>
            <w:vAlign w:val="bottom"/>
          </w:tcPr>
          <w:p w14:paraId="4ACE421A" w14:textId="77777777" w:rsidR="006F587A" w:rsidRDefault="006F587A">
            <w:pPr>
              <w:textAlignment w:val="bottom"/>
              <w:rPr>
                <w:rFonts w:ascii="Times New Roman" w:hAnsi="Times New Roman"/>
                <w:sz w:val="20"/>
                <w:szCs w:val="20"/>
              </w:rPr>
            </w:pPr>
          </w:p>
        </w:tc>
      </w:tr>
      <w:tr w:rsidR="006F587A" w14:paraId="4ACE4227" w14:textId="77777777">
        <w:tc>
          <w:tcPr>
            <w:tcW w:w="0" w:type="auto"/>
            <w:shd w:val="clear" w:color="auto" w:fill="auto"/>
            <w:tcMar>
              <w:top w:w="40" w:type="dxa"/>
              <w:left w:w="40" w:type="dxa"/>
              <w:bottom w:w="40" w:type="dxa"/>
              <w:right w:w="40" w:type="dxa"/>
            </w:tcMar>
            <w:vAlign w:val="bottom"/>
          </w:tcPr>
          <w:p w14:paraId="4ACE421C"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Components of comprehensive income, net of tax:</w:t>
            </w:r>
          </w:p>
        </w:tc>
        <w:tc>
          <w:tcPr>
            <w:tcW w:w="0" w:type="auto"/>
            <w:shd w:val="clear" w:color="auto" w:fill="auto"/>
            <w:tcMar>
              <w:top w:w="40" w:type="dxa"/>
              <w:left w:w="40" w:type="dxa"/>
              <w:bottom w:w="40" w:type="dxa"/>
              <w:right w:w="40" w:type="dxa"/>
            </w:tcMar>
            <w:vAlign w:val="bottom"/>
          </w:tcPr>
          <w:p w14:paraId="4ACE421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ACE421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21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22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22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22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22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22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22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22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4238" w14:textId="77777777">
        <w:tc>
          <w:tcPr>
            <w:tcW w:w="0" w:type="auto"/>
            <w:shd w:val="clear" w:color="auto" w:fill="auto"/>
            <w:tcMar>
              <w:top w:w="40" w:type="dxa"/>
              <w:left w:w="240" w:type="dxa"/>
              <w:bottom w:w="40" w:type="dxa"/>
              <w:right w:w="40" w:type="dxa"/>
            </w:tcMar>
            <w:vAlign w:val="bottom"/>
          </w:tcPr>
          <w:p w14:paraId="4ACE4228"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Net income</w:t>
            </w:r>
          </w:p>
        </w:tc>
        <w:tc>
          <w:tcPr>
            <w:tcW w:w="0" w:type="auto"/>
            <w:shd w:val="clear" w:color="auto" w:fill="auto"/>
            <w:tcMar>
              <w:top w:w="40" w:type="dxa"/>
              <w:left w:w="40" w:type="dxa"/>
              <w:bottom w:w="40" w:type="dxa"/>
              <w:right w:w="40" w:type="dxa"/>
            </w:tcMar>
            <w:vAlign w:val="bottom"/>
          </w:tcPr>
          <w:p w14:paraId="4ACE422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22A"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422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22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22D"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 xml:space="preserve"> — </w:t>
            </w:r>
          </w:p>
        </w:tc>
        <w:tc>
          <w:tcPr>
            <w:tcW w:w="0" w:type="auto"/>
            <w:shd w:val="clear" w:color="auto" w:fill="auto"/>
            <w:vAlign w:val="bottom"/>
          </w:tcPr>
          <w:p w14:paraId="4ACE422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22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230"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 xml:space="preserve"> — </w:t>
            </w:r>
          </w:p>
        </w:tc>
        <w:tc>
          <w:tcPr>
            <w:tcW w:w="0" w:type="auto"/>
            <w:shd w:val="clear" w:color="auto" w:fill="auto"/>
            <w:vAlign w:val="bottom"/>
          </w:tcPr>
          <w:p w14:paraId="4ACE423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23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23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21,048</w:t>
            </w:r>
          </w:p>
        </w:tc>
        <w:tc>
          <w:tcPr>
            <w:tcW w:w="0" w:type="auto"/>
            <w:shd w:val="clear" w:color="auto" w:fill="auto"/>
            <w:vAlign w:val="bottom"/>
          </w:tcPr>
          <w:p w14:paraId="4ACE423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23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236"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21,048</w:t>
            </w:r>
          </w:p>
        </w:tc>
        <w:tc>
          <w:tcPr>
            <w:tcW w:w="0" w:type="auto"/>
            <w:shd w:val="clear" w:color="auto" w:fill="auto"/>
            <w:vAlign w:val="bottom"/>
          </w:tcPr>
          <w:p w14:paraId="4ACE4237" w14:textId="77777777" w:rsidR="006F587A" w:rsidRDefault="006F587A">
            <w:pPr>
              <w:textAlignment w:val="bottom"/>
              <w:rPr>
                <w:rFonts w:ascii="Times New Roman" w:hAnsi="Times New Roman"/>
                <w:sz w:val="20"/>
                <w:szCs w:val="20"/>
              </w:rPr>
            </w:pPr>
          </w:p>
        </w:tc>
      </w:tr>
      <w:tr w:rsidR="006F587A" w14:paraId="4ACE4249" w14:textId="77777777">
        <w:tc>
          <w:tcPr>
            <w:tcW w:w="0" w:type="auto"/>
            <w:shd w:val="clear" w:color="auto" w:fill="auto"/>
            <w:tcMar>
              <w:top w:w="40" w:type="dxa"/>
              <w:left w:w="240" w:type="dxa"/>
              <w:bottom w:w="40" w:type="dxa"/>
              <w:right w:w="40" w:type="dxa"/>
            </w:tcMar>
            <w:vAlign w:val="bottom"/>
          </w:tcPr>
          <w:p w14:paraId="4ACE4239"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Other comprehensive income (loss)</w:t>
            </w:r>
          </w:p>
        </w:tc>
        <w:tc>
          <w:tcPr>
            <w:tcW w:w="0" w:type="auto"/>
            <w:shd w:val="clear" w:color="auto" w:fill="auto"/>
            <w:tcMar>
              <w:top w:w="40" w:type="dxa"/>
              <w:left w:w="40" w:type="dxa"/>
              <w:bottom w:w="40" w:type="dxa"/>
              <w:right w:w="40" w:type="dxa"/>
            </w:tcMar>
            <w:vAlign w:val="bottom"/>
          </w:tcPr>
          <w:p w14:paraId="4ACE423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23B"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423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23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23E"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 xml:space="preserve"> — </w:t>
            </w:r>
          </w:p>
        </w:tc>
        <w:tc>
          <w:tcPr>
            <w:tcW w:w="0" w:type="auto"/>
            <w:shd w:val="clear" w:color="auto" w:fill="auto"/>
            <w:vAlign w:val="bottom"/>
          </w:tcPr>
          <w:p w14:paraId="4ACE423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24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241"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(306</w:t>
            </w:r>
          </w:p>
        </w:tc>
        <w:tc>
          <w:tcPr>
            <w:tcW w:w="0" w:type="auto"/>
            <w:shd w:val="clear" w:color="auto" w:fill="auto"/>
            <w:tcMar>
              <w:top w:w="40" w:type="dxa"/>
              <w:bottom w:w="40" w:type="dxa"/>
              <w:right w:w="40" w:type="dxa"/>
            </w:tcMar>
            <w:vAlign w:val="bottom"/>
          </w:tcPr>
          <w:p w14:paraId="4ACE4242"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424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244"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 xml:space="preserve"> — </w:t>
            </w:r>
          </w:p>
        </w:tc>
        <w:tc>
          <w:tcPr>
            <w:tcW w:w="0" w:type="auto"/>
            <w:shd w:val="clear" w:color="auto" w:fill="auto"/>
            <w:vAlign w:val="bottom"/>
          </w:tcPr>
          <w:p w14:paraId="4ACE424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24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4247"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(306</w:t>
            </w:r>
          </w:p>
        </w:tc>
        <w:tc>
          <w:tcPr>
            <w:tcW w:w="0" w:type="auto"/>
            <w:tcBorders>
              <w:bottom w:val="single" w:sz="8" w:space="0" w:color="333333"/>
            </w:tcBorders>
            <w:shd w:val="clear" w:color="auto" w:fill="auto"/>
            <w:tcMar>
              <w:top w:w="40" w:type="dxa"/>
              <w:bottom w:w="40" w:type="dxa"/>
              <w:right w:w="40" w:type="dxa"/>
            </w:tcMar>
            <w:vAlign w:val="bottom"/>
          </w:tcPr>
          <w:p w14:paraId="4ACE4248"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r>
      <w:tr w:rsidR="006F587A" w14:paraId="4ACE4256" w14:textId="77777777">
        <w:tc>
          <w:tcPr>
            <w:tcW w:w="0" w:type="auto"/>
            <w:shd w:val="clear" w:color="auto" w:fill="auto"/>
            <w:tcMar>
              <w:top w:w="40" w:type="dxa"/>
              <w:left w:w="560" w:type="dxa"/>
              <w:bottom w:w="40" w:type="dxa"/>
              <w:right w:w="40" w:type="dxa"/>
            </w:tcMar>
            <w:vAlign w:val="bottom"/>
          </w:tcPr>
          <w:p w14:paraId="4ACE424A"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Total comprehensive income</w:t>
            </w:r>
          </w:p>
        </w:tc>
        <w:tc>
          <w:tcPr>
            <w:tcW w:w="0" w:type="auto"/>
            <w:shd w:val="clear" w:color="auto" w:fill="auto"/>
            <w:tcMar>
              <w:top w:w="40" w:type="dxa"/>
              <w:left w:w="40" w:type="dxa"/>
              <w:bottom w:w="40" w:type="dxa"/>
              <w:right w:w="40" w:type="dxa"/>
            </w:tcMar>
            <w:vAlign w:val="bottom"/>
          </w:tcPr>
          <w:p w14:paraId="4ACE424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ACE424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24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24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24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25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25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25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25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4254"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20,742</w:t>
            </w:r>
          </w:p>
        </w:tc>
        <w:tc>
          <w:tcPr>
            <w:tcW w:w="0" w:type="auto"/>
            <w:tcBorders>
              <w:top w:val="single" w:sz="8" w:space="0" w:color="333333"/>
              <w:bottom w:val="single" w:sz="8" w:space="0" w:color="333333"/>
            </w:tcBorders>
            <w:shd w:val="clear" w:color="auto" w:fill="auto"/>
            <w:vAlign w:val="bottom"/>
          </w:tcPr>
          <w:p w14:paraId="4ACE4255" w14:textId="77777777" w:rsidR="006F587A" w:rsidRDefault="006F587A">
            <w:pPr>
              <w:textAlignment w:val="bottom"/>
              <w:rPr>
                <w:rFonts w:ascii="Times New Roman" w:hAnsi="Times New Roman"/>
                <w:sz w:val="20"/>
                <w:szCs w:val="20"/>
              </w:rPr>
            </w:pPr>
          </w:p>
        </w:tc>
      </w:tr>
      <w:tr w:rsidR="006F587A" w14:paraId="4ACE4267" w14:textId="77777777">
        <w:tc>
          <w:tcPr>
            <w:tcW w:w="0" w:type="auto"/>
            <w:shd w:val="clear" w:color="auto" w:fill="auto"/>
            <w:tcMar>
              <w:top w:w="40" w:type="dxa"/>
              <w:left w:w="40" w:type="dxa"/>
              <w:bottom w:w="40" w:type="dxa"/>
              <w:right w:w="40" w:type="dxa"/>
            </w:tcMar>
            <w:vAlign w:val="bottom"/>
          </w:tcPr>
          <w:p w14:paraId="4ACE4257"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Employee equity incentive plans and other</w:t>
            </w:r>
          </w:p>
        </w:tc>
        <w:tc>
          <w:tcPr>
            <w:tcW w:w="0" w:type="auto"/>
            <w:shd w:val="clear" w:color="auto" w:fill="auto"/>
            <w:tcMar>
              <w:top w:w="40" w:type="dxa"/>
              <w:left w:w="40" w:type="dxa"/>
              <w:bottom w:w="40" w:type="dxa"/>
              <w:right w:w="40" w:type="dxa"/>
            </w:tcMar>
            <w:vAlign w:val="bottom"/>
          </w:tcPr>
          <w:p w14:paraId="4ACE425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259"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55</w:t>
            </w:r>
          </w:p>
        </w:tc>
        <w:tc>
          <w:tcPr>
            <w:tcW w:w="0" w:type="auto"/>
            <w:shd w:val="clear" w:color="auto" w:fill="auto"/>
            <w:vAlign w:val="bottom"/>
          </w:tcPr>
          <w:p w14:paraId="4ACE425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25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25C"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892</w:t>
            </w:r>
          </w:p>
        </w:tc>
        <w:tc>
          <w:tcPr>
            <w:tcW w:w="0" w:type="auto"/>
            <w:shd w:val="clear" w:color="auto" w:fill="auto"/>
            <w:vAlign w:val="bottom"/>
          </w:tcPr>
          <w:p w14:paraId="4ACE425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25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25F"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 xml:space="preserve"> — </w:t>
            </w:r>
          </w:p>
        </w:tc>
        <w:tc>
          <w:tcPr>
            <w:tcW w:w="0" w:type="auto"/>
            <w:shd w:val="clear" w:color="auto" w:fill="auto"/>
            <w:vAlign w:val="bottom"/>
          </w:tcPr>
          <w:p w14:paraId="4ACE426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26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262"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426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26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265"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892</w:t>
            </w:r>
          </w:p>
        </w:tc>
        <w:tc>
          <w:tcPr>
            <w:tcW w:w="0" w:type="auto"/>
            <w:shd w:val="clear" w:color="auto" w:fill="auto"/>
            <w:vAlign w:val="bottom"/>
          </w:tcPr>
          <w:p w14:paraId="4ACE4266" w14:textId="77777777" w:rsidR="006F587A" w:rsidRDefault="006F587A">
            <w:pPr>
              <w:textAlignment w:val="bottom"/>
              <w:rPr>
                <w:rFonts w:ascii="Times New Roman" w:hAnsi="Times New Roman"/>
                <w:sz w:val="20"/>
                <w:szCs w:val="20"/>
              </w:rPr>
            </w:pPr>
          </w:p>
        </w:tc>
      </w:tr>
      <w:tr w:rsidR="006F587A" w14:paraId="4ACE4278" w14:textId="77777777">
        <w:tc>
          <w:tcPr>
            <w:tcW w:w="0" w:type="auto"/>
            <w:shd w:val="clear" w:color="auto" w:fill="auto"/>
            <w:tcMar>
              <w:top w:w="40" w:type="dxa"/>
              <w:left w:w="40" w:type="dxa"/>
              <w:bottom w:w="40" w:type="dxa"/>
              <w:right w:w="40" w:type="dxa"/>
            </w:tcMar>
            <w:vAlign w:val="bottom"/>
          </w:tcPr>
          <w:p w14:paraId="4ACE4268"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Share-based compensation</w:t>
            </w:r>
          </w:p>
        </w:tc>
        <w:tc>
          <w:tcPr>
            <w:tcW w:w="0" w:type="auto"/>
            <w:shd w:val="clear" w:color="auto" w:fill="auto"/>
            <w:tcMar>
              <w:top w:w="40" w:type="dxa"/>
              <w:left w:w="40" w:type="dxa"/>
              <w:bottom w:w="40" w:type="dxa"/>
              <w:right w:w="40" w:type="dxa"/>
            </w:tcMar>
            <w:vAlign w:val="bottom"/>
          </w:tcPr>
          <w:p w14:paraId="4ACE426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26A"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426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26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26D"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1,705</w:t>
            </w:r>
          </w:p>
        </w:tc>
        <w:tc>
          <w:tcPr>
            <w:tcW w:w="0" w:type="auto"/>
            <w:shd w:val="clear" w:color="auto" w:fill="auto"/>
            <w:vAlign w:val="bottom"/>
          </w:tcPr>
          <w:p w14:paraId="4ACE426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26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270"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 xml:space="preserve"> — </w:t>
            </w:r>
          </w:p>
        </w:tc>
        <w:tc>
          <w:tcPr>
            <w:tcW w:w="0" w:type="auto"/>
            <w:shd w:val="clear" w:color="auto" w:fill="auto"/>
            <w:vAlign w:val="bottom"/>
          </w:tcPr>
          <w:p w14:paraId="4ACE427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27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27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427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27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276"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1,705</w:t>
            </w:r>
          </w:p>
        </w:tc>
        <w:tc>
          <w:tcPr>
            <w:tcW w:w="0" w:type="auto"/>
            <w:shd w:val="clear" w:color="auto" w:fill="auto"/>
            <w:vAlign w:val="bottom"/>
          </w:tcPr>
          <w:p w14:paraId="4ACE4277" w14:textId="77777777" w:rsidR="006F587A" w:rsidRDefault="006F587A">
            <w:pPr>
              <w:textAlignment w:val="bottom"/>
              <w:rPr>
                <w:rFonts w:ascii="Times New Roman" w:hAnsi="Times New Roman"/>
                <w:sz w:val="20"/>
                <w:szCs w:val="20"/>
              </w:rPr>
            </w:pPr>
          </w:p>
        </w:tc>
      </w:tr>
      <w:tr w:rsidR="006F587A" w14:paraId="4ACE4289" w14:textId="77777777">
        <w:tc>
          <w:tcPr>
            <w:tcW w:w="0" w:type="auto"/>
            <w:shd w:val="clear" w:color="auto" w:fill="auto"/>
            <w:tcMar>
              <w:top w:w="40" w:type="dxa"/>
              <w:left w:w="40" w:type="dxa"/>
              <w:bottom w:w="40" w:type="dxa"/>
              <w:right w:w="40" w:type="dxa"/>
            </w:tcMar>
            <w:vAlign w:val="bottom"/>
          </w:tcPr>
          <w:p w14:paraId="4ACE4279"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Temporary equity reduction</w:t>
            </w:r>
          </w:p>
        </w:tc>
        <w:tc>
          <w:tcPr>
            <w:tcW w:w="0" w:type="auto"/>
            <w:shd w:val="clear" w:color="auto" w:fill="auto"/>
            <w:tcMar>
              <w:top w:w="40" w:type="dxa"/>
              <w:left w:w="40" w:type="dxa"/>
              <w:bottom w:w="40" w:type="dxa"/>
              <w:right w:w="40" w:type="dxa"/>
            </w:tcMar>
            <w:vAlign w:val="bottom"/>
          </w:tcPr>
          <w:p w14:paraId="4ACE427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27B"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427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27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27E"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265</w:t>
            </w:r>
          </w:p>
        </w:tc>
        <w:tc>
          <w:tcPr>
            <w:tcW w:w="0" w:type="auto"/>
            <w:shd w:val="clear" w:color="auto" w:fill="auto"/>
            <w:vAlign w:val="bottom"/>
          </w:tcPr>
          <w:p w14:paraId="4ACE427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28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281"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 xml:space="preserve"> — </w:t>
            </w:r>
          </w:p>
        </w:tc>
        <w:tc>
          <w:tcPr>
            <w:tcW w:w="0" w:type="auto"/>
            <w:shd w:val="clear" w:color="auto" w:fill="auto"/>
            <w:vAlign w:val="bottom"/>
          </w:tcPr>
          <w:p w14:paraId="4ACE428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28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284"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428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28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287"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265</w:t>
            </w:r>
          </w:p>
        </w:tc>
        <w:tc>
          <w:tcPr>
            <w:tcW w:w="0" w:type="auto"/>
            <w:shd w:val="clear" w:color="auto" w:fill="auto"/>
            <w:vAlign w:val="bottom"/>
          </w:tcPr>
          <w:p w14:paraId="4ACE4288" w14:textId="77777777" w:rsidR="006F587A" w:rsidRDefault="006F587A">
            <w:pPr>
              <w:textAlignment w:val="bottom"/>
              <w:rPr>
                <w:rFonts w:ascii="Times New Roman" w:hAnsi="Times New Roman"/>
                <w:sz w:val="20"/>
                <w:szCs w:val="20"/>
              </w:rPr>
            </w:pPr>
          </w:p>
        </w:tc>
      </w:tr>
      <w:tr w:rsidR="006F587A" w14:paraId="4ACE429A" w14:textId="77777777">
        <w:tc>
          <w:tcPr>
            <w:tcW w:w="0" w:type="auto"/>
            <w:shd w:val="clear" w:color="auto" w:fill="auto"/>
            <w:tcMar>
              <w:top w:w="40" w:type="dxa"/>
              <w:left w:w="40" w:type="dxa"/>
              <w:bottom w:w="40" w:type="dxa"/>
              <w:right w:w="40" w:type="dxa"/>
            </w:tcMar>
            <w:vAlign w:val="bottom"/>
          </w:tcPr>
          <w:p w14:paraId="4ACE428A"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Convertible debt</w:t>
            </w:r>
          </w:p>
        </w:tc>
        <w:tc>
          <w:tcPr>
            <w:tcW w:w="0" w:type="auto"/>
            <w:shd w:val="clear" w:color="auto" w:fill="auto"/>
            <w:tcMar>
              <w:top w:w="40" w:type="dxa"/>
              <w:left w:w="40" w:type="dxa"/>
              <w:bottom w:w="40" w:type="dxa"/>
              <w:right w:w="40" w:type="dxa"/>
            </w:tcMar>
            <w:vAlign w:val="bottom"/>
          </w:tcPr>
          <w:p w14:paraId="4ACE428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28C"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428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28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28F"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(1,032</w:t>
            </w:r>
          </w:p>
        </w:tc>
        <w:tc>
          <w:tcPr>
            <w:tcW w:w="0" w:type="auto"/>
            <w:shd w:val="clear" w:color="auto" w:fill="auto"/>
            <w:tcMar>
              <w:top w:w="40" w:type="dxa"/>
              <w:bottom w:w="40" w:type="dxa"/>
              <w:right w:w="40" w:type="dxa"/>
            </w:tcMar>
            <w:vAlign w:val="bottom"/>
          </w:tcPr>
          <w:p w14:paraId="4ACE4290"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429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292"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 xml:space="preserve"> — </w:t>
            </w:r>
          </w:p>
        </w:tc>
        <w:tc>
          <w:tcPr>
            <w:tcW w:w="0" w:type="auto"/>
            <w:shd w:val="clear" w:color="auto" w:fill="auto"/>
            <w:vAlign w:val="bottom"/>
          </w:tcPr>
          <w:p w14:paraId="4ACE429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29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295"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429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29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298"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(1,032</w:t>
            </w:r>
          </w:p>
        </w:tc>
        <w:tc>
          <w:tcPr>
            <w:tcW w:w="0" w:type="auto"/>
            <w:shd w:val="clear" w:color="auto" w:fill="auto"/>
            <w:tcMar>
              <w:top w:w="40" w:type="dxa"/>
              <w:bottom w:w="40" w:type="dxa"/>
              <w:right w:w="40" w:type="dxa"/>
            </w:tcMar>
            <w:vAlign w:val="bottom"/>
          </w:tcPr>
          <w:p w14:paraId="4ACE4299"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r>
      <w:tr w:rsidR="006F587A" w14:paraId="4ACE42AB" w14:textId="77777777">
        <w:tc>
          <w:tcPr>
            <w:tcW w:w="0" w:type="auto"/>
            <w:shd w:val="clear" w:color="auto" w:fill="auto"/>
            <w:tcMar>
              <w:top w:w="40" w:type="dxa"/>
              <w:left w:w="40" w:type="dxa"/>
              <w:bottom w:w="40" w:type="dxa"/>
              <w:right w:w="40" w:type="dxa"/>
            </w:tcMar>
            <w:vAlign w:val="bottom"/>
          </w:tcPr>
          <w:p w14:paraId="4ACE429B"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Repurchase of common stock</w:t>
            </w:r>
          </w:p>
        </w:tc>
        <w:tc>
          <w:tcPr>
            <w:tcW w:w="0" w:type="auto"/>
            <w:shd w:val="clear" w:color="auto" w:fill="auto"/>
            <w:tcMar>
              <w:top w:w="40" w:type="dxa"/>
              <w:left w:w="40" w:type="dxa"/>
              <w:bottom w:w="40" w:type="dxa"/>
              <w:right w:w="40" w:type="dxa"/>
            </w:tcMar>
            <w:vAlign w:val="bottom"/>
          </w:tcPr>
          <w:p w14:paraId="4ACE429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29D"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(272</w:t>
            </w:r>
          </w:p>
        </w:tc>
        <w:tc>
          <w:tcPr>
            <w:tcW w:w="0" w:type="auto"/>
            <w:shd w:val="clear" w:color="auto" w:fill="auto"/>
            <w:tcMar>
              <w:top w:w="40" w:type="dxa"/>
              <w:bottom w:w="40" w:type="dxa"/>
              <w:right w:w="40" w:type="dxa"/>
            </w:tcMar>
            <w:vAlign w:val="bottom"/>
          </w:tcPr>
          <w:p w14:paraId="4ACE429E"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429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2A0"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(1,592</w:t>
            </w:r>
          </w:p>
        </w:tc>
        <w:tc>
          <w:tcPr>
            <w:tcW w:w="0" w:type="auto"/>
            <w:shd w:val="clear" w:color="auto" w:fill="auto"/>
            <w:tcMar>
              <w:top w:w="40" w:type="dxa"/>
              <w:bottom w:w="40" w:type="dxa"/>
              <w:right w:w="40" w:type="dxa"/>
            </w:tcMar>
            <w:vAlign w:val="bottom"/>
          </w:tcPr>
          <w:p w14:paraId="4ACE42A1"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42A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2A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 xml:space="preserve"> — </w:t>
            </w:r>
          </w:p>
        </w:tc>
        <w:tc>
          <w:tcPr>
            <w:tcW w:w="0" w:type="auto"/>
            <w:shd w:val="clear" w:color="auto" w:fill="auto"/>
            <w:vAlign w:val="bottom"/>
          </w:tcPr>
          <w:p w14:paraId="4ACE42A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2A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2A6"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(11,973</w:t>
            </w:r>
          </w:p>
        </w:tc>
        <w:tc>
          <w:tcPr>
            <w:tcW w:w="0" w:type="auto"/>
            <w:shd w:val="clear" w:color="auto" w:fill="auto"/>
            <w:tcMar>
              <w:top w:w="40" w:type="dxa"/>
              <w:bottom w:w="40" w:type="dxa"/>
              <w:right w:w="40" w:type="dxa"/>
            </w:tcMar>
            <w:vAlign w:val="bottom"/>
          </w:tcPr>
          <w:p w14:paraId="4ACE42A7"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42A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2A9"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(13,565</w:t>
            </w:r>
          </w:p>
        </w:tc>
        <w:tc>
          <w:tcPr>
            <w:tcW w:w="0" w:type="auto"/>
            <w:shd w:val="clear" w:color="auto" w:fill="auto"/>
            <w:tcMar>
              <w:top w:w="40" w:type="dxa"/>
              <w:bottom w:w="40" w:type="dxa"/>
              <w:right w:w="40" w:type="dxa"/>
            </w:tcMar>
            <w:vAlign w:val="bottom"/>
          </w:tcPr>
          <w:p w14:paraId="4ACE42AA"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r>
      <w:tr w:rsidR="006F587A" w14:paraId="4ACE42BC" w14:textId="77777777">
        <w:tc>
          <w:tcPr>
            <w:tcW w:w="0" w:type="auto"/>
            <w:shd w:val="clear" w:color="auto" w:fill="auto"/>
            <w:tcMar>
              <w:top w:w="40" w:type="dxa"/>
              <w:left w:w="40" w:type="dxa"/>
              <w:bottom w:w="40" w:type="dxa"/>
              <w:right w:w="40" w:type="dxa"/>
            </w:tcMar>
            <w:vAlign w:val="bottom"/>
          </w:tcPr>
          <w:p w14:paraId="4ACE42AC"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Restricted stock unit withholdings</w:t>
            </w:r>
          </w:p>
        </w:tc>
        <w:tc>
          <w:tcPr>
            <w:tcW w:w="0" w:type="auto"/>
            <w:shd w:val="clear" w:color="auto" w:fill="auto"/>
            <w:tcMar>
              <w:top w:w="40" w:type="dxa"/>
              <w:left w:w="40" w:type="dxa"/>
              <w:bottom w:w="40" w:type="dxa"/>
              <w:right w:w="40" w:type="dxa"/>
            </w:tcMar>
            <w:vAlign w:val="bottom"/>
          </w:tcPr>
          <w:p w14:paraId="4ACE42A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2AE"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(9</w:t>
            </w:r>
          </w:p>
        </w:tc>
        <w:tc>
          <w:tcPr>
            <w:tcW w:w="0" w:type="auto"/>
            <w:shd w:val="clear" w:color="auto" w:fill="auto"/>
            <w:tcMar>
              <w:top w:w="40" w:type="dxa"/>
              <w:bottom w:w="40" w:type="dxa"/>
              <w:right w:w="40" w:type="dxa"/>
            </w:tcMar>
            <w:vAlign w:val="bottom"/>
          </w:tcPr>
          <w:p w14:paraId="4ACE42AF"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42B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2B1"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(342</w:t>
            </w:r>
          </w:p>
        </w:tc>
        <w:tc>
          <w:tcPr>
            <w:tcW w:w="0" w:type="auto"/>
            <w:shd w:val="clear" w:color="auto" w:fill="auto"/>
            <w:tcMar>
              <w:top w:w="40" w:type="dxa"/>
              <w:bottom w:w="40" w:type="dxa"/>
              <w:right w:w="40" w:type="dxa"/>
            </w:tcMar>
            <w:vAlign w:val="bottom"/>
          </w:tcPr>
          <w:p w14:paraId="4ACE42B2"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42B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2B4"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 xml:space="preserve"> — </w:t>
            </w:r>
          </w:p>
        </w:tc>
        <w:tc>
          <w:tcPr>
            <w:tcW w:w="0" w:type="auto"/>
            <w:shd w:val="clear" w:color="auto" w:fill="auto"/>
            <w:vAlign w:val="bottom"/>
          </w:tcPr>
          <w:p w14:paraId="4ACE42B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2B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2B7"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(146</w:t>
            </w:r>
          </w:p>
        </w:tc>
        <w:tc>
          <w:tcPr>
            <w:tcW w:w="0" w:type="auto"/>
            <w:shd w:val="clear" w:color="auto" w:fill="auto"/>
            <w:tcMar>
              <w:top w:w="40" w:type="dxa"/>
              <w:bottom w:w="40" w:type="dxa"/>
              <w:right w:w="40" w:type="dxa"/>
            </w:tcMar>
            <w:vAlign w:val="bottom"/>
          </w:tcPr>
          <w:p w14:paraId="4ACE42B8"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42B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2BA"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(488</w:t>
            </w:r>
          </w:p>
        </w:tc>
        <w:tc>
          <w:tcPr>
            <w:tcW w:w="0" w:type="auto"/>
            <w:shd w:val="clear" w:color="auto" w:fill="auto"/>
            <w:tcMar>
              <w:top w:w="40" w:type="dxa"/>
              <w:bottom w:w="40" w:type="dxa"/>
              <w:right w:w="40" w:type="dxa"/>
            </w:tcMar>
            <w:vAlign w:val="bottom"/>
          </w:tcPr>
          <w:p w14:paraId="4ACE42BB"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r>
      <w:tr w:rsidR="006F587A" w14:paraId="4ACE42CD" w14:textId="77777777">
        <w:tc>
          <w:tcPr>
            <w:tcW w:w="0" w:type="auto"/>
            <w:shd w:val="clear" w:color="auto" w:fill="auto"/>
            <w:tcMar>
              <w:top w:w="40" w:type="dxa"/>
              <w:left w:w="40" w:type="dxa"/>
              <w:bottom w:w="40" w:type="dxa"/>
              <w:right w:w="40" w:type="dxa"/>
            </w:tcMar>
            <w:vAlign w:val="bottom"/>
          </w:tcPr>
          <w:p w14:paraId="4ACE42BD"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 xml:space="preserve">Cash dividends declared </w:t>
            </w:r>
            <w:r>
              <w:rPr>
                <w:rFonts w:ascii="Arial" w:eastAsia="宋体" w:hAnsi="Arial" w:cs="Arial"/>
                <w:color w:val="333333"/>
                <w:sz w:val="18"/>
                <w:szCs w:val="18"/>
              </w:rPr>
              <w:t>($1.26 per share of common stock)</w:t>
            </w:r>
          </w:p>
        </w:tc>
        <w:tc>
          <w:tcPr>
            <w:tcW w:w="0" w:type="auto"/>
            <w:shd w:val="clear" w:color="auto" w:fill="auto"/>
            <w:tcMar>
              <w:top w:w="40" w:type="dxa"/>
              <w:left w:w="40" w:type="dxa"/>
              <w:bottom w:w="40" w:type="dxa"/>
              <w:right w:w="40" w:type="dxa"/>
            </w:tcMar>
            <w:vAlign w:val="bottom"/>
          </w:tcPr>
          <w:p w14:paraId="4ACE42B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tcMar>
            <w:vAlign w:val="bottom"/>
          </w:tcPr>
          <w:p w14:paraId="4ACE42BF"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tcBorders>
              <w:bottom w:val="single" w:sz="8" w:space="0" w:color="333333"/>
            </w:tcBorders>
            <w:shd w:val="clear" w:color="auto" w:fill="auto"/>
            <w:vAlign w:val="bottom"/>
          </w:tcPr>
          <w:p w14:paraId="4ACE42C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2C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42C2"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 xml:space="preserve"> — </w:t>
            </w:r>
          </w:p>
        </w:tc>
        <w:tc>
          <w:tcPr>
            <w:tcW w:w="0" w:type="auto"/>
            <w:tcBorders>
              <w:bottom w:val="single" w:sz="8" w:space="0" w:color="333333"/>
            </w:tcBorders>
            <w:shd w:val="clear" w:color="auto" w:fill="auto"/>
            <w:vAlign w:val="bottom"/>
          </w:tcPr>
          <w:p w14:paraId="4ACE42C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2C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42C5"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 xml:space="preserve"> — </w:t>
            </w:r>
          </w:p>
        </w:tc>
        <w:tc>
          <w:tcPr>
            <w:tcW w:w="0" w:type="auto"/>
            <w:tcBorders>
              <w:bottom w:val="single" w:sz="8" w:space="0" w:color="333333"/>
            </w:tcBorders>
            <w:shd w:val="clear" w:color="auto" w:fill="auto"/>
            <w:vAlign w:val="bottom"/>
          </w:tcPr>
          <w:p w14:paraId="4ACE42C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2C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2C8"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(5,578</w:t>
            </w:r>
          </w:p>
        </w:tc>
        <w:tc>
          <w:tcPr>
            <w:tcW w:w="0" w:type="auto"/>
            <w:shd w:val="clear" w:color="auto" w:fill="auto"/>
            <w:tcMar>
              <w:top w:w="40" w:type="dxa"/>
              <w:bottom w:w="40" w:type="dxa"/>
              <w:right w:w="40" w:type="dxa"/>
            </w:tcMar>
            <w:vAlign w:val="bottom"/>
          </w:tcPr>
          <w:p w14:paraId="4ACE42C9"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42C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2CB"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(5,578</w:t>
            </w:r>
          </w:p>
        </w:tc>
        <w:tc>
          <w:tcPr>
            <w:tcW w:w="0" w:type="auto"/>
            <w:shd w:val="clear" w:color="auto" w:fill="auto"/>
            <w:tcMar>
              <w:top w:w="40" w:type="dxa"/>
              <w:bottom w:w="40" w:type="dxa"/>
              <w:right w:w="40" w:type="dxa"/>
            </w:tcMar>
            <w:vAlign w:val="bottom"/>
          </w:tcPr>
          <w:p w14:paraId="4ACE42CC"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r>
      <w:tr w:rsidR="006F587A" w14:paraId="4ACE42E2" w14:textId="77777777">
        <w:tc>
          <w:tcPr>
            <w:tcW w:w="0" w:type="auto"/>
            <w:shd w:val="clear" w:color="auto" w:fill="auto"/>
            <w:tcMar>
              <w:top w:w="40" w:type="dxa"/>
              <w:left w:w="40" w:type="dxa"/>
              <w:bottom w:w="40" w:type="dxa"/>
              <w:right w:w="40" w:type="dxa"/>
            </w:tcMar>
            <w:vAlign w:val="bottom"/>
          </w:tcPr>
          <w:p w14:paraId="4ACE42CE"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lastRenderedPageBreak/>
              <w:t>Balance as of December 28, 2019</w:t>
            </w:r>
          </w:p>
        </w:tc>
        <w:tc>
          <w:tcPr>
            <w:tcW w:w="0" w:type="auto"/>
            <w:shd w:val="clear" w:color="auto" w:fill="auto"/>
            <w:tcMar>
              <w:top w:w="40" w:type="dxa"/>
              <w:left w:w="40" w:type="dxa"/>
              <w:bottom w:w="40" w:type="dxa"/>
              <w:right w:w="40" w:type="dxa"/>
            </w:tcMar>
            <w:vAlign w:val="bottom"/>
          </w:tcPr>
          <w:p w14:paraId="4ACE42C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2D0"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4,290</w:t>
            </w:r>
          </w:p>
        </w:tc>
        <w:tc>
          <w:tcPr>
            <w:tcW w:w="0" w:type="auto"/>
            <w:tcBorders>
              <w:top w:val="single" w:sz="8" w:space="0" w:color="333333"/>
              <w:bottom w:val="double" w:sz="6" w:space="0" w:color="333333"/>
            </w:tcBorders>
            <w:shd w:val="clear" w:color="auto" w:fill="auto"/>
            <w:vAlign w:val="bottom"/>
          </w:tcPr>
          <w:p w14:paraId="4ACE42D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2D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2D3"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2D4"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25,261</w:t>
            </w:r>
          </w:p>
        </w:tc>
        <w:tc>
          <w:tcPr>
            <w:tcW w:w="0" w:type="auto"/>
            <w:tcBorders>
              <w:top w:val="single" w:sz="8" w:space="0" w:color="333333"/>
              <w:bottom w:val="double" w:sz="6" w:space="0" w:color="333333"/>
            </w:tcBorders>
            <w:shd w:val="clear" w:color="auto" w:fill="auto"/>
            <w:vAlign w:val="bottom"/>
          </w:tcPr>
          <w:p w14:paraId="4ACE42D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2D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2D7"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2D8"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(1,280</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4ACE42D9"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left w:w="40" w:type="dxa"/>
              <w:bottom w:w="40" w:type="dxa"/>
              <w:right w:w="40" w:type="dxa"/>
            </w:tcMar>
            <w:vAlign w:val="bottom"/>
          </w:tcPr>
          <w:p w14:paraId="4ACE42D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2DB"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2DC"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53,523</w:t>
            </w:r>
          </w:p>
        </w:tc>
        <w:tc>
          <w:tcPr>
            <w:tcW w:w="0" w:type="auto"/>
            <w:tcBorders>
              <w:top w:val="single" w:sz="8" w:space="0" w:color="333333"/>
              <w:bottom w:val="double" w:sz="6" w:space="0" w:color="333333"/>
            </w:tcBorders>
            <w:shd w:val="clear" w:color="auto" w:fill="auto"/>
            <w:vAlign w:val="bottom"/>
          </w:tcPr>
          <w:p w14:paraId="4ACE42D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2D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2DF"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2E0"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77,504</w:t>
            </w:r>
          </w:p>
        </w:tc>
        <w:tc>
          <w:tcPr>
            <w:tcW w:w="0" w:type="auto"/>
            <w:tcBorders>
              <w:top w:val="single" w:sz="8" w:space="0" w:color="333333"/>
              <w:bottom w:val="double" w:sz="6" w:space="0" w:color="333333"/>
            </w:tcBorders>
            <w:shd w:val="clear" w:color="auto" w:fill="auto"/>
            <w:vAlign w:val="bottom"/>
          </w:tcPr>
          <w:p w14:paraId="4ACE42E1" w14:textId="77777777" w:rsidR="006F587A" w:rsidRDefault="006F587A">
            <w:pPr>
              <w:textAlignment w:val="bottom"/>
              <w:rPr>
                <w:rFonts w:ascii="Times New Roman" w:hAnsi="Times New Roman"/>
                <w:sz w:val="20"/>
                <w:szCs w:val="20"/>
              </w:rPr>
            </w:pPr>
          </w:p>
        </w:tc>
      </w:tr>
    </w:tbl>
    <w:p w14:paraId="4ACE42E3" w14:textId="77777777" w:rsidR="006F587A" w:rsidRDefault="006F587A">
      <w:pPr>
        <w:rPr>
          <w:vanish/>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6F587A" w14:paraId="4ACE42E6" w14:textId="77777777">
        <w:trPr>
          <w:tblCellSpacing w:w="0" w:type="dxa"/>
        </w:trPr>
        <w:tc>
          <w:tcPr>
            <w:tcW w:w="720" w:type="dxa"/>
            <w:shd w:val="clear" w:color="auto" w:fill="auto"/>
            <w:vAlign w:val="center"/>
          </w:tcPr>
          <w:p w14:paraId="4ACE42E4" w14:textId="77777777" w:rsidR="006F587A" w:rsidRDefault="006F587A">
            <w:pPr>
              <w:rPr>
                <w:rFonts w:ascii="Times New Roman" w:hAnsi="Times New Roman"/>
                <w:sz w:val="20"/>
                <w:szCs w:val="20"/>
              </w:rPr>
            </w:pPr>
          </w:p>
        </w:tc>
        <w:tc>
          <w:tcPr>
            <w:tcW w:w="0" w:type="auto"/>
            <w:shd w:val="clear" w:color="auto" w:fill="auto"/>
            <w:vAlign w:val="center"/>
          </w:tcPr>
          <w:p w14:paraId="4ACE42E5" w14:textId="77777777" w:rsidR="006F587A" w:rsidRDefault="006F587A">
            <w:pPr>
              <w:rPr>
                <w:rFonts w:ascii="Times New Roman" w:hAnsi="Times New Roman"/>
                <w:sz w:val="20"/>
                <w:szCs w:val="20"/>
              </w:rPr>
            </w:pPr>
          </w:p>
        </w:tc>
      </w:tr>
      <w:tr w:rsidR="006F587A" w14:paraId="4ACE42E9" w14:textId="77777777">
        <w:trPr>
          <w:tblCellSpacing w:w="0" w:type="dxa"/>
        </w:trPr>
        <w:tc>
          <w:tcPr>
            <w:tcW w:w="0" w:type="auto"/>
            <w:shd w:val="clear" w:color="auto" w:fill="auto"/>
          </w:tcPr>
          <w:p w14:paraId="4ACE42E7" w14:textId="77777777" w:rsidR="006F587A" w:rsidRDefault="007B2B61">
            <w:pPr>
              <w:textAlignment w:val="top"/>
              <w:rPr>
                <w:rFonts w:ascii="Times New Roman" w:hAnsi="Times New Roman"/>
                <w:sz w:val="16"/>
                <w:szCs w:val="16"/>
              </w:rPr>
            </w:pPr>
            <w:r>
              <w:rPr>
                <w:rFonts w:ascii="Arial" w:eastAsia="宋体" w:hAnsi="Arial" w:cs="Arial"/>
                <w:i/>
                <w:iCs/>
                <w:color w:val="333333"/>
                <w:sz w:val="10"/>
                <w:szCs w:val="10"/>
              </w:rPr>
              <w:t>1</w:t>
            </w:r>
            <w:r>
              <w:rPr>
                <w:rFonts w:ascii="Arial" w:eastAsia="宋体" w:hAnsi="Arial" w:cs="Arial"/>
                <w:i/>
                <w:iCs/>
                <w:color w:val="333333"/>
                <w:sz w:val="16"/>
                <w:szCs w:val="16"/>
              </w:rPr>
              <w:t> </w:t>
            </w:r>
          </w:p>
        </w:tc>
        <w:tc>
          <w:tcPr>
            <w:tcW w:w="0" w:type="auto"/>
            <w:shd w:val="clear" w:color="auto" w:fill="auto"/>
          </w:tcPr>
          <w:p w14:paraId="4ACE42E8" w14:textId="77777777" w:rsidR="006F587A" w:rsidRDefault="007B2B61">
            <w:pPr>
              <w:textAlignment w:val="top"/>
              <w:rPr>
                <w:rFonts w:ascii="Times New Roman" w:hAnsi="Times New Roman"/>
                <w:sz w:val="16"/>
                <w:szCs w:val="16"/>
              </w:rPr>
            </w:pPr>
            <w:r>
              <w:rPr>
                <w:rFonts w:ascii="Arial" w:eastAsia="宋体" w:hAnsi="Arial" w:cs="Arial"/>
                <w:i/>
                <w:iCs/>
                <w:color w:val="333333"/>
                <w:sz w:val="16"/>
                <w:szCs w:val="16"/>
              </w:rPr>
              <w:t xml:space="preserve">Includes approximately $375 million of non-controlling interest activity due to our acquisition of Mobileye in 2017, which was eliminated in 2018 due to purchase of </w:t>
            </w:r>
            <w:r>
              <w:rPr>
                <w:rFonts w:ascii="Arial" w:eastAsia="宋体" w:hAnsi="Arial" w:cs="Arial"/>
                <w:i/>
                <w:iCs/>
                <w:color w:val="333333"/>
                <w:sz w:val="16"/>
                <w:szCs w:val="16"/>
              </w:rPr>
              <w:t>remaining shares.</w:t>
            </w:r>
          </w:p>
        </w:tc>
      </w:tr>
    </w:tbl>
    <w:p w14:paraId="4ACE42EA" w14:textId="77777777" w:rsidR="006F587A" w:rsidRDefault="007B2B61">
      <w:pPr>
        <w:spacing w:line="288" w:lineRule="auto"/>
        <w:rPr>
          <w:rFonts w:ascii="Times New Roman" w:hAnsi="Times New Roman"/>
          <w:sz w:val="18"/>
          <w:szCs w:val="18"/>
        </w:rPr>
      </w:pPr>
      <w:r>
        <w:rPr>
          <w:rFonts w:ascii="Arial" w:eastAsia="宋体" w:hAnsi="Arial" w:cs="Arial"/>
          <w:i/>
          <w:iCs/>
          <w:color w:val="333333"/>
          <w:sz w:val="18"/>
          <w:szCs w:val="18"/>
        </w:rPr>
        <w:t>See accompanying notes.</w:t>
      </w:r>
    </w:p>
    <w:p w14:paraId="4ACE42EB"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60"/>
        <w:gridCol w:w="2824"/>
        <w:gridCol w:w="3322"/>
      </w:tblGrid>
      <w:tr w:rsidR="006F587A" w14:paraId="4ACE42ED" w14:textId="77777777">
        <w:tc>
          <w:tcPr>
            <w:tcW w:w="0" w:type="auto"/>
            <w:gridSpan w:val="3"/>
            <w:shd w:val="clear" w:color="auto" w:fill="auto"/>
            <w:vAlign w:val="center"/>
          </w:tcPr>
          <w:p w14:paraId="4ACE42EC" w14:textId="77777777" w:rsidR="006F587A" w:rsidRDefault="006F587A">
            <w:pPr>
              <w:rPr>
                <w:rFonts w:ascii="Times New Roman" w:hAnsi="Times New Roman"/>
                <w:sz w:val="20"/>
                <w:szCs w:val="20"/>
              </w:rPr>
            </w:pPr>
          </w:p>
        </w:tc>
      </w:tr>
      <w:tr w:rsidR="006F587A" w14:paraId="4ACE42F1" w14:textId="77777777">
        <w:tc>
          <w:tcPr>
            <w:tcW w:w="1300" w:type="pct"/>
            <w:shd w:val="clear" w:color="auto" w:fill="auto"/>
            <w:vAlign w:val="center"/>
          </w:tcPr>
          <w:p w14:paraId="4ACE42EE" w14:textId="77777777" w:rsidR="006F587A" w:rsidRDefault="006F587A">
            <w:pPr>
              <w:rPr>
                <w:rFonts w:ascii="Times New Roman" w:hAnsi="Times New Roman"/>
                <w:sz w:val="20"/>
                <w:szCs w:val="20"/>
              </w:rPr>
            </w:pPr>
          </w:p>
        </w:tc>
        <w:tc>
          <w:tcPr>
            <w:tcW w:w="1700" w:type="pct"/>
            <w:shd w:val="clear" w:color="auto" w:fill="auto"/>
            <w:vAlign w:val="center"/>
          </w:tcPr>
          <w:p w14:paraId="4ACE42EF" w14:textId="77777777" w:rsidR="006F587A" w:rsidRDefault="006F587A">
            <w:pPr>
              <w:rPr>
                <w:rFonts w:ascii="Times New Roman" w:hAnsi="Times New Roman"/>
                <w:sz w:val="20"/>
                <w:szCs w:val="20"/>
              </w:rPr>
            </w:pPr>
          </w:p>
        </w:tc>
        <w:tc>
          <w:tcPr>
            <w:tcW w:w="2000" w:type="pct"/>
            <w:shd w:val="clear" w:color="auto" w:fill="auto"/>
            <w:vAlign w:val="center"/>
          </w:tcPr>
          <w:p w14:paraId="4ACE42F0" w14:textId="77777777" w:rsidR="006F587A" w:rsidRDefault="006F587A">
            <w:pPr>
              <w:rPr>
                <w:rFonts w:ascii="Times New Roman" w:hAnsi="Times New Roman"/>
                <w:sz w:val="20"/>
                <w:szCs w:val="20"/>
              </w:rPr>
            </w:pPr>
          </w:p>
        </w:tc>
      </w:tr>
      <w:tr w:rsidR="006F587A" w14:paraId="4ACE42F5" w14:textId="77777777">
        <w:tc>
          <w:tcPr>
            <w:tcW w:w="0" w:type="auto"/>
            <w:tcBorders>
              <w:top w:val="single" w:sz="8" w:space="0" w:color="0071C5"/>
              <w:right w:val="single" w:sz="36" w:space="0" w:color="0071C5"/>
            </w:tcBorders>
            <w:shd w:val="clear" w:color="auto" w:fill="auto"/>
            <w:tcMar>
              <w:top w:w="40" w:type="dxa"/>
              <w:left w:w="40" w:type="dxa"/>
              <w:bottom w:w="40" w:type="dxa"/>
              <w:right w:w="40" w:type="dxa"/>
            </w:tcMar>
            <w:vAlign w:val="center"/>
          </w:tcPr>
          <w:p w14:paraId="4ACE42F2" w14:textId="77777777" w:rsidR="006F587A" w:rsidRDefault="007B2B61">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C3" wp14:editId="4ACE6DC4">
                  <wp:extent cx="304800" cy="304800"/>
                  <wp:effectExtent l="0" t="0" r="0" b="0"/>
                  <wp:docPr id="188" name="图片 284"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284"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42F3" w14:textId="77777777" w:rsidR="006F587A" w:rsidRDefault="007B2B61">
            <w:pPr>
              <w:textAlignment w:val="bottom"/>
              <w:rPr>
                <w:rFonts w:ascii="Times New Roman" w:hAnsi="Times New Roman"/>
                <w:sz w:val="16"/>
                <w:szCs w:val="16"/>
              </w:rPr>
            </w:pPr>
            <w:r>
              <w:rPr>
                <w:rFonts w:ascii="Arial" w:eastAsia="宋体" w:hAnsi="Arial" w:cs="Arial"/>
                <w:color w:val="333333"/>
                <w:sz w:val="16"/>
                <w:szCs w:val="16"/>
              </w:rPr>
              <w:t> Consolidated Statements of Stockholders' Equity</w:t>
            </w:r>
          </w:p>
        </w:tc>
        <w:tc>
          <w:tcPr>
            <w:tcW w:w="0" w:type="auto"/>
            <w:tcBorders>
              <w:top w:val="single" w:sz="8" w:space="0" w:color="0071C5"/>
            </w:tcBorders>
            <w:shd w:val="clear" w:color="auto" w:fill="auto"/>
            <w:tcMar>
              <w:top w:w="40" w:type="dxa"/>
              <w:left w:w="40" w:type="dxa"/>
              <w:bottom w:w="40" w:type="dxa"/>
              <w:right w:w="40" w:type="dxa"/>
            </w:tcMar>
            <w:vAlign w:val="bottom"/>
          </w:tcPr>
          <w:p w14:paraId="4ACE42F4"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73</w:t>
            </w:r>
          </w:p>
        </w:tc>
      </w:tr>
    </w:tbl>
    <w:p w14:paraId="4ACE42F6" w14:textId="77777777" w:rsidR="006F587A" w:rsidRDefault="007B2B61">
      <w:r>
        <w:pict w14:anchorId="4ACE6DC5">
          <v:rect id="_x0000_i1099" style="width:415.3pt;height:1.5pt" o:hralign="center" o:hrstd="t" o:hr="t" fillcolor="#a0a0a0" stroked="f"/>
        </w:pict>
      </w:r>
    </w:p>
    <w:p w14:paraId="4ACE42F7" w14:textId="77777777" w:rsidR="006F587A" w:rsidRDefault="007B2B61">
      <w:pPr>
        <w:spacing w:line="288" w:lineRule="auto"/>
        <w:jc w:val="right"/>
        <w:rPr>
          <w:rFonts w:ascii="Times New Roman" w:hAnsi="Times New Roman"/>
          <w:sz w:val="16"/>
          <w:szCs w:val="16"/>
        </w:rPr>
      </w:pPr>
      <w:hyperlink r:id="rId138" w:anchor="s9DB683E2CF52561EB8A73BE37F5BF9BE" w:history="1">
        <w:r>
          <w:rPr>
            <w:rStyle w:val="a5"/>
            <w:rFonts w:ascii="Arial" w:eastAsia="宋体" w:hAnsi="Arial" w:cs="Arial"/>
            <w:b/>
            <w:bCs/>
            <w:sz w:val="16"/>
            <w:szCs w:val="16"/>
          </w:rPr>
          <w:t>Table of Contents</w:t>
        </w:r>
      </w:hyperlink>
    </w:p>
    <w:p w14:paraId="4ACE42F8" w14:textId="77777777" w:rsidR="006F587A" w:rsidRDefault="006F587A">
      <w:pPr>
        <w:spacing w:line="288" w:lineRule="auto"/>
        <w:jc w:val="right"/>
        <w:rPr>
          <w:rFonts w:ascii="Times New Roman" w:hAnsi="Times New Roman"/>
          <w:sz w:val="16"/>
          <w:szCs w:val="16"/>
        </w:rPr>
      </w:pPr>
    </w:p>
    <w:p w14:paraId="4ACE42F9" w14:textId="77777777" w:rsidR="006F587A" w:rsidRDefault="006F587A">
      <w:pPr>
        <w:rPr>
          <w:rFonts w:ascii="Times New Roman" w:hAnsi="Times New Roman"/>
          <w:sz w:val="20"/>
          <w:szCs w:val="20"/>
        </w:rPr>
      </w:pPr>
    </w:p>
    <w:tbl>
      <w:tblPr>
        <w:tblW w:w="4973" w:type="pct"/>
        <w:tblCellMar>
          <w:left w:w="0" w:type="dxa"/>
          <w:right w:w="0" w:type="dxa"/>
        </w:tblCellMar>
        <w:tblLook w:val="04A0" w:firstRow="1" w:lastRow="0" w:firstColumn="1" w:lastColumn="0" w:noHBand="0" w:noVBand="1"/>
      </w:tblPr>
      <w:tblGrid>
        <w:gridCol w:w="8261"/>
      </w:tblGrid>
      <w:tr w:rsidR="006F587A" w14:paraId="4ACE42FB" w14:textId="77777777">
        <w:tc>
          <w:tcPr>
            <w:tcW w:w="0" w:type="auto"/>
            <w:shd w:val="clear" w:color="auto" w:fill="auto"/>
            <w:vAlign w:val="center"/>
          </w:tcPr>
          <w:p w14:paraId="4ACE42FA" w14:textId="77777777" w:rsidR="006F587A" w:rsidRDefault="006F587A">
            <w:pPr>
              <w:rPr>
                <w:rFonts w:ascii="Times New Roman" w:hAnsi="Times New Roman"/>
                <w:sz w:val="20"/>
                <w:szCs w:val="20"/>
              </w:rPr>
            </w:pPr>
          </w:p>
        </w:tc>
      </w:tr>
      <w:tr w:rsidR="006F587A" w14:paraId="4ACE42FD" w14:textId="77777777">
        <w:tc>
          <w:tcPr>
            <w:tcW w:w="5000" w:type="pct"/>
            <w:shd w:val="clear" w:color="auto" w:fill="auto"/>
            <w:vAlign w:val="center"/>
          </w:tcPr>
          <w:p w14:paraId="4ACE42FC" w14:textId="77777777" w:rsidR="006F587A" w:rsidRDefault="006F587A">
            <w:pPr>
              <w:rPr>
                <w:rFonts w:ascii="Times New Roman" w:hAnsi="Times New Roman"/>
                <w:sz w:val="20"/>
                <w:szCs w:val="20"/>
              </w:rPr>
            </w:pPr>
          </w:p>
        </w:tc>
      </w:tr>
      <w:tr w:rsidR="006F587A" w14:paraId="4ACE42FF" w14:textId="77777777">
        <w:tc>
          <w:tcPr>
            <w:tcW w:w="0" w:type="auto"/>
            <w:shd w:val="clear" w:color="auto" w:fill="0071C5"/>
            <w:tcMar>
              <w:top w:w="40" w:type="dxa"/>
              <w:left w:w="880" w:type="dxa"/>
              <w:bottom w:w="40" w:type="dxa"/>
              <w:right w:w="40" w:type="dxa"/>
            </w:tcMar>
            <w:vAlign w:val="bottom"/>
          </w:tcPr>
          <w:p w14:paraId="4ACE42FE" w14:textId="77777777" w:rsidR="006F587A" w:rsidRDefault="007B2B61">
            <w:pPr>
              <w:textAlignment w:val="bottom"/>
              <w:rPr>
                <w:rFonts w:ascii="Times New Roman" w:hAnsi="Times New Roman"/>
                <w:sz w:val="36"/>
                <w:szCs w:val="36"/>
              </w:rPr>
            </w:pPr>
            <w:r>
              <w:rPr>
                <w:rFonts w:ascii="Arial" w:eastAsia="宋体" w:hAnsi="Arial" w:cs="Arial"/>
                <w:b/>
                <w:bCs/>
                <w:color w:val="FFFFFF"/>
                <w:sz w:val="36"/>
                <w:szCs w:val="36"/>
              </w:rPr>
              <w:t>NOTES TO CONSOLIDATED FINANCIAL STATEMENTS</w:t>
            </w:r>
          </w:p>
        </w:tc>
      </w:tr>
    </w:tbl>
    <w:p w14:paraId="4ACE4300" w14:textId="77777777" w:rsidR="006F587A" w:rsidRDefault="006F587A">
      <w:pPr>
        <w:rPr>
          <w:vanish/>
        </w:rPr>
      </w:pPr>
    </w:p>
    <w:tbl>
      <w:tblPr>
        <w:tblW w:w="5000" w:type="pct"/>
        <w:tblCellMar>
          <w:left w:w="0" w:type="dxa"/>
          <w:right w:w="0" w:type="dxa"/>
        </w:tblCellMar>
        <w:tblLook w:val="04A0" w:firstRow="1" w:lastRow="0" w:firstColumn="1" w:lastColumn="0" w:noHBand="0" w:noVBand="1"/>
      </w:tblPr>
      <w:tblGrid>
        <w:gridCol w:w="997"/>
        <w:gridCol w:w="7309"/>
      </w:tblGrid>
      <w:tr w:rsidR="006F587A" w14:paraId="4ACE4302" w14:textId="77777777">
        <w:tc>
          <w:tcPr>
            <w:tcW w:w="0" w:type="auto"/>
            <w:gridSpan w:val="2"/>
            <w:shd w:val="clear" w:color="auto" w:fill="auto"/>
            <w:vAlign w:val="center"/>
          </w:tcPr>
          <w:p w14:paraId="4ACE4301" w14:textId="77777777" w:rsidR="006F587A" w:rsidRDefault="006F587A">
            <w:pPr>
              <w:rPr>
                <w:rFonts w:ascii="Times New Roman" w:hAnsi="Times New Roman"/>
                <w:sz w:val="20"/>
                <w:szCs w:val="20"/>
              </w:rPr>
            </w:pPr>
          </w:p>
        </w:tc>
      </w:tr>
      <w:tr w:rsidR="006F587A" w14:paraId="4ACE4305" w14:textId="77777777">
        <w:tc>
          <w:tcPr>
            <w:tcW w:w="600" w:type="pct"/>
            <w:shd w:val="clear" w:color="auto" w:fill="auto"/>
            <w:vAlign w:val="center"/>
          </w:tcPr>
          <w:p w14:paraId="4ACE4303" w14:textId="77777777" w:rsidR="006F587A" w:rsidRDefault="006F587A">
            <w:pPr>
              <w:rPr>
                <w:rFonts w:ascii="Times New Roman" w:hAnsi="Times New Roman"/>
                <w:sz w:val="20"/>
                <w:szCs w:val="20"/>
              </w:rPr>
            </w:pPr>
          </w:p>
        </w:tc>
        <w:tc>
          <w:tcPr>
            <w:tcW w:w="4400" w:type="pct"/>
            <w:shd w:val="clear" w:color="auto" w:fill="auto"/>
            <w:vAlign w:val="center"/>
          </w:tcPr>
          <w:p w14:paraId="4ACE4304" w14:textId="77777777" w:rsidR="006F587A" w:rsidRDefault="006F587A">
            <w:pPr>
              <w:rPr>
                <w:rFonts w:ascii="Times New Roman" w:hAnsi="Times New Roman"/>
                <w:sz w:val="20"/>
                <w:szCs w:val="20"/>
              </w:rPr>
            </w:pPr>
          </w:p>
        </w:tc>
      </w:tr>
      <w:tr w:rsidR="006F587A" w14:paraId="4ACE4308" w14:textId="77777777">
        <w:tc>
          <w:tcPr>
            <w:tcW w:w="0" w:type="auto"/>
            <w:tcBorders>
              <w:bottom w:val="single" w:sz="8" w:space="0" w:color="0071C5"/>
            </w:tcBorders>
            <w:shd w:val="clear" w:color="auto" w:fill="0071C5"/>
            <w:tcMar>
              <w:top w:w="40" w:type="dxa"/>
              <w:left w:w="40" w:type="dxa"/>
              <w:bottom w:w="40" w:type="dxa"/>
              <w:right w:w="40" w:type="dxa"/>
            </w:tcMar>
            <w:vAlign w:val="bottom"/>
          </w:tcPr>
          <w:p w14:paraId="4ACE4306" w14:textId="77777777" w:rsidR="006F587A" w:rsidRDefault="007B2B61">
            <w:pPr>
              <w:textAlignment w:val="bottom"/>
              <w:rPr>
                <w:rFonts w:ascii="Times New Roman" w:hAnsi="Times New Roman"/>
                <w:sz w:val="28"/>
                <w:szCs w:val="28"/>
              </w:rPr>
            </w:pPr>
            <w:r>
              <w:rPr>
                <w:rFonts w:ascii="Arial" w:eastAsia="宋体" w:hAnsi="Arial" w:cs="Arial"/>
                <w:b/>
                <w:bCs/>
                <w:color w:val="FFFFFF"/>
                <w:sz w:val="28"/>
                <w:szCs w:val="28"/>
                <w:shd w:val="clear" w:color="auto" w:fill="0071C5"/>
              </w:rPr>
              <w:t xml:space="preserve">NOTE 1 : </w:t>
            </w:r>
          </w:p>
        </w:tc>
        <w:tc>
          <w:tcPr>
            <w:tcW w:w="0" w:type="auto"/>
            <w:tcBorders>
              <w:bottom w:val="single" w:sz="8" w:space="0" w:color="0071C5"/>
            </w:tcBorders>
            <w:shd w:val="clear" w:color="auto" w:fill="auto"/>
            <w:tcMar>
              <w:top w:w="40" w:type="dxa"/>
              <w:left w:w="40" w:type="dxa"/>
              <w:bottom w:w="40" w:type="dxa"/>
              <w:right w:w="40" w:type="dxa"/>
            </w:tcMar>
            <w:vAlign w:val="bottom"/>
          </w:tcPr>
          <w:p w14:paraId="4ACE4307" w14:textId="77777777" w:rsidR="006F587A" w:rsidRDefault="007B2B61">
            <w:pPr>
              <w:textAlignment w:val="bottom"/>
              <w:rPr>
                <w:rFonts w:ascii="Times New Roman" w:hAnsi="Times New Roman"/>
                <w:sz w:val="28"/>
                <w:szCs w:val="28"/>
              </w:rPr>
            </w:pPr>
            <w:r>
              <w:rPr>
                <w:rFonts w:ascii="Arial" w:eastAsia="宋体" w:hAnsi="Arial" w:cs="Arial"/>
                <w:b/>
                <w:bCs/>
                <w:color w:val="0071C5"/>
                <w:sz w:val="28"/>
                <w:szCs w:val="28"/>
              </w:rPr>
              <w:t xml:space="preserve">BASIS OF </w:t>
            </w:r>
            <w:r>
              <w:rPr>
                <w:rFonts w:ascii="Arial" w:eastAsia="宋体" w:hAnsi="Arial" w:cs="Arial"/>
                <w:b/>
                <w:bCs/>
                <w:color w:val="0071C5"/>
                <w:sz w:val="28"/>
                <w:szCs w:val="28"/>
              </w:rPr>
              <w:t>PRESENTATION</w:t>
            </w:r>
          </w:p>
        </w:tc>
      </w:tr>
    </w:tbl>
    <w:p w14:paraId="4ACE4309"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We have a 52- or 53-week fiscal year that ends on the last Saturday in December. Fiscal years 2019, 2018, and 2017 were 52-week fiscal years. Our Consolidated Financial Statements include the accounts of Intel and our </w:t>
      </w:r>
      <w:r>
        <w:rPr>
          <w:rFonts w:ascii="Arial" w:eastAsia="宋体" w:hAnsi="Arial" w:cs="Arial"/>
          <w:color w:val="333333"/>
          <w:sz w:val="18"/>
          <w:szCs w:val="18"/>
        </w:rPr>
        <w:t>subsidiaries. We have eliminated intercompany accounts and transactions. We have reclassified certain prior period amounts to conform to current period presentation.</w:t>
      </w:r>
    </w:p>
    <w:p w14:paraId="4ACE430A" w14:textId="77777777" w:rsidR="006F587A" w:rsidRDefault="007B2B61">
      <w:pPr>
        <w:spacing w:line="288" w:lineRule="auto"/>
        <w:rPr>
          <w:rFonts w:ascii="Times New Roman" w:hAnsi="Times New Roman"/>
        </w:rPr>
      </w:pPr>
      <w:r>
        <w:rPr>
          <w:rFonts w:ascii="Arial" w:eastAsia="宋体" w:hAnsi="Arial" w:cs="Arial"/>
          <w:b/>
          <w:bCs/>
          <w:color w:val="0071C5"/>
        </w:rPr>
        <w:t>USE OF ESTIMATES</w:t>
      </w:r>
    </w:p>
    <w:p w14:paraId="4ACE430B"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The preparation of Consolidated Financial Statements in conformity with U</w:t>
      </w:r>
      <w:r>
        <w:rPr>
          <w:rFonts w:ascii="Arial" w:eastAsia="宋体" w:hAnsi="Arial" w:cs="Arial"/>
          <w:color w:val="333333"/>
          <w:sz w:val="18"/>
          <w:szCs w:val="18"/>
        </w:rPr>
        <w:t>.S. GAAP requires us to make estimates and judgments that affect the amounts reported in our Consolidated Financial Statements and the accompanying notes. The actual results that we experience may differ materially from our estimates.</w:t>
      </w:r>
    </w:p>
    <w:tbl>
      <w:tblPr>
        <w:tblW w:w="5000" w:type="pct"/>
        <w:tblCellMar>
          <w:left w:w="0" w:type="dxa"/>
          <w:right w:w="0" w:type="dxa"/>
        </w:tblCellMar>
        <w:tblLook w:val="04A0" w:firstRow="1" w:lastRow="0" w:firstColumn="1" w:lastColumn="0" w:noHBand="0" w:noVBand="1"/>
      </w:tblPr>
      <w:tblGrid>
        <w:gridCol w:w="997"/>
        <w:gridCol w:w="7309"/>
      </w:tblGrid>
      <w:tr w:rsidR="006F587A" w14:paraId="4ACE430D" w14:textId="77777777">
        <w:tc>
          <w:tcPr>
            <w:tcW w:w="0" w:type="auto"/>
            <w:gridSpan w:val="2"/>
            <w:shd w:val="clear" w:color="auto" w:fill="auto"/>
            <w:vAlign w:val="center"/>
          </w:tcPr>
          <w:p w14:paraId="4ACE430C" w14:textId="77777777" w:rsidR="006F587A" w:rsidRDefault="006F587A">
            <w:pPr>
              <w:rPr>
                <w:rFonts w:ascii="Times New Roman" w:hAnsi="Times New Roman"/>
                <w:sz w:val="20"/>
                <w:szCs w:val="20"/>
              </w:rPr>
            </w:pPr>
          </w:p>
        </w:tc>
      </w:tr>
      <w:tr w:rsidR="006F587A" w14:paraId="4ACE4310" w14:textId="77777777">
        <w:tc>
          <w:tcPr>
            <w:tcW w:w="600" w:type="pct"/>
            <w:shd w:val="clear" w:color="auto" w:fill="auto"/>
            <w:vAlign w:val="center"/>
          </w:tcPr>
          <w:p w14:paraId="4ACE430E" w14:textId="77777777" w:rsidR="006F587A" w:rsidRDefault="006F587A">
            <w:pPr>
              <w:rPr>
                <w:rFonts w:ascii="Times New Roman" w:hAnsi="Times New Roman"/>
                <w:sz w:val="20"/>
                <w:szCs w:val="20"/>
              </w:rPr>
            </w:pPr>
          </w:p>
        </w:tc>
        <w:tc>
          <w:tcPr>
            <w:tcW w:w="4400" w:type="pct"/>
            <w:shd w:val="clear" w:color="auto" w:fill="auto"/>
            <w:vAlign w:val="center"/>
          </w:tcPr>
          <w:p w14:paraId="4ACE430F" w14:textId="77777777" w:rsidR="006F587A" w:rsidRDefault="006F587A">
            <w:pPr>
              <w:rPr>
                <w:rFonts w:ascii="Times New Roman" w:hAnsi="Times New Roman"/>
                <w:sz w:val="20"/>
                <w:szCs w:val="20"/>
              </w:rPr>
            </w:pPr>
          </w:p>
        </w:tc>
      </w:tr>
      <w:tr w:rsidR="006F587A" w14:paraId="4ACE4313" w14:textId="77777777">
        <w:tc>
          <w:tcPr>
            <w:tcW w:w="0" w:type="auto"/>
            <w:tcBorders>
              <w:bottom w:val="single" w:sz="8" w:space="0" w:color="0071C5"/>
            </w:tcBorders>
            <w:shd w:val="clear" w:color="auto" w:fill="0071C5"/>
            <w:tcMar>
              <w:top w:w="40" w:type="dxa"/>
              <w:left w:w="40" w:type="dxa"/>
              <w:bottom w:w="40" w:type="dxa"/>
              <w:right w:w="40" w:type="dxa"/>
            </w:tcMar>
            <w:vAlign w:val="bottom"/>
          </w:tcPr>
          <w:p w14:paraId="4ACE4311" w14:textId="77777777" w:rsidR="006F587A" w:rsidRDefault="007B2B61">
            <w:pPr>
              <w:textAlignment w:val="bottom"/>
              <w:rPr>
                <w:rFonts w:ascii="Times New Roman" w:hAnsi="Times New Roman"/>
                <w:sz w:val="28"/>
                <w:szCs w:val="28"/>
              </w:rPr>
            </w:pPr>
            <w:r>
              <w:rPr>
                <w:rFonts w:ascii="Arial" w:eastAsia="宋体" w:hAnsi="Arial" w:cs="Arial"/>
                <w:b/>
                <w:bCs/>
                <w:color w:val="FFFFFF"/>
                <w:sz w:val="28"/>
                <w:szCs w:val="28"/>
                <w:shd w:val="clear" w:color="auto" w:fill="0071C5"/>
              </w:rPr>
              <w:t xml:space="preserve">NOTE 2 : </w:t>
            </w:r>
          </w:p>
        </w:tc>
        <w:tc>
          <w:tcPr>
            <w:tcW w:w="0" w:type="auto"/>
            <w:tcBorders>
              <w:bottom w:val="single" w:sz="8" w:space="0" w:color="0071C5"/>
            </w:tcBorders>
            <w:shd w:val="clear" w:color="auto" w:fill="auto"/>
            <w:tcMar>
              <w:top w:w="40" w:type="dxa"/>
              <w:left w:w="40" w:type="dxa"/>
              <w:bottom w:w="40" w:type="dxa"/>
              <w:right w:w="40" w:type="dxa"/>
            </w:tcMar>
            <w:vAlign w:val="bottom"/>
          </w:tcPr>
          <w:p w14:paraId="4ACE4312" w14:textId="77777777" w:rsidR="006F587A" w:rsidRDefault="007B2B61">
            <w:pPr>
              <w:textAlignment w:val="bottom"/>
              <w:rPr>
                <w:rFonts w:ascii="Times New Roman" w:hAnsi="Times New Roman"/>
                <w:sz w:val="28"/>
                <w:szCs w:val="28"/>
              </w:rPr>
            </w:pPr>
            <w:r>
              <w:rPr>
                <w:rFonts w:ascii="Arial" w:eastAsia="宋体" w:hAnsi="Arial" w:cs="Arial"/>
                <w:b/>
                <w:bCs/>
                <w:color w:val="0071C5"/>
                <w:sz w:val="28"/>
                <w:szCs w:val="28"/>
              </w:rPr>
              <w:t>ACCOUNTING POLICIES</w:t>
            </w:r>
          </w:p>
        </w:tc>
      </w:tr>
    </w:tbl>
    <w:p w14:paraId="4ACE4314" w14:textId="77777777" w:rsidR="006F587A" w:rsidRDefault="006F587A">
      <w:pPr>
        <w:spacing w:line="288" w:lineRule="auto"/>
        <w:rPr>
          <w:rFonts w:ascii="Times New Roman" w:hAnsi="Times New Roman"/>
          <w:sz w:val="28"/>
          <w:szCs w:val="28"/>
        </w:rPr>
      </w:pPr>
    </w:p>
    <w:p w14:paraId="4ACE4315" w14:textId="77777777" w:rsidR="006F587A" w:rsidRDefault="007B2B61">
      <w:pPr>
        <w:spacing w:line="288" w:lineRule="auto"/>
        <w:rPr>
          <w:rFonts w:ascii="Times New Roman" w:hAnsi="Times New Roman"/>
        </w:rPr>
      </w:pPr>
      <w:r>
        <w:rPr>
          <w:rFonts w:ascii="Arial" w:eastAsia="宋体" w:hAnsi="Arial" w:cs="Arial"/>
          <w:b/>
          <w:bCs/>
          <w:color w:val="0071C5"/>
        </w:rPr>
        <w:t>REVENUE RECOGNITION</w:t>
      </w:r>
    </w:p>
    <w:p w14:paraId="4ACE4316"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We recognize net product revenue when we satisfy performance obligations as evidenced by the transfer of control of our products or services to customers. Substantially all of our revenue is </w:t>
      </w:r>
      <w:r>
        <w:rPr>
          <w:rFonts w:ascii="Arial" w:eastAsia="宋体" w:hAnsi="Arial" w:cs="Arial"/>
          <w:color w:val="333333"/>
          <w:sz w:val="18"/>
          <w:szCs w:val="18"/>
        </w:rPr>
        <w:t>derived from product sales. In accordance with contract terms, revenue for product sales is recognized at the time of product shipment from our facilities or delivery to the customer location, as determined by the agreed upon shipping terms. Prior to 2018,</w:t>
      </w:r>
      <w:r>
        <w:rPr>
          <w:rFonts w:ascii="Arial" w:eastAsia="宋体" w:hAnsi="Arial" w:cs="Arial"/>
          <w:color w:val="333333"/>
          <w:sz w:val="18"/>
          <w:szCs w:val="18"/>
        </w:rPr>
        <w:t xml:space="preserve"> we deferred product revenue and related costs of sales on sales made to distributors that allowed for price protections or right of return until the distributor sold through the merchandise. We include shipping charges billed to customers in net revenue, </w:t>
      </w:r>
      <w:r>
        <w:rPr>
          <w:rFonts w:ascii="Arial" w:eastAsia="宋体" w:hAnsi="Arial" w:cs="Arial"/>
          <w:color w:val="333333"/>
          <w:sz w:val="18"/>
          <w:szCs w:val="18"/>
        </w:rPr>
        <w:t>and include the related shipping costs in cost of sales.</w:t>
      </w:r>
    </w:p>
    <w:p w14:paraId="4ACE4317"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measure revenue based on the amount of consideration we expect to be entitled to in exchange for products or services. Variable consideration is estimated and reflected as an adjustment to the tra</w:t>
      </w:r>
      <w:r>
        <w:rPr>
          <w:rFonts w:ascii="Arial" w:eastAsia="宋体" w:hAnsi="Arial" w:cs="Arial"/>
          <w:color w:val="333333"/>
          <w:sz w:val="18"/>
          <w:szCs w:val="18"/>
        </w:rPr>
        <w:t>nsaction price. We determine variable consideration, which consists primarily of various sales price concessions, by estimating the most likely amount of consideration we expect to receive from the customer based on historical analysis of customer purchase</w:t>
      </w:r>
      <w:r>
        <w:rPr>
          <w:rFonts w:ascii="Arial" w:eastAsia="宋体" w:hAnsi="Arial" w:cs="Arial"/>
          <w:color w:val="333333"/>
          <w:sz w:val="18"/>
          <w:szCs w:val="18"/>
        </w:rPr>
        <w:t xml:space="preserve"> volumes. Sales rebates earned by customers are offset against their receivable balances. Rebates earned by customers when they do not </w:t>
      </w:r>
      <w:r>
        <w:rPr>
          <w:rFonts w:ascii="Arial" w:eastAsia="宋体" w:hAnsi="Arial" w:cs="Arial"/>
          <w:color w:val="333333"/>
          <w:sz w:val="18"/>
          <w:szCs w:val="18"/>
        </w:rPr>
        <w:lastRenderedPageBreak/>
        <w:t>have outstanding receivable balances are recorded within other accrued liabilities. The impacts of distributor sales pric</w:t>
      </w:r>
      <w:r>
        <w:rPr>
          <w:rFonts w:ascii="Arial" w:eastAsia="宋体" w:hAnsi="Arial" w:cs="Arial"/>
          <w:color w:val="333333"/>
          <w:sz w:val="18"/>
          <w:szCs w:val="18"/>
        </w:rPr>
        <w:t>e reductions resulting from price protection agreements are also estimated based on historical analysis of such activity and are reflected as a reduction in net revenue.</w:t>
      </w:r>
    </w:p>
    <w:p w14:paraId="4ACE4318"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make payments to our customers through cooperative advertising programs for marketi</w:t>
      </w:r>
      <w:r>
        <w:rPr>
          <w:rFonts w:ascii="Arial" w:eastAsia="宋体" w:hAnsi="Arial" w:cs="Arial"/>
          <w:color w:val="333333"/>
          <w:sz w:val="18"/>
          <w:szCs w:val="18"/>
        </w:rPr>
        <w:t>ng activities for certain of our products. We generally record the payment as a reduction in revenue in the period that the revenue is earned, unless the payment is for a distinct service, which we record as expense when the marketing activities occur. Dur</w:t>
      </w:r>
      <w:r>
        <w:rPr>
          <w:rFonts w:ascii="Arial" w:eastAsia="宋体" w:hAnsi="Arial" w:cs="Arial"/>
          <w:color w:val="333333"/>
          <w:sz w:val="18"/>
          <w:szCs w:val="18"/>
        </w:rPr>
        <w:t>ing the second half of 2017, we transitioned customers from previous offerings under the Intel Inside</w:t>
      </w:r>
      <w:r>
        <w:rPr>
          <w:rFonts w:ascii="Arial" w:eastAsia="宋体" w:hAnsi="Arial" w:cs="Arial"/>
          <w:color w:val="333333"/>
          <w:sz w:val="12"/>
          <w:szCs w:val="12"/>
        </w:rPr>
        <w:t>®</w:t>
      </w:r>
      <w:r>
        <w:rPr>
          <w:rFonts w:ascii="Arial" w:eastAsia="宋体" w:hAnsi="Arial" w:cs="Arial"/>
          <w:color w:val="333333"/>
          <w:sz w:val="18"/>
          <w:szCs w:val="18"/>
        </w:rPr>
        <w:t xml:space="preserve"> program to cooperative advertising offerings more tailored to customers and their marketing audiences. These cooperative advertising costs are recorded a</w:t>
      </w:r>
      <w:r>
        <w:rPr>
          <w:rFonts w:ascii="Arial" w:eastAsia="宋体" w:hAnsi="Arial" w:cs="Arial"/>
          <w:color w:val="333333"/>
          <w:sz w:val="18"/>
          <w:szCs w:val="18"/>
        </w:rPr>
        <w:t xml:space="preserve">s a reduction of revenue beginning in the second half of 2017, as we no longer meet the criteria for recording these as expense. </w:t>
      </w:r>
    </w:p>
    <w:p w14:paraId="4ACE4319" w14:textId="77777777" w:rsidR="006F587A" w:rsidRDefault="007B2B61">
      <w:pPr>
        <w:spacing w:line="288" w:lineRule="auto"/>
        <w:rPr>
          <w:rFonts w:ascii="Times New Roman" w:hAnsi="Times New Roman"/>
        </w:rPr>
      </w:pPr>
      <w:r>
        <w:rPr>
          <w:rFonts w:ascii="Arial" w:eastAsia="宋体" w:hAnsi="Arial" w:cs="Arial"/>
          <w:b/>
          <w:bCs/>
          <w:color w:val="0071C5"/>
        </w:rPr>
        <w:t>INVENTORIES</w:t>
      </w:r>
    </w:p>
    <w:p w14:paraId="4ACE431A"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compute inventory cost on a first-in, first-out basis. Our process and product development life cycle corresponds with substantive engineering milestones. These engineering milestones are regularly and consistently applied in assessing the point at whic</w:t>
      </w:r>
      <w:r>
        <w:rPr>
          <w:rFonts w:ascii="Arial" w:eastAsia="宋体" w:hAnsi="Arial" w:cs="Arial"/>
          <w:color w:val="333333"/>
          <w:sz w:val="18"/>
          <w:szCs w:val="18"/>
        </w:rPr>
        <w:t xml:space="preserve">h our activities and associated costs change in nature from R&amp;D to cost of sales, and when cost of sales can be capitalized as inventory. </w:t>
      </w:r>
    </w:p>
    <w:p w14:paraId="4ACE431B"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For a product to be manufactured in high volumes and sold to our customers under our standard warranty, it must meet </w:t>
      </w:r>
      <w:r>
        <w:rPr>
          <w:rFonts w:ascii="Arial" w:eastAsia="宋体" w:hAnsi="Arial" w:cs="Arial"/>
          <w:color w:val="333333"/>
          <w:sz w:val="18"/>
          <w:szCs w:val="18"/>
        </w:rPr>
        <w:t xml:space="preserve">our rigorous technical quality specifications. This milestone is known as PRQ. We have identified PRQ as the point at which the costs incurred to manufacture our products are included in the valuation of inventory. Prior to PRQ, costs that do not meet the </w:t>
      </w:r>
      <w:r>
        <w:rPr>
          <w:rFonts w:ascii="Arial" w:eastAsia="宋体" w:hAnsi="Arial" w:cs="Arial"/>
          <w:color w:val="333333"/>
          <w:sz w:val="18"/>
          <w:szCs w:val="18"/>
        </w:rPr>
        <w:t>criteria for R&amp;D are included in cost of sales in the period incurred. A single PRQ has previously ranged up to $870 million for our high-volume products.</w:t>
      </w:r>
    </w:p>
    <w:p w14:paraId="4ACE431C"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The valuation of inventory includes determining which fixed production overhead costs can be included</w:t>
      </w:r>
      <w:r>
        <w:rPr>
          <w:rFonts w:ascii="Arial" w:eastAsia="宋体" w:hAnsi="Arial" w:cs="Arial"/>
          <w:color w:val="333333"/>
          <w:sz w:val="18"/>
          <w:szCs w:val="18"/>
        </w:rPr>
        <w:t xml:space="preserve"> in inventory based on the normal capacity of our manufacturing and assembly and test facilities. We apply our historical loadings compared to our total available capacity in a statistical model to determine our normal capacity level. If the factory loadin</w:t>
      </w:r>
      <w:r>
        <w:rPr>
          <w:rFonts w:ascii="Arial" w:eastAsia="宋体" w:hAnsi="Arial" w:cs="Arial"/>
          <w:color w:val="333333"/>
          <w:sz w:val="18"/>
          <w:szCs w:val="18"/>
        </w:rPr>
        <w:t>gs are below the established normal capacity level, a portion of our fixed production overhead costs would not be included in the cost of inventory; instead, it would be recognized as cost of sales in that period. We refer to these costs as excess capacity</w:t>
      </w:r>
      <w:r>
        <w:rPr>
          <w:rFonts w:ascii="Arial" w:eastAsia="宋体" w:hAnsi="Arial" w:cs="Arial"/>
          <w:color w:val="333333"/>
          <w:sz w:val="18"/>
          <w:szCs w:val="18"/>
        </w:rPr>
        <w:t xml:space="preserve"> charges. Excess capacity charges are insignificant in the years presented. Charges in years prior to those presented have ranged up to $1.1 billion taken in connection with the 2009 economic recession.</w:t>
      </w:r>
    </w:p>
    <w:p w14:paraId="4ACE431D"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431F" w14:textId="77777777">
        <w:tc>
          <w:tcPr>
            <w:tcW w:w="0" w:type="auto"/>
            <w:gridSpan w:val="3"/>
            <w:shd w:val="clear" w:color="auto" w:fill="auto"/>
            <w:vAlign w:val="center"/>
          </w:tcPr>
          <w:p w14:paraId="4ACE431E" w14:textId="77777777" w:rsidR="006F587A" w:rsidRDefault="006F587A">
            <w:pPr>
              <w:rPr>
                <w:rFonts w:ascii="Times New Roman" w:hAnsi="Times New Roman"/>
                <w:sz w:val="20"/>
                <w:szCs w:val="20"/>
              </w:rPr>
            </w:pPr>
          </w:p>
        </w:tc>
      </w:tr>
      <w:tr w:rsidR="006F587A" w14:paraId="4ACE4323" w14:textId="77777777">
        <w:tc>
          <w:tcPr>
            <w:tcW w:w="1300" w:type="pct"/>
            <w:shd w:val="clear" w:color="auto" w:fill="auto"/>
            <w:vAlign w:val="center"/>
          </w:tcPr>
          <w:p w14:paraId="4ACE4320" w14:textId="77777777" w:rsidR="006F587A" w:rsidRDefault="006F587A">
            <w:pPr>
              <w:rPr>
                <w:rFonts w:ascii="Times New Roman" w:hAnsi="Times New Roman"/>
                <w:sz w:val="20"/>
                <w:szCs w:val="20"/>
              </w:rPr>
            </w:pPr>
          </w:p>
        </w:tc>
        <w:tc>
          <w:tcPr>
            <w:tcW w:w="1600" w:type="pct"/>
            <w:shd w:val="clear" w:color="auto" w:fill="auto"/>
            <w:vAlign w:val="center"/>
          </w:tcPr>
          <w:p w14:paraId="4ACE4321" w14:textId="77777777" w:rsidR="006F587A" w:rsidRDefault="006F587A">
            <w:pPr>
              <w:rPr>
                <w:rFonts w:ascii="Times New Roman" w:hAnsi="Times New Roman"/>
                <w:sz w:val="20"/>
                <w:szCs w:val="20"/>
              </w:rPr>
            </w:pPr>
          </w:p>
        </w:tc>
        <w:tc>
          <w:tcPr>
            <w:tcW w:w="2100" w:type="pct"/>
            <w:shd w:val="clear" w:color="auto" w:fill="auto"/>
            <w:vAlign w:val="center"/>
          </w:tcPr>
          <w:p w14:paraId="4ACE4322" w14:textId="77777777" w:rsidR="006F587A" w:rsidRDefault="006F587A">
            <w:pPr>
              <w:rPr>
                <w:rFonts w:ascii="Times New Roman" w:hAnsi="Times New Roman"/>
                <w:sz w:val="20"/>
                <w:szCs w:val="20"/>
              </w:rPr>
            </w:pPr>
          </w:p>
        </w:tc>
      </w:tr>
      <w:tr w:rsidR="006F587A" w14:paraId="4ACE4327" w14:textId="77777777">
        <w:tc>
          <w:tcPr>
            <w:tcW w:w="0" w:type="auto"/>
            <w:tcBorders>
              <w:top w:val="single" w:sz="8" w:space="0" w:color="0071C5"/>
            </w:tcBorders>
            <w:shd w:val="clear" w:color="auto" w:fill="auto"/>
            <w:tcMar>
              <w:top w:w="40" w:type="dxa"/>
              <w:left w:w="40" w:type="dxa"/>
              <w:bottom w:w="40" w:type="dxa"/>
              <w:right w:w="40" w:type="dxa"/>
            </w:tcMar>
            <w:vAlign w:val="bottom"/>
          </w:tcPr>
          <w:p w14:paraId="4ACE4324" w14:textId="77777777" w:rsidR="006F587A" w:rsidRDefault="007B2B61">
            <w:pPr>
              <w:textAlignment w:val="bottom"/>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C6" wp14:editId="4ACE6DC7">
                  <wp:extent cx="304800" cy="304800"/>
                  <wp:effectExtent l="0" t="0" r="0" b="0"/>
                  <wp:docPr id="170" name="图片 286"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286"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left w:val="single" w:sz="36" w:space="0" w:color="0071C5"/>
            </w:tcBorders>
            <w:shd w:val="clear" w:color="auto" w:fill="auto"/>
            <w:tcMar>
              <w:top w:w="40" w:type="dxa"/>
              <w:left w:w="40" w:type="dxa"/>
              <w:bottom w:w="40" w:type="dxa"/>
              <w:right w:w="40" w:type="dxa"/>
            </w:tcMar>
            <w:vAlign w:val="bottom"/>
          </w:tcPr>
          <w:p w14:paraId="4ACE4325" w14:textId="77777777" w:rsidR="006F587A" w:rsidRDefault="007B2B61">
            <w:pPr>
              <w:textAlignment w:val="bottom"/>
              <w:rPr>
                <w:rFonts w:ascii="Times New Roman" w:hAnsi="Times New Roman"/>
                <w:sz w:val="16"/>
                <w:szCs w:val="16"/>
              </w:rPr>
            </w:pPr>
            <w:r>
              <w:rPr>
                <w:rFonts w:ascii="Arial" w:eastAsia="宋体" w:hAnsi="Arial" w:cs="Arial"/>
                <w:color w:val="333333"/>
                <w:sz w:val="16"/>
                <w:szCs w:val="16"/>
              </w:rPr>
              <w:t> Notes to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4326"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74</w:t>
            </w:r>
          </w:p>
        </w:tc>
      </w:tr>
    </w:tbl>
    <w:p w14:paraId="4ACE4328" w14:textId="77777777" w:rsidR="006F587A" w:rsidRDefault="007B2B61">
      <w:r>
        <w:pict w14:anchorId="4ACE6DC8">
          <v:rect id="_x0000_i1100" style="width:415.3pt;height:1.5pt" o:hralign="center" o:hrstd="t" o:hr="t" fillcolor="#a0a0a0" stroked="f"/>
        </w:pict>
      </w:r>
    </w:p>
    <w:p w14:paraId="4ACE4329" w14:textId="77777777" w:rsidR="006F587A" w:rsidRDefault="007B2B61">
      <w:pPr>
        <w:spacing w:line="288" w:lineRule="auto"/>
        <w:jc w:val="right"/>
        <w:rPr>
          <w:rFonts w:ascii="Times New Roman" w:hAnsi="Times New Roman"/>
          <w:sz w:val="16"/>
          <w:szCs w:val="16"/>
        </w:rPr>
      </w:pPr>
      <w:hyperlink r:id="rId139" w:anchor="s9DB683E2CF52561EB8A73BE37F5BF9BE" w:history="1">
        <w:r>
          <w:rPr>
            <w:rStyle w:val="a5"/>
            <w:rFonts w:ascii="Arial" w:eastAsia="宋体" w:hAnsi="Arial" w:cs="Arial"/>
            <w:b/>
            <w:bCs/>
            <w:sz w:val="16"/>
            <w:szCs w:val="16"/>
          </w:rPr>
          <w:t>Table of Contents</w:t>
        </w:r>
      </w:hyperlink>
    </w:p>
    <w:p w14:paraId="4ACE432A" w14:textId="77777777" w:rsidR="006F587A" w:rsidRDefault="006F587A">
      <w:pPr>
        <w:spacing w:line="288" w:lineRule="auto"/>
        <w:jc w:val="right"/>
        <w:rPr>
          <w:rFonts w:ascii="Times New Roman" w:hAnsi="Times New Roman"/>
          <w:sz w:val="16"/>
          <w:szCs w:val="16"/>
        </w:rPr>
      </w:pPr>
    </w:p>
    <w:p w14:paraId="4ACE432B" w14:textId="77777777" w:rsidR="006F587A" w:rsidRDefault="006F587A">
      <w:pPr>
        <w:rPr>
          <w:rFonts w:ascii="Times New Roman" w:hAnsi="Times New Roman"/>
          <w:sz w:val="20"/>
          <w:szCs w:val="20"/>
        </w:rPr>
      </w:pPr>
    </w:p>
    <w:p w14:paraId="4ACE432C"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Inventory is valued at the lower of cost or net realizable value, based upon assumptions about future demand and </w:t>
      </w:r>
      <w:r>
        <w:rPr>
          <w:rFonts w:ascii="Arial" w:eastAsia="宋体" w:hAnsi="Arial" w:cs="Arial"/>
          <w:color w:val="333333"/>
          <w:sz w:val="18"/>
          <w:szCs w:val="18"/>
        </w:rPr>
        <w:t>market conditions. Product-specific facts and circumstances reviewed in the inventory valuation process include a review of our customer base, the stage of the product life cycle, variations in market pricing, and an assessment of selling price in relation</w:t>
      </w:r>
      <w:r>
        <w:rPr>
          <w:rFonts w:ascii="Arial" w:eastAsia="宋体" w:hAnsi="Arial" w:cs="Arial"/>
          <w:color w:val="333333"/>
          <w:sz w:val="18"/>
          <w:szCs w:val="18"/>
        </w:rPr>
        <w:t xml:space="preserve"> to product cost. Lower of cost or net realizable value inventory reserves fluctuate as we ramp new process technologies with costs improving over time due to scale and improved yields. Additionally, inventory valuation is impacted by cyclical changes in m</w:t>
      </w:r>
      <w:r>
        <w:rPr>
          <w:rFonts w:ascii="Arial" w:eastAsia="宋体" w:hAnsi="Arial" w:cs="Arial"/>
          <w:color w:val="333333"/>
          <w:sz w:val="18"/>
          <w:szCs w:val="18"/>
        </w:rPr>
        <w:t>arket conditions and the associated pricing environment.</w:t>
      </w:r>
    </w:p>
    <w:p w14:paraId="4ACE432D"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The valuation of inventory also requires us to estimate obsolete and excess inventory, as well as inventory that is not of salable quality. We use the demand forecast to develop our short-term manufa</w:t>
      </w:r>
      <w:r>
        <w:rPr>
          <w:rFonts w:ascii="Arial" w:eastAsia="宋体" w:hAnsi="Arial" w:cs="Arial"/>
          <w:color w:val="333333"/>
          <w:sz w:val="18"/>
          <w:szCs w:val="18"/>
        </w:rPr>
        <w:t>cturing plans to enable consistency between inventory valuations and build decisions. For certain new products, we have limited historical data when developing these demand forecasts. We compare the estimate of future demand to work in process and finished</w:t>
      </w:r>
      <w:r>
        <w:rPr>
          <w:rFonts w:ascii="Arial" w:eastAsia="宋体" w:hAnsi="Arial" w:cs="Arial"/>
          <w:color w:val="333333"/>
          <w:sz w:val="18"/>
          <w:szCs w:val="18"/>
        </w:rPr>
        <w:t xml:space="preserve"> goods inventory levels to determine the amount, if any, of obsolete or excess inventory. When our demand forecast for specific products is greater than actual demand and we fail to reduce manufacturing output accordingly, we are required to write off inve</w:t>
      </w:r>
      <w:r>
        <w:rPr>
          <w:rFonts w:ascii="Arial" w:eastAsia="宋体" w:hAnsi="Arial" w:cs="Arial"/>
          <w:color w:val="333333"/>
          <w:sz w:val="18"/>
          <w:szCs w:val="18"/>
        </w:rPr>
        <w:t>ntory.</w:t>
      </w:r>
    </w:p>
    <w:p w14:paraId="4ACE432E" w14:textId="77777777" w:rsidR="006F587A" w:rsidRDefault="007B2B61">
      <w:pPr>
        <w:spacing w:line="288" w:lineRule="auto"/>
        <w:rPr>
          <w:rFonts w:ascii="Times New Roman" w:hAnsi="Times New Roman"/>
        </w:rPr>
      </w:pPr>
      <w:r>
        <w:rPr>
          <w:rFonts w:ascii="Arial" w:eastAsia="宋体" w:hAnsi="Arial" w:cs="Arial"/>
          <w:b/>
          <w:bCs/>
          <w:color w:val="0071C5"/>
        </w:rPr>
        <w:lastRenderedPageBreak/>
        <w:t>PROPERTY, PLANT AND EQUIPMENT</w:t>
      </w:r>
    </w:p>
    <w:p w14:paraId="4ACE432F"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compute depreciation using the straight-line method over the estimated useful life of assets. We also capitalize interest on borrowings related to eligible capital expenditures. Capitalized interest is added to the c</w:t>
      </w:r>
      <w:r>
        <w:rPr>
          <w:rFonts w:ascii="Arial" w:eastAsia="宋体" w:hAnsi="Arial" w:cs="Arial"/>
          <w:color w:val="333333"/>
          <w:sz w:val="18"/>
          <w:szCs w:val="18"/>
        </w:rPr>
        <w:t>ost of qualified assets and depreciated together with that asset cost. We record capital-related government grants earned as a reduction to property, plant and equipment.</w:t>
      </w:r>
    </w:p>
    <w:p w14:paraId="4ACE4330"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evaluate the period over which we expect to recover the economic value of our prop</w:t>
      </w:r>
      <w:r>
        <w:rPr>
          <w:rFonts w:ascii="Arial" w:eastAsia="宋体" w:hAnsi="Arial" w:cs="Arial"/>
          <w:color w:val="333333"/>
          <w:sz w:val="18"/>
          <w:szCs w:val="18"/>
        </w:rPr>
        <w:t>erty, plant and equipment, considering factors such as the process technology cadence between node transitions, changes in machinery and equipment technology, and re-use of machinery and tools across each generation of process technology. As we make manufa</w:t>
      </w:r>
      <w:r>
        <w:rPr>
          <w:rFonts w:ascii="Arial" w:eastAsia="宋体" w:hAnsi="Arial" w:cs="Arial"/>
          <w:color w:val="333333"/>
          <w:sz w:val="18"/>
          <w:szCs w:val="18"/>
        </w:rPr>
        <w:t>cturing process conversions and other factory planning decisions, we use assumptions involving the use of management judgments regarding the remaining useful lives of assets, primarily process-specific semiconductor manufacturing tools and building improve</w:t>
      </w:r>
      <w:r>
        <w:rPr>
          <w:rFonts w:ascii="Arial" w:eastAsia="宋体" w:hAnsi="Arial" w:cs="Arial"/>
          <w:color w:val="333333"/>
          <w:sz w:val="18"/>
          <w:szCs w:val="18"/>
        </w:rPr>
        <w:t>ments. When we determine that the useful lives of assets are shorter or longer than we had originally estimated, we adjust the rate of depreciation to reflect the assets’ revised useful lives.</w:t>
      </w:r>
    </w:p>
    <w:p w14:paraId="4ACE4331"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Assets are “grouped” and evaluated for impairment at the lowest</w:t>
      </w:r>
      <w:r>
        <w:rPr>
          <w:rFonts w:ascii="Arial" w:eastAsia="宋体" w:hAnsi="Arial" w:cs="Arial"/>
          <w:color w:val="333333"/>
          <w:sz w:val="18"/>
          <w:szCs w:val="18"/>
        </w:rPr>
        <w:t xml:space="preserve"> level of identifiable cash flows. We assess property, plant and equipment for impairment when events or changes in circumstances indicate that the carrying value of the assets or the asset grouping may not be recoverable. Factors that we consider in decid</w:t>
      </w:r>
      <w:r>
        <w:rPr>
          <w:rFonts w:ascii="Arial" w:eastAsia="宋体" w:hAnsi="Arial" w:cs="Arial"/>
          <w:color w:val="333333"/>
          <w:sz w:val="18"/>
          <w:szCs w:val="18"/>
        </w:rPr>
        <w:t>ing when to perform an impairment review include significant under-performance of a business or product line in relation to expectations, significant negative industry or economic trends, and significant changes or planned changes in our use of the assets.</w:t>
      </w:r>
      <w:r>
        <w:rPr>
          <w:rFonts w:ascii="Arial" w:eastAsia="宋体" w:hAnsi="Arial" w:cs="Arial"/>
          <w:color w:val="333333"/>
          <w:sz w:val="18"/>
          <w:szCs w:val="18"/>
        </w:rPr>
        <w:t xml:space="preserve"> We measure the recoverability of assets that we will continue to use in our operations by comparing the carrying value of the asset grouping to our estimate of the related total future undiscounted net cash flows arising from the use of that asset groupin</w:t>
      </w:r>
      <w:r>
        <w:rPr>
          <w:rFonts w:ascii="Arial" w:eastAsia="宋体" w:hAnsi="Arial" w:cs="Arial"/>
          <w:color w:val="333333"/>
          <w:sz w:val="18"/>
          <w:szCs w:val="18"/>
        </w:rPr>
        <w:t xml:space="preserve">g. If an asset grouping carrying value is not recoverable through the related undiscounted cash flows, the asset grouping is considered to be impaired. We measure the impairment by comparing the difference between the asset grouping carrying value and its </w:t>
      </w:r>
      <w:r>
        <w:rPr>
          <w:rFonts w:ascii="Arial" w:eastAsia="宋体" w:hAnsi="Arial" w:cs="Arial"/>
          <w:color w:val="333333"/>
          <w:sz w:val="18"/>
          <w:szCs w:val="18"/>
        </w:rPr>
        <w:t>fair value.</w:t>
      </w:r>
    </w:p>
    <w:p w14:paraId="4ACE4332" w14:textId="77777777" w:rsidR="006F587A" w:rsidRDefault="007B2B61">
      <w:pPr>
        <w:spacing w:line="288" w:lineRule="auto"/>
        <w:rPr>
          <w:rFonts w:ascii="Times New Roman" w:hAnsi="Times New Roman"/>
        </w:rPr>
      </w:pPr>
      <w:r>
        <w:rPr>
          <w:rFonts w:ascii="Arial" w:eastAsia="宋体" w:hAnsi="Arial" w:cs="Arial"/>
          <w:b/>
          <w:bCs/>
          <w:color w:val="0071C5"/>
        </w:rPr>
        <w:t>FAIR VALUE</w:t>
      </w:r>
    </w:p>
    <w:p w14:paraId="4ACE4333"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When determining fair value, we consider the principal or most advantageous market in which we would transact, as well as assumptions that market participants would use when pricing the asset or liability. Our financial assets are </w:t>
      </w:r>
      <w:r>
        <w:rPr>
          <w:rFonts w:ascii="Arial" w:eastAsia="宋体" w:hAnsi="Arial" w:cs="Arial"/>
          <w:color w:val="333333"/>
          <w:sz w:val="18"/>
          <w:szCs w:val="18"/>
        </w:rPr>
        <w:t>measured and recorded at fair value on a recurring basis, except for equity securities measured using the measurement alternative, equity method investments, cost method loans receivable, grants receivable, and reverse repurchase agreements with original m</w:t>
      </w:r>
      <w:r>
        <w:rPr>
          <w:rFonts w:ascii="Arial" w:eastAsia="宋体" w:hAnsi="Arial" w:cs="Arial"/>
          <w:color w:val="333333"/>
          <w:sz w:val="18"/>
          <w:szCs w:val="18"/>
        </w:rPr>
        <w:t>aturities greater than three months. We assess fair value hierarchy levels for our issued debt and fixed-income investment portfolio based on the underlying instrument type.</w:t>
      </w:r>
    </w:p>
    <w:p w14:paraId="4ACE4334"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The three levels of inputs that may be used to measure fair value are: </w:t>
      </w: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6F587A" w14:paraId="4ACE4337" w14:textId="77777777">
        <w:trPr>
          <w:tblCellSpacing w:w="0" w:type="dxa"/>
        </w:trPr>
        <w:tc>
          <w:tcPr>
            <w:tcW w:w="480" w:type="dxa"/>
            <w:shd w:val="clear" w:color="auto" w:fill="auto"/>
            <w:vAlign w:val="center"/>
          </w:tcPr>
          <w:p w14:paraId="4ACE4335" w14:textId="77777777" w:rsidR="006F587A" w:rsidRDefault="006F587A">
            <w:pPr>
              <w:rPr>
                <w:rFonts w:ascii="Times New Roman" w:hAnsi="Times New Roman"/>
                <w:sz w:val="20"/>
                <w:szCs w:val="20"/>
              </w:rPr>
            </w:pPr>
          </w:p>
        </w:tc>
        <w:tc>
          <w:tcPr>
            <w:tcW w:w="0" w:type="auto"/>
            <w:shd w:val="clear" w:color="auto" w:fill="auto"/>
            <w:vAlign w:val="center"/>
          </w:tcPr>
          <w:p w14:paraId="4ACE4336" w14:textId="77777777" w:rsidR="006F587A" w:rsidRDefault="006F587A">
            <w:pPr>
              <w:rPr>
                <w:rFonts w:ascii="Times New Roman" w:hAnsi="Times New Roman"/>
                <w:sz w:val="20"/>
                <w:szCs w:val="20"/>
              </w:rPr>
            </w:pPr>
          </w:p>
        </w:tc>
      </w:tr>
      <w:tr w:rsidR="006F587A" w14:paraId="4ACE433A" w14:textId="77777777">
        <w:trPr>
          <w:tblCellSpacing w:w="0" w:type="dxa"/>
        </w:trPr>
        <w:tc>
          <w:tcPr>
            <w:tcW w:w="0" w:type="auto"/>
            <w:shd w:val="clear" w:color="auto" w:fill="auto"/>
          </w:tcPr>
          <w:p w14:paraId="4ACE4338"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4339"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0071C5"/>
                <w:sz w:val="18"/>
                <w:szCs w:val="18"/>
              </w:rPr>
              <w:t>Level</w:t>
            </w:r>
            <w:r>
              <w:rPr>
                <w:rFonts w:ascii="Arial" w:eastAsia="宋体" w:hAnsi="Arial" w:cs="Arial"/>
                <w:color w:val="0071C5"/>
                <w:sz w:val="18"/>
                <w:szCs w:val="18"/>
              </w:rPr>
              <w:t xml:space="preserve"> 1.</w:t>
            </w:r>
            <w:r>
              <w:rPr>
                <w:rFonts w:ascii="Arial" w:eastAsia="宋体" w:hAnsi="Arial" w:cs="Arial"/>
                <w:color w:val="333333"/>
                <w:sz w:val="18"/>
                <w:szCs w:val="18"/>
              </w:rPr>
              <w:t xml:space="preserve"> Quoted prices in active markets for identical assets or liabilities. We evaluate security-specific market data when determining whether a market is active.</w:t>
            </w:r>
          </w:p>
        </w:tc>
      </w:tr>
    </w:tbl>
    <w:p w14:paraId="4ACE433B"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6F587A" w14:paraId="4ACE433E" w14:textId="77777777">
        <w:trPr>
          <w:tblCellSpacing w:w="0" w:type="dxa"/>
        </w:trPr>
        <w:tc>
          <w:tcPr>
            <w:tcW w:w="480" w:type="dxa"/>
            <w:shd w:val="clear" w:color="auto" w:fill="auto"/>
            <w:vAlign w:val="center"/>
          </w:tcPr>
          <w:p w14:paraId="4ACE433C" w14:textId="77777777" w:rsidR="006F587A" w:rsidRDefault="006F587A">
            <w:pPr>
              <w:rPr>
                <w:rFonts w:ascii="Times New Roman" w:hAnsi="Times New Roman"/>
                <w:sz w:val="20"/>
                <w:szCs w:val="20"/>
              </w:rPr>
            </w:pPr>
          </w:p>
        </w:tc>
        <w:tc>
          <w:tcPr>
            <w:tcW w:w="0" w:type="auto"/>
            <w:shd w:val="clear" w:color="auto" w:fill="auto"/>
            <w:vAlign w:val="center"/>
          </w:tcPr>
          <w:p w14:paraId="4ACE433D" w14:textId="77777777" w:rsidR="006F587A" w:rsidRDefault="006F587A">
            <w:pPr>
              <w:rPr>
                <w:rFonts w:ascii="Times New Roman" w:hAnsi="Times New Roman"/>
                <w:sz w:val="20"/>
                <w:szCs w:val="20"/>
              </w:rPr>
            </w:pPr>
          </w:p>
        </w:tc>
      </w:tr>
      <w:tr w:rsidR="006F587A" w14:paraId="4ACE4341" w14:textId="77777777">
        <w:trPr>
          <w:tblCellSpacing w:w="0" w:type="dxa"/>
        </w:trPr>
        <w:tc>
          <w:tcPr>
            <w:tcW w:w="0" w:type="auto"/>
            <w:shd w:val="clear" w:color="auto" w:fill="auto"/>
          </w:tcPr>
          <w:p w14:paraId="4ACE433F"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4340"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0071C5"/>
                <w:sz w:val="18"/>
                <w:szCs w:val="18"/>
              </w:rPr>
              <w:t>Level 2.</w:t>
            </w:r>
            <w:r>
              <w:rPr>
                <w:rFonts w:ascii="Arial" w:eastAsia="宋体" w:hAnsi="Arial" w:cs="Arial"/>
                <w:i/>
                <w:iCs/>
                <w:color w:val="333333"/>
                <w:sz w:val="18"/>
                <w:szCs w:val="18"/>
              </w:rPr>
              <w:t xml:space="preserve"> </w:t>
            </w:r>
            <w:r>
              <w:rPr>
                <w:rFonts w:ascii="Arial" w:eastAsia="宋体" w:hAnsi="Arial" w:cs="Arial"/>
                <w:color w:val="333333"/>
                <w:sz w:val="18"/>
                <w:szCs w:val="18"/>
              </w:rPr>
              <w:t xml:space="preserve">Observable inputs other than Level 1 prices, such as quoted prices for </w:t>
            </w:r>
            <w:r>
              <w:rPr>
                <w:rFonts w:ascii="Arial" w:eastAsia="宋体" w:hAnsi="Arial" w:cs="Arial"/>
                <w:color w:val="333333"/>
                <w:sz w:val="18"/>
                <w:szCs w:val="18"/>
              </w:rPr>
              <w:t>similar assets or liabilities, quoted prices in less active markets, or model-derived valuations. All significant inputs used in our valuations, such as discounted cash flows, are observable or can be derived principally from or corroborated with observabl</w:t>
            </w:r>
            <w:r>
              <w:rPr>
                <w:rFonts w:ascii="Arial" w:eastAsia="宋体" w:hAnsi="Arial" w:cs="Arial"/>
                <w:color w:val="333333"/>
                <w:sz w:val="18"/>
                <w:szCs w:val="18"/>
              </w:rPr>
              <w:t>e market data for substantially the full term of the assets or liabilities. We use LIBOR-based yield curves, overnight indexed swap curve, currency spot and forward rates, and credit ratings as significant inputs in our valuations. Level 2 inputs also incl</w:t>
            </w:r>
            <w:r>
              <w:rPr>
                <w:rFonts w:ascii="Arial" w:eastAsia="宋体" w:hAnsi="Arial" w:cs="Arial"/>
                <w:color w:val="333333"/>
                <w:sz w:val="18"/>
                <w:szCs w:val="18"/>
              </w:rPr>
              <w:t xml:space="preserve">ude non-binding market consensus prices, as well as quoted prices that were adjusted for security-specific restrictions. When we use non-binding market consensus prices, we corroborate them with quoted market prices for similar instruments or compare them </w:t>
            </w:r>
            <w:r>
              <w:rPr>
                <w:rFonts w:ascii="Arial" w:eastAsia="宋体" w:hAnsi="Arial" w:cs="Arial"/>
                <w:color w:val="333333"/>
                <w:sz w:val="18"/>
                <w:szCs w:val="18"/>
              </w:rPr>
              <w:t>to output from internally developed pricing models such as discounted cash flow models.</w:t>
            </w:r>
          </w:p>
        </w:tc>
      </w:tr>
    </w:tbl>
    <w:p w14:paraId="4ACE4342" w14:textId="77777777" w:rsidR="006F587A" w:rsidRDefault="006F587A">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480"/>
        <w:gridCol w:w="7826"/>
      </w:tblGrid>
      <w:tr w:rsidR="006F587A" w14:paraId="4ACE4345" w14:textId="77777777">
        <w:trPr>
          <w:tblCellSpacing w:w="0" w:type="dxa"/>
        </w:trPr>
        <w:tc>
          <w:tcPr>
            <w:tcW w:w="480" w:type="dxa"/>
            <w:shd w:val="clear" w:color="auto" w:fill="auto"/>
            <w:vAlign w:val="center"/>
          </w:tcPr>
          <w:p w14:paraId="4ACE4343" w14:textId="77777777" w:rsidR="006F587A" w:rsidRDefault="006F587A">
            <w:pPr>
              <w:rPr>
                <w:rFonts w:ascii="Times New Roman" w:hAnsi="Times New Roman"/>
                <w:sz w:val="20"/>
                <w:szCs w:val="20"/>
              </w:rPr>
            </w:pPr>
          </w:p>
        </w:tc>
        <w:tc>
          <w:tcPr>
            <w:tcW w:w="0" w:type="auto"/>
            <w:shd w:val="clear" w:color="auto" w:fill="auto"/>
            <w:vAlign w:val="center"/>
          </w:tcPr>
          <w:p w14:paraId="4ACE4344" w14:textId="77777777" w:rsidR="006F587A" w:rsidRDefault="006F587A">
            <w:pPr>
              <w:rPr>
                <w:rFonts w:ascii="Times New Roman" w:hAnsi="Times New Roman"/>
                <w:sz w:val="20"/>
                <w:szCs w:val="20"/>
              </w:rPr>
            </w:pPr>
          </w:p>
        </w:tc>
      </w:tr>
      <w:tr w:rsidR="006F587A" w14:paraId="4ACE4348" w14:textId="77777777">
        <w:trPr>
          <w:tblCellSpacing w:w="0" w:type="dxa"/>
        </w:trPr>
        <w:tc>
          <w:tcPr>
            <w:tcW w:w="0" w:type="auto"/>
            <w:shd w:val="clear" w:color="auto" w:fill="auto"/>
          </w:tcPr>
          <w:p w14:paraId="4ACE4346"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4347"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0071C5"/>
                <w:sz w:val="18"/>
                <w:szCs w:val="18"/>
              </w:rPr>
              <w:t>Level 3.</w:t>
            </w:r>
            <w:r>
              <w:rPr>
                <w:rFonts w:ascii="Arial" w:eastAsia="宋体" w:hAnsi="Arial" w:cs="Arial"/>
                <w:i/>
                <w:iCs/>
                <w:color w:val="333333"/>
                <w:sz w:val="18"/>
                <w:szCs w:val="18"/>
              </w:rPr>
              <w:t xml:space="preserve"> </w:t>
            </w:r>
            <w:r>
              <w:rPr>
                <w:rFonts w:ascii="Arial" w:eastAsia="宋体" w:hAnsi="Arial" w:cs="Arial"/>
                <w:color w:val="333333"/>
                <w:sz w:val="18"/>
                <w:szCs w:val="18"/>
              </w:rPr>
              <w:t>Unobservable inputs to the valuation methodology that are significant to the measurement of the fair value of assets or liabilities. We monitor and revi</w:t>
            </w:r>
            <w:r>
              <w:rPr>
                <w:rFonts w:ascii="Arial" w:eastAsia="宋体" w:hAnsi="Arial" w:cs="Arial"/>
                <w:color w:val="333333"/>
                <w:sz w:val="18"/>
                <w:szCs w:val="18"/>
              </w:rPr>
              <w:t xml:space="preserve">ew the inputs and results of these valuation models to help ensure the fair value measurements are reasonable and consistent with market experience in similar asset classes. Level 3 inputs also include non-binding market </w:t>
            </w:r>
            <w:r>
              <w:rPr>
                <w:rFonts w:ascii="Arial" w:eastAsia="宋体" w:hAnsi="Arial" w:cs="Arial"/>
                <w:color w:val="333333"/>
                <w:sz w:val="18"/>
                <w:szCs w:val="18"/>
              </w:rPr>
              <w:lastRenderedPageBreak/>
              <w:t>consensus prices or non-binding bro</w:t>
            </w:r>
            <w:r>
              <w:rPr>
                <w:rFonts w:ascii="Arial" w:eastAsia="宋体" w:hAnsi="Arial" w:cs="Arial"/>
                <w:color w:val="333333"/>
                <w:sz w:val="18"/>
                <w:szCs w:val="18"/>
              </w:rPr>
              <w:t>ker quotes that we were unable to corroborate with observable market data.</w:t>
            </w:r>
          </w:p>
        </w:tc>
      </w:tr>
    </w:tbl>
    <w:p w14:paraId="4ACE4349"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434B" w14:textId="77777777">
        <w:tc>
          <w:tcPr>
            <w:tcW w:w="0" w:type="auto"/>
            <w:gridSpan w:val="3"/>
            <w:shd w:val="clear" w:color="auto" w:fill="auto"/>
            <w:vAlign w:val="center"/>
          </w:tcPr>
          <w:p w14:paraId="4ACE434A" w14:textId="77777777" w:rsidR="006F587A" w:rsidRDefault="006F587A">
            <w:pPr>
              <w:rPr>
                <w:rFonts w:ascii="Times New Roman" w:hAnsi="Times New Roman"/>
                <w:sz w:val="20"/>
                <w:szCs w:val="20"/>
              </w:rPr>
            </w:pPr>
          </w:p>
        </w:tc>
      </w:tr>
      <w:tr w:rsidR="006F587A" w14:paraId="4ACE434F" w14:textId="77777777">
        <w:tc>
          <w:tcPr>
            <w:tcW w:w="1300" w:type="pct"/>
            <w:shd w:val="clear" w:color="auto" w:fill="auto"/>
            <w:vAlign w:val="center"/>
          </w:tcPr>
          <w:p w14:paraId="4ACE434C" w14:textId="77777777" w:rsidR="006F587A" w:rsidRDefault="006F587A">
            <w:pPr>
              <w:rPr>
                <w:rFonts w:ascii="Times New Roman" w:hAnsi="Times New Roman"/>
                <w:sz w:val="20"/>
                <w:szCs w:val="20"/>
              </w:rPr>
            </w:pPr>
          </w:p>
        </w:tc>
        <w:tc>
          <w:tcPr>
            <w:tcW w:w="1600" w:type="pct"/>
            <w:shd w:val="clear" w:color="auto" w:fill="auto"/>
            <w:vAlign w:val="center"/>
          </w:tcPr>
          <w:p w14:paraId="4ACE434D" w14:textId="77777777" w:rsidR="006F587A" w:rsidRDefault="006F587A">
            <w:pPr>
              <w:rPr>
                <w:rFonts w:ascii="Times New Roman" w:hAnsi="Times New Roman"/>
                <w:sz w:val="20"/>
                <w:szCs w:val="20"/>
              </w:rPr>
            </w:pPr>
          </w:p>
        </w:tc>
        <w:tc>
          <w:tcPr>
            <w:tcW w:w="2100" w:type="pct"/>
            <w:shd w:val="clear" w:color="auto" w:fill="auto"/>
            <w:vAlign w:val="center"/>
          </w:tcPr>
          <w:p w14:paraId="4ACE434E" w14:textId="77777777" w:rsidR="006F587A" w:rsidRDefault="006F587A">
            <w:pPr>
              <w:rPr>
                <w:rFonts w:ascii="Times New Roman" w:hAnsi="Times New Roman"/>
                <w:sz w:val="20"/>
                <w:szCs w:val="20"/>
              </w:rPr>
            </w:pPr>
          </w:p>
        </w:tc>
      </w:tr>
      <w:tr w:rsidR="006F587A" w14:paraId="4ACE4353" w14:textId="77777777">
        <w:tc>
          <w:tcPr>
            <w:tcW w:w="0" w:type="auto"/>
            <w:tcBorders>
              <w:top w:val="single" w:sz="8" w:space="0" w:color="0071C5"/>
            </w:tcBorders>
            <w:shd w:val="clear" w:color="auto" w:fill="auto"/>
            <w:tcMar>
              <w:top w:w="40" w:type="dxa"/>
              <w:left w:w="40" w:type="dxa"/>
              <w:bottom w:w="40" w:type="dxa"/>
              <w:right w:w="40" w:type="dxa"/>
            </w:tcMar>
            <w:vAlign w:val="bottom"/>
          </w:tcPr>
          <w:p w14:paraId="4ACE4350" w14:textId="77777777" w:rsidR="006F587A" w:rsidRDefault="007B2B61">
            <w:pPr>
              <w:textAlignment w:val="bottom"/>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C9" wp14:editId="4ACE6DCA">
                  <wp:extent cx="304800" cy="304800"/>
                  <wp:effectExtent l="0" t="0" r="0" b="0"/>
                  <wp:docPr id="167" name="图片 288"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288"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left w:val="single" w:sz="36" w:space="0" w:color="0071C5"/>
            </w:tcBorders>
            <w:shd w:val="clear" w:color="auto" w:fill="auto"/>
            <w:tcMar>
              <w:top w:w="40" w:type="dxa"/>
              <w:left w:w="40" w:type="dxa"/>
              <w:bottom w:w="40" w:type="dxa"/>
              <w:right w:w="40" w:type="dxa"/>
            </w:tcMar>
            <w:vAlign w:val="bottom"/>
          </w:tcPr>
          <w:p w14:paraId="4ACE4351" w14:textId="77777777" w:rsidR="006F587A" w:rsidRDefault="007B2B61">
            <w:pPr>
              <w:textAlignment w:val="bottom"/>
              <w:rPr>
                <w:rFonts w:ascii="Times New Roman" w:hAnsi="Times New Roman"/>
                <w:sz w:val="16"/>
                <w:szCs w:val="16"/>
              </w:rPr>
            </w:pPr>
            <w:r>
              <w:rPr>
                <w:rFonts w:ascii="Arial" w:eastAsia="宋体" w:hAnsi="Arial" w:cs="Arial"/>
                <w:color w:val="333333"/>
                <w:sz w:val="16"/>
                <w:szCs w:val="16"/>
              </w:rPr>
              <w:t> Notes to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4352"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75</w:t>
            </w:r>
          </w:p>
        </w:tc>
      </w:tr>
    </w:tbl>
    <w:p w14:paraId="4ACE4354" w14:textId="77777777" w:rsidR="006F587A" w:rsidRDefault="007B2B61">
      <w:r>
        <w:pict w14:anchorId="4ACE6DCB">
          <v:rect id="_x0000_i1101" style="width:415.3pt;height:1.5pt" o:hralign="center" o:hrstd="t" o:hr="t" fillcolor="#a0a0a0" stroked="f"/>
        </w:pict>
      </w:r>
    </w:p>
    <w:p w14:paraId="4ACE4355" w14:textId="77777777" w:rsidR="006F587A" w:rsidRDefault="007B2B61">
      <w:pPr>
        <w:spacing w:line="288" w:lineRule="auto"/>
        <w:jc w:val="right"/>
        <w:rPr>
          <w:rFonts w:ascii="Times New Roman" w:hAnsi="Times New Roman"/>
          <w:sz w:val="16"/>
          <w:szCs w:val="16"/>
        </w:rPr>
      </w:pPr>
      <w:hyperlink r:id="rId140" w:anchor="s9DB683E2CF52561EB8A73BE37F5BF9BE" w:history="1">
        <w:r>
          <w:rPr>
            <w:rStyle w:val="a5"/>
            <w:rFonts w:ascii="Arial" w:eastAsia="宋体" w:hAnsi="Arial" w:cs="Arial"/>
            <w:b/>
            <w:bCs/>
            <w:sz w:val="16"/>
            <w:szCs w:val="16"/>
          </w:rPr>
          <w:t>Table of Contents</w:t>
        </w:r>
      </w:hyperlink>
    </w:p>
    <w:p w14:paraId="4ACE4356" w14:textId="77777777" w:rsidR="006F587A" w:rsidRDefault="006F587A">
      <w:pPr>
        <w:spacing w:line="288" w:lineRule="auto"/>
        <w:jc w:val="right"/>
        <w:rPr>
          <w:rFonts w:ascii="Times New Roman" w:hAnsi="Times New Roman"/>
          <w:sz w:val="16"/>
          <w:szCs w:val="16"/>
        </w:rPr>
      </w:pPr>
    </w:p>
    <w:p w14:paraId="4ACE4357" w14:textId="77777777" w:rsidR="006F587A" w:rsidRDefault="006F587A">
      <w:pPr>
        <w:rPr>
          <w:rFonts w:ascii="Times New Roman" w:hAnsi="Times New Roman"/>
          <w:sz w:val="20"/>
          <w:szCs w:val="20"/>
        </w:rPr>
      </w:pPr>
    </w:p>
    <w:p w14:paraId="4ACE4358" w14:textId="77777777" w:rsidR="006F587A" w:rsidRDefault="007B2B61">
      <w:pPr>
        <w:spacing w:line="288" w:lineRule="auto"/>
        <w:rPr>
          <w:rFonts w:ascii="Times New Roman" w:hAnsi="Times New Roman"/>
        </w:rPr>
      </w:pPr>
      <w:r>
        <w:rPr>
          <w:rFonts w:ascii="Arial" w:eastAsia="宋体" w:hAnsi="Arial" w:cs="Arial"/>
          <w:b/>
          <w:bCs/>
          <w:color w:val="0071C5"/>
        </w:rPr>
        <w:t>DEBT INVESTMENTS</w:t>
      </w:r>
    </w:p>
    <w:p w14:paraId="4ACE4359"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We consider all highly liquid debt investments with </w:t>
      </w:r>
      <w:r>
        <w:rPr>
          <w:rFonts w:ascii="Arial" w:eastAsia="宋体" w:hAnsi="Arial" w:cs="Arial"/>
          <w:color w:val="333333"/>
          <w:sz w:val="18"/>
          <w:szCs w:val="18"/>
        </w:rPr>
        <w:t>original maturities from the date of purchase of three months or less as cash equivalents. Cash equivalents can include investments such as corporate debt, financial institution instruments, government debt, and reverse repurchase agreements.</w:t>
      </w:r>
    </w:p>
    <w:p w14:paraId="4ACE435A"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Marketable de</w:t>
      </w:r>
      <w:r>
        <w:rPr>
          <w:rFonts w:ascii="Arial" w:eastAsia="宋体" w:hAnsi="Arial" w:cs="Arial"/>
          <w:color w:val="333333"/>
          <w:sz w:val="18"/>
          <w:szCs w:val="18"/>
        </w:rPr>
        <w:t>bt investments are generally designated as trading assets when a market risk is economically hedged at inception with a related derivative instrument, or when the marketable debt investment itself is used to economically hedge currency exchange rate risk f</w:t>
      </w:r>
      <w:r>
        <w:rPr>
          <w:rFonts w:ascii="Arial" w:eastAsia="宋体" w:hAnsi="Arial" w:cs="Arial"/>
          <w:color w:val="333333"/>
          <w:sz w:val="18"/>
          <w:szCs w:val="18"/>
        </w:rPr>
        <w:t>rom remeasurement. Investments designated as trading assets are reported at fair value. Gains or losses on these investments arising from changes in fair value due to interest rate and currency market fluctuations and credit market volatility, largely offs</w:t>
      </w:r>
      <w:r>
        <w:rPr>
          <w:rFonts w:ascii="Arial" w:eastAsia="宋体" w:hAnsi="Arial" w:cs="Arial"/>
          <w:color w:val="333333"/>
          <w:sz w:val="18"/>
          <w:szCs w:val="18"/>
        </w:rPr>
        <w:t xml:space="preserve">et by losses or gains on the related derivative instruments and balance sheet remeasurement, are recorded in interest and other, net. </w:t>
      </w:r>
    </w:p>
    <w:p w14:paraId="4ACE435B"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Marketable debt investments are considered available-for-sale investments when the interest rate and foreign currency ris</w:t>
      </w:r>
      <w:r>
        <w:rPr>
          <w:rFonts w:ascii="Arial" w:eastAsia="宋体" w:hAnsi="Arial" w:cs="Arial"/>
          <w:color w:val="333333"/>
          <w:sz w:val="18"/>
          <w:szCs w:val="18"/>
        </w:rPr>
        <w:t>ks are not hedged at the inception of the investment or when our criteria for designation as trading assets are not met. Available-for-sale debt investments with original maturities of approximately three months or less from the date of purchase are classi</w:t>
      </w:r>
      <w:r>
        <w:rPr>
          <w:rFonts w:ascii="Arial" w:eastAsia="宋体" w:hAnsi="Arial" w:cs="Arial"/>
          <w:color w:val="333333"/>
          <w:sz w:val="18"/>
          <w:szCs w:val="18"/>
        </w:rPr>
        <w:t>fied within cash and cash equivalents. Available-for-sale debt investments with original maturities at the date of purchase greater than approximately three months and remaining maturities of less than one year are classified as short-term investments. Ava</w:t>
      </w:r>
      <w:r>
        <w:rPr>
          <w:rFonts w:ascii="Arial" w:eastAsia="宋体" w:hAnsi="Arial" w:cs="Arial"/>
          <w:color w:val="333333"/>
          <w:sz w:val="18"/>
          <w:szCs w:val="18"/>
        </w:rPr>
        <w:t>ilable-for-sale debt investments with remaining maturities beyond one year are classified as other long-term investments. Available-for-sale debt investments are reported at fair value, with unrealized gains or losses, net of tax, recorded in accumulated o</w:t>
      </w:r>
      <w:r>
        <w:rPr>
          <w:rFonts w:ascii="Arial" w:eastAsia="宋体" w:hAnsi="Arial" w:cs="Arial"/>
          <w:color w:val="333333"/>
          <w:sz w:val="18"/>
          <w:szCs w:val="18"/>
        </w:rPr>
        <w:t>ther comprehensive income (loss). We determine the cost of the investment sold based on an average cost basis at the individual security level, and record the interest income and realized gains or losses on the sale of these investments in interest and oth</w:t>
      </w:r>
      <w:r>
        <w:rPr>
          <w:rFonts w:ascii="Arial" w:eastAsia="宋体" w:hAnsi="Arial" w:cs="Arial"/>
          <w:color w:val="333333"/>
          <w:sz w:val="18"/>
          <w:szCs w:val="18"/>
        </w:rPr>
        <w:t>er, net.</w:t>
      </w:r>
    </w:p>
    <w:p w14:paraId="4ACE435C"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Our available-for-sale debt investments are subject to periodic impairment reviews. For these investments, we consider whether it is more likely than not that we will be required to sell the investment before recovery of its amortized cost basis, </w:t>
      </w:r>
      <w:r>
        <w:rPr>
          <w:rFonts w:ascii="Arial" w:eastAsia="宋体" w:hAnsi="Arial" w:cs="Arial"/>
          <w:color w:val="333333"/>
          <w:sz w:val="18"/>
          <w:szCs w:val="18"/>
        </w:rPr>
        <w:t>or whether recovery of the entire amortized cost basis of the investment is unlikely because a credit loss exists. When we do not expect to recover the entire amortized cost basis of the investment, we separate other-than-temporary impairments into amounts</w:t>
      </w:r>
      <w:r>
        <w:rPr>
          <w:rFonts w:ascii="Arial" w:eastAsia="宋体" w:hAnsi="Arial" w:cs="Arial"/>
          <w:color w:val="333333"/>
          <w:sz w:val="18"/>
          <w:szCs w:val="18"/>
        </w:rPr>
        <w:t xml:space="preserve"> representing credit losses, which are recognized in interest and other, net, and amounts not related to credit losses, which are recognized in other comprehensive income (loss).</w:t>
      </w:r>
    </w:p>
    <w:p w14:paraId="4ACE435D" w14:textId="77777777" w:rsidR="006F587A" w:rsidRDefault="007B2B61">
      <w:pPr>
        <w:spacing w:line="288" w:lineRule="auto"/>
        <w:rPr>
          <w:rFonts w:ascii="Times New Roman" w:hAnsi="Times New Roman"/>
        </w:rPr>
      </w:pPr>
      <w:r>
        <w:rPr>
          <w:rFonts w:ascii="Arial" w:eastAsia="宋体" w:hAnsi="Arial" w:cs="Arial"/>
          <w:b/>
          <w:bCs/>
          <w:color w:val="0071C5"/>
        </w:rPr>
        <w:t>EQUITY INVESTMENTS</w:t>
      </w:r>
    </w:p>
    <w:p w14:paraId="4ACE435E"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regularly invest in equity securities of public and pri</w:t>
      </w:r>
      <w:r>
        <w:rPr>
          <w:rFonts w:ascii="Arial" w:eastAsia="宋体" w:hAnsi="Arial" w:cs="Arial"/>
          <w:color w:val="333333"/>
          <w:sz w:val="18"/>
          <w:szCs w:val="18"/>
        </w:rPr>
        <w:t xml:space="preserve">vate companies to promote business and strategic objectives. Equity investments are measured and recorded as follows: </w:t>
      </w: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6F587A" w14:paraId="4ACE4361" w14:textId="77777777">
        <w:trPr>
          <w:tblCellSpacing w:w="0" w:type="dxa"/>
        </w:trPr>
        <w:tc>
          <w:tcPr>
            <w:tcW w:w="480" w:type="dxa"/>
            <w:shd w:val="clear" w:color="auto" w:fill="auto"/>
            <w:vAlign w:val="center"/>
          </w:tcPr>
          <w:p w14:paraId="4ACE435F" w14:textId="77777777" w:rsidR="006F587A" w:rsidRDefault="006F587A">
            <w:pPr>
              <w:rPr>
                <w:rFonts w:ascii="Times New Roman" w:hAnsi="Times New Roman"/>
                <w:sz w:val="20"/>
                <w:szCs w:val="20"/>
              </w:rPr>
            </w:pPr>
          </w:p>
        </w:tc>
        <w:tc>
          <w:tcPr>
            <w:tcW w:w="0" w:type="auto"/>
            <w:shd w:val="clear" w:color="auto" w:fill="auto"/>
            <w:vAlign w:val="center"/>
          </w:tcPr>
          <w:p w14:paraId="4ACE4360" w14:textId="77777777" w:rsidR="006F587A" w:rsidRDefault="006F587A">
            <w:pPr>
              <w:rPr>
                <w:rFonts w:ascii="Times New Roman" w:hAnsi="Times New Roman"/>
                <w:sz w:val="20"/>
                <w:szCs w:val="20"/>
              </w:rPr>
            </w:pPr>
          </w:p>
        </w:tc>
      </w:tr>
      <w:tr w:rsidR="006F587A" w14:paraId="4ACE4364" w14:textId="77777777">
        <w:trPr>
          <w:tblCellSpacing w:w="0" w:type="dxa"/>
        </w:trPr>
        <w:tc>
          <w:tcPr>
            <w:tcW w:w="0" w:type="auto"/>
            <w:shd w:val="clear" w:color="auto" w:fill="auto"/>
          </w:tcPr>
          <w:p w14:paraId="4ACE4362"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4363"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0071C5"/>
                <w:sz w:val="18"/>
                <w:szCs w:val="18"/>
              </w:rPr>
              <w:t>Marketable equity securities</w:t>
            </w:r>
            <w:r>
              <w:rPr>
                <w:rFonts w:ascii="Arial" w:eastAsia="宋体" w:hAnsi="Arial" w:cs="Arial"/>
                <w:color w:val="333333"/>
                <w:sz w:val="18"/>
                <w:szCs w:val="18"/>
              </w:rPr>
              <w:t xml:space="preserve"> are equity securities with RDFV that are measured and recorded at fair value on a recurring basis with changes in fair value, whether realized or unrealized, recorded through the income statement. Prior to 2018, these securities were classified as availab</w:t>
            </w:r>
            <w:r>
              <w:rPr>
                <w:rFonts w:ascii="Arial" w:eastAsia="宋体" w:hAnsi="Arial" w:cs="Arial"/>
                <w:color w:val="333333"/>
                <w:sz w:val="18"/>
                <w:szCs w:val="18"/>
              </w:rPr>
              <w:t>le-for-sale securities and measured and recorded at fair value with unrealized changes in fair value recorded through other comprehensive income.</w:t>
            </w:r>
          </w:p>
        </w:tc>
      </w:tr>
    </w:tbl>
    <w:p w14:paraId="4ACE4365"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6F587A" w14:paraId="4ACE4368" w14:textId="77777777">
        <w:trPr>
          <w:tblCellSpacing w:w="0" w:type="dxa"/>
        </w:trPr>
        <w:tc>
          <w:tcPr>
            <w:tcW w:w="480" w:type="dxa"/>
            <w:shd w:val="clear" w:color="auto" w:fill="auto"/>
            <w:vAlign w:val="center"/>
          </w:tcPr>
          <w:p w14:paraId="4ACE4366" w14:textId="77777777" w:rsidR="006F587A" w:rsidRDefault="006F587A">
            <w:pPr>
              <w:rPr>
                <w:rFonts w:ascii="Times New Roman" w:hAnsi="Times New Roman"/>
                <w:sz w:val="20"/>
                <w:szCs w:val="20"/>
              </w:rPr>
            </w:pPr>
          </w:p>
        </w:tc>
        <w:tc>
          <w:tcPr>
            <w:tcW w:w="0" w:type="auto"/>
            <w:shd w:val="clear" w:color="auto" w:fill="auto"/>
            <w:vAlign w:val="center"/>
          </w:tcPr>
          <w:p w14:paraId="4ACE4367" w14:textId="77777777" w:rsidR="006F587A" w:rsidRDefault="006F587A">
            <w:pPr>
              <w:rPr>
                <w:rFonts w:ascii="Times New Roman" w:hAnsi="Times New Roman"/>
                <w:sz w:val="20"/>
                <w:szCs w:val="20"/>
              </w:rPr>
            </w:pPr>
          </w:p>
        </w:tc>
      </w:tr>
      <w:tr w:rsidR="006F587A" w14:paraId="4ACE436B" w14:textId="77777777">
        <w:trPr>
          <w:tblCellSpacing w:w="0" w:type="dxa"/>
        </w:trPr>
        <w:tc>
          <w:tcPr>
            <w:tcW w:w="0" w:type="auto"/>
            <w:shd w:val="clear" w:color="auto" w:fill="auto"/>
          </w:tcPr>
          <w:p w14:paraId="4ACE4369"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436A"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0071C5"/>
                <w:sz w:val="18"/>
                <w:szCs w:val="18"/>
              </w:rPr>
              <w:t>Non-marketable equity securities</w:t>
            </w:r>
            <w:r>
              <w:rPr>
                <w:rFonts w:ascii="Arial" w:eastAsia="宋体" w:hAnsi="Arial" w:cs="Arial"/>
                <w:i/>
                <w:iCs/>
                <w:color w:val="333333"/>
                <w:sz w:val="18"/>
                <w:szCs w:val="18"/>
              </w:rPr>
              <w:t xml:space="preserve"> </w:t>
            </w:r>
            <w:r>
              <w:rPr>
                <w:rFonts w:ascii="Arial" w:eastAsia="宋体" w:hAnsi="Arial" w:cs="Arial"/>
                <w:color w:val="333333"/>
                <w:sz w:val="18"/>
                <w:szCs w:val="18"/>
              </w:rPr>
              <w:t xml:space="preserve">are equity securities without RDFV that are measured and </w:t>
            </w:r>
            <w:r>
              <w:rPr>
                <w:rFonts w:ascii="Arial" w:eastAsia="宋体" w:hAnsi="Arial" w:cs="Arial"/>
                <w:color w:val="333333"/>
                <w:sz w:val="18"/>
                <w:szCs w:val="18"/>
              </w:rPr>
              <w:lastRenderedPageBreak/>
              <w:t>recorded usin</w:t>
            </w:r>
            <w:r>
              <w:rPr>
                <w:rFonts w:ascii="Arial" w:eastAsia="宋体" w:hAnsi="Arial" w:cs="Arial"/>
                <w:color w:val="333333"/>
                <w:sz w:val="18"/>
                <w:szCs w:val="18"/>
              </w:rPr>
              <w:t>g a measurement alternative that measures the securities at cost minus impairment, if any, plus or minus changes resulting from qualifying observable price changes. Prior to fiscal 2018, these securities were accounted for using the cost method of accounti</w:t>
            </w:r>
            <w:r>
              <w:rPr>
                <w:rFonts w:ascii="Arial" w:eastAsia="宋体" w:hAnsi="Arial" w:cs="Arial"/>
                <w:color w:val="333333"/>
                <w:sz w:val="18"/>
                <w:szCs w:val="18"/>
              </w:rPr>
              <w:t xml:space="preserve">ng, measured at cost less other-than-temporary impairment. </w:t>
            </w:r>
          </w:p>
        </w:tc>
      </w:tr>
    </w:tbl>
    <w:p w14:paraId="4ACE436C" w14:textId="77777777" w:rsidR="006F587A" w:rsidRDefault="006F587A">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480"/>
        <w:gridCol w:w="7826"/>
      </w:tblGrid>
      <w:tr w:rsidR="006F587A" w14:paraId="4ACE436F" w14:textId="77777777">
        <w:trPr>
          <w:tblCellSpacing w:w="0" w:type="dxa"/>
        </w:trPr>
        <w:tc>
          <w:tcPr>
            <w:tcW w:w="480" w:type="dxa"/>
            <w:shd w:val="clear" w:color="auto" w:fill="auto"/>
            <w:vAlign w:val="center"/>
          </w:tcPr>
          <w:p w14:paraId="4ACE436D" w14:textId="77777777" w:rsidR="006F587A" w:rsidRDefault="006F587A">
            <w:pPr>
              <w:rPr>
                <w:rFonts w:ascii="Times New Roman" w:hAnsi="Times New Roman"/>
                <w:sz w:val="20"/>
                <w:szCs w:val="20"/>
              </w:rPr>
            </w:pPr>
          </w:p>
        </w:tc>
        <w:tc>
          <w:tcPr>
            <w:tcW w:w="0" w:type="auto"/>
            <w:shd w:val="clear" w:color="auto" w:fill="auto"/>
            <w:vAlign w:val="center"/>
          </w:tcPr>
          <w:p w14:paraId="4ACE436E" w14:textId="77777777" w:rsidR="006F587A" w:rsidRDefault="006F587A">
            <w:pPr>
              <w:rPr>
                <w:rFonts w:ascii="Times New Roman" w:hAnsi="Times New Roman"/>
                <w:sz w:val="20"/>
                <w:szCs w:val="20"/>
              </w:rPr>
            </w:pPr>
          </w:p>
        </w:tc>
      </w:tr>
      <w:tr w:rsidR="006F587A" w14:paraId="4ACE4372" w14:textId="77777777">
        <w:trPr>
          <w:tblCellSpacing w:w="0" w:type="dxa"/>
        </w:trPr>
        <w:tc>
          <w:tcPr>
            <w:tcW w:w="0" w:type="auto"/>
            <w:shd w:val="clear" w:color="auto" w:fill="auto"/>
          </w:tcPr>
          <w:p w14:paraId="4ACE4370"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4371"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0071C5"/>
                <w:sz w:val="18"/>
                <w:szCs w:val="18"/>
              </w:rPr>
              <w:t>Equity method investments</w:t>
            </w:r>
            <w:r>
              <w:rPr>
                <w:rFonts w:ascii="Arial" w:eastAsia="宋体" w:hAnsi="Arial" w:cs="Arial"/>
                <w:color w:val="0071C5"/>
                <w:sz w:val="18"/>
                <w:szCs w:val="18"/>
              </w:rPr>
              <w:t xml:space="preserve"> </w:t>
            </w:r>
            <w:r>
              <w:rPr>
                <w:rFonts w:ascii="Arial" w:eastAsia="宋体" w:hAnsi="Arial" w:cs="Arial"/>
                <w:color w:val="333333"/>
                <w:sz w:val="18"/>
                <w:szCs w:val="18"/>
              </w:rPr>
              <w:t xml:space="preserve">are equity securities in investees we do not control but over which we have the ability to exercise significant influence. Equity method investments are </w:t>
            </w:r>
            <w:r>
              <w:rPr>
                <w:rFonts w:ascii="Arial" w:eastAsia="宋体" w:hAnsi="Arial" w:cs="Arial"/>
                <w:color w:val="333333"/>
                <w:sz w:val="18"/>
                <w:szCs w:val="18"/>
              </w:rPr>
              <w:t>measured at cost minus impairment, if any, plus or minus our share of equity method investee income or loss. Our proportionate share of the income or loss from equity method investments is recognized on a one-quarter lag.</w:t>
            </w:r>
          </w:p>
        </w:tc>
      </w:tr>
    </w:tbl>
    <w:p w14:paraId="4ACE4373"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Realized and unrealized gains and losses resulting from changes in fair value or the sale of our equity investments are recorded in gains (losses) on equity investments, net. Prior to 2018, we recorded unrealized gains and losses through other comprehensiv</w:t>
      </w:r>
      <w:r>
        <w:rPr>
          <w:rFonts w:ascii="Arial" w:eastAsia="宋体" w:hAnsi="Arial" w:cs="Arial"/>
          <w:color w:val="333333"/>
          <w:sz w:val="18"/>
          <w:szCs w:val="18"/>
        </w:rPr>
        <w:t>e income (loss) and realized gains and losses on the sale, exchange, or impairment of these equity investments through gains (losses) on equity investments, net. The carrying value of our non-marketable equity securities is adjusted for qualifying observab</w:t>
      </w:r>
      <w:r>
        <w:rPr>
          <w:rFonts w:ascii="Arial" w:eastAsia="宋体" w:hAnsi="Arial" w:cs="Arial"/>
          <w:color w:val="333333"/>
          <w:sz w:val="18"/>
          <w:szCs w:val="18"/>
        </w:rPr>
        <w:t>le price changes resulting from the issuance of similar or identical securities by the same issuer. Determining whether an observed transaction is similar to a security within our portfolio requires judgment based on the rights and preferences of the secur</w:t>
      </w:r>
      <w:r>
        <w:rPr>
          <w:rFonts w:ascii="Arial" w:eastAsia="宋体" w:hAnsi="Arial" w:cs="Arial"/>
          <w:color w:val="333333"/>
          <w:sz w:val="18"/>
          <w:szCs w:val="18"/>
        </w:rPr>
        <w:t>ities. Recording upward and downward adjustments to the carrying value of our equity securities as a result of observable price changes requires quantitative assessments of the fair value of our securities using various valuation methodologies and involves</w:t>
      </w:r>
      <w:r>
        <w:rPr>
          <w:rFonts w:ascii="Arial" w:eastAsia="宋体" w:hAnsi="Arial" w:cs="Arial"/>
          <w:color w:val="333333"/>
          <w:sz w:val="18"/>
          <w:szCs w:val="18"/>
        </w:rPr>
        <w:t xml:space="preserve"> the use of estimates. </w:t>
      </w:r>
    </w:p>
    <w:p w14:paraId="4ACE4374"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Non-marketable equity securities and equity method investments (collectively referred to as non-marketable equity investments) are also subject to periodic impairment reviews. Our quarterly impairment analysis considers both qualita</w:t>
      </w:r>
      <w:r>
        <w:rPr>
          <w:rFonts w:ascii="Arial" w:eastAsia="宋体" w:hAnsi="Arial" w:cs="Arial"/>
          <w:color w:val="333333"/>
          <w:sz w:val="18"/>
          <w:szCs w:val="18"/>
        </w:rPr>
        <w:t>tive and quantitative factors that may have a significant impact on the investee's fair value. Qualitative factors considered include the investee's financial condition and business outlook, industry and sector performance, market for technology, operation</w:t>
      </w:r>
      <w:r>
        <w:rPr>
          <w:rFonts w:ascii="Arial" w:eastAsia="宋体" w:hAnsi="Arial" w:cs="Arial"/>
          <w:color w:val="333333"/>
          <w:sz w:val="18"/>
          <w:szCs w:val="18"/>
        </w:rPr>
        <w:t>al and financing cash flow activities, and other relevant events and factors affecting the investee. When indicators of impairment exist, we prepare quantitative assessments of the fair value of our non-marketable equity investments using both the market a</w:t>
      </w:r>
      <w:r>
        <w:rPr>
          <w:rFonts w:ascii="Arial" w:eastAsia="宋体" w:hAnsi="Arial" w:cs="Arial"/>
          <w:color w:val="333333"/>
          <w:sz w:val="18"/>
          <w:szCs w:val="18"/>
        </w:rPr>
        <w:t xml:space="preserve">nd income approaches, which require judgment and the use of estimates, including discount rates, investee revenue and costs, and comparable market data of private and public companies, among others. </w:t>
      </w:r>
    </w:p>
    <w:p w14:paraId="4ACE4375"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4377" w14:textId="77777777">
        <w:tc>
          <w:tcPr>
            <w:tcW w:w="0" w:type="auto"/>
            <w:gridSpan w:val="3"/>
            <w:shd w:val="clear" w:color="auto" w:fill="auto"/>
            <w:vAlign w:val="center"/>
          </w:tcPr>
          <w:p w14:paraId="4ACE4376" w14:textId="77777777" w:rsidR="006F587A" w:rsidRDefault="006F587A">
            <w:pPr>
              <w:rPr>
                <w:rFonts w:ascii="Times New Roman" w:hAnsi="Times New Roman"/>
                <w:sz w:val="20"/>
                <w:szCs w:val="20"/>
              </w:rPr>
            </w:pPr>
          </w:p>
        </w:tc>
      </w:tr>
      <w:tr w:rsidR="006F587A" w14:paraId="4ACE437B" w14:textId="77777777">
        <w:tc>
          <w:tcPr>
            <w:tcW w:w="1300" w:type="pct"/>
            <w:shd w:val="clear" w:color="auto" w:fill="auto"/>
            <w:vAlign w:val="center"/>
          </w:tcPr>
          <w:p w14:paraId="4ACE4378" w14:textId="77777777" w:rsidR="006F587A" w:rsidRDefault="006F587A">
            <w:pPr>
              <w:rPr>
                <w:rFonts w:ascii="Times New Roman" w:hAnsi="Times New Roman"/>
                <w:sz w:val="20"/>
                <w:szCs w:val="20"/>
              </w:rPr>
            </w:pPr>
          </w:p>
        </w:tc>
        <w:tc>
          <w:tcPr>
            <w:tcW w:w="1600" w:type="pct"/>
            <w:shd w:val="clear" w:color="auto" w:fill="auto"/>
            <w:vAlign w:val="center"/>
          </w:tcPr>
          <w:p w14:paraId="4ACE4379" w14:textId="77777777" w:rsidR="006F587A" w:rsidRDefault="006F587A">
            <w:pPr>
              <w:rPr>
                <w:rFonts w:ascii="Times New Roman" w:hAnsi="Times New Roman"/>
                <w:sz w:val="20"/>
                <w:szCs w:val="20"/>
              </w:rPr>
            </w:pPr>
          </w:p>
        </w:tc>
        <w:tc>
          <w:tcPr>
            <w:tcW w:w="2100" w:type="pct"/>
            <w:shd w:val="clear" w:color="auto" w:fill="auto"/>
            <w:vAlign w:val="center"/>
          </w:tcPr>
          <w:p w14:paraId="4ACE437A" w14:textId="77777777" w:rsidR="006F587A" w:rsidRDefault="006F587A">
            <w:pPr>
              <w:rPr>
                <w:rFonts w:ascii="Times New Roman" w:hAnsi="Times New Roman"/>
                <w:sz w:val="20"/>
                <w:szCs w:val="20"/>
              </w:rPr>
            </w:pPr>
          </w:p>
        </w:tc>
      </w:tr>
      <w:tr w:rsidR="006F587A" w14:paraId="4ACE437F" w14:textId="77777777">
        <w:tc>
          <w:tcPr>
            <w:tcW w:w="0" w:type="auto"/>
            <w:tcBorders>
              <w:top w:val="single" w:sz="8" w:space="0" w:color="0071C5"/>
            </w:tcBorders>
            <w:shd w:val="clear" w:color="auto" w:fill="auto"/>
            <w:tcMar>
              <w:top w:w="40" w:type="dxa"/>
              <w:left w:w="40" w:type="dxa"/>
              <w:bottom w:w="40" w:type="dxa"/>
              <w:right w:w="40" w:type="dxa"/>
            </w:tcMar>
            <w:vAlign w:val="bottom"/>
          </w:tcPr>
          <w:p w14:paraId="4ACE437C" w14:textId="77777777" w:rsidR="006F587A" w:rsidRDefault="007B2B61">
            <w:pPr>
              <w:textAlignment w:val="bottom"/>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CC" wp14:editId="4ACE6DCD">
                  <wp:extent cx="304800" cy="304800"/>
                  <wp:effectExtent l="0" t="0" r="0" b="0"/>
                  <wp:docPr id="176" name="图片 290"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290"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left w:val="single" w:sz="36" w:space="0" w:color="0071C5"/>
            </w:tcBorders>
            <w:shd w:val="clear" w:color="auto" w:fill="auto"/>
            <w:tcMar>
              <w:top w:w="40" w:type="dxa"/>
              <w:left w:w="40" w:type="dxa"/>
              <w:bottom w:w="40" w:type="dxa"/>
              <w:right w:w="40" w:type="dxa"/>
            </w:tcMar>
            <w:vAlign w:val="bottom"/>
          </w:tcPr>
          <w:p w14:paraId="4ACE437D" w14:textId="77777777" w:rsidR="006F587A" w:rsidRDefault="007B2B61">
            <w:pPr>
              <w:textAlignment w:val="bottom"/>
              <w:rPr>
                <w:rFonts w:ascii="Times New Roman" w:hAnsi="Times New Roman"/>
                <w:sz w:val="16"/>
                <w:szCs w:val="16"/>
              </w:rPr>
            </w:pPr>
            <w:r>
              <w:rPr>
                <w:rFonts w:ascii="Arial" w:eastAsia="宋体" w:hAnsi="Arial" w:cs="Arial"/>
                <w:color w:val="333333"/>
                <w:sz w:val="16"/>
                <w:szCs w:val="16"/>
              </w:rPr>
              <w:t> Notes to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437E"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76</w:t>
            </w:r>
          </w:p>
        </w:tc>
      </w:tr>
    </w:tbl>
    <w:p w14:paraId="4ACE4380" w14:textId="77777777" w:rsidR="006F587A" w:rsidRDefault="007B2B61">
      <w:r>
        <w:pict w14:anchorId="4ACE6DCE">
          <v:rect id="_x0000_i1102" style="width:415.3pt;height:1.5pt" o:hralign="center" o:hrstd="t" o:hr="t" fillcolor="#a0a0a0" stroked="f"/>
        </w:pict>
      </w:r>
    </w:p>
    <w:p w14:paraId="4ACE4381" w14:textId="77777777" w:rsidR="006F587A" w:rsidRDefault="007B2B61">
      <w:pPr>
        <w:spacing w:line="288" w:lineRule="auto"/>
        <w:jc w:val="right"/>
        <w:rPr>
          <w:rFonts w:ascii="Times New Roman" w:hAnsi="Times New Roman"/>
          <w:sz w:val="16"/>
          <w:szCs w:val="16"/>
        </w:rPr>
      </w:pPr>
      <w:hyperlink r:id="rId141" w:anchor="s9DB683E2CF52561EB8A73BE37F5BF9BE" w:history="1">
        <w:r>
          <w:rPr>
            <w:rStyle w:val="a5"/>
            <w:rFonts w:ascii="Arial" w:eastAsia="宋体" w:hAnsi="Arial" w:cs="Arial"/>
            <w:b/>
            <w:bCs/>
            <w:sz w:val="16"/>
            <w:szCs w:val="16"/>
          </w:rPr>
          <w:t>Table of Contents</w:t>
        </w:r>
      </w:hyperlink>
    </w:p>
    <w:p w14:paraId="4ACE4382" w14:textId="77777777" w:rsidR="006F587A" w:rsidRDefault="006F587A">
      <w:pPr>
        <w:spacing w:line="288" w:lineRule="auto"/>
        <w:jc w:val="right"/>
        <w:rPr>
          <w:rFonts w:ascii="Times New Roman" w:hAnsi="Times New Roman"/>
          <w:sz w:val="16"/>
          <w:szCs w:val="16"/>
        </w:rPr>
      </w:pPr>
    </w:p>
    <w:p w14:paraId="4ACE4383" w14:textId="77777777" w:rsidR="006F587A" w:rsidRDefault="006F587A">
      <w:pPr>
        <w:rPr>
          <w:rFonts w:ascii="Times New Roman" w:hAnsi="Times New Roman"/>
          <w:sz w:val="20"/>
          <w:szCs w:val="20"/>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6F587A" w14:paraId="4ACE4386" w14:textId="77777777">
        <w:trPr>
          <w:tblCellSpacing w:w="0" w:type="dxa"/>
        </w:trPr>
        <w:tc>
          <w:tcPr>
            <w:tcW w:w="480" w:type="dxa"/>
            <w:shd w:val="clear" w:color="auto" w:fill="auto"/>
            <w:vAlign w:val="center"/>
          </w:tcPr>
          <w:p w14:paraId="4ACE4384" w14:textId="77777777" w:rsidR="006F587A" w:rsidRDefault="006F587A">
            <w:pPr>
              <w:rPr>
                <w:rFonts w:ascii="Times New Roman" w:hAnsi="Times New Roman"/>
                <w:sz w:val="20"/>
                <w:szCs w:val="20"/>
              </w:rPr>
            </w:pPr>
          </w:p>
        </w:tc>
        <w:tc>
          <w:tcPr>
            <w:tcW w:w="0" w:type="auto"/>
            <w:shd w:val="clear" w:color="auto" w:fill="auto"/>
            <w:vAlign w:val="center"/>
          </w:tcPr>
          <w:p w14:paraId="4ACE4385" w14:textId="77777777" w:rsidR="006F587A" w:rsidRDefault="006F587A">
            <w:pPr>
              <w:rPr>
                <w:rFonts w:ascii="Times New Roman" w:hAnsi="Times New Roman"/>
                <w:sz w:val="20"/>
                <w:szCs w:val="20"/>
              </w:rPr>
            </w:pPr>
          </w:p>
        </w:tc>
      </w:tr>
      <w:tr w:rsidR="006F587A" w14:paraId="4ACE4389" w14:textId="77777777">
        <w:trPr>
          <w:tblCellSpacing w:w="0" w:type="dxa"/>
        </w:trPr>
        <w:tc>
          <w:tcPr>
            <w:tcW w:w="0" w:type="auto"/>
            <w:shd w:val="clear" w:color="auto" w:fill="auto"/>
          </w:tcPr>
          <w:p w14:paraId="4ACE4387"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4388"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0071C5"/>
                <w:sz w:val="18"/>
                <w:szCs w:val="18"/>
              </w:rPr>
              <w:t>Non-marketable equity securities</w:t>
            </w:r>
            <w:r>
              <w:rPr>
                <w:rFonts w:ascii="Arial" w:eastAsia="宋体" w:hAnsi="Arial" w:cs="Arial"/>
                <w:color w:val="333333"/>
                <w:sz w:val="18"/>
                <w:szCs w:val="18"/>
              </w:rPr>
              <w:t xml:space="preserve"> are tested for impairment using a qualitative model similar to the model used for goodwill and long-lived assets. Upon determining that an impairment may exist, the security's fair value is calculated and compared to its carrying value and an impairment i</w:t>
            </w:r>
            <w:r>
              <w:rPr>
                <w:rFonts w:ascii="Arial" w:eastAsia="宋体" w:hAnsi="Arial" w:cs="Arial"/>
                <w:color w:val="333333"/>
                <w:sz w:val="18"/>
                <w:szCs w:val="18"/>
              </w:rPr>
              <w:t xml:space="preserve">s recognized immediately if the carrying value exceeds the fair value. Prior to 2018, non-marketable equity securities were tested for impairment using the other-than-temporary impairment model. </w:t>
            </w:r>
          </w:p>
        </w:tc>
      </w:tr>
    </w:tbl>
    <w:p w14:paraId="4ACE438A" w14:textId="77777777" w:rsidR="006F587A" w:rsidRDefault="006F587A">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480"/>
        <w:gridCol w:w="7826"/>
      </w:tblGrid>
      <w:tr w:rsidR="006F587A" w14:paraId="4ACE438D" w14:textId="77777777">
        <w:trPr>
          <w:tblCellSpacing w:w="0" w:type="dxa"/>
        </w:trPr>
        <w:tc>
          <w:tcPr>
            <w:tcW w:w="480" w:type="dxa"/>
            <w:shd w:val="clear" w:color="auto" w:fill="auto"/>
            <w:vAlign w:val="center"/>
          </w:tcPr>
          <w:p w14:paraId="4ACE438B" w14:textId="77777777" w:rsidR="006F587A" w:rsidRDefault="006F587A">
            <w:pPr>
              <w:rPr>
                <w:rFonts w:ascii="Times New Roman" w:hAnsi="Times New Roman"/>
                <w:sz w:val="20"/>
                <w:szCs w:val="20"/>
              </w:rPr>
            </w:pPr>
          </w:p>
        </w:tc>
        <w:tc>
          <w:tcPr>
            <w:tcW w:w="0" w:type="auto"/>
            <w:shd w:val="clear" w:color="auto" w:fill="auto"/>
            <w:vAlign w:val="center"/>
          </w:tcPr>
          <w:p w14:paraId="4ACE438C" w14:textId="77777777" w:rsidR="006F587A" w:rsidRDefault="006F587A">
            <w:pPr>
              <w:rPr>
                <w:rFonts w:ascii="Times New Roman" w:hAnsi="Times New Roman"/>
                <w:sz w:val="20"/>
                <w:szCs w:val="20"/>
              </w:rPr>
            </w:pPr>
          </w:p>
        </w:tc>
      </w:tr>
      <w:tr w:rsidR="006F587A" w14:paraId="4ACE4390" w14:textId="77777777">
        <w:trPr>
          <w:tblCellSpacing w:w="0" w:type="dxa"/>
        </w:trPr>
        <w:tc>
          <w:tcPr>
            <w:tcW w:w="0" w:type="auto"/>
            <w:shd w:val="clear" w:color="auto" w:fill="auto"/>
          </w:tcPr>
          <w:p w14:paraId="4ACE438E"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438F"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0071C5"/>
                <w:sz w:val="18"/>
                <w:szCs w:val="18"/>
              </w:rPr>
              <w:t>Equity method investments</w:t>
            </w:r>
            <w:r>
              <w:rPr>
                <w:rFonts w:ascii="Arial" w:eastAsia="宋体" w:hAnsi="Arial" w:cs="Arial"/>
                <w:color w:val="0071C5"/>
                <w:sz w:val="18"/>
                <w:szCs w:val="18"/>
              </w:rPr>
              <w:t xml:space="preserve"> </w:t>
            </w:r>
            <w:r>
              <w:rPr>
                <w:rFonts w:ascii="Arial" w:eastAsia="宋体" w:hAnsi="Arial" w:cs="Arial"/>
                <w:color w:val="333333"/>
                <w:sz w:val="18"/>
                <w:szCs w:val="18"/>
              </w:rPr>
              <w:t xml:space="preserve">are subject to periodic impairment reviews using the other-than-temporary impairment model, which considers the severity and duration of a decline in fair value below cost and our ability and intent to hold the investment for a sufficient period of time </w:t>
            </w:r>
            <w:r>
              <w:rPr>
                <w:rFonts w:ascii="Arial" w:eastAsia="宋体" w:hAnsi="Arial" w:cs="Arial"/>
                <w:color w:val="333333"/>
                <w:sz w:val="18"/>
                <w:szCs w:val="18"/>
              </w:rPr>
              <w:lastRenderedPageBreak/>
              <w:t>to</w:t>
            </w:r>
            <w:r>
              <w:rPr>
                <w:rFonts w:ascii="Arial" w:eastAsia="宋体" w:hAnsi="Arial" w:cs="Arial"/>
                <w:color w:val="333333"/>
                <w:sz w:val="18"/>
                <w:szCs w:val="18"/>
              </w:rPr>
              <w:t xml:space="preserve"> allow for recovery. </w:t>
            </w:r>
          </w:p>
        </w:tc>
      </w:tr>
    </w:tbl>
    <w:p w14:paraId="4ACE4391"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lastRenderedPageBreak/>
        <w:t>Impairments of equity investments are recorded in gains (losses) on equity investments, net.</w:t>
      </w:r>
    </w:p>
    <w:p w14:paraId="4ACE4392" w14:textId="77777777" w:rsidR="006F587A" w:rsidRDefault="007B2B61">
      <w:pPr>
        <w:spacing w:line="288" w:lineRule="auto"/>
        <w:rPr>
          <w:rFonts w:ascii="Times New Roman" w:hAnsi="Times New Roman"/>
        </w:rPr>
      </w:pPr>
      <w:r>
        <w:rPr>
          <w:rFonts w:ascii="Arial" w:eastAsia="宋体" w:hAnsi="Arial" w:cs="Arial"/>
          <w:b/>
          <w:bCs/>
          <w:color w:val="0071C5"/>
        </w:rPr>
        <w:t>DERIVATIVE FINANCIAL INSTRUMENTS</w:t>
      </w:r>
    </w:p>
    <w:p w14:paraId="4ACE4393"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Our primary objective for holding derivative financial instruments is to manage currency exchange rate risk</w:t>
      </w:r>
      <w:r>
        <w:rPr>
          <w:rFonts w:ascii="Arial" w:eastAsia="宋体" w:hAnsi="Arial" w:cs="Arial"/>
          <w:color w:val="333333"/>
          <w:sz w:val="18"/>
          <w:szCs w:val="18"/>
        </w:rPr>
        <w:t xml:space="preserve"> and interest rate risk, and, to a lesser extent, equity market risk, commodity price risk, and credit risk. We enter into master netting arrangements to mitigate credit risk in derivative transactions by permitting net settlement of transactions with the </w:t>
      </w:r>
      <w:r>
        <w:rPr>
          <w:rFonts w:ascii="Arial" w:eastAsia="宋体" w:hAnsi="Arial" w:cs="Arial"/>
          <w:color w:val="333333"/>
          <w:sz w:val="18"/>
          <w:szCs w:val="18"/>
        </w:rPr>
        <w:t>same counterparty. A master netting arrangement allows counterparties to net settle amounts owed to each other as a result of multiple, separate derivative transactions. We also enter into collateral security arrangements with certain of our counterparties</w:t>
      </w:r>
      <w:r>
        <w:rPr>
          <w:rFonts w:ascii="Arial" w:eastAsia="宋体" w:hAnsi="Arial" w:cs="Arial"/>
          <w:color w:val="333333"/>
          <w:sz w:val="18"/>
          <w:szCs w:val="18"/>
        </w:rPr>
        <w:t xml:space="preserve"> to exchange cash collateral when the net fair value of certain derivative instruments fluctuates from contractually established thresholds. We record the collateral within other current assets and other long-term assets with a corresponding liability. For</w:t>
      </w:r>
      <w:r>
        <w:rPr>
          <w:rFonts w:ascii="Arial" w:eastAsia="宋体" w:hAnsi="Arial" w:cs="Arial"/>
          <w:color w:val="333333"/>
          <w:sz w:val="18"/>
          <w:szCs w:val="18"/>
        </w:rPr>
        <w:t xml:space="preserve"> presentation on our Consolidated Balance Sheets, we do not offset fair value amounts recognized for derivative instruments under master netting arrangements. Our derivative financial instruments are presented at fair value on a gross basis and are include</w:t>
      </w:r>
      <w:r>
        <w:rPr>
          <w:rFonts w:ascii="Arial" w:eastAsia="宋体" w:hAnsi="Arial" w:cs="Arial"/>
          <w:color w:val="333333"/>
          <w:sz w:val="18"/>
          <w:szCs w:val="18"/>
        </w:rPr>
        <w:t>d in other current assets, other long-term assets, other accrued liabilities, or other long-term liabilities.</w:t>
      </w:r>
    </w:p>
    <w:p w14:paraId="4ACE4394" w14:textId="77777777" w:rsidR="006F587A" w:rsidRDefault="007B2B61">
      <w:pPr>
        <w:spacing w:line="288" w:lineRule="auto"/>
        <w:rPr>
          <w:rFonts w:ascii="Times New Roman" w:hAnsi="Times New Roman"/>
          <w:sz w:val="18"/>
          <w:szCs w:val="18"/>
        </w:rPr>
      </w:pPr>
      <w:r>
        <w:rPr>
          <w:rFonts w:ascii="Arial" w:eastAsia="宋体" w:hAnsi="Arial" w:cs="Arial"/>
          <w:color w:val="0071C5"/>
          <w:sz w:val="18"/>
          <w:szCs w:val="18"/>
        </w:rPr>
        <w:t>Cash flow hedges</w:t>
      </w:r>
      <w:r>
        <w:rPr>
          <w:rFonts w:ascii="Arial" w:eastAsia="宋体" w:hAnsi="Arial" w:cs="Arial"/>
          <w:color w:val="333333"/>
          <w:sz w:val="18"/>
          <w:szCs w:val="18"/>
        </w:rPr>
        <w:t xml:space="preserve"> use foreign currency contracts, such as currency forwards and currency interest rate swaps, to hedge exposures for the following </w:t>
      </w:r>
      <w:r>
        <w:rPr>
          <w:rFonts w:ascii="Arial" w:eastAsia="宋体" w:hAnsi="Arial" w:cs="Arial"/>
          <w:color w:val="333333"/>
          <w:sz w:val="18"/>
          <w:szCs w:val="18"/>
        </w:rPr>
        <w:t>items:</w:t>
      </w: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6F587A" w14:paraId="4ACE4397" w14:textId="77777777">
        <w:trPr>
          <w:tblCellSpacing w:w="0" w:type="dxa"/>
        </w:trPr>
        <w:tc>
          <w:tcPr>
            <w:tcW w:w="480" w:type="dxa"/>
            <w:shd w:val="clear" w:color="auto" w:fill="auto"/>
            <w:vAlign w:val="center"/>
          </w:tcPr>
          <w:p w14:paraId="4ACE4395" w14:textId="77777777" w:rsidR="006F587A" w:rsidRDefault="006F587A">
            <w:pPr>
              <w:rPr>
                <w:rFonts w:ascii="Times New Roman" w:hAnsi="Times New Roman"/>
                <w:sz w:val="20"/>
                <w:szCs w:val="20"/>
              </w:rPr>
            </w:pPr>
          </w:p>
        </w:tc>
        <w:tc>
          <w:tcPr>
            <w:tcW w:w="0" w:type="auto"/>
            <w:shd w:val="clear" w:color="auto" w:fill="auto"/>
            <w:vAlign w:val="center"/>
          </w:tcPr>
          <w:p w14:paraId="4ACE4396" w14:textId="77777777" w:rsidR="006F587A" w:rsidRDefault="006F587A">
            <w:pPr>
              <w:rPr>
                <w:rFonts w:ascii="Times New Roman" w:hAnsi="Times New Roman"/>
                <w:sz w:val="20"/>
                <w:szCs w:val="20"/>
              </w:rPr>
            </w:pPr>
          </w:p>
        </w:tc>
      </w:tr>
      <w:tr w:rsidR="006F587A" w14:paraId="4ACE439A" w14:textId="77777777">
        <w:trPr>
          <w:tblCellSpacing w:w="0" w:type="dxa"/>
        </w:trPr>
        <w:tc>
          <w:tcPr>
            <w:tcW w:w="0" w:type="auto"/>
            <w:shd w:val="clear" w:color="auto" w:fill="auto"/>
          </w:tcPr>
          <w:p w14:paraId="4ACE4398"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A60A8"/>
                <w:sz w:val="18"/>
                <w:szCs w:val="18"/>
              </w:rPr>
              <w:t>•</w:t>
            </w:r>
          </w:p>
        </w:tc>
        <w:tc>
          <w:tcPr>
            <w:tcW w:w="0" w:type="auto"/>
            <w:shd w:val="clear" w:color="auto" w:fill="auto"/>
          </w:tcPr>
          <w:p w14:paraId="4ACE4399"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variability in the U.S.-dollar equivalent of non-U.S.-dollar-denominated cash flows associated with our forecasted operating and capital purchases spending; and</w:t>
            </w:r>
          </w:p>
        </w:tc>
      </w:tr>
    </w:tbl>
    <w:p w14:paraId="4ACE439B" w14:textId="77777777" w:rsidR="006F587A" w:rsidRDefault="006F587A">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480"/>
        <w:gridCol w:w="6594"/>
      </w:tblGrid>
      <w:tr w:rsidR="006F587A" w14:paraId="4ACE439E" w14:textId="77777777">
        <w:trPr>
          <w:tblCellSpacing w:w="0" w:type="dxa"/>
        </w:trPr>
        <w:tc>
          <w:tcPr>
            <w:tcW w:w="480" w:type="dxa"/>
            <w:shd w:val="clear" w:color="auto" w:fill="auto"/>
            <w:vAlign w:val="center"/>
          </w:tcPr>
          <w:p w14:paraId="4ACE439C" w14:textId="77777777" w:rsidR="006F587A" w:rsidRDefault="006F587A">
            <w:pPr>
              <w:rPr>
                <w:rFonts w:ascii="Times New Roman" w:hAnsi="Times New Roman"/>
                <w:sz w:val="20"/>
                <w:szCs w:val="20"/>
              </w:rPr>
            </w:pPr>
          </w:p>
        </w:tc>
        <w:tc>
          <w:tcPr>
            <w:tcW w:w="0" w:type="auto"/>
            <w:shd w:val="clear" w:color="auto" w:fill="auto"/>
            <w:vAlign w:val="center"/>
          </w:tcPr>
          <w:p w14:paraId="4ACE439D" w14:textId="77777777" w:rsidR="006F587A" w:rsidRDefault="006F587A">
            <w:pPr>
              <w:rPr>
                <w:rFonts w:ascii="Times New Roman" w:hAnsi="Times New Roman"/>
                <w:sz w:val="20"/>
                <w:szCs w:val="20"/>
              </w:rPr>
            </w:pPr>
          </w:p>
        </w:tc>
      </w:tr>
      <w:tr w:rsidR="006F587A" w14:paraId="4ACE43A1" w14:textId="77777777">
        <w:trPr>
          <w:tblCellSpacing w:w="0" w:type="dxa"/>
        </w:trPr>
        <w:tc>
          <w:tcPr>
            <w:tcW w:w="0" w:type="auto"/>
            <w:shd w:val="clear" w:color="auto" w:fill="auto"/>
          </w:tcPr>
          <w:p w14:paraId="4ACE439F"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43A0"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coupon and principal payments for our </w:t>
            </w:r>
            <w:r>
              <w:rPr>
                <w:rFonts w:ascii="Arial" w:eastAsia="宋体" w:hAnsi="Arial" w:cs="Arial"/>
                <w:color w:val="333333"/>
                <w:sz w:val="18"/>
                <w:szCs w:val="18"/>
              </w:rPr>
              <w:t>non-U.S.-dollar-denominated indebtedness.</w:t>
            </w:r>
          </w:p>
        </w:tc>
      </w:tr>
    </w:tbl>
    <w:p w14:paraId="4ACE43A2"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The after-tax gains or losses from the effective portion of a cash flow hedge is reported as a component of accumulated other comprehensive income (loss) and reclassified into earnings in the same period or period</w:t>
      </w:r>
      <w:r>
        <w:rPr>
          <w:rFonts w:ascii="Arial" w:eastAsia="宋体" w:hAnsi="Arial" w:cs="Arial"/>
          <w:color w:val="333333"/>
          <w:sz w:val="18"/>
          <w:szCs w:val="18"/>
        </w:rPr>
        <w:t>s in which the hedged transaction affects earnings, and in the same line item on the Consolidated Statements of Income as the impact of the hedge transaction. For foreign currency contracts hedging our capital purchases, forward points are excluded from th</w:t>
      </w:r>
      <w:r>
        <w:rPr>
          <w:rFonts w:ascii="Arial" w:eastAsia="宋体" w:hAnsi="Arial" w:cs="Arial"/>
          <w:color w:val="333333"/>
          <w:sz w:val="18"/>
          <w:szCs w:val="18"/>
        </w:rPr>
        <w:t>e hedge effectiveness assessment, and are recognized in earnings in interest and other, net. If the cash flow hedge transactions become improbable, the corresponding amounts deferred in accumulated other comprehensive income (loss) would be immediately rec</w:t>
      </w:r>
      <w:r>
        <w:rPr>
          <w:rFonts w:ascii="Arial" w:eastAsia="宋体" w:hAnsi="Arial" w:cs="Arial"/>
          <w:color w:val="333333"/>
          <w:sz w:val="18"/>
          <w:szCs w:val="18"/>
        </w:rPr>
        <w:t>lassified to interest and other, net. These derivatives are classified in the Consolidated Statements of Cash Flows in the same section as the underlying item.</w:t>
      </w:r>
    </w:p>
    <w:p w14:paraId="4ACE43A3" w14:textId="77777777" w:rsidR="006F587A" w:rsidRDefault="007B2B61">
      <w:pPr>
        <w:spacing w:line="288" w:lineRule="auto"/>
        <w:rPr>
          <w:rFonts w:ascii="Times New Roman" w:hAnsi="Times New Roman"/>
          <w:sz w:val="18"/>
          <w:szCs w:val="18"/>
        </w:rPr>
      </w:pPr>
      <w:r>
        <w:rPr>
          <w:rFonts w:ascii="Arial" w:eastAsia="宋体" w:hAnsi="Arial" w:cs="Arial"/>
          <w:color w:val="0071C5"/>
          <w:sz w:val="18"/>
          <w:szCs w:val="18"/>
        </w:rPr>
        <w:t>Fair value hedges</w:t>
      </w:r>
      <w:r>
        <w:rPr>
          <w:rFonts w:ascii="Arial" w:eastAsia="宋体" w:hAnsi="Arial" w:cs="Arial"/>
          <w:color w:val="333333"/>
          <w:sz w:val="18"/>
          <w:szCs w:val="18"/>
        </w:rPr>
        <w:t xml:space="preserve"> use interest rate contracts, such as interest rate swaps, to hedge against cha</w:t>
      </w:r>
      <w:r>
        <w:rPr>
          <w:rFonts w:ascii="Arial" w:eastAsia="宋体" w:hAnsi="Arial" w:cs="Arial"/>
          <w:color w:val="333333"/>
          <w:sz w:val="18"/>
          <w:szCs w:val="18"/>
        </w:rPr>
        <w:t>nges in the fair value on certain of our fixed-rate indebtedness attributable to changes in the benchmark interest rate. The gains or losses on these hedges, as well as the offsetting losses or gains related to the changes in the fair value of the underlyi</w:t>
      </w:r>
      <w:r>
        <w:rPr>
          <w:rFonts w:ascii="Arial" w:eastAsia="宋体" w:hAnsi="Arial" w:cs="Arial"/>
          <w:color w:val="333333"/>
          <w:sz w:val="18"/>
          <w:szCs w:val="18"/>
        </w:rPr>
        <w:t>ng hedged item attributable to the hedged risk, are recognized in earnings in the current period, primarily in interest and other, net. These derivatives are classified in the Consolidated Statements of Cash Flows in the same section as the underlying item</w:t>
      </w:r>
      <w:r>
        <w:rPr>
          <w:rFonts w:ascii="Arial" w:eastAsia="宋体" w:hAnsi="Arial" w:cs="Arial"/>
          <w:color w:val="333333"/>
          <w:sz w:val="18"/>
          <w:szCs w:val="18"/>
        </w:rPr>
        <w:t>, primarily within cash flows from financing activities.</w:t>
      </w:r>
    </w:p>
    <w:p w14:paraId="4ACE43A4" w14:textId="77777777" w:rsidR="006F587A" w:rsidRDefault="007B2B61">
      <w:pPr>
        <w:spacing w:line="288" w:lineRule="auto"/>
        <w:rPr>
          <w:rFonts w:ascii="Times New Roman" w:hAnsi="Times New Roman"/>
          <w:sz w:val="18"/>
          <w:szCs w:val="18"/>
        </w:rPr>
      </w:pPr>
      <w:r>
        <w:rPr>
          <w:rFonts w:ascii="Arial" w:eastAsia="宋体" w:hAnsi="Arial" w:cs="Arial"/>
          <w:color w:val="0071C5"/>
          <w:sz w:val="18"/>
          <w:szCs w:val="18"/>
        </w:rPr>
        <w:t>Non-designated hedges</w:t>
      </w:r>
      <w:r>
        <w:rPr>
          <w:rFonts w:ascii="Arial" w:eastAsia="宋体" w:hAnsi="Arial" w:cs="Arial"/>
          <w:color w:val="333333"/>
          <w:sz w:val="18"/>
          <w:szCs w:val="18"/>
        </w:rPr>
        <w:t xml:space="preserve"> use foreign currency contracts to economically hedge the functional currency equivalent cash flows of recognized monetary assets and liabilities, non-U.S.-dollar-denominated deb</w:t>
      </w:r>
      <w:r>
        <w:rPr>
          <w:rFonts w:ascii="Arial" w:eastAsia="宋体" w:hAnsi="Arial" w:cs="Arial"/>
          <w:color w:val="333333"/>
          <w:sz w:val="18"/>
          <w:szCs w:val="18"/>
        </w:rPr>
        <w:t>t instruments classified as trading assets, and non-U.S.-dollar-denominated loans receivables recognized at fair value. We also use interest rate contracts to hedge interest rate risk related to our U.S.-dollar-denominated fixed-rate debt instruments class</w:t>
      </w:r>
      <w:r>
        <w:rPr>
          <w:rFonts w:ascii="Arial" w:eastAsia="宋体" w:hAnsi="Arial" w:cs="Arial"/>
          <w:color w:val="333333"/>
          <w:sz w:val="18"/>
          <w:szCs w:val="18"/>
        </w:rPr>
        <w:t>ified as trading assets.</w:t>
      </w:r>
    </w:p>
    <w:p w14:paraId="4ACE43A5"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The change in fair value of these derivatives is recorded through earnings in the line item on the Consolidated Statements of Income to which the derivatives most closely relate, primarily in interest and other, net. Changes in the</w:t>
      </w:r>
      <w:r>
        <w:rPr>
          <w:rFonts w:ascii="Arial" w:eastAsia="宋体" w:hAnsi="Arial" w:cs="Arial"/>
          <w:color w:val="333333"/>
          <w:sz w:val="18"/>
          <w:szCs w:val="18"/>
        </w:rPr>
        <w:t xml:space="preserve"> fair value of the underlying assets and liabilities associated with the hedged risk are generally offset by the changes in the fair value of the related derivatives. </w:t>
      </w:r>
    </w:p>
    <w:p w14:paraId="4ACE43A6" w14:textId="77777777" w:rsidR="006F587A" w:rsidRDefault="007B2B61">
      <w:pPr>
        <w:spacing w:line="288" w:lineRule="auto"/>
        <w:rPr>
          <w:rFonts w:ascii="Times New Roman" w:hAnsi="Times New Roman"/>
        </w:rPr>
      </w:pPr>
      <w:r>
        <w:rPr>
          <w:rFonts w:ascii="Arial" w:eastAsia="宋体" w:hAnsi="Arial" w:cs="Arial"/>
          <w:b/>
          <w:bCs/>
          <w:color w:val="0071C5"/>
        </w:rPr>
        <w:t>LOANS RECEIVABLE</w:t>
      </w:r>
    </w:p>
    <w:p w14:paraId="4ACE43A7"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elect the fair value option when the interest rate or foreign curren</w:t>
      </w:r>
      <w:r>
        <w:rPr>
          <w:rFonts w:ascii="Arial" w:eastAsia="宋体" w:hAnsi="Arial" w:cs="Arial"/>
          <w:color w:val="333333"/>
          <w:sz w:val="18"/>
          <w:szCs w:val="18"/>
        </w:rPr>
        <w:t xml:space="preserve">cy exchange rate risk is economically hedged at the inception of the loan with a related derivative instrument. When the fair value option is not elected, the loans are carried at amortized cost. We measure interest income for all loans </w:t>
      </w:r>
      <w:r>
        <w:rPr>
          <w:rFonts w:ascii="Arial" w:eastAsia="宋体" w:hAnsi="Arial" w:cs="Arial"/>
          <w:color w:val="333333"/>
          <w:sz w:val="18"/>
          <w:szCs w:val="18"/>
        </w:rPr>
        <w:lastRenderedPageBreak/>
        <w:t>receivable using th</w:t>
      </w:r>
      <w:r>
        <w:rPr>
          <w:rFonts w:ascii="Arial" w:eastAsia="宋体" w:hAnsi="Arial" w:cs="Arial"/>
          <w:color w:val="333333"/>
          <w:sz w:val="18"/>
          <w:szCs w:val="18"/>
        </w:rPr>
        <w:t xml:space="preserve">e interest method, which is based on the effective yield of the loans rather than the stated coupon rate. We classify our loans within other current and long-term assets. </w:t>
      </w:r>
    </w:p>
    <w:p w14:paraId="4ACE43A8"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43AA" w14:textId="77777777">
        <w:tc>
          <w:tcPr>
            <w:tcW w:w="0" w:type="auto"/>
            <w:gridSpan w:val="3"/>
            <w:shd w:val="clear" w:color="auto" w:fill="auto"/>
            <w:vAlign w:val="center"/>
          </w:tcPr>
          <w:p w14:paraId="4ACE43A9" w14:textId="77777777" w:rsidR="006F587A" w:rsidRDefault="006F587A">
            <w:pPr>
              <w:rPr>
                <w:rFonts w:ascii="Times New Roman" w:hAnsi="Times New Roman"/>
                <w:sz w:val="20"/>
                <w:szCs w:val="20"/>
              </w:rPr>
            </w:pPr>
          </w:p>
        </w:tc>
      </w:tr>
      <w:tr w:rsidR="006F587A" w14:paraId="4ACE43AE" w14:textId="77777777">
        <w:tc>
          <w:tcPr>
            <w:tcW w:w="1300" w:type="pct"/>
            <w:shd w:val="clear" w:color="auto" w:fill="auto"/>
            <w:vAlign w:val="center"/>
          </w:tcPr>
          <w:p w14:paraId="4ACE43AB" w14:textId="77777777" w:rsidR="006F587A" w:rsidRDefault="006F587A">
            <w:pPr>
              <w:rPr>
                <w:rFonts w:ascii="Times New Roman" w:hAnsi="Times New Roman"/>
                <w:sz w:val="20"/>
                <w:szCs w:val="20"/>
              </w:rPr>
            </w:pPr>
          </w:p>
        </w:tc>
        <w:tc>
          <w:tcPr>
            <w:tcW w:w="1600" w:type="pct"/>
            <w:shd w:val="clear" w:color="auto" w:fill="auto"/>
            <w:vAlign w:val="center"/>
          </w:tcPr>
          <w:p w14:paraId="4ACE43AC" w14:textId="77777777" w:rsidR="006F587A" w:rsidRDefault="006F587A">
            <w:pPr>
              <w:rPr>
                <w:rFonts w:ascii="Times New Roman" w:hAnsi="Times New Roman"/>
                <w:sz w:val="20"/>
                <w:szCs w:val="20"/>
              </w:rPr>
            </w:pPr>
          </w:p>
        </w:tc>
        <w:tc>
          <w:tcPr>
            <w:tcW w:w="2100" w:type="pct"/>
            <w:shd w:val="clear" w:color="auto" w:fill="auto"/>
            <w:vAlign w:val="center"/>
          </w:tcPr>
          <w:p w14:paraId="4ACE43AD" w14:textId="77777777" w:rsidR="006F587A" w:rsidRDefault="006F587A">
            <w:pPr>
              <w:rPr>
                <w:rFonts w:ascii="Times New Roman" w:hAnsi="Times New Roman"/>
                <w:sz w:val="20"/>
                <w:szCs w:val="20"/>
              </w:rPr>
            </w:pPr>
          </w:p>
        </w:tc>
      </w:tr>
      <w:tr w:rsidR="006F587A" w14:paraId="4ACE43B2" w14:textId="77777777">
        <w:tc>
          <w:tcPr>
            <w:tcW w:w="0" w:type="auto"/>
            <w:tcBorders>
              <w:top w:val="single" w:sz="8" w:space="0" w:color="0071C5"/>
            </w:tcBorders>
            <w:shd w:val="clear" w:color="auto" w:fill="auto"/>
            <w:tcMar>
              <w:top w:w="40" w:type="dxa"/>
              <w:left w:w="40" w:type="dxa"/>
              <w:bottom w:w="40" w:type="dxa"/>
              <w:right w:w="40" w:type="dxa"/>
            </w:tcMar>
            <w:vAlign w:val="bottom"/>
          </w:tcPr>
          <w:p w14:paraId="4ACE43AF" w14:textId="77777777" w:rsidR="006F587A" w:rsidRDefault="007B2B61">
            <w:pPr>
              <w:textAlignment w:val="bottom"/>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CF" wp14:editId="4ACE6DD0">
                  <wp:extent cx="304800" cy="304800"/>
                  <wp:effectExtent l="0" t="0" r="0" b="0"/>
                  <wp:docPr id="169" name="图片 292"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292"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left w:val="single" w:sz="36" w:space="0" w:color="0071C5"/>
            </w:tcBorders>
            <w:shd w:val="clear" w:color="auto" w:fill="auto"/>
            <w:tcMar>
              <w:top w:w="40" w:type="dxa"/>
              <w:left w:w="40" w:type="dxa"/>
              <w:bottom w:w="40" w:type="dxa"/>
              <w:right w:w="40" w:type="dxa"/>
            </w:tcMar>
            <w:vAlign w:val="bottom"/>
          </w:tcPr>
          <w:p w14:paraId="4ACE43B0" w14:textId="77777777" w:rsidR="006F587A" w:rsidRDefault="007B2B61">
            <w:pPr>
              <w:textAlignment w:val="bottom"/>
              <w:rPr>
                <w:rFonts w:ascii="Times New Roman" w:hAnsi="Times New Roman"/>
                <w:sz w:val="16"/>
                <w:szCs w:val="16"/>
              </w:rPr>
            </w:pPr>
            <w:r>
              <w:rPr>
                <w:rFonts w:ascii="Arial" w:eastAsia="宋体" w:hAnsi="Arial" w:cs="Arial"/>
                <w:color w:val="333333"/>
                <w:sz w:val="16"/>
                <w:szCs w:val="16"/>
              </w:rPr>
              <w:t> Notes to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43B1"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77</w:t>
            </w:r>
          </w:p>
        </w:tc>
      </w:tr>
    </w:tbl>
    <w:p w14:paraId="4ACE43B3" w14:textId="77777777" w:rsidR="006F587A" w:rsidRDefault="007B2B61">
      <w:r>
        <w:pict w14:anchorId="4ACE6DD1">
          <v:rect id="_x0000_i1103" style="width:415.3pt;height:1.5pt" o:hralign="center" o:hrstd="t" o:hr="t" fillcolor="#a0a0a0" stroked="f"/>
        </w:pict>
      </w:r>
    </w:p>
    <w:p w14:paraId="4ACE43B4" w14:textId="77777777" w:rsidR="006F587A" w:rsidRDefault="007B2B61">
      <w:pPr>
        <w:spacing w:line="288" w:lineRule="auto"/>
        <w:jc w:val="right"/>
        <w:rPr>
          <w:rFonts w:ascii="Times New Roman" w:hAnsi="Times New Roman"/>
          <w:sz w:val="16"/>
          <w:szCs w:val="16"/>
        </w:rPr>
      </w:pPr>
      <w:hyperlink r:id="rId142" w:anchor="s9DB683E2CF52561EB8A73BE37F5BF9BE" w:history="1">
        <w:r>
          <w:rPr>
            <w:rStyle w:val="a5"/>
            <w:rFonts w:ascii="Arial" w:eastAsia="宋体" w:hAnsi="Arial" w:cs="Arial"/>
            <w:b/>
            <w:bCs/>
            <w:sz w:val="16"/>
            <w:szCs w:val="16"/>
          </w:rPr>
          <w:t>Table of Contents</w:t>
        </w:r>
      </w:hyperlink>
    </w:p>
    <w:p w14:paraId="4ACE43B5" w14:textId="77777777" w:rsidR="006F587A" w:rsidRDefault="006F587A">
      <w:pPr>
        <w:spacing w:line="288" w:lineRule="auto"/>
        <w:jc w:val="right"/>
        <w:rPr>
          <w:rFonts w:ascii="Times New Roman" w:hAnsi="Times New Roman"/>
          <w:sz w:val="16"/>
          <w:szCs w:val="16"/>
        </w:rPr>
      </w:pPr>
    </w:p>
    <w:p w14:paraId="4ACE43B6" w14:textId="77777777" w:rsidR="006F587A" w:rsidRDefault="006F587A">
      <w:pPr>
        <w:rPr>
          <w:rFonts w:ascii="Times New Roman" w:hAnsi="Times New Roman"/>
          <w:sz w:val="20"/>
          <w:szCs w:val="20"/>
        </w:rPr>
      </w:pPr>
    </w:p>
    <w:p w14:paraId="4ACE43B7" w14:textId="77777777" w:rsidR="006F587A" w:rsidRDefault="007B2B61">
      <w:pPr>
        <w:spacing w:line="288" w:lineRule="auto"/>
        <w:rPr>
          <w:rFonts w:ascii="Times New Roman" w:hAnsi="Times New Roman"/>
        </w:rPr>
      </w:pPr>
      <w:r>
        <w:rPr>
          <w:rFonts w:ascii="Arial" w:eastAsia="宋体" w:hAnsi="Arial" w:cs="Arial"/>
          <w:b/>
          <w:bCs/>
          <w:color w:val="0071C5"/>
        </w:rPr>
        <w:t>CREDIT RISK</w:t>
      </w:r>
    </w:p>
    <w:p w14:paraId="4ACE43B8"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Financial instruments that potentially subject us to </w:t>
      </w:r>
      <w:r>
        <w:rPr>
          <w:rFonts w:ascii="Arial" w:eastAsia="宋体" w:hAnsi="Arial" w:cs="Arial"/>
          <w:color w:val="333333"/>
          <w:sz w:val="18"/>
          <w:szCs w:val="18"/>
        </w:rPr>
        <w:t>concentrations of credit risk consist principally of investments in debt instruments, derivative financial instruments, loans receivable, reverse repurchase agreements, and trade receivables. We enter into master netting arrangements to mitigate credit ris</w:t>
      </w:r>
      <w:r>
        <w:rPr>
          <w:rFonts w:ascii="Arial" w:eastAsia="宋体" w:hAnsi="Arial" w:cs="Arial"/>
          <w:color w:val="333333"/>
          <w:sz w:val="18"/>
          <w:szCs w:val="18"/>
        </w:rPr>
        <w:t>k in derivative transactions by permitting net settlement of transactions with the same counterparty.</w:t>
      </w:r>
    </w:p>
    <w:p w14:paraId="4ACE43B9"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generally place investments with high-credit-quality counterparties and, by policy, we limit the amount of credit exposure to any one counterparty base</w:t>
      </w:r>
      <w:r>
        <w:rPr>
          <w:rFonts w:ascii="Arial" w:eastAsia="宋体" w:hAnsi="Arial" w:cs="Arial"/>
          <w:color w:val="333333"/>
          <w:sz w:val="18"/>
          <w:szCs w:val="18"/>
        </w:rPr>
        <w:t>d on our analysis of that counterparty’s relative credit standing. As required per our investment policy, substantially all of our investments in debt instruments and financing receivables are in investment-grade instruments. Credit-rating criteria for der</w:t>
      </w:r>
      <w:r>
        <w:rPr>
          <w:rFonts w:ascii="Arial" w:eastAsia="宋体" w:hAnsi="Arial" w:cs="Arial"/>
          <w:color w:val="333333"/>
          <w:sz w:val="18"/>
          <w:szCs w:val="18"/>
        </w:rPr>
        <w:t>ivative instruments are similar to those for other investments. Due to master netting arrangements, the amounts subject to credit risk related to derivative instruments are generally limited to the amounts, if any, by which the counterparty’s obligations e</w:t>
      </w:r>
      <w:r>
        <w:rPr>
          <w:rFonts w:ascii="Arial" w:eastAsia="宋体" w:hAnsi="Arial" w:cs="Arial"/>
          <w:color w:val="333333"/>
          <w:sz w:val="18"/>
          <w:szCs w:val="18"/>
        </w:rPr>
        <w:t xml:space="preserve">xceed our obligations with that counterparty. As of December 28, 2019, our total credit exposure to any single counterparty, excluding money market funds invested in U.S. treasury and U.S. agency securities and reverse repurchase agreements collateralized </w:t>
      </w:r>
      <w:r>
        <w:rPr>
          <w:rFonts w:ascii="Arial" w:eastAsia="宋体" w:hAnsi="Arial" w:cs="Arial"/>
          <w:color w:val="333333"/>
          <w:sz w:val="18"/>
          <w:szCs w:val="18"/>
        </w:rPr>
        <w:t>by treasury and agency securities, did not exceed $800 million. To further reduce credit risk, we obtain and secure available collateral from counterparties against obligations, including securities lending transactions, when we deem it appropriate.</w:t>
      </w:r>
    </w:p>
    <w:p w14:paraId="4ACE43BA"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A subs</w:t>
      </w:r>
      <w:r>
        <w:rPr>
          <w:rFonts w:ascii="Arial" w:eastAsia="宋体" w:hAnsi="Arial" w:cs="Arial"/>
          <w:color w:val="333333"/>
          <w:sz w:val="18"/>
          <w:szCs w:val="18"/>
        </w:rPr>
        <w:t>tantial majority</w:t>
      </w:r>
      <w:r>
        <w:rPr>
          <w:rFonts w:ascii="Arial" w:eastAsia="宋体" w:hAnsi="Arial" w:cs="Arial"/>
          <w:b/>
          <w:bCs/>
          <w:color w:val="333333"/>
          <w:sz w:val="18"/>
          <w:szCs w:val="18"/>
        </w:rPr>
        <w:t xml:space="preserve"> </w:t>
      </w:r>
      <w:r>
        <w:rPr>
          <w:rFonts w:ascii="Arial" w:eastAsia="宋体" w:hAnsi="Arial" w:cs="Arial"/>
          <w:color w:val="333333"/>
          <w:sz w:val="18"/>
          <w:szCs w:val="18"/>
        </w:rPr>
        <w:t>of our trade receivables are derived from sales to OEMs and ODMs. We also have accounts receivable derived from sales to industrial and communications equipment manufacturers in the computing and communications industries. We believe the n</w:t>
      </w:r>
      <w:r>
        <w:rPr>
          <w:rFonts w:ascii="Arial" w:eastAsia="宋体" w:hAnsi="Arial" w:cs="Arial"/>
          <w:color w:val="333333"/>
          <w:sz w:val="18"/>
          <w:szCs w:val="18"/>
        </w:rPr>
        <w:t xml:space="preserve">et accounts receivable balances from our three largest customers (39% as of December 28, 2019) do not represent a significant credit risk, based on cash flow forecasts, balance sheet analysis, and past collection experience. For more information about the </w:t>
      </w:r>
      <w:r>
        <w:rPr>
          <w:rFonts w:ascii="Arial" w:eastAsia="宋体" w:hAnsi="Arial" w:cs="Arial"/>
          <w:color w:val="333333"/>
          <w:sz w:val="18"/>
          <w:szCs w:val="18"/>
        </w:rPr>
        <w:t>customers that represent our accounts receivable balance, see "Note 4: Operating Segments."</w:t>
      </w:r>
    </w:p>
    <w:p w14:paraId="4ACE43BB"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have adopted credit policies and standards intended to accommodate industry growth and inherent risk. We believe credit risks are moderated by the financial stab</w:t>
      </w:r>
      <w:r>
        <w:rPr>
          <w:rFonts w:ascii="Arial" w:eastAsia="宋体" w:hAnsi="Arial" w:cs="Arial"/>
          <w:color w:val="333333"/>
          <w:sz w:val="18"/>
          <w:szCs w:val="18"/>
        </w:rPr>
        <w:t>ility of our major customers. We assess credit risk through quantitative and qualitative analysis. From this analysis, we establish shipping and credit limits, and determine whether we will seek to use one or more credit support protection devices, such as</w:t>
      </w:r>
      <w:r>
        <w:rPr>
          <w:rFonts w:ascii="Arial" w:eastAsia="宋体" w:hAnsi="Arial" w:cs="Arial"/>
          <w:color w:val="333333"/>
          <w:sz w:val="18"/>
          <w:szCs w:val="18"/>
        </w:rPr>
        <w:t xml:space="preserve"> obtaining a parent guarantee, standby letter of credit, or credit insurance.</w:t>
      </w:r>
    </w:p>
    <w:p w14:paraId="4ACE43BC" w14:textId="77777777" w:rsidR="006F587A" w:rsidRDefault="007B2B61">
      <w:pPr>
        <w:spacing w:line="288" w:lineRule="auto"/>
        <w:rPr>
          <w:rFonts w:ascii="Times New Roman" w:hAnsi="Times New Roman"/>
        </w:rPr>
      </w:pPr>
      <w:r>
        <w:rPr>
          <w:rFonts w:ascii="Arial" w:eastAsia="宋体" w:hAnsi="Arial" w:cs="Arial"/>
          <w:b/>
          <w:bCs/>
          <w:color w:val="0071C5"/>
        </w:rPr>
        <w:t>BUSINESS COMBINATIONS</w:t>
      </w:r>
    </w:p>
    <w:p w14:paraId="4ACE43BD"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We allocate the purchase price paid for assets acquired and liabilities assumed in connection with our acquisitions based on their estimated fair values at </w:t>
      </w:r>
      <w:r>
        <w:rPr>
          <w:rFonts w:ascii="Arial" w:eastAsia="宋体" w:hAnsi="Arial" w:cs="Arial"/>
          <w:color w:val="333333"/>
          <w:sz w:val="18"/>
          <w:szCs w:val="18"/>
        </w:rPr>
        <w:t>the time of acquisition. This allocation involves a number of assumptions, estimates, and judgments in determining the fair value of the following:</w:t>
      </w: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6F587A" w14:paraId="4ACE43C0" w14:textId="77777777">
        <w:trPr>
          <w:tblCellSpacing w:w="0" w:type="dxa"/>
        </w:trPr>
        <w:tc>
          <w:tcPr>
            <w:tcW w:w="480" w:type="dxa"/>
            <w:shd w:val="clear" w:color="auto" w:fill="auto"/>
            <w:vAlign w:val="center"/>
          </w:tcPr>
          <w:p w14:paraId="4ACE43BE" w14:textId="77777777" w:rsidR="006F587A" w:rsidRDefault="006F587A">
            <w:pPr>
              <w:rPr>
                <w:rFonts w:ascii="Times New Roman" w:hAnsi="Times New Roman"/>
                <w:sz w:val="20"/>
                <w:szCs w:val="20"/>
              </w:rPr>
            </w:pPr>
          </w:p>
        </w:tc>
        <w:tc>
          <w:tcPr>
            <w:tcW w:w="0" w:type="auto"/>
            <w:shd w:val="clear" w:color="auto" w:fill="auto"/>
            <w:vAlign w:val="center"/>
          </w:tcPr>
          <w:p w14:paraId="4ACE43BF" w14:textId="77777777" w:rsidR="006F587A" w:rsidRDefault="006F587A">
            <w:pPr>
              <w:rPr>
                <w:rFonts w:ascii="Times New Roman" w:hAnsi="Times New Roman"/>
                <w:sz w:val="20"/>
                <w:szCs w:val="20"/>
              </w:rPr>
            </w:pPr>
          </w:p>
        </w:tc>
      </w:tr>
      <w:tr w:rsidR="006F587A" w14:paraId="4ACE43C3" w14:textId="77777777">
        <w:trPr>
          <w:tblCellSpacing w:w="0" w:type="dxa"/>
        </w:trPr>
        <w:tc>
          <w:tcPr>
            <w:tcW w:w="0" w:type="auto"/>
            <w:shd w:val="clear" w:color="auto" w:fill="auto"/>
          </w:tcPr>
          <w:p w14:paraId="4ACE43C1"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43C2"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intangible assets, including the valuation methodology, estimations of future cash flows, </w:t>
            </w:r>
            <w:r>
              <w:rPr>
                <w:rFonts w:ascii="Arial" w:eastAsia="宋体" w:hAnsi="Arial" w:cs="Arial"/>
                <w:color w:val="333333"/>
                <w:sz w:val="18"/>
                <w:szCs w:val="18"/>
              </w:rPr>
              <w:t>discount rates, market segment growth rates, and our assumed market segment share, as well as the estimated useful life of intangible assets;</w:t>
            </w:r>
          </w:p>
        </w:tc>
      </w:tr>
    </w:tbl>
    <w:p w14:paraId="4ACE43C4"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6F587A" w14:paraId="4ACE43C7" w14:textId="77777777">
        <w:trPr>
          <w:tblCellSpacing w:w="0" w:type="dxa"/>
        </w:trPr>
        <w:tc>
          <w:tcPr>
            <w:tcW w:w="480" w:type="dxa"/>
            <w:shd w:val="clear" w:color="auto" w:fill="auto"/>
            <w:vAlign w:val="center"/>
          </w:tcPr>
          <w:p w14:paraId="4ACE43C5" w14:textId="77777777" w:rsidR="006F587A" w:rsidRDefault="006F587A">
            <w:pPr>
              <w:rPr>
                <w:rFonts w:ascii="Times New Roman" w:hAnsi="Times New Roman"/>
                <w:sz w:val="20"/>
                <w:szCs w:val="20"/>
              </w:rPr>
            </w:pPr>
          </w:p>
        </w:tc>
        <w:tc>
          <w:tcPr>
            <w:tcW w:w="0" w:type="auto"/>
            <w:shd w:val="clear" w:color="auto" w:fill="auto"/>
            <w:vAlign w:val="center"/>
          </w:tcPr>
          <w:p w14:paraId="4ACE43C6" w14:textId="77777777" w:rsidR="006F587A" w:rsidRDefault="006F587A">
            <w:pPr>
              <w:rPr>
                <w:rFonts w:ascii="Times New Roman" w:hAnsi="Times New Roman"/>
                <w:sz w:val="20"/>
                <w:szCs w:val="20"/>
              </w:rPr>
            </w:pPr>
          </w:p>
        </w:tc>
      </w:tr>
      <w:tr w:rsidR="006F587A" w14:paraId="4ACE43CA" w14:textId="77777777">
        <w:trPr>
          <w:tblCellSpacing w:w="0" w:type="dxa"/>
        </w:trPr>
        <w:tc>
          <w:tcPr>
            <w:tcW w:w="0" w:type="auto"/>
            <w:shd w:val="clear" w:color="auto" w:fill="auto"/>
          </w:tcPr>
          <w:p w14:paraId="4ACE43C8"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43C9"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deferred tax assets and liabilities, uncertain tax positions, and tax-related valuation allowances, which a</w:t>
            </w:r>
            <w:r>
              <w:rPr>
                <w:rFonts w:ascii="Arial" w:eastAsia="宋体" w:hAnsi="Arial" w:cs="Arial"/>
                <w:color w:val="333333"/>
                <w:sz w:val="18"/>
                <w:szCs w:val="18"/>
              </w:rPr>
              <w:t xml:space="preserve">re initially estimated as of the acquisition date; </w:t>
            </w:r>
          </w:p>
        </w:tc>
      </w:tr>
    </w:tbl>
    <w:p w14:paraId="4ACE43CB"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6F587A" w14:paraId="4ACE43CE" w14:textId="77777777">
        <w:trPr>
          <w:tblCellSpacing w:w="0" w:type="dxa"/>
        </w:trPr>
        <w:tc>
          <w:tcPr>
            <w:tcW w:w="480" w:type="dxa"/>
            <w:shd w:val="clear" w:color="auto" w:fill="auto"/>
            <w:vAlign w:val="center"/>
          </w:tcPr>
          <w:p w14:paraId="4ACE43CC" w14:textId="77777777" w:rsidR="006F587A" w:rsidRDefault="006F587A">
            <w:pPr>
              <w:rPr>
                <w:rFonts w:ascii="Times New Roman" w:hAnsi="Times New Roman"/>
                <w:sz w:val="20"/>
                <w:szCs w:val="20"/>
              </w:rPr>
            </w:pPr>
          </w:p>
        </w:tc>
        <w:tc>
          <w:tcPr>
            <w:tcW w:w="0" w:type="auto"/>
            <w:shd w:val="clear" w:color="auto" w:fill="auto"/>
            <w:vAlign w:val="center"/>
          </w:tcPr>
          <w:p w14:paraId="4ACE43CD" w14:textId="77777777" w:rsidR="006F587A" w:rsidRDefault="006F587A">
            <w:pPr>
              <w:rPr>
                <w:rFonts w:ascii="Times New Roman" w:hAnsi="Times New Roman"/>
                <w:sz w:val="20"/>
                <w:szCs w:val="20"/>
              </w:rPr>
            </w:pPr>
          </w:p>
        </w:tc>
      </w:tr>
      <w:tr w:rsidR="006F587A" w14:paraId="4ACE43D1" w14:textId="77777777">
        <w:trPr>
          <w:tblCellSpacing w:w="0" w:type="dxa"/>
        </w:trPr>
        <w:tc>
          <w:tcPr>
            <w:tcW w:w="0" w:type="auto"/>
            <w:shd w:val="clear" w:color="auto" w:fill="auto"/>
          </w:tcPr>
          <w:p w14:paraId="4ACE43CF"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43D0"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inventory; property, plant and equipment; pre-existing liabilities or legal claims; deferred revenue; </w:t>
            </w:r>
            <w:r>
              <w:rPr>
                <w:rFonts w:ascii="Arial" w:eastAsia="宋体" w:hAnsi="Arial" w:cs="Arial"/>
                <w:color w:val="333333"/>
                <w:sz w:val="18"/>
                <w:szCs w:val="18"/>
              </w:rPr>
              <w:lastRenderedPageBreak/>
              <w:t>and contingent consideration, each as may be applicable; and</w:t>
            </w:r>
          </w:p>
        </w:tc>
      </w:tr>
    </w:tbl>
    <w:p w14:paraId="4ACE43D2" w14:textId="77777777" w:rsidR="006F587A" w:rsidRDefault="006F587A">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480"/>
        <w:gridCol w:w="7826"/>
      </w:tblGrid>
      <w:tr w:rsidR="006F587A" w14:paraId="4ACE43D5" w14:textId="77777777">
        <w:trPr>
          <w:tblCellSpacing w:w="0" w:type="dxa"/>
        </w:trPr>
        <w:tc>
          <w:tcPr>
            <w:tcW w:w="480" w:type="dxa"/>
            <w:shd w:val="clear" w:color="auto" w:fill="auto"/>
            <w:vAlign w:val="center"/>
          </w:tcPr>
          <w:p w14:paraId="4ACE43D3" w14:textId="77777777" w:rsidR="006F587A" w:rsidRDefault="006F587A">
            <w:pPr>
              <w:rPr>
                <w:rFonts w:ascii="Times New Roman" w:hAnsi="Times New Roman"/>
                <w:sz w:val="20"/>
                <w:szCs w:val="20"/>
              </w:rPr>
            </w:pPr>
          </w:p>
        </w:tc>
        <w:tc>
          <w:tcPr>
            <w:tcW w:w="0" w:type="auto"/>
            <w:shd w:val="clear" w:color="auto" w:fill="auto"/>
            <w:vAlign w:val="center"/>
          </w:tcPr>
          <w:p w14:paraId="4ACE43D4" w14:textId="77777777" w:rsidR="006F587A" w:rsidRDefault="006F587A">
            <w:pPr>
              <w:rPr>
                <w:rFonts w:ascii="Times New Roman" w:hAnsi="Times New Roman"/>
                <w:sz w:val="20"/>
                <w:szCs w:val="20"/>
              </w:rPr>
            </w:pPr>
          </w:p>
        </w:tc>
      </w:tr>
      <w:tr w:rsidR="006F587A" w14:paraId="4ACE43D8" w14:textId="77777777">
        <w:trPr>
          <w:tblCellSpacing w:w="0" w:type="dxa"/>
        </w:trPr>
        <w:tc>
          <w:tcPr>
            <w:tcW w:w="0" w:type="auto"/>
            <w:shd w:val="clear" w:color="auto" w:fill="auto"/>
          </w:tcPr>
          <w:p w14:paraId="4ACE43D6"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43D7"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goodwill as </w:t>
            </w:r>
            <w:r>
              <w:rPr>
                <w:rFonts w:ascii="Arial" w:eastAsia="宋体" w:hAnsi="Arial" w:cs="Arial"/>
                <w:color w:val="333333"/>
                <w:sz w:val="18"/>
                <w:szCs w:val="18"/>
              </w:rPr>
              <w:t>measured as the excess of consideration transferred over the net of the acquisition date fair values of the assets acquired and the liabilities assumed.</w:t>
            </w:r>
          </w:p>
        </w:tc>
      </w:tr>
    </w:tbl>
    <w:p w14:paraId="4ACE43D9"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Our assumptions and estimates are based upon comparable market data and information obtained from our </w:t>
      </w:r>
      <w:r>
        <w:rPr>
          <w:rFonts w:ascii="Arial" w:eastAsia="宋体" w:hAnsi="Arial" w:cs="Arial"/>
          <w:color w:val="333333"/>
          <w:sz w:val="18"/>
          <w:szCs w:val="18"/>
        </w:rPr>
        <w:t>management and the management of the acquired companies. We allocate goodwill to the reporting units of the business that are expected to benefit from the business combination.</w:t>
      </w:r>
    </w:p>
    <w:p w14:paraId="4ACE43DA" w14:textId="77777777" w:rsidR="006F587A" w:rsidRDefault="007B2B61">
      <w:pPr>
        <w:spacing w:line="288" w:lineRule="auto"/>
        <w:rPr>
          <w:rFonts w:ascii="Times New Roman" w:hAnsi="Times New Roman"/>
        </w:rPr>
      </w:pPr>
      <w:r>
        <w:rPr>
          <w:rFonts w:ascii="Arial" w:eastAsia="宋体" w:hAnsi="Arial" w:cs="Arial"/>
          <w:b/>
          <w:bCs/>
          <w:color w:val="0071C5"/>
        </w:rPr>
        <w:t>GOODWILL</w:t>
      </w:r>
    </w:p>
    <w:p w14:paraId="4ACE43DB"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perform an annual impairment assessment of goodwill at the reportin</w:t>
      </w:r>
      <w:r>
        <w:rPr>
          <w:rFonts w:ascii="Arial" w:eastAsia="宋体" w:hAnsi="Arial" w:cs="Arial"/>
          <w:color w:val="333333"/>
          <w:sz w:val="18"/>
          <w:szCs w:val="18"/>
        </w:rPr>
        <w:t>g unit level in the fourth quarter of each year, or more frequently if indicators of potential impairment exist. The analysis may include both qualitative and quantitative factors to assess the likelihood of an impairment. The reporting unit’s carrying val</w:t>
      </w:r>
      <w:r>
        <w:rPr>
          <w:rFonts w:ascii="Arial" w:eastAsia="宋体" w:hAnsi="Arial" w:cs="Arial"/>
          <w:color w:val="333333"/>
          <w:sz w:val="18"/>
          <w:szCs w:val="18"/>
        </w:rPr>
        <w:t xml:space="preserve">ue used in an impairment test represents the assignment of various assets and liabilities, excluding certain corporate assets and liabilities, such as cash, investments, and debt. </w:t>
      </w:r>
    </w:p>
    <w:p w14:paraId="4ACE43DC"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Qualitative factors include industry and market considerations, overall fin</w:t>
      </w:r>
      <w:r>
        <w:rPr>
          <w:rFonts w:ascii="Arial" w:eastAsia="宋体" w:hAnsi="Arial" w:cs="Arial"/>
          <w:color w:val="333333"/>
          <w:sz w:val="18"/>
          <w:szCs w:val="18"/>
        </w:rPr>
        <w:t>ancial performance, and other relevant events and factors affecting the reporting unit. Additionally, as part of this assessment, we may perform a quantitative analysis to support the qualitative factors above by applying sensitivities to assumptions and i</w:t>
      </w:r>
      <w:r>
        <w:rPr>
          <w:rFonts w:ascii="Arial" w:eastAsia="宋体" w:hAnsi="Arial" w:cs="Arial"/>
          <w:color w:val="333333"/>
          <w:sz w:val="18"/>
          <w:szCs w:val="18"/>
        </w:rPr>
        <w:t>nputs used in measuring a reporting unit’s fair value.</w:t>
      </w:r>
    </w:p>
    <w:p w14:paraId="4ACE43DD"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Our quantitative impairment test considers both the income approach and the market approach to estimate a reporting unit’s fair value. Significant estimates include market segment growth rates, our ass</w:t>
      </w:r>
      <w:r>
        <w:rPr>
          <w:rFonts w:ascii="Arial" w:eastAsia="宋体" w:hAnsi="Arial" w:cs="Arial"/>
          <w:color w:val="333333"/>
          <w:sz w:val="18"/>
          <w:szCs w:val="18"/>
        </w:rPr>
        <w:t>umed market segment share, estimated costs, and discount rates based on a reporting unit's weighted average cost of capital.</w:t>
      </w:r>
    </w:p>
    <w:p w14:paraId="4ACE43DE"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test the reasonableness of the inputs and outcomes of our discounted cash flow analysis against available market data. In the cu</w:t>
      </w:r>
      <w:r>
        <w:rPr>
          <w:rFonts w:ascii="Arial" w:eastAsia="宋体" w:hAnsi="Arial" w:cs="Arial"/>
          <w:color w:val="333333"/>
          <w:sz w:val="18"/>
          <w:szCs w:val="18"/>
        </w:rPr>
        <w:t xml:space="preserve">rrent year, the fair value for all of our reporting units substantially exceeds their carrying value, and our annual qualitative assessment did not indicate that a more detailed quantitative analysis was necessary. </w:t>
      </w:r>
    </w:p>
    <w:p w14:paraId="4ACE43DF"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43E1" w14:textId="77777777">
        <w:tc>
          <w:tcPr>
            <w:tcW w:w="0" w:type="auto"/>
            <w:gridSpan w:val="3"/>
            <w:shd w:val="clear" w:color="auto" w:fill="auto"/>
            <w:vAlign w:val="center"/>
          </w:tcPr>
          <w:p w14:paraId="4ACE43E0" w14:textId="77777777" w:rsidR="006F587A" w:rsidRDefault="006F587A">
            <w:pPr>
              <w:rPr>
                <w:rFonts w:ascii="Times New Roman" w:hAnsi="Times New Roman"/>
                <w:sz w:val="20"/>
                <w:szCs w:val="20"/>
              </w:rPr>
            </w:pPr>
          </w:p>
        </w:tc>
      </w:tr>
      <w:tr w:rsidR="006F587A" w14:paraId="4ACE43E5" w14:textId="77777777">
        <w:tc>
          <w:tcPr>
            <w:tcW w:w="1300" w:type="pct"/>
            <w:shd w:val="clear" w:color="auto" w:fill="auto"/>
            <w:vAlign w:val="center"/>
          </w:tcPr>
          <w:p w14:paraId="4ACE43E2" w14:textId="77777777" w:rsidR="006F587A" w:rsidRDefault="006F587A">
            <w:pPr>
              <w:rPr>
                <w:rFonts w:ascii="Times New Roman" w:hAnsi="Times New Roman"/>
                <w:sz w:val="20"/>
                <w:szCs w:val="20"/>
              </w:rPr>
            </w:pPr>
          </w:p>
        </w:tc>
        <w:tc>
          <w:tcPr>
            <w:tcW w:w="1600" w:type="pct"/>
            <w:shd w:val="clear" w:color="auto" w:fill="auto"/>
            <w:vAlign w:val="center"/>
          </w:tcPr>
          <w:p w14:paraId="4ACE43E3" w14:textId="77777777" w:rsidR="006F587A" w:rsidRDefault="006F587A">
            <w:pPr>
              <w:rPr>
                <w:rFonts w:ascii="Times New Roman" w:hAnsi="Times New Roman"/>
                <w:sz w:val="20"/>
                <w:szCs w:val="20"/>
              </w:rPr>
            </w:pPr>
          </w:p>
        </w:tc>
        <w:tc>
          <w:tcPr>
            <w:tcW w:w="2100" w:type="pct"/>
            <w:shd w:val="clear" w:color="auto" w:fill="auto"/>
            <w:vAlign w:val="center"/>
          </w:tcPr>
          <w:p w14:paraId="4ACE43E4" w14:textId="77777777" w:rsidR="006F587A" w:rsidRDefault="006F587A">
            <w:pPr>
              <w:rPr>
                <w:rFonts w:ascii="Times New Roman" w:hAnsi="Times New Roman"/>
                <w:sz w:val="20"/>
                <w:szCs w:val="20"/>
              </w:rPr>
            </w:pPr>
          </w:p>
        </w:tc>
      </w:tr>
      <w:tr w:rsidR="006F587A" w14:paraId="4ACE43E9" w14:textId="77777777">
        <w:tc>
          <w:tcPr>
            <w:tcW w:w="0" w:type="auto"/>
            <w:tcBorders>
              <w:top w:val="single" w:sz="8" w:space="0" w:color="0071C5"/>
            </w:tcBorders>
            <w:shd w:val="clear" w:color="auto" w:fill="auto"/>
            <w:tcMar>
              <w:top w:w="40" w:type="dxa"/>
              <w:left w:w="40" w:type="dxa"/>
              <w:bottom w:w="40" w:type="dxa"/>
              <w:right w:w="40" w:type="dxa"/>
            </w:tcMar>
            <w:vAlign w:val="bottom"/>
          </w:tcPr>
          <w:p w14:paraId="4ACE43E6" w14:textId="77777777" w:rsidR="006F587A" w:rsidRDefault="007B2B61">
            <w:pPr>
              <w:textAlignment w:val="bottom"/>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D2" wp14:editId="4ACE6DD3">
                  <wp:extent cx="304800" cy="304800"/>
                  <wp:effectExtent l="0" t="0" r="0" b="0"/>
                  <wp:docPr id="181" name="图片 294"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294"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left w:val="single" w:sz="36" w:space="0" w:color="0071C5"/>
            </w:tcBorders>
            <w:shd w:val="clear" w:color="auto" w:fill="auto"/>
            <w:tcMar>
              <w:top w:w="40" w:type="dxa"/>
              <w:left w:w="40" w:type="dxa"/>
              <w:bottom w:w="40" w:type="dxa"/>
              <w:right w:w="40" w:type="dxa"/>
            </w:tcMar>
            <w:vAlign w:val="bottom"/>
          </w:tcPr>
          <w:p w14:paraId="4ACE43E7" w14:textId="77777777" w:rsidR="006F587A" w:rsidRDefault="007B2B61">
            <w:pPr>
              <w:textAlignment w:val="bottom"/>
              <w:rPr>
                <w:rFonts w:ascii="Times New Roman" w:hAnsi="Times New Roman"/>
                <w:sz w:val="16"/>
                <w:szCs w:val="16"/>
              </w:rPr>
            </w:pPr>
            <w:r>
              <w:rPr>
                <w:rFonts w:ascii="Arial" w:eastAsia="宋体" w:hAnsi="Arial" w:cs="Arial"/>
                <w:color w:val="333333"/>
                <w:sz w:val="16"/>
                <w:szCs w:val="16"/>
              </w:rPr>
              <w:t> Notes to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43E8"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78</w:t>
            </w:r>
          </w:p>
        </w:tc>
      </w:tr>
    </w:tbl>
    <w:p w14:paraId="4ACE43EA" w14:textId="77777777" w:rsidR="006F587A" w:rsidRDefault="007B2B61">
      <w:r>
        <w:pict w14:anchorId="4ACE6DD4">
          <v:rect id="_x0000_i1104" style="width:415.3pt;height:1.5pt" o:hralign="center" o:hrstd="t" o:hr="t" fillcolor="#a0a0a0" stroked="f"/>
        </w:pict>
      </w:r>
    </w:p>
    <w:p w14:paraId="4ACE43EB" w14:textId="77777777" w:rsidR="006F587A" w:rsidRDefault="007B2B61">
      <w:pPr>
        <w:spacing w:line="288" w:lineRule="auto"/>
        <w:jc w:val="right"/>
        <w:rPr>
          <w:rFonts w:ascii="Times New Roman" w:hAnsi="Times New Roman"/>
          <w:sz w:val="16"/>
          <w:szCs w:val="16"/>
        </w:rPr>
      </w:pPr>
      <w:hyperlink r:id="rId143" w:anchor="s9DB683E2CF52561EB8A73BE37F5BF9BE" w:history="1">
        <w:r>
          <w:rPr>
            <w:rStyle w:val="a5"/>
            <w:rFonts w:ascii="Arial" w:eastAsia="宋体" w:hAnsi="Arial" w:cs="Arial"/>
            <w:b/>
            <w:bCs/>
            <w:sz w:val="16"/>
            <w:szCs w:val="16"/>
          </w:rPr>
          <w:t>Table of Contents</w:t>
        </w:r>
      </w:hyperlink>
    </w:p>
    <w:p w14:paraId="4ACE43EC" w14:textId="77777777" w:rsidR="006F587A" w:rsidRDefault="006F587A">
      <w:pPr>
        <w:spacing w:line="288" w:lineRule="auto"/>
        <w:jc w:val="right"/>
        <w:rPr>
          <w:rFonts w:ascii="Times New Roman" w:hAnsi="Times New Roman"/>
          <w:sz w:val="16"/>
          <w:szCs w:val="16"/>
        </w:rPr>
      </w:pPr>
    </w:p>
    <w:p w14:paraId="4ACE43ED" w14:textId="77777777" w:rsidR="006F587A" w:rsidRDefault="006F587A">
      <w:pPr>
        <w:rPr>
          <w:rFonts w:ascii="Times New Roman" w:hAnsi="Times New Roman"/>
          <w:sz w:val="20"/>
          <w:szCs w:val="20"/>
        </w:rPr>
      </w:pPr>
    </w:p>
    <w:p w14:paraId="4ACE43EE" w14:textId="77777777" w:rsidR="006F587A" w:rsidRDefault="007B2B61">
      <w:pPr>
        <w:spacing w:line="288" w:lineRule="auto"/>
        <w:rPr>
          <w:rFonts w:ascii="Times New Roman" w:hAnsi="Times New Roman"/>
        </w:rPr>
      </w:pPr>
      <w:r>
        <w:rPr>
          <w:rFonts w:ascii="Arial" w:eastAsia="宋体" w:hAnsi="Arial" w:cs="Arial"/>
          <w:b/>
          <w:bCs/>
          <w:color w:val="0071C5"/>
        </w:rPr>
        <w:t>IDENTIFIED INTANGIBLE ASSETS</w:t>
      </w:r>
    </w:p>
    <w:p w14:paraId="4ACE43EF"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amortize acquisition-related intangible ass</w:t>
      </w:r>
      <w:r>
        <w:rPr>
          <w:rFonts w:ascii="Arial" w:eastAsia="宋体" w:hAnsi="Arial" w:cs="Arial"/>
          <w:color w:val="333333"/>
          <w:sz w:val="18"/>
          <w:szCs w:val="18"/>
        </w:rPr>
        <w:t>ets that are subject to amortization over their estimated useful life. Acquisition-related in-process R&amp;D assets represent the fair value of incomplete R&amp;D projects that had not reached technological feasibility as of the date of acquisition; initially, th</w:t>
      </w:r>
      <w:r>
        <w:rPr>
          <w:rFonts w:ascii="Arial" w:eastAsia="宋体" w:hAnsi="Arial" w:cs="Arial"/>
          <w:color w:val="333333"/>
          <w:sz w:val="18"/>
          <w:szCs w:val="18"/>
        </w:rPr>
        <w:t>ese are classified as in-process R&amp;D and are not subject to amortization. Once these R&amp;D projects are completed, the asset balances are transferred from in-process R&amp;D to acquisition-related developed technology and are subject to amortization from this po</w:t>
      </w:r>
      <w:r>
        <w:rPr>
          <w:rFonts w:ascii="Arial" w:eastAsia="宋体" w:hAnsi="Arial" w:cs="Arial"/>
          <w:color w:val="333333"/>
          <w:sz w:val="18"/>
          <w:szCs w:val="18"/>
        </w:rPr>
        <w:t>int forward. The asset balances relating to projects that are abandoned after acquisition are impaired and expensed to R&amp;D.</w:t>
      </w:r>
    </w:p>
    <w:p w14:paraId="4ACE43F0"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perform a quarterly review of significant finite-lived identified intangible assets to determine whether facts and circumstances indicate that the carrying amount may not be recoverable. These reviews can be affected by various factors, including extern</w:t>
      </w:r>
      <w:r>
        <w:rPr>
          <w:rFonts w:ascii="Arial" w:eastAsia="宋体" w:hAnsi="Arial" w:cs="Arial"/>
          <w:color w:val="333333"/>
          <w:sz w:val="18"/>
          <w:szCs w:val="18"/>
        </w:rPr>
        <w:t xml:space="preserve">al factors such as industry and economic trends, and internal factors such as changes in our business strategy and our forecasts for specific product lines. </w:t>
      </w:r>
    </w:p>
    <w:p w14:paraId="4ACE43F1" w14:textId="77777777" w:rsidR="006F587A" w:rsidRDefault="007B2B61">
      <w:pPr>
        <w:spacing w:line="288" w:lineRule="auto"/>
        <w:rPr>
          <w:rFonts w:ascii="Times New Roman" w:hAnsi="Times New Roman"/>
        </w:rPr>
      </w:pPr>
      <w:r>
        <w:rPr>
          <w:rFonts w:ascii="Arial" w:eastAsia="宋体" w:hAnsi="Arial" w:cs="Arial"/>
          <w:b/>
          <w:bCs/>
          <w:color w:val="0071C5"/>
        </w:rPr>
        <w:t>EMPLOYEE EQUITY INCENTIVE PLANS</w:t>
      </w:r>
    </w:p>
    <w:p w14:paraId="4ACE43F2"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use the straight-line amortization method to recognize share-ba</w:t>
      </w:r>
      <w:r>
        <w:rPr>
          <w:rFonts w:ascii="Arial" w:eastAsia="宋体" w:hAnsi="Arial" w:cs="Arial"/>
          <w:color w:val="333333"/>
          <w:sz w:val="18"/>
          <w:szCs w:val="18"/>
        </w:rPr>
        <w:t>sed compensation expense over the service period of the award, net of estimated forfeitures. Upon exercise, cancellation, forfeiture, or expiration of stock options, or upon vesting or forfeiture of RSUs, we eliminate deferred tax assets for options and RS</w:t>
      </w:r>
      <w:r>
        <w:rPr>
          <w:rFonts w:ascii="Arial" w:eastAsia="宋体" w:hAnsi="Arial" w:cs="Arial"/>
          <w:color w:val="333333"/>
          <w:sz w:val="18"/>
          <w:szCs w:val="18"/>
        </w:rPr>
        <w:t>Us with multiple vesting dates for each vesting period on a first-in, first-out basis as if each vesting period were a separate award.</w:t>
      </w:r>
    </w:p>
    <w:p w14:paraId="4ACE43F3" w14:textId="77777777" w:rsidR="006F587A" w:rsidRDefault="007B2B61">
      <w:pPr>
        <w:spacing w:line="288" w:lineRule="auto"/>
        <w:rPr>
          <w:rFonts w:ascii="Times New Roman" w:hAnsi="Times New Roman"/>
        </w:rPr>
      </w:pPr>
      <w:r>
        <w:rPr>
          <w:rFonts w:ascii="Arial" w:eastAsia="宋体" w:hAnsi="Arial" w:cs="Arial"/>
          <w:b/>
          <w:bCs/>
          <w:color w:val="0071C5"/>
        </w:rPr>
        <w:lastRenderedPageBreak/>
        <w:t>INCOME TAXES</w:t>
      </w:r>
    </w:p>
    <w:p w14:paraId="4ACE43F4"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compute the provision for income taxes using the asset and liability method, under which deferred tax ass</w:t>
      </w:r>
      <w:r>
        <w:rPr>
          <w:rFonts w:ascii="Arial" w:eastAsia="宋体" w:hAnsi="Arial" w:cs="Arial"/>
          <w:color w:val="333333"/>
          <w:sz w:val="18"/>
          <w:szCs w:val="18"/>
        </w:rPr>
        <w:t>ets and liabilities are recognized for the expected future tax consequences of temporary differences between the financial reporting and tax bases of assets and liabilities, and for operating losses and tax credit carryforwards. We measure deferred tax ass</w:t>
      </w:r>
      <w:r>
        <w:rPr>
          <w:rFonts w:ascii="Arial" w:eastAsia="宋体" w:hAnsi="Arial" w:cs="Arial"/>
          <w:color w:val="333333"/>
          <w:sz w:val="18"/>
          <w:szCs w:val="18"/>
        </w:rPr>
        <w:t xml:space="preserve">ets and liabilities using the currently enacted tax rates that apply to taxable income in effect for the years in which those tax assets are expected to be realized or settled. </w:t>
      </w:r>
    </w:p>
    <w:p w14:paraId="4ACE43F5"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assess the likelihood that we will be able to recover our deferred tax asse</w:t>
      </w:r>
      <w:r>
        <w:rPr>
          <w:rFonts w:ascii="Arial" w:eastAsia="宋体" w:hAnsi="Arial" w:cs="Arial"/>
          <w:color w:val="333333"/>
          <w:sz w:val="18"/>
          <w:szCs w:val="18"/>
        </w:rPr>
        <w:t>ts. If recovery is not likely, we must increase our provision for taxes by recording a valuation allowance against the deferred tax assets that we estimate will not ultimately be recoverable. We believe that we will ultimately recover the deferred tax asse</w:t>
      </w:r>
      <w:r>
        <w:rPr>
          <w:rFonts w:ascii="Arial" w:eastAsia="宋体" w:hAnsi="Arial" w:cs="Arial"/>
          <w:color w:val="333333"/>
          <w:sz w:val="18"/>
          <w:szCs w:val="18"/>
        </w:rPr>
        <w:t>ts recorded on our Consolidated Balance Sheets. Recovery of a portion of our deferred tax assets is affected by management’s plans with respect to holding or disposing of certain investments; therefore, such changes could also affect our future provision f</w:t>
      </w:r>
      <w:r>
        <w:rPr>
          <w:rFonts w:ascii="Arial" w:eastAsia="宋体" w:hAnsi="Arial" w:cs="Arial"/>
          <w:color w:val="333333"/>
          <w:sz w:val="18"/>
          <w:szCs w:val="18"/>
        </w:rPr>
        <w:t>or taxes.</w:t>
      </w:r>
    </w:p>
    <w:p w14:paraId="4ACE43F6"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recognize tax benefits from uncertain tax positions only if (based on the technical merits of the position) it is more likely than not that the tax positions will be sustained on examination by the tax authority. The tax benefits recognized in</w:t>
      </w:r>
      <w:r>
        <w:rPr>
          <w:rFonts w:ascii="Arial" w:eastAsia="宋体" w:hAnsi="Arial" w:cs="Arial"/>
          <w:color w:val="333333"/>
          <w:sz w:val="18"/>
          <w:szCs w:val="18"/>
        </w:rPr>
        <w:t xml:space="preserve"> the financial statements from such positions are measured based on the largest amount that is more than 50% likely to be realized upon ultimate settlement. We recognize interest and penalties related to unrecognized tax benefits within the provision for t</w:t>
      </w:r>
      <w:r>
        <w:rPr>
          <w:rFonts w:ascii="Arial" w:eastAsia="宋体" w:hAnsi="Arial" w:cs="Arial"/>
          <w:color w:val="333333"/>
          <w:sz w:val="18"/>
          <w:szCs w:val="18"/>
        </w:rPr>
        <w:t>axes on the Consolidated Statements of Income.</w:t>
      </w:r>
    </w:p>
    <w:p w14:paraId="4ACE43F7"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We recognize the tax impact of including certain foreign earnings in U.S. taxable income as a period cost. We have recognized deferred income taxes for local country income and withholding taxes that could be </w:t>
      </w:r>
      <w:r>
        <w:rPr>
          <w:rFonts w:ascii="Arial" w:eastAsia="宋体" w:hAnsi="Arial" w:cs="Arial"/>
          <w:color w:val="333333"/>
          <w:sz w:val="18"/>
          <w:szCs w:val="18"/>
        </w:rPr>
        <w:t>incurred on distributions of certain non-U.S. earnings or for outside basis differences in our subsidiaries, because we do not plan to indefinitely reinvest such earnings and basis differences. Remittances of non-U.S. earnings are based on estimates and ju</w:t>
      </w:r>
      <w:r>
        <w:rPr>
          <w:rFonts w:ascii="Arial" w:eastAsia="宋体" w:hAnsi="Arial" w:cs="Arial"/>
          <w:color w:val="333333"/>
          <w:sz w:val="18"/>
          <w:szCs w:val="18"/>
        </w:rPr>
        <w:t>dgments of projected cash flow needs, as well as the working capital and investment requirements of our non-U.S. and U.S. operations. Material changes in our estimates of cash, working capital, and investment needs in various jurisdictions could require re</w:t>
      </w:r>
      <w:r>
        <w:rPr>
          <w:rFonts w:ascii="Arial" w:eastAsia="宋体" w:hAnsi="Arial" w:cs="Arial"/>
          <w:color w:val="333333"/>
          <w:sz w:val="18"/>
          <w:szCs w:val="18"/>
        </w:rPr>
        <w:t xml:space="preserve">patriation of indefinitely reinvested non-U.S. earnings, which could be subject to applicable non-U.S. income and withholding taxes. </w:t>
      </w:r>
    </w:p>
    <w:p w14:paraId="4ACE43F8" w14:textId="77777777" w:rsidR="006F587A" w:rsidRDefault="007B2B61">
      <w:pPr>
        <w:spacing w:line="288" w:lineRule="auto"/>
        <w:rPr>
          <w:rFonts w:ascii="Times New Roman" w:hAnsi="Times New Roman"/>
        </w:rPr>
      </w:pPr>
      <w:r>
        <w:rPr>
          <w:rFonts w:ascii="Arial" w:eastAsia="宋体" w:hAnsi="Arial" w:cs="Arial"/>
          <w:b/>
          <w:bCs/>
          <w:color w:val="0071C5"/>
        </w:rPr>
        <w:t>LOSS CONTINGENCIES</w:t>
      </w:r>
    </w:p>
    <w:p w14:paraId="4ACE43F9"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We are subject to loss contingencies, including various legal and regulatory proceedings, asserted and </w:t>
      </w:r>
      <w:r>
        <w:rPr>
          <w:rFonts w:ascii="Arial" w:eastAsia="宋体" w:hAnsi="Arial" w:cs="Arial"/>
          <w:color w:val="333333"/>
          <w:sz w:val="18"/>
          <w:szCs w:val="18"/>
        </w:rPr>
        <w:t>potential claims, liabilities related to repair or replacement of parts in connection with product defects, as well as product warranties and potential asset impairments that arise in the ordinary course of business. An estimated loss from such contingenci</w:t>
      </w:r>
      <w:r>
        <w:rPr>
          <w:rFonts w:ascii="Arial" w:eastAsia="宋体" w:hAnsi="Arial" w:cs="Arial"/>
          <w:color w:val="333333"/>
          <w:sz w:val="18"/>
          <w:szCs w:val="18"/>
        </w:rPr>
        <w:t>es is recognized as a charge to income if it is probable that a liability has been incurred and the amount of the loss can be reasonably estimated.</w:t>
      </w:r>
    </w:p>
    <w:p w14:paraId="4ACE43FA" w14:textId="77777777" w:rsidR="006F587A" w:rsidRDefault="006F587A">
      <w:pPr>
        <w:spacing w:line="288" w:lineRule="auto"/>
        <w:rPr>
          <w:rFonts w:ascii="Times New Roman" w:hAnsi="Times New Roman"/>
          <w:sz w:val="18"/>
          <w:szCs w:val="18"/>
        </w:rPr>
      </w:pPr>
    </w:p>
    <w:tbl>
      <w:tblPr>
        <w:tblW w:w="5000" w:type="pct"/>
        <w:tblCellMar>
          <w:left w:w="0" w:type="dxa"/>
          <w:right w:w="0" w:type="dxa"/>
        </w:tblCellMar>
        <w:tblLook w:val="04A0" w:firstRow="1" w:lastRow="0" w:firstColumn="1" w:lastColumn="0" w:noHBand="0" w:noVBand="1"/>
      </w:tblPr>
      <w:tblGrid>
        <w:gridCol w:w="997"/>
        <w:gridCol w:w="7309"/>
      </w:tblGrid>
      <w:tr w:rsidR="006F587A" w14:paraId="4ACE43FC" w14:textId="77777777">
        <w:tc>
          <w:tcPr>
            <w:tcW w:w="0" w:type="auto"/>
            <w:gridSpan w:val="2"/>
            <w:shd w:val="clear" w:color="auto" w:fill="auto"/>
            <w:vAlign w:val="center"/>
          </w:tcPr>
          <w:p w14:paraId="4ACE43FB" w14:textId="77777777" w:rsidR="006F587A" w:rsidRDefault="006F587A">
            <w:pPr>
              <w:rPr>
                <w:rFonts w:ascii="Times New Roman" w:hAnsi="Times New Roman"/>
                <w:sz w:val="20"/>
                <w:szCs w:val="20"/>
              </w:rPr>
            </w:pPr>
          </w:p>
        </w:tc>
      </w:tr>
      <w:tr w:rsidR="006F587A" w14:paraId="4ACE43FF" w14:textId="77777777">
        <w:tc>
          <w:tcPr>
            <w:tcW w:w="600" w:type="pct"/>
            <w:shd w:val="clear" w:color="auto" w:fill="auto"/>
            <w:vAlign w:val="center"/>
          </w:tcPr>
          <w:p w14:paraId="4ACE43FD" w14:textId="77777777" w:rsidR="006F587A" w:rsidRDefault="006F587A">
            <w:pPr>
              <w:rPr>
                <w:rFonts w:ascii="Times New Roman" w:hAnsi="Times New Roman"/>
                <w:sz w:val="20"/>
                <w:szCs w:val="20"/>
              </w:rPr>
            </w:pPr>
          </w:p>
        </w:tc>
        <w:tc>
          <w:tcPr>
            <w:tcW w:w="4400" w:type="pct"/>
            <w:shd w:val="clear" w:color="auto" w:fill="auto"/>
            <w:vAlign w:val="center"/>
          </w:tcPr>
          <w:p w14:paraId="4ACE43FE" w14:textId="77777777" w:rsidR="006F587A" w:rsidRDefault="006F587A">
            <w:pPr>
              <w:rPr>
                <w:rFonts w:ascii="Times New Roman" w:hAnsi="Times New Roman"/>
                <w:sz w:val="20"/>
                <w:szCs w:val="20"/>
              </w:rPr>
            </w:pPr>
          </w:p>
        </w:tc>
      </w:tr>
      <w:tr w:rsidR="006F587A" w14:paraId="4ACE4402" w14:textId="77777777">
        <w:tc>
          <w:tcPr>
            <w:tcW w:w="0" w:type="auto"/>
            <w:tcBorders>
              <w:bottom w:val="single" w:sz="8" w:space="0" w:color="0071C5"/>
            </w:tcBorders>
            <w:shd w:val="clear" w:color="auto" w:fill="0071C5"/>
            <w:tcMar>
              <w:top w:w="40" w:type="dxa"/>
              <w:left w:w="40" w:type="dxa"/>
              <w:bottom w:w="40" w:type="dxa"/>
              <w:right w:w="40" w:type="dxa"/>
            </w:tcMar>
            <w:vAlign w:val="bottom"/>
          </w:tcPr>
          <w:p w14:paraId="4ACE4400" w14:textId="77777777" w:rsidR="006F587A" w:rsidRDefault="007B2B61">
            <w:pPr>
              <w:textAlignment w:val="bottom"/>
              <w:rPr>
                <w:rFonts w:ascii="Times New Roman" w:hAnsi="Times New Roman"/>
                <w:sz w:val="28"/>
                <w:szCs w:val="28"/>
              </w:rPr>
            </w:pPr>
            <w:r>
              <w:rPr>
                <w:rFonts w:ascii="Arial" w:eastAsia="宋体" w:hAnsi="Arial" w:cs="Arial"/>
                <w:b/>
                <w:bCs/>
                <w:color w:val="FFFFFF"/>
                <w:sz w:val="28"/>
                <w:szCs w:val="28"/>
                <w:shd w:val="clear" w:color="auto" w:fill="0071C5"/>
              </w:rPr>
              <w:t xml:space="preserve">NOTE 3 : </w:t>
            </w:r>
          </w:p>
        </w:tc>
        <w:tc>
          <w:tcPr>
            <w:tcW w:w="0" w:type="auto"/>
            <w:tcBorders>
              <w:bottom w:val="single" w:sz="8" w:space="0" w:color="0071C5"/>
            </w:tcBorders>
            <w:shd w:val="clear" w:color="auto" w:fill="auto"/>
            <w:tcMar>
              <w:top w:w="40" w:type="dxa"/>
              <w:left w:w="40" w:type="dxa"/>
              <w:bottom w:w="40" w:type="dxa"/>
              <w:right w:w="40" w:type="dxa"/>
            </w:tcMar>
            <w:vAlign w:val="bottom"/>
          </w:tcPr>
          <w:p w14:paraId="4ACE4401" w14:textId="77777777" w:rsidR="006F587A" w:rsidRDefault="007B2B61">
            <w:pPr>
              <w:textAlignment w:val="bottom"/>
              <w:rPr>
                <w:rFonts w:ascii="Times New Roman" w:hAnsi="Times New Roman"/>
                <w:sz w:val="28"/>
                <w:szCs w:val="28"/>
              </w:rPr>
            </w:pPr>
            <w:r>
              <w:rPr>
                <w:rFonts w:ascii="Arial" w:eastAsia="宋体" w:hAnsi="Arial" w:cs="Arial"/>
                <w:b/>
                <w:bCs/>
                <w:color w:val="0071C5"/>
                <w:sz w:val="28"/>
                <w:szCs w:val="28"/>
              </w:rPr>
              <w:t>RECENT ACCOUNTING STANDARDS</w:t>
            </w:r>
          </w:p>
        </w:tc>
      </w:tr>
    </w:tbl>
    <w:p w14:paraId="4ACE4403" w14:textId="77777777" w:rsidR="006F587A" w:rsidRDefault="007B2B61">
      <w:pPr>
        <w:spacing w:line="288" w:lineRule="auto"/>
        <w:rPr>
          <w:rFonts w:ascii="Times New Roman" w:hAnsi="Times New Roman"/>
        </w:rPr>
      </w:pPr>
      <w:r>
        <w:rPr>
          <w:rFonts w:ascii="Arial" w:eastAsia="宋体" w:hAnsi="Arial" w:cs="Arial"/>
          <w:b/>
          <w:bCs/>
          <w:color w:val="0071C5"/>
        </w:rPr>
        <w:t>ACCOUNTING STANDARDS ADOPTED</w:t>
      </w:r>
    </w:p>
    <w:p w14:paraId="4ACE4404" w14:textId="77777777" w:rsidR="006F587A" w:rsidRDefault="007B2B61">
      <w:pPr>
        <w:spacing w:line="288" w:lineRule="auto"/>
        <w:rPr>
          <w:rFonts w:ascii="Times New Roman" w:hAnsi="Times New Roman"/>
          <w:sz w:val="20"/>
          <w:szCs w:val="20"/>
        </w:rPr>
      </w:pPr>
      <w:r>
        <w:rPr>
          <w:rFonts w:ascii="Arial" w:eastAsia="宋体" w:hAnsi="Arial" w:cs="Arial"/>
          <w:b/>
          <w:bCs/>
          <w:color w:val="333333"/>
          <w:sz w:val="20"/>
          <w:szCs w:val="20"/>
        </w:rPr>
        <w:t>Leases</w:t>
      </w:r>
    </w:p>
    <w:p w14:paraId="4ACE4405" w14:textId="77777777" w:rsidR="006F587A" w:rsidRDefault="007B2B61">
      <w:pPr>
        <w:spacing w:line="288" w:lineRule="auto"/>
        <w:rPr>
          <w:rFonts w:ascii="Times New Roman" w:hAnsi="Times New Roman"/>
          <w:sz w:val="18"/>
          <w:szCs w:val="18"/>
        </w:rPr>
      </w:pPr>
      <w:r>
        <w:rPr>
          <w:rFonts w:ascii="Arial" w:eastAsia="宋体" w:hAnsi="Arial" w:cs="Arial"/>
          <w:color w:val="0071C5"/>
          <w:sz w:val="18"/>
          <w:szCs w:val="18"/>
        </w:rPr>
        <w:t xml:space="preserve">Standard/Description: </w:t>
      </w:r>
      <w:r>
        <w:rPr>
          <w:rFonts w:ascii="Arial" w:eastAsia="宋体" w:hAnsi="Arial" w:cs="Arial"/>
          <w:color w:val="333333"/>
          <w:sz w:val="18"/>
          <w:szCs w:val="18"/>
        </w:rPr>
        <w:t>This new lease accounting standard requires that we recognize leased assets and corresponding liabilities on the balance sheet and provide enhanced disclosure of lease activity.</w:t>
      </w:r>
    </w:p>
    <w:p w14:paraId="4ACE4406" w14:textId="77777777" w:rsidR="006F587A" w:rsidRDefault="007B2B61">
      <w:pPr>
        <w:spacing w:line="288" w:lineRule="auto"/>
        <w:rPr>
          <w:rFonts w:ascii="Times New Roman" w:hAnsi="Times New Roman"/>
          <w:sz w:val="18"/>
          <w:szCs w:val="18"/>
        </w:rPr>
      </w:pPr>
      <w:r>
        <w:rPr>
          <w:rFonts w:ascii="Arial" w:eastAsia="宋体" w:hAnsi="Arial" w:cs="Arial"/>
          <w:color w:val="0071C5"/>
          <w:sz w:val="18"/>
          <w:szCs w:val="18"/>
        </w:rPr>
        <w:t>Effective Date and Adoption Considerations:</w:t>
      </w:r>
      <w:r>
        <w:rPr>
          <w:rFonts w:ascii="Arial" w:eastAsia="宋体" w:hAnsi="Arial" w:cs="Arial"/>
          <w:color w:val="333333"/>
          <w:sz w:val="18"/>
          <w:szCs w:val="18"/>
        </w:rPr>
        <w:t xml:space="preserve"> Effective in</w:t>
      </w:r>
      <w:r>
        <w:rPr>
          <w:rFonts w:ascii="Arial" w:eastAsia="宋体" w:hAnsi="Arial" w:cs="Arial"/>
          <w:color w:val="333333"/>
          <w:sz w:val="18"/>
          <w:szCs w:val="18"/>
        </w:rPr>
        <w:t xml:space="preserve"> the first quarter of 2019. The standard was adopted applying the modified retrospective approach at the beginning of the period of adoption. Our leased assets and corresponding liabilities exclude non-lease components.</w:t>
      </w:r>
    </w:p>
    <w:p w14:paraId="4ACE4407"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4409" w14:textId="77777777">
        <w:tc>
          <w:tcPr>
            <w:tcW w:w="0" w:type="auto"/>
            <w:gridSpan w:val="3"/>
            <w:shd w:val="clear" w:color="auto" w:fill="auto"/>
            <w:vAlign w:val="center"/>
          </w:tcPr>
          <w:p w14:paraId="4ACE4408" w14:textId="77777777" w:rsidR="006F587A" w:rsidRDefault="006F587A">
            <w:pPr>
              <w:rPr>
                <w:rFonts w:ascii="Times New Roman" w:hAnsi="Times New Roman"/>
                <w:sz w:val="20"/>
                <w:szCs w:val="20"/>
              </w:rPr>
            </w:pPr>
          </w:p>
        </w:tc>
      </w:tr>
      <w:tr w:rsidR="006F587A" w14:paraId="4ACE440D" w14:textId="77777777">
        <w:tc>
          <w:tcPr>
            <w:tcW w:w="1300" w:type="pct"/>
            <w:shd w:val="clear" w:color="auto" w:fill="auto"/>
            <w:vAlign w:val="center"/>
          </w:tcPr>
          <w:p w14:paraId="4ACE440A" w14:textId="77777777" w:rsidR="006F587A" w:rsidRDefault="006F587A">
            <w:pPr>
              <w:rPr>
                <w:rFonts w:ascii="Times New Roman" w:hAnsi="Times New Roman"/>
                <w:sz w:val="20"/>
                <w:szCs w:val="20"/>
              </w:rPr>
            </w:pPr>
          </w:p>
        </w:tc>
        <w:tc>
          <w:tcPr>
            <w:tcW w:w="1600" w:type="pct"/>
            <w:shd w:val="clear" w:color="auto" w:fill="auto"/>
            <w:vAlign w:val="center"/>
          </w:tcPr>
          <w:p w14:paraId="4ACE440B" w14:textId="77777777" w:rsidR="006F587A" w:rsidRDefault="006F587A">
            <w:pPr>
              <w:rPr>
                <w:rFonts w:ascii="Times New Roman" w:hAnsi="Times New Roman"/>
                <w:sz w:val="20"/>
                <w:szCs w:val="20"/>
              </w:rPr>
            </w:pPr>
          </w:p>
        </w:tc>
        <w:tc>
          <w:tcPr>
            <w:tcW w:w="2100" w:type="pct"/>
            <w:shd w:val="clear" w:color="auto" w:fill="auto"/>
            <w:vAlign w:val="center"/>
          </w:tcPr>
          <w:p w14:paraId="4ACE440C" w14:textId="77777777" w:rsidR="006F587A" w:rsidRDefault="006F587A">
            <w:pPr>
              <w:rPr>
                <w:rFonts w:ascii="Times New Roman" w:hAnsi="Times New Roman"/>
                <w:sz w:val="20"/>
                <w:szCs w:val="20"/>
              </w:rPr>
            </w:pPr>
          </w:p>
        </w:tc>
      </w:tr>
      <w:tr w:rsidR="006F587A" w14:paraId="4ACE4411" w14:textId="77777777">
        <w:tc>
          <w:tcPr>
            <w:tcW w:w="0" w:type="auto"/>
            <w:tcBorders>
              <w:top w:val="single" w:sz="8" w:space="0" w:color="0071C5"/>
            </w:tcBorders>
            <w:shd w:val="clear" w:color="auto" w:fill="auto"/>
            <w:tcMar>
              <w:top w:w="40" w:type="dxa"/>
              <w:left w:w="40" w:type="dxa"/>
              <w:bottom w:w="40" w:type="dxa"/>
              <w:right w:w="40" w:type="dxa"/>
            </w:tcMar>
            <w:vAlign w:val="bottom"/>
          </w:tcPr>
          <w:p w14:paraId="4ACE440E" w14:textId="77777777" w:rsidR="006F587A" w:rsidRDefault="007B2B61">
            <w:pPr>
              <w:textAlignment w:val="bottom"/>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INCLUDEPICTURE \d "/Users/xux</w:instrText>
            </w:r>
            <w:r>
              <w:rPr>
                <w:rFonts w:ascii="Times New Roman" w:eastAsia="宋体" w:hAnsi="Times New Roman"/>
                <w:sz w:val="16"/>
                <w:szCs w:val="16"/>
              </w:rPr>
              <w:instrText xml:space="preserve">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D5" wp14:editId="4ACE6DD6">
                  <wp:extent cx="304800" cy="304800"/>
                  <wp:effectExtent l="0" t="0" r="0" b="0"/>
                  <wp:docPr id="182" name="图片 296"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296"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left w:val="single" w:sz="36" w:space="0" w:color="0071C5"/>
            </w:tcBorders>
            <w:shd w:val="clear" w:color="auto" w:fill="auto"/>
            <w:tcMar>
              <w:top w:w="40" w:type="dxa"/>
              <w:left w:w="40" w:type="dxa"/>
              <w:bottom w:w="40" w:type="dxa"/>
              <w:right w:w="40" w:type="dxa"/>
            </w:tcMar>
            <w:vAlign w:val="bottom"/>
          </w:tcPr>
          <w:p w14:paraId="4ACE440F" w14:textId="77777777" w:rsidR="006F587A" w:rsidRDefault="007B2B61">
            <w:pPr>
              <w:textAlignment w:val="bottom"/>
              <w:rPr>
                <w:rFonts w:ascii="Times New Roman" w:hAnsi="Times New Roman"/>
                <w:sz w:val="16"/>
                <w:szCs w:val="16"/>
              </w:rPr>
            </w:pPr>
            <w:r>
              <w:rPr>
                <w:rFonts w:ascii="Arial" w:eastAsia="宋体" w:hAnsi="Arial" w:cs="Arial"/>
                <w:color w:val="333333"/>
                <w:sz w:val="16"/>
                <w:szCs w:val="16"/>
              </w:rPr>
              <w:t> Notes to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4410"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79</w:t>
            </w:r>
          </w:p>
        </w:tc>
      </w:tr>
    </w:tbl>
    <w:p w14:paraId="4ACE4412" w14:textId="77777777" w:rsidR="006F587A" w:rsidRDefault="007B2B61">
      <w:r>
        <w:pict w14:anchorId="4ACE6DD7">
          <v:rect id="_x0000_i1105" style="width:415.3pt;height:1.5pt" o:hralign="center" o:hrstd="t" o:hr="t" fillcolor="#a0a0a0" stroked="f"/>
        </w:pict>
      </w:r>
    </w:p>
    <w:p w14:paraId="4ACE4413" w14:textId="77777777" w:rsidR="006F587A" w:rsidRDefault="007B2B61">
      <w:pPr>
        <w:spacing w:line="288" w:lineRule="auto"/>
        <w:jc w:val="right"/>
        <w:rPr>
          <w:rFonts w:ascii="Times New Roman" w:hAnsi="Times New Roman"/>
          <w:sz w:val="16"/>
          <w:szCs w:val="16"/>
        </w:rPr>
      </w:pPr>
      <w:hyperlink r:id="rId144" w:anchor="s9DB683E2CF52561EB8A73BE37F5BF9BE" w:history="1">
        <w:r>
          <w:rPr>
            <w:rStyle w:val="a5"/>
            <w:rFonts w:ascii="Arial" w:eastAsia="宋体" w:hAnsi="Arial" w:cs="Arial"/>
            <w:b/>
            <w:bCs/>
            <w:sz w:val="16"/>
            <w:szCs w:val="16"/>
          </w:rPr>
          <w:t>Table of Contents</w:t>
        </w:r>
      </w:hyperlink>
    </w:p>
    <w:p w14:paraId="4ACE4414" w14:textId="77777777" w:rsidR="006F587A" w:rsidRDefault="006F587A">
      <w:pPr>
        <w:spacing w:line="288" w:lineRule="auto"/>
        <w:jc w:val="right"/>
        <w:rPr>
          <w:rFonts w:ascii="Times New Roman" w:hAnsi="Times New Roman"/>
          <w:sz w:val="16"/>
          <w:szCs w:val="16"/>
        </w:rPr>
      </w:pPr>
    </w:p>
    <w:p w14:paraId="4ACE4415" w14:textId="77777777" w:rsidR="006F587A" w:rsidRDefault="006F587A">
      <w:pPr>
        <w:rPr>
          <w:rFonts w:ascii="Times New Roman" w:hAnsi="Times New Roman"/>
          <w:sz w:val="20"/>
          <w:szCs w:val="20"/>
        </w:rPr>
      </w:pPr>
    </w:p>
    <w:p w14:paraId="4ACE4416" w14:textId="77777777" w:rsidR="006F587A" w:rsidRDefault="007B2B61">
      <w:pPr>
        <w:spacing w:line="288" w:lineRule="auto"/>
        <w:rPr>
          <w:rFonts w:ascii="Times New Roman" w:hAnsi="Times New Roman"/>
          <w:sz w:val="18"/>
          <w:szCs w:val="18"/>
        </w:rPr>
      </w:pPr>
      <w:r>
        <w:rPr>
          <w:rFonts w:ascii="Arial" w:eastAsia="宋体" w:hAnsi="Arial" w:cs="Arial"/>
          <w:color w:val="0071C5"/>
          <w:sz w:val="18"/>
          <w:szCs w:val="18"/>
        </w:rPr>
        <w:t xml:space="preserve">Effect on Financial Statements or Other Significant Matters: </w:t>
      </w:r>
      <w:r>
        <w:rPr>
          <w:rFonts w:ascii="Arial" w:eastAsia="宋体" w:hAnsi="Arial" w:cs="Arial"/>
          <w:color w:val="333333"/>
          <w:sz w:val="18"/>
          <w:szCs w:val="18"/>
        </w:rPr>
        <w:t>Within the ope</w:t>
      </w:r>
      <w:r>
        <w:rPr>
          <w:rFonts w:ascii="Arial" w:eastAsia="宋体" w:hAnsi="Arial" w:cs="Arial"/>
          <w:color w:val="333333"/>
          <w:sz w:val="18"/>
          <w:szCs w:val="18"/>
        </w:rPr>
        <w:t>ning balances for the fiscal year beginning December 30, 2018, we recognized leased assets and corresponding liabilities in other long-term assets of $706 million, which includes $81 million of previously recognized prepaid land use rights, as well as corr</w:t>
      </w:r>
      <w:r>
        <w:rPr>
          <w:rFonts w:ascii="Arial" w:eastAsia="宋体" w:hAnsi="Arial" w:cs="Arial"/>
          <w:color w:val="333333"/>
          <w:sz w:val="18"/>
          <w:szCs w:val="18"/>
        </w:rPr>
        <w:t>esponding accrued liabilities of $180 million and other long-term liabilities of $445 million.</w:t>
      </w:r>
    </w:p>
    <w:p w14:paraId="4ACE4417" w14:textId="77777777" w:rsidR="006F587A" w:rsidRDefault="007B2B61">
      <w:pPr>
        <w:spacing w:line="288" w:lineRule="auto"/>
        <w:rPr>
          <w:rFonts w:ascii="Times New Roman" w:hAnsi="Times New Roman"/>
          <w:sz w:val="18"/>
          <w:szCs w:val="18"/>
        </w:rPr>
      </w:pPr>
      <w:r>
        <w:rPr>
          <w:rFonts w:ascii="Arial" w:eastAsia="宋体" w:hAnsi="Arial" w:cs="Arial"/>
          <w:color w:val="0071C5"/>
          <w:sz w:val="18"/>
          <w:szCs w:val="18"/>
        </w:rPr>
        <w:t xml:space="preserve">Accounting Policy Updates and Disclosures: </w:t>
      </w:r>
      <w:r>
        <w:rPr>
          <w:rFonts w:ascii="Arial" w:eastAsia="宋体" w:hAnsi="Arial" w:cs="Arial"/>
          <w:color w:val="333333"/>
          <w:sz w:val="18"/>
          <w:szCs w:val="18"/>
        </w:rPr>
        <w:t>We determine if an arrangement is a lease at inception and classify it as finance or operating. Leased assets and corr</w:t>
      </w:r>
      <w:r>
        <w:rPr>
          <w:rFonts w:ascii="Arial" w:eastAsia="宋体" w:hAnsi="Arial" w:cs="Arial"/>
          <w:color w:val="333333"/>
          <w:sz w:val="18"/>
          <w:szCs w:val="18"/>
        </w:rPr>
        <w:t>esponding liabilities are recognized based on the present value of the lease payments over the lease term. Our lease terms may include options to extend when it is reasonably certain that we will exercise that option. We have lease agreements with lease an</w:t>
      </w:r>
      <w:r>
        <w:rPr>
          <w:rFonts w:ascii="Arial" w:eastAsia="宋体" w:hAnsi="Arial" w:cs="Arial"/>
          <w:color w:val="333333"/>
          <w:sz w:val="18"/>
          <w:szCs w:val="18"/>
        </w:rPr>
        <w:t xml:space="preserve">d non-lease components, and the non-lease components are accounted for separately and not included in our leased assets and corresponding liabilities. Leases primarily consist of real property, and, to a lesser extent, certain machinery and equipment. </w:t>
      </w:r>
    </w:p>
    <w:p w14:paraId="4ACE4418"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We </w:t>
      </w:r>
      <w:r>
        <w:rPr>
          <w:rFonts w:ascii="Arial" w:eastAsia="宋体" w:hAnsi="Arial" w:cs="Arial"/>
          <w:color w:val="333333"/>
          <w:sz w:val="18"/>
          <w:szCs w:val="18"/>
        </w:rPr>
        <w:t>recognized leased assets in other long-term assets of $628 million and corresponding accrued liabilities of $175 million, and other long-term liabilities of $375 million as of December 28, 2019. Our leases have remaining terms of 1 to 9 years, some of whic</w:t>
      </w:r>
      <w:r>
        <w:rPr>
          <w:rFonts w:ascii="Arial" w:eastAsia="宋体" w:hAnsi="Arial" w:cs="Arial"/>
          <w:color w:val="333333"/>
          <w:sz w:val="18"/>
          <w:szCs w:val="18"/>
        </w:rPr>
        <w:t xml:space="preserve">h may include options to extend the leases for up to 39 years. The weighted average remaining lease term was 4.7 years, and the weighted average discount rate was 3.4% as of December 28, 2019. </w:t>
      </w:r>
    </w:p>
    <w:p w14:paraId="4ACE4419" w14:textId="77777777" w:rsidR="006F587A" w:rsidRDefault="007B2B61">
      <w:pPr>
        <w:spacing w:line="288" w:lineRule="auto"/>
        <w:rPr>
          <w:rFonts w:ascii="Times New Roman" w:hAnsi="Times New Roman"/>
          <w:sz w:val="20"/>
          <w:szCs w:val="20"/>
        </w:rPr>
      </w:pPr>
      <w:r>
        <w:rPr>
          <w:rFonts w:ascii="Arial" w:eastAsia="宋体" w:hAnsi="Arial" w:cs="Arial"/>
          <w:color w:val="333333"/>
          <w:sz w:val="18"/>
          <w:szCs w:val="18"/>
        </w:rPr>
        <w:t>For the twelve months ended December 28, 2019, lease expense w</w:t>
      </w:r>
      <w:r>
        <w:rPr>
          <w:rFonts w:ascii="Arial" w:eastAsia="宋体" w:hAnsi="Arial" w:cs="Arial"/>
          <w:color w:val="333333"/>
          <w:sz w:val="18"/>
          <w:szCs w:val="18"/>
        </w:rPr>
        <w:t>as $185 million. In accordance with the new leases standard, discounted and undiscounted lease payments under non-cancelable leases as of December 28, 2019, excluding non-lease components, were as follows:</w:t>
      </w:r>
    </w:p>
    <w:tbl>
      <w:tblPr>
        <w:tblW w:w="4991" w:type="pct"/>
        <w:tblCellMar>
          <w:left w:w="0" w:type="dxa"/>
          <w:right w:w="0" w:type="dxa"/>
        </w:tblCellMar>
        <w:tblLook w:val="04A0" w:firstRow="1" w:lastRow="0" w:firstColumn="1" w:lastColumn="0" w:noHBand="0" w:noVBand="1"/>
      </w:tblPr>
      <w:tblGrid>
        <w:gridCol w:w="2408"/>
        <w:gridCol w:w="130"/>
        <w:gridCol w:w="142"/>
        <w:gridCol w:w="501"/>
        <w:gridCol w:w="53"/>
        <w:gridCol w:w="130"/>
        <w:gridCol w:w="142"/>
        <w:gridCol w:w="460"/>
        <w:gridCol w:w="53"/>
        <w:gridCol w:w="130"/>
        <w:gridCol w:w="142"/>
        <w:gridCol w:w="460"/>
        <w:gridCol w:w="53"/>
        <w:gridCol w:w="130"/>
        <w:gridCol w:w="142"/>
        <w:gridCol w:w="460"/>
        <w:gridCol w:w="53"/>
        <w:gridCol w:w="130"/>
        <w:gridCol w:w="142"/>
        <w:gridCol w:w="461"/>
        <w:gridCol w:w="53"/>
        <w:gridCol w:w="130"/>
        <w:gridCol w:w="142"/>
        <w:gridCol w:w="748"/>
        <w:gridCol w:w="106"/>
        <w:gridCol w:w="130"/>
        <w:gridCol w:w="142"/>
        <w:gridCol w:w="462"/>
        <w:gridCol w:w="56"/>
      </w:tblGrid>
      <w:tr w:rsidR="006F587A" w14:paraId="4ACE441B" w14:textId="77777777">
        <w:tc>
          <w:tcPr>
            <w:tcW w:w="0" w:type="auto"/>
            <w:gridSpan w:val="29"/>
            <w:shd w:val="clear" w:color="auto" w:fill="auto"/>
            <w:vAlign w:val="center"/>
          </w:tcPr>
          <w:p w14:paraId="4ACE441A" w14:textId="77777777" w:rsidR="006F587A" w:rsidRDefault="006F587A">
            <w:pPr>
              <w:rPr>
                <w:rFonts w:ascii="Times New Roman" w:hAnsi="Times New Roman"/>
                <w:sz w:val="20"/>
                <w:szCs w:val="20"/>
              </w:rPr>
            </w:pPr>
          </w:p>
        </w:tc>
      </w:tr>
      <w:tr w:rsidR="006F587A" w14:paraId="4ACE4439" w14:textId="77777777">
        <w:tc>
          <w:tcPr>
            <w:tcW w:w="1500" w:type="pct"/>
            <w:shd w:val="clear" w:color="auto" w:fill="auto"/>
            <w:vAlign w:val="center"/>
          </w:tcPr>
          <w:p w14:paraId="4ACE441C" w14:textId="77777777" w:rsidR="006F587A" w:rsidRDefault="006F587A">
            <w:pPr>
              <w:rPr>
                <w:rFonts w:ascii="Times New Roman" w:hAnsi="Times New Roman"/>
                <w:sz w:val="20"/>
                <w:szCs w:val="20"/>
              </w:rPr>
            </w:pPr>
          </w:p>
        </w:tc>
        <w:tc>
          <w:tcPr>
            <w:tcW w:w="50" w:type="pct"/>
            <w:shd w:val="clear" w:color="auto" w:fill="auto"/>
            <w:vAlign w:val="center"/>
          </w:tcPr>
          <w:p w14:paraId="4ACE441D" w14:textId="77777777" w:rsidR="006F587A" w:rsidRDefault="006F587A">
            <w:pPr>
              <w:rPr>
                <w:rFonts w:ascii="Times New Roman" w:hAnsi="Times New Roman"/>
                <w:sz w:val="20"/>
                <w:szCs w:val="20"/>
              </w:rPr>
            </w:pPr>
          </w:p>
        </w:tc>
        <w:tc>
          <w:tcPr>
            <w:tcW w:w="50" w:type="pct"/>
            <w:shd w:val="clear" w:color="auto" w:fill="auto"/>
            <w:vAlign w:val="center"/>
          </w:tcPr>
          <w:p w14:paraId="4ACE441E" w14:textId="77777777" w:rsidR="006F587A" w:rsidRDefault="006F587A">
            <w:pPr>
              <w:rPr>
                <w:rFonts w:ascii="Times New Roman" w:hAnsi="Times New Roman"/>
                <w:sz w:val="20"/>
                <w:szCs w:val="20"/>
              </w:rPr>
            </w:pPr>
          </w:p>
        </w:tc>
        <w:tc>
          <w:tcPr>
            <w:tcW w:w="350" w:type="pct"/>
            <w:shd w:val="clear" w:color="auto" w:fill="auto"/>
            <w:vAlign w:val="center"/>
          </w:tcPr>
          <w:p w14:paraId="4ACE441F" w14:textId="77777777" w:rsidR="006F587A" w:rsidRDefault="006F587A">
            <w:pPr>
              <w:rPr>
                <w:rFonts w:ascii="Times New Roman" w:hAnsi="Times New Roman"/>
                <w:sz w:val="20"/>
                <w:szCs w:val="20"/>
              </w:rPr>
            </w:pPr>
          </w:p>
        </w:tc>
        <w:tc>
          <w:tcPr>
            <w:tcW w:w="50" w:type="pct"/>
            <w:shd w:val="clear" w:color="auto" w:fill="auto"/>
            <w:vAlign w:val="center"/>
          </w:tcPr>
          <w:p w14:paraId="4ACE4420" w14:textId="77777777" w:rsidR="006F587A" w:rsidRDefault="006F587A">
            <w:pPr>
              <w:rPr>
                <w:rFonts w:ascii="Times New Roman" w:hAnsi="Times New Roman"/>
                <w:sz w:val="20"/>
                <w:szCs w:val="20"/>
              </w:rPr>
            </w:pPr>
          </w:p>
        </w:tc>
        <w:tc>
          <w:tcPr>
            <w:tcW w:w="50" w:type="pct"/>
            <w:shd w:val="clear" w:color="auto" w:fill="auto"/>
            <w:vAlign w:val="center"/>
          </w:tcPr>
          <w:p w14:paraId="4ACE4421" w14:textId="77777777" w:rsidR="006F587A" w:rsidRDefault="006F587A">
            <w:pPr>
              <w:rPr>
                <w:rFonts w:ascii="Times New Roman" w:hAnsi="Times New Roman"/>
                <w:sz w:val="20"/>
                <w:szCs w:val="20"/>
              </w:rPr>
            </w:pPr>
          </w:p>
        </w:tc>
        <w:tc>
          <w:tcPr>
            <w:tcW w:w="50" w:type="pct"/>
            <w:shd w:val="clear" w:color="auto" w:fill="auto"/>
            <w:vAlign w:val="center"/>
          </w:tcPr>
          <w:p w14:paraId="4ACE4422" w14:textId="77777777" w:rsidR="006F587A" w:rsidRDefault="006F587A">
            <w:pPr>
              <w:rPr>
                <w:rFonts w:ascii="Times New Roman" w:hAnsi="Times New Roman"/>
                <w:sz w:val="20"/>
                <w:szCs w:val="20"/>
              </w:rPr>
            </w:pPr>
          </w:p>
        </w:tc>
        <w:tc>
          <w:tcPr>
            <w:tcW w:w="350" w:type="pct"/>
            <w:shd w:val="clear" w:color="auto" w:fill="auto"/>
            <w:vAlign w:val="center"/>
          </w:tcPr>
          <w:p w14:paraId="4ACE4423" w14:textId="77777777" w:rsidR="006F587A" w:rsidRDefault="006F587A">
            <w:pPr>
              <w:rPr>
                <w:rFonts w:ascii="Times New Roman" w:hAnsi="Times New Roman"/>
                <w:sz w:val="20"/>
                <w:szCs w:val="20"/>
              </w:rPr>
            </w:pPr>
          </w:p>
        </w:tc>
        <w:tc>
          <w:tcPr>
            <w:tcW w:w="50" w:type="pct"/>
            <w:shd w:val="clear" w:color="auto" w:fill="auto"/>
            <w:vAlign w:val="center"/>
          </w:tcPr>
          <w:p w14:paraId="4ACE4424" w14:textId="77777777" w:rsidR="006F587A" w:rsidRDefault="006F587A">
            <w:pPr>
              <w:rPr>
                <w:rFonts w:ascii="Times New Roman" w:hAnsi="Times New Roman"/>
                <w:sz w:val="20"/>
                <w:szCs w:val="20"/>
              </w:rPr>
            </w:pPr>
          </w:p>
        </w:tc>
        <w:tc>
          <w:tcPr>
            <w:tcW w:w="50" w:type="pct"/>
            <w:shd w:val="clear" w:color="auto" w:fill="auto"/>
            <w:vAlign w:val="center"/>
          </w:tcPr>
          <w:p w14:paraId="4ACE4425" w14:textId="77777777" w:rsidR="006F587A" w:rsidRDefault="006F587A">
            <w:pPr>
              <w:rPr>
                <w:rFonts w:ascii="Times New Roman" w:hAnsi="Times New Roman"/>
                <w:sz w:val="20"/>
                <w:szCs w:val="20"/>
              </w:rPr>
            </w:pPr>
          </w:p>
        </w:tc>
        <w:tc>
          <w:tcPr>
            <w:tcW w:w="50" w:type="pct"/>
            <w:shd w:val="clear" w:color="auto" w:fill="auto"/>
            <w:vAlign w:val="center"/>
          </w:tcPr>
          <w:p w14:paraId="4ACE4426" w14:textId="77777777" w:rsidR="006F587A" w:rsidRDefault="006F587A">
            <w:pPr>
              <w:rPr>
                <w:rFonts w:ascii="Times New Roman" w:hAnsi="Times New Roman"/>
                <w:sz w:val="20"/>
                <w:szCs w:val="20"/>
              </w:rPr>
            </w:pPr>
          </w:p>
        </w:tc>
        <w:tc>
          <w:tcPr>
            <w:tcW w:w="350" w:type="pct"/>
            <w:shd w:val="clear" w:color="auto" w:fill="auto"/>
            <w:vAlign w:val="center"/>
          </w:tcPr>
          <w:p w14:paraId="4ACE4427" w14:textId="77777777" w:rsidR="006F587A" w:rsidRDefault="006F587A">
            <w:pPr>
              <w:rPr>
                <w:rFonts w:ascii="Times New Roman" w:hAnsi="Times New Roman"/>
                <w:sz w:val="20"/>
                <w:szCs w:val="20"/>
              </w:rPr>
            </w:pPr>
          </w:p>
        </w:tc>
        <w:tc>
          <w:tcPr>
            <w:tcW w:w="50" w:type="pct"/>
            <w:shd w:val="clear" w:color="auto" w:fill="auto"/>
            <w:vAlign w:val="center"/>
          </w:tcPr>
          <w:p w14:paraId="4ACE4428" w14:textId="77777777" w:rsidR="006F587A" w:rsidRDefault="006F587A">
            <w:pPr>
              <w:rPr>
                <w:rFonts w:ascii="Times New Roman" w:hAnsi="Times New Roman"/>
                <w:sz w:val="20"/>
                <w:szCs w:val="20"/>
              </w:rPr>
            </w:pPr>
          </w:p>
        </w:tc>
        <w:tc>
          <w:tcPr>
            <w:tcW w:w="50" w:type="pct"/>
            <w:shd w:val="clear" w:color="auto" w:fill="auto"/>
            <w:vAlign w:val="center"/>
          </w:tcPr>
          <w:p w14:paraId="4ACE4429" w14:textId="77777777" w:rsidR="006F587A" w:rsidRDefault="006F587A">
            <w:pPr>
              <w:rPr>
                <w:rFonts w:ascii="Times New Roman" w:hAnsi="Times New Roman"/>
                <w:sz w:val="20"/>
                <w:szCs w:val="20"/>
              </w:rPr>
            </w:pPr>
          </w:p>
        </w:tc>
        <w:tc>
          <w:tcPr>
            <w:tcW w:w="50" w:type="pct"/>
            <w:shd w:val="clear" w:color="auto" w:fill="auto"/>
            <w:vAlign w:val="center"/>
          </w:tcPr>
          <w:p w14:paraId="4ACE442A" w14:textId="77777777" w:rsidR="006F587A" w:rsidRDefault="006F587A">
            <w:pPr>
              <w:rPr>
                <w:rFonts w:ascii="Times New Roman" w:hAnsi="Times New Roman"/>
                <w:sz w:val="20"/>
                <w:szCs w:val="20"/>
              </w:rPr>
            </w:pPr>
          </w:p>
        </w:tc>
        <w:tc>
          <w:tcPr>
            <w:tcW w:w="350" w:type="pct"/>
            <w:shd w:val="clear" w:color="auto" w:fill="auto"/>
            <w:vAlign w:val="center"/>
          </w:tcPr>
          <w:p w14:paraId="4ACE442B" w14:textId="77777777" w:rsidR="006F587A" w:rsidRDefault="006F587A">
            <w:pPr>
              <w:rPr>
                <w:rFonts w:ascii="Times New Roman" w:hAnsi="Times New Roman"/>
                <w:sz w:val="20"/>
                <w:szCs w:val="20"/>
              </w:rPr>
            </w:pPr>
          </w:p>
        </w:tc>
        <w:tc>
          <w:tcPr>
            <w:tcW w:w="50" w:type="pct"/>
            <w:shd w:val="clear" w:color="auto" w:fill="auto"/>
            <w:vAlign w:val="center"/>
          </w:tcPr>
          <w:p w14:paraId="4ACE442C" w14:textId="77777777" w:rsidR="006F587A" w:rsidRDefault="006F587A">
            <w:pPr>
              <w:rPr>
                <w:rFonts w:ascii="Times New Roman" w:hAnsi="Times New Roman"/>
                <w:sz w:val="20"/>
                <w:szCs w:val="20"/>
              </w:rPr>
            </w:pPr>
          </w:p>
        </w:tc>
        <w:tc>
          <w:tcPr>
            <w:tcW w:w="50" w:type="pct"/>
            <w:shd w:val="clear" w:color="auto" w:fill="auto"/>
            <w:vAlign w:val="center"/>
          </w:tcPr>
          <w:p w14:paraId="4ACE442D" w14:textId="77777777" w:rsidR="006F587A" w:rsidRDefault="006F587A">
            <w:pPr>
              <w:rPr>
                <w:rFonts w:ascii="Times New Roman" w:hAnsi="Times New Roman"/>
                <w:sz w:val="20"/>
                <w:szCs w:val="20"/>
              </w:rPr>
            </w:pPr>
          </w:p>
        </w:tc>
        <w:tc>
          <w:tcPr>
            <w:tcW w:w="50" w:type="pct"/>
            <w:shd w:val="clear" w:color="auto" w:fill="auto"/>
            <w:vAlign w:val="center"/>
          </w:tcPr>
          <w:p w14:paraId="4ACE442E" w14:textId="77777777" w:rsidR="006F587A" w:rsidRDefault="006F587A">
            <w:pPr>
              <w:rPr>
                <w:rFonts w:ascii="Times New Roman" w:hAnsi="Times New Roman"/>
                <w:sz w:val="20"/>
                <w:szCs w:val="20"/>
              </w:rPr>
            </w:pPr>
          </w:p>
        </w:tc>
        <w:tc>
          <w:tcPr>
            <w:tcW w:w="350" w:type="pct"/>
            <w:shd w:val="clear" w:color="auto" w:fill="auto"/>
            <w:vAlign w:val="center"/>
          </w:tcPr>
          <w:p w14:paraId="4ACE442F" w14:textId="77777777" w:rsidR="006F587A" w:rsidRDefault="006F587A">
            <w:pPr>
              <w:rPr>
                <w:rFonts w:ascii="Times New Roman" w:hAnsi="Times New Roman"/>
                <w:sz w:val="20"/>
                <w:szCs w:val="20"/>
              </w:rPr>
            </w:pPr>
          </w:p>
        </w:tc>
        <w:tc>
          <w:tcPr>
            <w:tcW w:w="50" w:type="pct"/>
            <w:shd w:val="clear" w:color="auto" w:fill="auto"/>
            <w:vAlign w:val="center"/>
          </w:tcPr>
          <w:p w14:paraId="4ACE4430" w14:textId="77777777" w:rsidR="006F587A" w:rsidRDefault="006F587A">
            <w:pPr>
              <w:rPr>
                <w:rFonts w:ascii="Times New Roman" w:hAnsi="Times New Roman"/>
                <w:sz w:val="20"/>
                <w:szCs w:val="20"/>
              </w:rPr>
            </w:pPr>
          </w:p>
        </w:tc>
        <w:tc>
          <w:tcPr>
            <w:tcW w:w="50" w:type="pct"/>
            <w:shd w:val="clear" w:color="auto" w:fill="auto"/>
            <w:vAlign w:val="center"/>
          </w:tcPr>
          <w:p w14:paraId="4ACE4431" w14:textId="77777777" w:rsidR="006F587A" w:rsidRDefault="006F587A">
            <w:pPr>
              <w:rPr>
                <w:rFonts w:ascii="Times New Roman" w:hAnsi="Times New Roman"/>
                <w:sz w:val="20"/>
                <w:szCs w:val="20"/>
              </w:rPr>
            </w:pPr>
          </w:p>
        </w:tc>
        <w:tc>
          <w:tcPr>
            <w:tcW w:w="50" w:type="pct"/>
            <w:shd w:val="clear" w:color="auto" w:fill="auto"/>
            <w:vAlign w:val="center"/>
          </w:tcPr>
          <w:p w14:paraId="4ACE4432" w14:textId="77777777" w:rsidR="006F587A" w:rsidRDefault="006F587A">
            <w:pPr>
              <w:rPr>
                <w:rFonts w:ascii="Times New Roman" w:hAnsi="Times New Roman"/>
                <w:sz w:val="20"/>
                <w:szCs w:val="20"/>
              </w:rPr>
            </w:pPr>
          </w:p>
        </w:tc>
        <w:tc>
          <w:tcPr>
            <w:tcW w:w="350" w:type="pct"/>
            <w:shd w:val="clear" w:color="auto" w:fill="auto"/>
            <w:vAlign w:val="center"/>
          </w:tcPr>
          <w:p w14:paraId="4ACE4433" w14:textId="77777777" w:rsidR="006F587A" w:rsidRDefault="006F587A">
            <w:pPr>
              <w:rPr>
                <w:rFonts w:ascii="Times New Roman" w:hAnsi="Times New Roman"/>
                <w:sz w:val="20"/>
                <w:szCs w:val="20"/>
              </w:rPr>
            </w:pPr>
          </w:p>
        </w:tc>
        <w:tc>
          <w:tcPr>
            <w:tcW w:w="50" w:type="pct"/>
            <w:shd w:val="clear" w:color="auto" w:fill="auto"/>
            <w:vAlign w:val="center"/>
          </w:tcPr>
          <w:p w14:paraId="4ACE4434" w14:textId="77777777" w:rsidR="006F587A" w:rsidRDefault="006F587A">
            <w:pPr>
              <w:rPr>
                <w:rFonts w:ascii="Times New Roman" w:hAnsi="Times New Roman"/>
                <w:sz w:val="20"/>
                <w:szCs w:val="20"/>
              </w:rPr>
            </w:pPr>
          </w:p>
        </w:tc>
        <w:tc>
          <w:tcPr>
            <w:tcW w:w="50" w:type="pct"/>
            <w:shd w:val="clear" w:color="auto" w:fill="auto"/>
            <w:vAlign w:val="center"/>
          </w:tcPr>
          <w:p w14:paraId="4ACE4435" w14:textId="77777777" w:rsidR="006F587A" w:rsidRDefault="006F587A">
            <w:pPr>
              <w:rPr>
                <w:rFonts w:ascii="Times New Roman" w:hAnsi="Times New Roman"/>
                <w:sz w:val="20"/>
                <w:szCs w:val="20"/>
              </w:rPr>
            </w:pPr>
          </w:p>
        </w:tc>
        <w:tc>
          <w:tcPr>
            <w:tcW w:w="50" w:type="pct"/>
            <w:shd w:val="clear" w:color="auto" w:fill="auto"/>
            <w:vAlign w:val="center"/>
          </w:tcPr>
          <w:p w14:paraId="4ACE4436" w14:textId="77777777" w:rsidR="006F587A" w:rsidRDefault="006F587A">
            <w:pPr>
              <w:rPr>
                <w:rFonts w:ascii="Times New Roman" w:hAnsi="Times New Roman"/>
                <w:sz w:val="20"/>
                <w:szCs w:val="20"/>
              </w:rPr>
            </w:pPr>
          </w:p>
        </w:tc>
        <w:tc>
          <w:tcPr>
            <w:tcW w:w="350" w:type="pct"/>
            <w:shd w:val="clear" w:color="auto" w:fill="auto"/>
            <w:vAlign w:val="center"/>
          </w:tcPr>
          <w:p w14:paraId="4ACE4437" w14:textId="77777777" w:rsidR="006F587A" w:rsidRDefault="006F587A">
            <w:pPr>
              <w:rPr>
                <w:rFonts w:ascii="Times New Roman" w:hAnsi="Times New Roman"/>
                <w:sz w:val="20"/>
                <w:szCs w:val="20"/>
              </w:rPr>
            </w:pPr>
          </w:p>
        </w:tc>
        <w:tc>
          <w:tcPr>
            <w:tcW w:w="50" w:type="pct"/>
            <w:shd w:val="clear" w:color="auto" w:fill="auto"/>
            <w:vAlign w:val="center"/>
          </w:tcPr>
          <w:p w14:paraId="4ACE4438" w14:textId="77777777" w:rsidR="006F587A" w:rsidRDefault="006F587A">
            <w:pPr>
              <w:rPr>
                <w:rFonts w:ascii="Times New Roman" w:hAnsi="Times New Roman"/>
                <w:sz w:val="20"/>
                <w:szCs w:val="20"/>
              </w:rPr>
            </w:pPr>
          </w:p>
        </w:tc>
      </w:tr>
      <w:tr w:rsidR="006F587A" w14:paraId="4ACE4449"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443A"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4ACE443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43C"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2020</w:t>
            </w:r>
          </w:p>
        </w:tc>
        <w:tc>
          <w:tcPr>
            <w:tcW w:w="0" w:type="auto"/>
            <w:shd w:val="clear" w:color="auto" w:fill="auto"/>
            <w:tcMar>
              <w:top w:w="40" w:type="dxa"/>
              <w:left w:w="40" w:type="dxa"/>
              <w:bottom w:w="40" w:type="dxa"/>
              <w:right w:w="40" w:type="dxa"/>
            </w:tcMar>
            <w:vAlign w:val="bottom"/>
          </w:tcPr>
          <w:p w14:paraId="4ACE443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43E"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2021</w:t>
            </w:r>
          </w:p>
        </w:tc>
        <w:tc>
          <w:tcPr>
            <w:tcW w:w="0" w:type="auto"/>
            <w:shd w:val="clear" w:color="auto" w:fill="auto"/>
            <w:tcMar>
              <w:top w:w="40" w:type="dxa"/>
              <w:left w:w="40" w:type="dxa"/>
              <w:bottom w:w="40" w:type="dxa"/>
              <w:right w:w="40" w:type="dxa"/>
            </w:tcMar>
            <w:vAlign w:val="bottom"/>
          </w:tcPr>
          <w:p w14:paraId="4ACE443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440"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2022</w:t>
            </w:r>
          </w:p>
        </w:tc>
        <w:tc>
          <w:tcPr>
            <w:tcW w:w="0" w:type="auto"/>
            <w:shd w:val="clear" w:color="auto" w:fill="auto"/>
            <w:tcMar>
              <w:top w:w="40" w:type="dxa"/>
              <w:left w:w="40" w:type="dxa"/>
              <w:bottom w:w="40" w:type="dxa"/>
              <w:right w:w="40" w:type="dxa"/>
            </w:tcMar>
            <w:vAlign w:val="bottom"/>
          </w:tcPr>
          <w:p w14:paraId="4ACE444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442"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2023</w:t>
            </w:r>
          </w:p>
        </w:tc>
        <w:tc>
          <w:tcPr>
            <w:tcW w:w="0" w:type="auto"/>
            <w:shd w:val="clear" w:color="auto" w:fill="auto"/>
            <w:tcMar>
              <w:top w:w="40" w:type="dxa"/>
              <w:left w:w="40" w:type="dxa"/>
              <w:bottom w:w="40" w:type="dxa"/>
              <w:right w:w="40" w:type="dxa"/>
            </w:tcMar>
            <w:vAlign w:val="bottom"/>
          </w:tcPr>
          <w:p w14:paraId="4ACE444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444"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2024</w:t>
            </w:r>
          </w:p>
        </w:tc>
        <w:tc>
          <w:tcPr>
            <w:tcW w:w="0" w:type="auto"/>
            <w:tcBorders>
              <w:bottom w:val="single" w:sz="8" w:space="0" w:color="0071C5"/>
            </w:tcBorders>
            <w:shd w:val="clear" w:color="auto" w:fill="auto"/>
            <w:tcMar>
              <w:top w:w="40" w:type="dxa"/>
              <w:left w:w="40" w:type="dxa"/>
              <w:bottom w:w="40" w:type="dxa"/>
              <w:right w:w="40" w:type="dxa"/>
            </w:tcMar>
            <w:vAlign w:val="bottom"/>
          </w:tcPr>
          <w:p w14:paraId="4ACE444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446"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2025 and Thereafter</w:t>
            </w:r>
          </w:p>
        </w:tc>
        <w:tc>
          <w:tcPr>
            <w:tcW w:w="0" w:type="auto"/>
            <w:shd w:val="clear" w:color="auto" w:fill="auto"/>
            <w:tcMar>
              <w:top w:w="40" w:type="dxa"/>
              <w:left w:w="40" w:type="dxa"/>
              <w:bottom w:w="40" w:type="dxa"/>
              <w:right w:w="40" w:type="dxa"/>
            </w:tcMar>
            <w:vAlign w:val="bottom"/>
          </w:tcPr>
          <w:p w14:paraId="4ACE444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448"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Total</w:t>
            </w:r>
          </w:p>
        </w:tc>
      </w:tr>
      <w:tr w:rsidR="006F587A" w14:paraId="4ACE4467" w14:textId="77777777">
        <w:tc>
          <w:tcPr>
            <w:tcW w:w="0" w:type="auto"/>
            <w:shd w:val="clear" w:color="auto" w:fill="auto"/>
            <w:tcMar>
              <w:top w:w="40" w:type="dxa"/>
              <w:left w:w="40" w:type="dxa"/>
              <w:bottom w:w="40" w:type="dxa"/>
              <w:right w:w="40" w:type="dxa"/>
            </w:tcMar>
            <w:vAlign w:val="bottom"/>
          </w:tcPr>
          <w:p w14:paraId="4ACE444A"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Lease payments</w:t>
            </w:r>
          </w:p>
        </w:tc>
        <w:tc>
          <w:tcPr>
            <w:tcW w:w="0" w:type="auto"/>
            <w:shd w:val="clear" w:color="auto" w:fill="auto"/>
            <w:tcMar>
              <w:top w:w="40" w:type="dxa"/>
              <w:left w:w="40" w:type="dxa"/>
              <w:bottom w:w="40" w:type="dxa"/>
              <w:right w:w="40" w:type="dxa"/>
            </w:tcMar>
            <w:vAlign w:val="bottom"/>
          </w:tcPr>
          <w:p w14:paraId="4ACE444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44C"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444D"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178</w:t>
            </w:r>
          </w:p>
        </w:tc>
        <w:tc>
          <w:tcPr>
            <w:tcW w:w="0" w:type="auto"/>
            <w:shd w:val="clear" w:color="auto" w:fill="auto"/>
            <w:vAlign w:val="bottom"/>
          </w:tcPr>
          <w:p w14:paraId="4ACE444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44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450"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4451"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135</w:t>
            </w:r>
          </w:p>
        </w:tc>
        <w:tc>
          <w:tcPr>
            <w:tcW w:w="0" w:type="auto"/>
            <w:shd w:val="clear" w:color="auto" w:fill="auto"/>
            <w:vAlign w:val="bottom"/>
          </w:tcPr>
          <w:p w14:paraId="4ACE445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45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454"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4455"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97</w:t>
            </w:r>
          </w:p>
        </w:tc>
        <w:tc>
          <w:tcPr>
            <w:tcW w:w="0" w:type="auto"/>
            <w:shd w:val="clear" w:color="auto" w:fill="auto"/>
            <w:vAlign w:val="bottom"/>
          </w:tcPr>
          <w:p w14:paraId="4ACE445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45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458"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4459"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74</w:t>
            </w:r>
          </w:p>
        </w:tc>
        <w:tc>
          <w:tcPr>
            <w:tcW w:w="0" w:type="auto"/>
            <w:shd w:val="clear" w:color="auto" w:fill="auto"/>
            <w:vAlign w:val="bottom"/>
          </w:tcPr>
          <w:p w14:paraId="4ACE445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45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45C"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445D"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54</w:t>
            </w:r>
          </w:p>
        </w:tc>
        <w:tc>
          <w:tcPr>
            <w:tcW w:w="0" w:type="auto"/>
            <w:shd w:val="clear" w:color="auto" w:fill="auto"/>
            <w:vAlign w:val="bottom"/>
          </w:tcPr>
          <w:p w14:paraId="4ACE445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45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460"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4461"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57</w:t>
            </w:r>
          </w:p>
        </w:tc>
        <w:tc>
          <w:tcPr>
            <w:tcW w:w="0" w:type="auto"/>
            <w:shd w:val="clear" w:color="auto" w:fill="auto"/>
            <w:vAlign w:val="bottom"/>
          </w:tcPr>
          <w:p w14:paraId="4ACE446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46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464"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bottom w:w="40" w:type="dxa"/>
            </w:tcMar>
            <w:vAlign w:val="bottom"/>
          </w:tcPr>
          <w:p w14:paraId="4ACE4465"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595</w:t>
            </w:r>
          </w:p>
        </w:tc>
        <w:tc>
          <w:tcPr>
            <w:tcW w:w="0" w:type="auto"/>
            <w:shd w:val="clear" w:color="auto" w:fill="auto"/>
            <w:vAlign w:val="bottom"/>
          </w:tcPr>
          <w:p w14:paraId="4ACE4466" w14:textId="77777777" w:rsidR="006F587A" w:rsidRDefault="006F587A">
            <w:pPr>
              <w:textAlignment w:val="bottom"/>
              <w:rPr>
                <w:rFonts w:ascii="Times New Roman" w:hAnsi="Times New Roman"/>
                <w:sz w:val="20"/>
                <w:szCs w:val="20"/>
              </w:rPr>
            </w:pPr>
          </w:p>
        </w:tc>
      </w:tr>
      <w:tr w:rsidR="006F587A" w14:paraId="4ACE4479" w14:textId="77777777">
        <w:tc>
          <w:tcPr>
            <w:tcW w:w="0" w:type="auto"/>
            <w:shd w:val="clear" w:color="auto" w:fill="auto"/>
            <w:tcMar>
              <w:top w:w="40" w:type="dxa"/>
              <w:left w:w="40" w:type="dxa"/>
              <w:bottom w:w="40" w:type="dxa"/>
              <w:right w:w="40" w:type="dxa"/>
            </w:tcMar>
            <w:vAlign w:val="bottom"/>
          </w:tcPr>
          <w:p w14:paraId="4ACE4468"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Present value of lease payments</w:t>
            </w:r>
          </w:p>
        </w:tc>
        <w:tc>
          <w:tcPr>
            <w:tcW w:w="0" w:type="auto"/>
            <w:shd w:val="clear" w:color="auto" w:fill="auto"/>
            <w:tcMar>
              <w:top w:w="40" w:type="dxa"/>
              <w:left w:w="40" w:type="dxa"/>
              <w:bottom w:w="40" w:type="dxa"/>
              <w:right w:w="40" w:type="dxa"/>
            </w:tcMar>
            <w:vAlign w:val="bottom"/>
          </w:tcPr>
          <w:p w14:paraId="4ACE446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46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46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46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46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46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46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47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47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47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47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47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47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476"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bottom w:w="40" w:type="dxa"/>
            </w:tcMar>
            <w:vAlign w:val="bottom"/>
          </w:tcPr>
          <w:p w14:paraId="4ACE4477"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549</w:t>
            </w:r>
          </w:p>
        </w:tc>
        <w:tc>
          <w:tcPr>
            <w:tcW w:w="0" w:type="auto"/>
            <w:shd w:val="clear" w:color="auto" w:fill="auto"/>
            <w:vAlign w:val="bottom"/>
          </w:tcPr>
          <w:p w14:paraId="4ACE4478" w14:textId="77777777" w:rsidR="006F587A" w:rsidRDefault="006F587A">
            <w:pPr>
              <w:textAlignment w:val="bottom"/>
              <w:rPr>
                <w:rFonts w:ascii="Times New Roman" w:hAnsi="Times New Roman"/>
                <w:sz w:val="20"/>
                <w:szCs w:val="20"/>
              </w:rPr>
            </w:pPr>
          </w:p>
        </w:tc>
      </w:tr>
    </w:tbl>
    <w:p w14:paraId="4ACE447A" w14:textId="77777777" w:rsidR="006F587A" w:rsidRDefault="007B2B61">
      <w:pPr>
        <w:spacing w:line="288" w:lineRule="auto"/>
        <w:rPr>
          <w:rFonts w:ascii="Times New Roman" w:hAnsi="Times New Roman"/>
          <w:sz w:val="20"/>
          <w:szCs w:val="20"/>
        </w:rPr>
      </w:pPr>
      <w:r>
        <w:rPr>
          <w:rFonts w:ascii="Arial" w:eastAsia="宋体" w:hAnsi="Arial" w:cs="Arial"/>
          <w:color w:val="333333"/>
          <w:sz w:val="18"/>
          <w:szCs w:val="18"/>
        </w:rPr>
        <w:t xml:space="preserve">Lease expense was $231 million in 2018 ($264 million in 2017). Prior to our adoption of the new leases standard, future minimum lease payments as of December 29, 2018, which were undiscounted and included lease and non-lease components, were as follows: </w:t>
      </w:r>
    </w:p>
    <w:tbl>
      <w:tblPr>
        <w:tblW w:w="5000" w:type="pct"/>
        <w:tblCellMar>
          <w:left w:w="0" w:type="dxa"/>
          <w:right w:w="0" w:type="dxa"/>
        </w:tblCellMar>
        <w:tblLook w:val="04A0" w:firstRow="1" w:lastRow="0" w:firstColumn="1" w:lastColumn="0" w:noHBand="0" w:noVBand="1"/>
      </w:tblPr>
      <w:tblGrid>
        <w:gridCol w:w="2330"/>
        <w:gridCol w:w="130"/>
        <w:gridCol w:w="142"/>
        <w:gridCol w:w="585"/>
        <w:gridCol w:w="48"/>
        <w:gridCol w:w="130"/>
        <w:gridCol w:w="142"/>
        <w:gridCol w:w="466"/>
        <w:gridCol w:w="53"/>
        <w:gridCol w:w="130"/>
        <w:gridCol w:w="142"/>
        <w:gridCol w:w="462"/>
        <w:gridCol w:w="53"/>
        <w:gridCol w:w="130"/>
        <w:gridCol w:w="142"/>
        <w:gridCol w:w="463"/>
        <w:gridCol w:w="53"/>
        <w:gridCol w:w="130"/>
        <w:gridCol w:w="142"/>
        <w:gridCol w:w="463"/>
        <w:gridCol w:w="53"/>
        <w:gridCol w:w="130"/>
        <w:gridCol w:w="142"/>
        <w:gridCol w:w="748"/>
        <w:gridCol w:w="106"/>
        <w:gridCol w:w="130"/>
        <w:gridCol w:w="142"/>
        <w:gridCol w:w="463"/>
        <w:gridCol w:w="56"/>
      </w:tblGrid>
      <w:tr w:rsidR="006F587A" w14:paraId="4ACE447C" w14:textId="77777777">
        <w:tc>
          <w:tcPr>
            <w:tcW w:w="0" w:type="auto"/>
            <w:gridSpan w:val="29"/>
            <w:shd w:val="clear" w:color="auto" w:fill="auto"/>
            <w:vAlign w:val="center"/>
          </w:tcPr>
          <w:p w14:paraId="4ACE447B" w14:textId="77777777" w:rsidR="006F587A" w:rsidRDefault="006F587A">
            <w:pPr>
              <w:rPr>
                <w:rFonts w:ascii="Times New Roman" w:hAnsi="Times New Roman"/>
                <w:sz w:val="20"/>
                <w:szCs w:val="20"/>
              </w:rPr>
            </w:pPr>
          </w:p>
        </w:tc>
      </w:tr>
      <w:tr w:rsidR="006F587A" w14:paraId="4ACE449A" w14:textId="77777777">
        <w:tc>
          <w:tcPr>
            <w:tcW w:w="1450" w:type="pct"/>
            <w:shd w:val="clear" w:color="auto" w:fill="auto"/>
            <w:vAlign w:val="center"/>
          </w:tcPr>
          <w:p w14:paraId="4ACE447D" w14:textId="77777777" w:rsidR="006F587A" w:rsidRDefault="006F587A">
            <w:pPr>
              <w:rPr>
                <w:rFonts w:ascii="Times New Roman" w:hAnsi="Times New Roman"/>
                <w:sz w:val="20"/>
                <w:szCs w:val="20"/>
              </w:rPr>
            </w:pPr>
          </w:p>
        </w:tc>
        <w:tc>
          <w:tcPr>
            <w:tcW w:w="50" w:type="pct"/>
            <w:shd w:val="clear" w:color="auto" w:fill="auto"/>
            <w:vAlign w:val="center"/>
          </w:tcPr>
          <w:p w14:paraId="4ACE447E" w14:textId="77777777" w:rsidR="006F587A" w:rsidRDefault="006F587A">
            <w:pPr>
              <w:rPr>
                <w:rFonts w:ascii="Times New Roman" w:hAnsi="Times New Roman"/>
                <w:sz w:val="20"/>
                <w:szCs w:val="20"/>
              </w:rPr>
            </w:pPr>
          </w:p>
        </w:tc>
        <w:tc>
          <w:tcPr>
            <w:tcW w:w="50" w:type="pct"/>
            <w:shd w:val="clear" w:color="auto" w:fill="auto"/>
            <w:vAlign w:val="center"/>
          </w:tcPr>
          <w:p w14:paraId="4ACE447F" w14:textId="77777777" w:rsidR="006F587A" w:rsidRDefault="006F587A">
            <w:pPr>
              <w:rPr>
                <w:rFonts w:ascii="Times New Roman" w:hAnsi="Times New Roman"/>
                <w:sz w:val="20"/>
                <w:szCs w:val="20"/>
              </w:rPr>
            </w:pPr>
          </w:p>
        </w:tc>
        <w:tc>
          <w:tcPr>
            <w:tcW w:w="400" w:type="pct"/>
            <w:shd w:val="clear" w:color="auto" w:fill="auto"/>
            <w:vAlign w:val="center"/>
          </w:tcPr>
          <w:p w14:paraId="4ACE4480" w14:textId="77777777" w:rsidR="006F587A" w:rsidRDefault="006F587A">
            <w:pPr>
              <w:rPr>
                <w:rFonts w:ascii="Times New Roman" w:hAnsi="Times New Roman"/>
                <w:sz w:val="20"/>
                <w:szCs w:val="20"/>
              </w:rPr>
            </w:pPr>
          </w:p>
        </w:tc>
        <w:tc>
          <w:tcPr>
            <w:tcW w:w="50" w:type="pct"/>
            <w:shd w:val="clear" w:color="auto" w:fill="auto"/>
            <w:vAlign w:val="center"/>
          </w:tcPr>
          <w:p w14:paraId="4ACE4481" w14:textId="77777777" w:rsidR="006F587A" w:rsidRDefault="006F587A">
            <w:pPr>
              <w:rPr>
                <w:rFonts w:ascii="Times New Roman" w:hAnsi="Times New Roman"/>
                <w:sz w:val="20"/>
                <w:szCs w:val="20"/>
              </w:rPr>
            </w:pPr>
          </w:p>
        </w:tc>
        <w:tc>
          <w:tcPr>
            <w:tcW w:w="50" w:type="pct"/>
            <w:shd w:val="clear" w:color="auto" w:fill="auto"/>
            <w:vAlign w:val="center"/>
          </w:tcPr>
          <w:p w14:paraId="4ACE4482" w14:textId="77777777" w:rsidR="006F587A" w:rsidRDefault="006F587A">
            <w:pPr>
              <w:rPr>
                <w:rFonts w:ascii="Times New Roman" w:hAnsi="Times New Roman"/>
                <w:sz w:val="20"/>
                <w:szCs w:val="20"/>
              </w:rPr>
            </w:pPr>
          </w:p>
        </w:tc>
        <w:tc>
          <w:tcPr>
            <w:tcW w:w="50" w:type="pct"/>
            <w:shd w:val="clear" w:color="auto" w:fill="auto"/>
            <w:vAlign w:val="center"/>
          </w:tcPr>
          <w:p w14:paraId="4ACE4483" w14:textId="77777777" w:rsidR="006F587A" w:rsidRDefault="006F587A">
            <w:pPr>
              <w:rPr>
                <w:rFonts w:ascii="Times New Roman" w:hAnsi="Times New Roman"/>
                <w:sz w:val="20"/>
                <w:szCs w:val="20"/>
              </w:rPr>
            </w:pPr>
          </w:p>
        </w:tc>
        <w:tc>
          <w:tcPr>
            <w:tcW w:w="350" w:type="pct"/>
            <w:shd w:val="clear" w:color="auto" w:fill="auto"/>
            <w:vAlign w:val="center"/>
          </w:tcPr>
          <w:p w14:paraId="4ACE4484" w14:textId="77777777" w:rsidR="006F587A" w:rsidRDefault="006F587A">
            <w:pPr>
              <w:rPr>
                <w:rFonts w:ascii="Times New Roman" w:hAnsi="Times New Roman"/>
                <w:sz w:val="20"/>
                <w:szCs w:val="20"/>
              </w:rPr>
            </w:pPr>
          </w:p>
        </w:tc>
        <w:tc>
          <w:tcPr>
            <w:tcW w:w="50" w:type="pct"/>
            <w:shd w:val="clear" w:color="auto" w:fill="auto"/>
            <w:vAlign w:val="center"/>
          </w:tcPr>
          <w:p w14:paraId="4ACE4485" w14:textId="77777777" w:rsidR="006F587A" w:rsidRDefault="006F587A">
            <w:pPr>
              <w:rPr>
                <w:rFonts w:ascii="Times New Roman" w:hAnsi="Times New Roman"/>
                <w:sz w:val="20"/>
                <w:szCs w:val="20"/>
              </w:rPr>
            </w:pPr>
          </w:p>
        </w:tc>
        <w:tc>
          <w:tcPr>
            <w:tcW w:w="50" w:type="pct"/>
            <w:shd w:val="clear" w:color="auto" w:fill="auto"/>
            <w:vAlign w:val="center"/>
          </w:tcPr>
          <w:p w14:paraId="4ACE4486" w14:textId="77777777" w:rsidR="006F587A" w:rsidRDefault="006F587A">
            <w:pPr>
              <w:rPr>
                <w:rFonts w:ascii="Times New Roman" w:hAnsi="Times New Roman"/>
                <w:sz w:val="20"/>
                <w:szCs w:val="20"/>
              </w:rPr>
            </w:pPr>
          </w:p>
        </w:tc>
        <w:tc>
          <w:tcPr>
            <w:tcW w:w="50" w:type="pct"/>
            <w:shd w:val="clear" w:color="auto" w:fill="auto"/>
            <w:vAlign w:val="center"/>
          </w:tcPr>
          <w:p w14:paraId="4ACE4487" w14:textId="77777777" w:rsidR="006F587A" w:rsidRDefault="006F587A">
            <w:pPr>
              <w:rPr>
                <w:rFonts w:ascii="Times New Roman" w:hAnsi="Times New Roman"/>
                <w:sz w:val="20"/>
                <w:szCs w:val="20"/>
              </w:rPr>
            </w:pPr>
          </w:p>
        </w:tc>
        <w:tc>
          <w:tcPr>
            <w:tcW w:w="350" w:type="pct"/>
            <w:shd w:val="clear" w:color="auto" w:fill="auto"/>
            <w:vAlign w:val="center"/>
          </w:tcPr>
          <w:p w14:paraId="4ACE4488" w14:textId="77777777" w:rsidR="006F587A" w:rsidRDefault="006F587A">
            <w:pPr>
              <w:rPr>
                <w:rFonts w:ascii="Times New Roman" w:hAnsi="Times New Roman"/>
                <w:sz w:val="20"/>
                <w:szCs w:val="20"/>
              </w:rPr>
            </w:pPr>
          </w:p>
        </w:tc>
        <w:tc>
          <w:tcPr>
            <w:tcW w:w="50" w:type="pct"/>
            <w:shd w:val="clear" w:color="auto" w:fill="auto"/>
            <w:vAlign w:val="center"/>
          </w:tcPr>
          <w:p w14:paraId="4ACE4489" w14:textId="77777777" w:rsidR="006F587A" w:rsidRDefault="006F587A">
            <w:pPr>
              <w:rPr>
                <w:rFonts w:ascii="Times New Roman" w:hAnsi="Times New Roman"/>
                <w:sz w:val="20"/>
                <w:szCs w:val="20"/>
              </w:rPr>
            </w:pPr>
          </w:p>
        </w:tc>
        <w:tc>
          <w:tcPr>
            <w:tcW w:w="50" w:type="pct"/>
            <w:shd w:val="clear" w:color="auto" w:fill="auto"/>
            <w:vAlign w:val="center"/>
          </w:tcPr>
          <w:p w14:paraId="4ACE448A" w14:textId="77777777" w:rsidR="006F587A" w:rsidRDefault="006F587A">
            <w:pPr>
              <w:rPr>
                <w:rFonts w:ascii="Times New Roman" w:hAnsi="Times New Roman"/>
                <w:sz w:val="20"/>
                <w:szCs w:val="20"/>
              </w:rPr>
            </w:pPr>
          </w:p>
        </w:tc>
        <w:tc>
          <w:tcPr>
            <w:tcW w:w="50" w:type="pct"/>
            <w:shd w:val="clear" w:color="auto" w:fill="auto"/>
            <w:vAlign w:val="center"/>
          </w:tcPr>
          <w:p w14:paraId="4ACE448B" w14:textId="77777777" w:rsidR="006F587A" w:rsidRDefault="006F587A">
            <w:pPr>
              <w:rPr>
                <w:rFonts w:ascii="Times New Roman" w:hAnsi="Times New Roman"/>
                <w:sz w:val="20"/>
                <w:szCs w:val="20"/>
              </w:rPr>
            </w:pPr>
          </w:p>
        </w:tc>
        <w:tc>
          <w:tcPr>
            <w:tcW w:w="350" w:type="pct"/>
            <w:shd w:val="clear" w:color="auto" w:fill="auto"/>
            <w:vAlign w:val="center"/>
          </w:tcPr>
          <w:p w14:paraId="4ACE448C" w14:textId="77777777" w:rsidR="006F587A" w:rsidRDefault="006F587A">
            <w:pPr>
              <w:rPr>
                <w:rFonts w:ascii="Times New Roman" w:hAnsi="Times New Roman"/>
                <w:sz w:val="20"/>
                <w:szCs w:val="20"/>
              </w:rPr>
            </w:pPr>
          </w:p>
        </w:tc>
        <w:tc>
          <w:tcPr>
            <w:tcW w:w="50" w:type="pct"/>
            <w:shd w:val="clear" w:color="auto" w:fill="auto"/>
            <w:vAlign w:val="center"/>
          </w:tcPr>
          <w:p w14:paraId="4ACE448D" w14:textId="77777777" w:rsidR="006F587A" w:rsidRDefault="006F587A">
            <w:pPr>
              <w:rPr>
                <w:rFonts w:ascii="Times New Roman" w:hAnsi="Times New Roman"/>
                <w:sz w:val="20"/>
                <w:szCs w:val="20"/>
              </w:rPr>
            </w:pPr>
          </w:p>
        </w:tc>
        <w:tc>
          <w:tcPr>
            <w:tcW w:w="50" w:type="pct"/>
            <w:shd w:val="clear" w:color="auto" w:fill="auto"/>
            <w:vAlign w:val="center"/>
          </w:tcPr>
          <w:p w14:paraId="4ACE448E" w14:textId="77777777" w:rsidR="006F587A" w:rsidRDefault="006F587A">
            <w:pPr>
              <w:rPr>
                <w:rFonts w:ascii="Times New Roman" w:hAnsi="Times New Roman"/>
                <w:sz w:val="20"/>
                <w:szCs w:val="20"/>
              </w:rPr>
            </w:pPr>
          </w:p>
        </w:tc>
        <w:tc>
          <w:tcPr>
            <w:tcW w:w="50" w:type="pct"/>
            <w:shd w:val="clear" w:color="auto" w:fill="auto"/>
            <w:vAlign w:val="center"/>
          </w:tcPr>
          <w:p w14:paraId="4ACE448F" w14:textId="77777777" w:rsidR="006F587A" w:rsidRDefault="006F587A">
            <w:pPr>
              <w:rPr>
                <w:rFonts w:ascii="Times New Roman" w:hAnsi="Times New Roman"/>
                <w:sz w:val="20"/>
                <w:szCs w:val="20"/>
              </w:rPr>
            </w:pPr>
          </w:p>
        </w:tc>
        <w:tc>
          <w:tcPr>
            <w:tcW w:w="350" w:type="pct"/>
            <w:shd w:val="clear" w:color="auto" w:fill="auto"/>
            <w:vAlign w:val="center"/>
          </w:tcPr>
          <w:p w14:paraId="4ACE4490" w14:textId="77777777" w:rsidR="006F587A" w:rsidRDefault="006F587A">
            <w:pPr>
              <w:rPr>
                <w:rFonts w:ascii="Times New Roman" w:hAnsi="Times New Roman"/>
                <w:sz w:val="20"/>
                <w:szCs w:val="20"/>
              </w:rPr>
            </w:pPr>
          </w:p>
        </w:tc>
        <w:tc>
          <w:tcPr>
            <w:tcW w:w="50" w:type="pct"/>
            <w:shd w:val="clear" w:color="auto" w:fill="auto"/>
            <w:vAlign w:val="center"/>
          </w:tcPr>
          <w:p w14:paraId="4ACE4491" w14:textId="77777777" w:rsidR="006F587A" w:rsidRDefault="006F587A">
            <w:pPr>
              <w:rPr>
                <w:rFonts w:ascii="Times New Roman" w:hAnsi="Times New Roman"/>
                <w:sz w:val="20"/>
                <w:szCs w:val="20"/>
              </w:rPr>
            </w:pPr>
          </w:p>
        </w:tc>
        <w:tc>
          <w:tcPr>
            <w:tcW w:w="50" w:type="pct"/>
            <w:shd w:val="clear" w:color="auto" w:fill="auto"/>
            <w:vAlign w:val="center"/>
          </w:tcPr>
          <w:p w14:paraId="4ACE4492" w14:textId="77777777" w:rsidR="006F587A" w:rsidRDefault="006F587A">
            <w:pPr>
              <w:rPr>
                <w:rFonts w:ascii="Times New Roman" w:hAnsi="Times New Roman"/>
                <w:sz w:val="20"/>
                <w:szCs w:val="20"/>
              </w:rPr>
            </w:pPr>
          </w:p>
        </w:tc>
        <w:tc>
          <w:tcPr>
            <w:tcW w:w="50" w:type="pct"/>
            <w:shd w:val="clear" w:color="auto" w:fill="auto"/>
            <w:vAlign w:val="center"/>
          </w:tcPr>
          <w:p w14:paraId="4ACE4493" w14:textId="77777777" w:rsidR="006F587A" w:rsidRDefault="006F587A">
            <w:pPr>
              <w:rPr>
                <w:rFonts w:ascii="Times New Roman" w:hAnsi="Times New Roman"/>
                <w:sz w:val="20"/>
                <w:szCs w:val="20"/>
              </w:rPr>
            </w:pPr>
          </w:p>
        </w:tc>
        <w:tc>
          <w:tcPr>
            <w:tcW w:w="350" w:type="pct"/>
            <w:shd w:val="clear" w:color="auto" w:fill="auto"/>
            <w:vAlign w:val="center"/>
          </w:tcPr>
          <w:p w14:paraId="4ACE4494" w14:textId="77777777" w:rsidR="006F587A" w:rsidRDefault="006F587A">
            <w:pPr>
              <w:rPr>
                <w:rFonts w:ascii="Times New Roman" w:hAnsi="Times New Roman"/>
                <w:sz w:val="20"/>
                <w:szCs w:val="20"/>
              </w:rPr>
            </w:pPr>
          </w:p>
        </w:tc>
        <w:tc>
          <w:tcPr>
            <w:tcW w:w="50" w:type="pct"/>
            <w:shd w:val="clear" w:color="auto" w:fill="auto"/>
            <w:vAlign w:val="center"/>
          </w:tcPr>
          <w:p w14:paraId="4ACE4495" w14:textId="77777777" w:rsidR="006F587A" w:rsidRDefault="006F587A">
            <w:pPr>
              <w:rPr>
                <w:rFonts w:ascii="Times New Roman" w:hAnsi="Times New Roman"/>
                <w:sz w:val="20"/>
                <w:szCs w:val="20"/>
              </w:rPr>
            </w:pPr>
          </w:p>
        </w:tc>
        <w:tc>
          <w:tcPr>
            <w:tcW w:w="50" w:type="pct"/>
            <w:shd w:val="clear" w:color="auto" w:fill="auto"/>
            <w:vAlign w:val="center"/>
          </w:tcPr>
          <w:p w14:paraId="4ACE4496" w14:textId="77777777" w:rsidR="006F587A" w:rsidRDefault="006F587A">
            <w:pPr>
              <w:rPr>
                <w:rFonts w:ascii="Times New Roman" w:hAnsi="Times New Roman"/>
                <w:sz w:val="20"/>
                <w:szCs w:val="20"/>
              </w:rPr>
            </w:pPr>
          </w:p>
        </w:tc>
        <w:tc>
          <w:tcPr>
            <w:tcW w:w="50" w:type="pct"/>
            <w:shd w:val="clear" w:color="auto" w:fill="auto"/>
            <w:vAlign w:val="center"/>
          </w:tcPr>
          <w:p w14:paraId="4ACE4497" w14:textId="77777777" w:rsidR="006F587A" w:rsidRDefault="006F587A">
            <w:pPr>
              <w:rPr>
                <w:rFonts w:ascii="Times New Roman" w:hAnsi="Times New Roman"/>
                <w:sz w:val="20"/>
                <w:szCs w:val="20"/>
              </w:rPr>
            </w:pPr>
          </w:p>
        </w:tc>
        <w:tc>
          <w:tcPr>
            <w:tcW w:w="350" w:type="pct"/>
            <w:shd w:val="clear" w:color="auto" w:fill="auto"/>
            <w:vAlign w:val="center"/>
          </w:tcPr>
          <w:p w14:paraId="4ACE4498" w14:textId="77777777" w:rsidR="006F587A" w:rsidRDefault="006F587A">
            <w:pPr>
              <w:rPr>
                <w:rFonts w:ascii="Times New Roman" w:hAnsi="Times New Roman"/>
                <w:sz w:val="20"/>
                <w:szCs w:val="20"/>
              </w:rPr>
            </w:pPr>
          </w:p>
        </w:tc>
        <w:tc>
          <w:tcPr>
            <w:tcW w:w="50" w:type="pct"/>
            <w:shd w:val="clear" w:color="auto" w:fill="auto"/>
            <w:vAlign w:val="center"/>
          </w:tcPr>
          <w:p w14:paraId="4ACE4499" w14:textId="77777777" w:rsidR="006F587A" w:rsidRDefault="006F587A">
            <w:pPr>
              <w:rPr>
                <w:rFonts w:ascii="Times New Roman" w:hAnsi="Times New Roman"/>
                <w:sz w:val="20"/>
                <w:szCs w:val="20"/>
              </w:rPr>
            </w:pPr>
          </w:p>
        </w:tc>
      </w:tr>
      <w:tr w:rsidR="006F587A" w14:paraId="4ACE44AA"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449B"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4ACE449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49D"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2019</w:t>
            </w:r>
          </w:p>
        </w:tc>
        <w:tc>
          <w:tcPr>
            <w:tcW w:w="0" w:type="auto"/>
            <w:shd w:val="clear" w:color="auto" w:fill="auto"/>
            <w:tcMar>
              <w:top w:w="40" w:type="dxa"/>
              <w:left w:w="40" w:type="dxa"/>
              <w:bottom w:w="40" w:type="dxa"/>
              <w:right w:w="40" w:type="dxa"/>
            </w:tcMar>
            <w:vAlign w:val="bottom"/>
          </w:tcPr>
          <w:p w14:paraId="4ACE449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49F"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2020</w:t>
            </w:r>
          </w:p>
        </w:tc>
        <w:tc>
          <w:tcPr>
            <w:tcW w:w="0" w:type="auto"/>
            <w:shd w:val="clear" w:color="auto" w:fill="auto"/>
            <w:tcMar>
              <w:top w:w="40" w:type="dxa"/>
              <w:left w:w="40" w:type="dxa"/>
              <w:bottom w:w="40" w:type="dxa"/>
              <w:right w:w="40" w:type="dxa"/>
            </w:tcMar>
            <w:vAlign w:val="bottom"/>
          </w:tcPr>
          <w:p w14:paraId="4ACE44A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4A1"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2021</w:t>
            </w:r>
          </w:p>
        </w:tc>
        <w:tc>
          <w:tcPr>
            <w:tcW w:w="0" w:type="auto"/>
            <w:shd w:val="clear" w:color="auto" w:fill="auto"/>
            <w:tcMar>
              <w:top w:w="40" w:type="dxa"/>
              <w:left w:w="40" w:type="dxa"/>
              <w:bottom w:w="40" w:type="dxa"/>
              <w:right w:w="40" w:type="dxa"/>
            </w:tcMar>
            <w:vAlign w:val="bottom"/>
          </w:tcPr>
          <w:p w14:paraId="4ACE44A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4A3"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2022</w:t>
            </w:r>
          </w:p>
        </w:tc>
        <w:tc>
          <w:tcPr>
            <w:tcW w:w="0" w:type="auto"/>
            <w:shd w:val="clear" w:color="auto" w:fill="auto"/>
            <w:tcMar>
              <w:top w:w="40" w:type="dxa"/>
              <w:left w:w="40" w:type="dxa"/>
              <w:bottom w:w="40" w:type="dxa"/>
              <w:right w:w="40" w:type="dxa"/>
            </w:tcMar>
            <w:vAlign w:val="bottom"/>
          </w:tcPr>
          <w:p w14:paraId="4ACE44A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4A5"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2023</w:t>
            </w:r>
          </w:p>
        </w:tc>
        <w:tc>
          <w:tcPr>
            <w:tcW w:w="0" w:type="auto"/>
            <w:shd w:val="clear" w:color="auto" w:fill="auto"/>
            <w:tcMar>
              <w:top w:w="40" w:type="dxa"/>
              <w:left w:w="40" w:type="dxa"/>
              <w:bottom w:w="40" w:type="dxa"/>
              <w:right w:w="40" w:type="dxa"/>
            </w:tcMar>
            <w:vAlign w:val="bottom"/>
          </w:tcPr>
          <w:p w14:paraId="4ACE44A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4A7"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2024 and Thereafter</w:t>
            </w:r>
          </w:p>
        </w:tc>
        <w:tc>
          <w:tcPr>
            <w:tcW w:w="0" w:type="auto"/>
            <w:shd w:val="clear" w:color="auto" w:fill="auto"/>
            <w:tcMar>
              <w:top w:w="40" w:type="dxa"/>
              <w:left w:w="40" w:type="dxa"/>
              <w:bottom w:w="40" w:type="dxa"/>
              <w:right w:w="40" w:type="dxa"/>
            </w:tcMar>
            <w:vAlign w:val="bottom"/>
          </w:tcPr>
          <w:p w14:paraId="4ACE44A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4A9"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Total</w:t>
            </w:r>
          </w:p>
        </w:tc>
      </w:tr>
      <w:tr w:rsidR="006F587A" w14:paraId="4ACE44C8" w14:textId="77777777">
        <w:tc>
          <w:tcPr>
            <w:tcW w:w="0" w:type="auto"/>
            <w:shd w:val="clear" w:color="auto" w:fill="auto"/>
            <w:tcMar>
              <w:top w:w="40" w:type="dxa"/>
              <w:left w:w="40" w:type="dxa"/>
              <w:bottom w:w="40" w:type="dxa"/>
              <w:right w:w="40" w:type="dxa"/>
            </w:tcMar>
            <w:vAlign w:val="bottom"/>
          </w:tcPr>
          <w:p w14:paraId="4ACE44AB"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Minimum rental commitments under all non-cancelable leases</w:t>
            </w:r>
          </w:p>
        </w:tc>
        <w:tc>
          <w:tcPr>
            <w:tcW w:w="0" w:type="auto"/>
            <w:shd w:val="clear" w:color="auto" w:fill="auto"/>
            <w:tcMar>
              <w:top w:w="40" w:type="dxa"/>
              <w:left w:w="40" w:type="dxa"/>
              <w:bottom w:w="40" w:type="dxa"/>
              <w:right w:w="40" w:type="dxa"/>
            </w:tcMar>
            <w:vAlign w:val="bottom"/>
          </w:tcPr>
          <w:p w14:paraId="4ACE44A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4AD"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44AE"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229</w:t>
            </w:r>
          </w:p>
        </w:tc>
        <w:tc>
          <w:tcPr>
            <w:tcW w:w="0" w:type="auto"/>
            <w:shd w:val="clear" w:color="auto" w:fill="auto"/>
            <w:vAlign w:val="bottom"/>
          </w:tcPr>
          <w:p w14:paraId="4ACE44A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4B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4B1"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44B2"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181</w:t>
            </w:r>
          </w:p>
        </w:tc>
        <w:tc>
          <w:tcPr>
            <w:tcW w:w="0" w:type="auto"/>
            <w:shd w:val="clear" w:color="auto" w:fill="auto"/>
            <w:vAlign w:val="bottom"/>
          </w:tcPr>
          <w:p w14:paraId="4ACE44B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4B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4B5"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44B6"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133</w:t>
            </w:r>
          </w:p>
        </w:tc>
        <w:tc>
          <w:tcPr>
            <w:tcW w:w="0" w:type="auto"/>
            <w:shd w:val="clear" w:color="auto" w:fill="auto"/>
            <w:vAlign w:val="bottom"/>
          </w:tcPr>
          <w:p w14:paraId="4ACE44B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4B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4B9"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44BA"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101</w:t>
            </w:r>
          </w:p>
        </w:tc>
        <w:tc>
          <w:tcPr>
            <w:tcW w:w="0" w:type="auto"/>
            <w:shd w:val="clear" w:color="auto" w:fill="auto"/>
            <w:vAlign w:val="bottom"/>
          </w:tcPr>
          <w:p w14:paraId="4ACE44B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4B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4BD"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44BE"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70</w:t>
            </w:r>
          </w:p>
        </w:tc>
        <w:tc>
          <w:tcPr>
            <w:tcW w:w="0" w:type="auto"/>
            <w:shd w:val="clear" w:color="auto" w:fill="auto"/>
            <w:vAlign w:val="bottom"/>
          </w:tcPr>
          <w:p w14:paraId="4ACE44B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4C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4C1"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44C2"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121</w:t>
            </w:r>
          </w:p>
        </w:tc>
        <w:tc>
          <w:tcPr>
            <w:tcW w:w="0" w:type="auto"/>
            <w:shd w:val="clear" w:color="auto" w:fill="auto"/>
            <w:vAlign w:val="bottom"/>
          </w:tcPr>
          <w:p w14:paraId="4ACE44C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4C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4C5"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bottom w:w="40" w:type="dxa"/>
            </w:tcMar>
            <w:vAlign w:val="bottom"/>
          </w:tcPr>
          <w:p w14:paraId="4ACE44C6"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835</w:t>
            </w:r>
          </w:p>
        </w:tc>
        <w:tc>
          <w:tcPr>
            <w:tcW w:w="0" w:type="auto"/>
            <w:shd w:val="clear" w:color="auto" w:fill="auto"/>
            <w:vAlign w:val="bottom"/>
          </w:tcPr>
          <w:p w14:paraId="4ACE44C7" w14:textId="77777777" w:rsidR="006F587A" w:rsidRDefault="006F587A">
            <w:pPr>
              <w:textAlignment w:val="bottom"/>
              <w:rPr>
                <w:rFonts w:ascii="Times New Roman" w:hAnsi="Times New Roman"/>
                <w:sz w:val="20"/>
                <w:szCs w:val="20"/>
              </w:rPr>
            </w:pPr>
          </w:p>
        </w:tc>
      </w:tr>
    </w:tbl>
    <w:p w14:paraId="4ACE44C9" w14:textId="77777777" w:rsidR="006F587A" w:rsidRDefault="006F587A"/>
    <w:p w14:paraId="4ACE44CA"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44CC" w14:textId="77777777">
        <w:tc>
          <w:tcPr>
            <w:tcW w:w="0" w:type="auto"/>
            <w:gridSpan w:val="3"/>
            <w:shd w:val="clear" w:color="auto" w:fill="auto"/>
            <w:vAlign w:val="center"/>
          </w:tcPr>
          <w:p w14:paraId="4ACE44CB" w14:textId="77777777" w:rsidR="006F587A" w:rsidRDefault="006F587A">
            <w:pPr>
              <w:rPr>
                <w:rFonts w:ascii="Times New Roman" w:hAnsi="Times New Roman"/>
                <w:sz w:val="20"/>
                <w:szCs w:val="20"/>
              </w:rPr>
            </w:pPr>
          </w:p>
        </w:tc>
      </w:tr>
      <w:tr w:rsidR="006F587A" w14:paraId="4ACE44D0" w14:textId="77777777">
        <w:tc>
          <w:tcPr>
            <w:tcW w:w="1300" w:type="pct"/>
            <w:shd w:val="clear" w:color="auto" w:fill="auto"/>
            <w:vAlign w:val="center"/>
          </w:tcPr>
          <w:p w14:paraId="4ACE44CD" w14:textId="77777777" w:rsidR="006F587A" w:rsidRDefault="006F587A">
            <w:pPr>
              <w:rPr>
                <w:rFonts w:ascii="Times New Roman" w:hAnsi="Times New Roman"/>
                <w:sz w:val="20"/>
                <w:szCs w:val="20"/>
              </w:rPr>
            </w:pPr>
          </w:p>
        </w:tc>
        <w:tc>
          <w:tcPr>
            <w:tcW w:w="1600" w:type="pct"/>
            <w:shd w:val="clear" w:color="auto" w:fill="auto"/>
            <w:vAlign w:val="center"/>
          </w:tcPr>
          <w:p w14:paraId="4ACE44CE" w14:textId="77777777" w:rsidR="006F587A" w:rsidRDefault="006F587A">
            <w:pPr>
              <w:rPr>
                <w:rFonts w:ascii="Times New Roman" w:hAnsi="Times New Roman"/>
                <w:sz w:val="20"/>
                <w:szCs w:val="20"/>
              </w:rPr>
            </w:pPr>
          </w:p>
        </w:tc>
        <w:tc>
          <w:tcPr>
            <w:tcW w:w="2100" w:type="pct"/>
            <w:shd w:val="clear" w:color="auto" w:fill="auto"/>
            <w:vAlign w:val="center"/>
          </w:tcPr>
          <w:p w14:paraId="4ACE44CF" w14:textId="77777777" w:rsidR="006F587A" w:rsidRDefault="006F587A">
            <w:pPr>
              <w:rPr>
                <w:rFonts w:ascii="Times New Roman" w:hAnsi="Times New Roman"/>
                <w:sz w:val="20"/>
                <w:szCs w:val="20"/>
              </w:rPr>
            </w:pPr>
          </w:p>
        </w:tc>
      </w:tr>
      <w:tr w:rsidR="006F587A" w14:paraId="4ACE44D4" w14:textId="77777777">
        <w:tc>
          <w:tcPr>
            <w:tcW w:w="0" w:type="auto"/>
            <w:tcBorders>
              <w:top w:val="single" w:sz="8" w:space="0" w:color="0071C5"/>
            </w:tcBorders>
            <w:shd w:val="clear" w:color="auto" w:fill="auto"/>
            <w:tcMar>
              <w:top w:w="40" w:type="dxa"/>
              <w:left w:w="40" w:type="dxa"/>
              <w:bottom w:w="40" w:type="dxa"/>
              <w:right w:w="40" w:type="dxa"/>
            </w:tcMar>
            <w:vAlign w:val="bottom"/>
          </w:tcPr>
          <w:p w14:paraId="4ACE44D1" w14:textId="77777777" w:rsidR="006F587A" w:rsidRDefault="007B2B61">
            <w:pPr>
              <w:textAlignment w:val="bottom"/>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D8" wp14:editId="4ACE6DD9">
                  <wp:extent cx="304800" cy="304800"/>
                  <wp:effectExtent l="0" t="0" r="0" b="0"/>
                  <wp:docPr id="175" name="图片 298"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298"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left w:val="single" w:sz="36" w:space="0" w:color="0071C5"/>
            </w:tcBorders>
            <w:shd w:val="clear" w:color="auto" w:fill="auto"/>
            <w:tcMar>
              <w:top w:w="40" w:type="dxa"/>
              <w:left w:w="40" w:type="dxa"/>
              <w:bottom w:w="40" w:type="dxa"/>
              <w:right w:w="40" w:type="dxa"/>
            </w:tcMar>
            <w:vAlign w:val="bottom"/>
          </w:tcPr>
          <w:p w14:paraId="4ACE44D2" w14:textId="77777777" w:rsidR="006F587A" w:rsidRDefault="007B2B61">
            <w:pPr>
              <w:textAlignment w:val="bottom"/>
              <w:rPr>
                <w:rFonts w:ascii="Times New Roman" w:hAnsi="Times New Roman"/>
                <w:sz w:val="16"/>
                <w:szCs w:val="16"/>
              </w:rPr>
            </w:pPr>
            <w:r>
              <w:rPr>
                <w:rFonts w:ascii="Arial" w:eastAsia="宋体" w:hAnsi="Arial" w:cs="Arial"/>
                <w:color w:val="333333"/>
                <w:sz w:val="16"/>
                <w:szCs w:val="16"/>
              </w:rPr>
              <w:t> Notes to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44D3"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80</w:t>
            </w:r>
          </w:p>
        </w:tc>
      </w:tr>
    </w:tbl>
    <w:p w14:paraId="4ACE44D5" w14:textId="77777777" w:rsidR="006F587A" w:rsidRDefault="007B2B61">
      <w:r>
        <w:pict w14:anchorId="4ACE6DDA">
          <v:rect id="_x0000_i1106" style="width:415.3pt;height:1.5pt" o:hralign="center" o:hrstd="t" o:hr="t" fillcolor="#a0a0a0" stroked="f"/>
        </w:pict>
      </w:r>
    </w:p>
    <w:p w14:paraId="4ACE44D6" w14:textId="77777777" w:rsidR="006F587A" w:rsidRDefault="007B2B61">
      <w:pPr>
        <w:spacing w:line="288" w:lineRule="auto"/>
        <w:jc w:val="right"/>
        <w:rPr>
          <w:rFonts w:ascii="Times New Roman" w:hAnsi="Times New Roman"/>
          <w:sz w:val="16"/>
          <w:szCs w:val="16"/>
        </w:rPr>
      </w:pPr>
      <w:hyperlink r:id="rId145" w:anchor="s9DB683E2CF52561EB8A73BE37F5BF9BE" w:history="1">
        <w:r>
          <w:rPr>
            <w:rStyle w:val="a5"/>
            <w:rFonts w:ascii="Arial" w:eastAsia="宋体" w:hAnsi="Arial" w:cs="Arial"/>
            <w:b/>
            <w:bCs/>
            <w:sz w:val="16"/>
            <w:szCs w:val="16"/>
          </w:rPr>
          <w:t>Table of Contents</w:t>
        </w:r>
      </w:hyperlink>
    </w:p>
    <w:p w14:paraId="4ACE44D7" w14:textId="77777777" w:rsidR="006F587A" w:rsidRDefault="006F587A">
      <w:pPr>
        <w:spacing w:line="288" w:lineRule="auto"/>
        <w:jc w:val="right"/>
        <w:rPr>
          <w:rFonts w:ascii="Times New Roman" w:hAnsi="Times New Roman"/>
          <w:sz w:val="16"/>
          <w:szCs w:val="16"/>
        </w:rPr>
      </w:pPr>
    </w:p>
    <w:p w14:paraId="4ACE44D8"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997"/>
        <w:gridCol w:w="7309"/>
      </w:tblGrid>
      <w:tr w:rsidR="006F587A" w14:paraId="4ACE44DA" w14:textId="77777777">
        <w:tc>
          <w:tcPr>
            <w:tcW w:w="0" w:type="auto"/>
            <w:gridSpan w:val="2"/>
            <w:shd w:val="clear" w:color="auto" w:fill="auto"/>
            <w:vAlign w:val="center"/>
          </w:tcPr>
          <w:p w14:paraId="4ACE44D9" w14:textId="77777777" w:rsidR="006F587A" w:rsidRDefault="006F587A">
            <w:pPr>
              <w:rPr>
                <w:rFonts w:ascii="Times New Roman" w:hAnsi="Times New Roman"/>
                <w:sz w:val="20"/>
                <w:szCs w:val="20"/>
              </w:rPr>
            </w:pPr>
          </w:p>
        </w:tc>
      </w:tr>
      <w:tr w:rsidR="006F587A" w14:paraId="4ACE44DD" w14:textId="77777777">
        <w:tc>
          <w:tcPr>
            <w:tcW w:w="600" w:type="pct"/>
            <w:shd w:val="clear" w:color="auto" w:fill="auto"/>
            <w:vAlign w:val="center"/>
          </w:tcPr>
          <w:p w14:paraId="4ACE44DB" w14:textId="77777777" w:rsidR="006F587A" w:rsidRDefault="006F587A">
            <w:pPr>
              <w:rPr>
                <w:rFonts w:ascii="Times New Roman" w:hAnsi="Times New Roman"/>
                <w:sz w:val="20"/>
                <w:szCs w:val="20"/>
              </w:rPr>
            </w:pPr>
          </w:p>
        </w:tc>
        <w:tc>
          <w:tcPr>
            <w:tcW w:w="4400" w:type="pct"/>
            <w:shd w:val="clear" w:color="auto" w:fill="auto"/>
            <w:vAlign w:val="center"/>
          </w:tcPr>
          <w:p w14:paraId="4ACE44DC" w14:textId="77777777" w:rsidR="006F587A" w:rsidRDefault="006F587A">
            <w:pPr>
              <w:rPr>
                <w:rFonts w:ascii="Times New Roman" w:hAnsi="Times New Roman"/>
                <w:sz w:val="20"/>
                <w:szCs w:val="20"/>
              </w:rPr>
            </w:pPr>
          </w:p>
        </w:tc>
      </w:tr>
      <w:tr w:rsidR="006F587A" w14:paraId="4ACE44E0" w14:textId="77777777">
        <w:tc>
          <w:tcPr>
            <w:tcW w:w="0" w:type="auto"/>
            <w:tcBorders>
              <w:bottom w:val="single" w:sz="8" w:space="0" w:color="0071C5"/>
            </w:tcBorders>
            <w:shd w:val="clear" w:color="auto" w:fill="0071C5"/>
            <w:tcMar>
              <w:top w:w="40" w:type="dxa"/>
              <w:left w:w="40" w:type="dxa"/>
              <w:bottom w:w="40" w:type="dxa"/>
              <w:right w:w="40" w:type="dxa"/>
            </w:tcMar>
            <w:vAlign w:val="bottom"/>
          </w:tcPr>
          <w:p w14:paraId="4ACE44DE" w14:textId="77777777" w:rsidR="006F587A" w:rsidRDefault="007B2B61">
            <w:pPr>
              <w:textAlignment w:val="bottom"/>
              <w:rPr>
                <w:rFonts w:ascii="Times New Roman" w:hAnsi="Times New Roman"/>
                <w:sz w:val="28"/>
                <w:szCs w:val="28"/>
              </w:rPr>
            </w:pPr>
            <w:r>
              <w:rPr>
                <w:rFonts w:ascii="Arial" w:eastAsia="宋体" w:hAnsi="Arial" w:cs="Arial"/>
                <w:b/>
                <w:bCs/>
                <w:color w:val="FFFFFF"/>
                <w:sz w:val="28"/>
                <w:szCs w:val="28"/>
                <w:shd w:val="clear" w:color="auto" w:fill="0071C5"/>
              </w:rPr>
              <w:t xml:space="preserve">NOTE 4 : </w:t>
            </w:r>
          </w:p>
        </w:tc>
        <w:tc>
          <w:tcPr>
            <w:tcW w:w="0" w:type="auto"/>
            <w:tcBorders>
              <w:bottom w:val="single" w:sz="8" w:space="0" w:color="0071C5"/>
            </w:tcBorders>
            <w:shd w:val="clear" w:color="auto" w:fill="auto"/>
            <w:tcMar>
              <w:top w:w="40" w:type="dxa"/>
              <w:left w:w="40" w:type="dxa"/>
              <w:bottom w:w="40" w:type="dxa"/>
              <w:right w:w="40" w:type="dxa"/>
            </w:tcMar>
            <w:vAlign w:val="bottom"/>
          </w:tcPr>
          <w:p w14:paraId="4ACE44DF" w14:textId="77777777" w:rsidR="006F587A" w:rsidRDefault="007B2B61">
            <w:pPr>
              <w:textAlignment w:val="bottom"/>
              <w:rPr>
                <w:rFonts w:ascii="Times New Roman" w:hAnsi="Times New Roman"/>
                <w:sz w:val="28"/>
                <w:szCs w:val="28"/>
              </w:rPr>
            </w:pPr>
            <w:r>
              <w:rPr>
                <w:rFonts w:ascii="Arial" w:eastAsia="宋体" w:hAnsi="Arial" w:cs="Arial"/>
                <w:b/>
                <w:bCs/>
                <w:color w:val="0071C5"/>
                <w:sz w:val="28"/>
                <w:szCs w:val="28"/>
              </w:rPr>
              <w:t>OPERATING SEGMENTS</w:t>
            </w:r>
          </w:p>
        </w:tc>
      </w:tr>
    </w:tbl>
    <w:p w14:paraId="4ACE44E1"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We manage our business through the </w:t>
      </w:r>
      <w:r>
        <w:rPr>
          <w:rFonts w:ascii="Arial" w:eastAsia="宋体" w:hAnsi="Arial" w:cs="Arial"/>
          <w:color w:val="333333"/>
          <w:sz w:val="18"/>
          <w:szCs w:val="18"/>
        </w:rPr>
        <w:t>following operating segments:</w:t>
      </w:r>
    </w:p>
    <w:tbl>
      <w:tblPr>
        <w:tblW w:w="0" w:type="auto"/>
        <w:tblCellSpacing w:w="0" w:type="dxa"/>
        <w:tblCellMar>
          <w:left w:w="0" w:type="dxa"/>
          <w:bottom w:w="80" w:type="dxa"/>
          <w:right w:w="0" w:type="dxa"/>
        </w:tblCellMar>
        <w:tblLook w:val="04A0" w:firstRow="1" w:lastRow="0" w:firstColumn="1" w:lastColumn="0" w:noHBand="0" w:noVBand="1"/>
      </w:tblPr>
      <w:tblGrid>
        <w:gridCol w:w="480"/>
        <w:gridCol w:w="400"/>
      </w:tblGrid>
      <w:tr w:rsidR="006F587A" w14:paraId="4ACE44E4" w14:textId="77777777">
        <w:trPr>
          <w:tblCellSpacing w:w="0" w:type="dxa"/>
        </w:trPr>
        <w:tc>
          <w:tcPr>
            <w:tcW w:w="480" w:type="dxa"/>
            <w:shd w:val="clear" w:color="auto" w:fill="auto"/>
            <w:vAlign w:val="center"/>
          </w:tcPr>
          <w:p w14:paraId="4ACE44E2" w14:textId="77777777" w:rsidR="006F587A" w:rsidRDefault="006F587A">
            <w:pPr>
              <w:rPr>
                <w:rFonts w:ascii="Times New Roman" w:hAnsi="Times New Roman"/>
                <w:sz w:val="20"/>
                <w:szCs w:val="20"/>
              </w:rPr>
            </w:pPr>
          </w:p>
        </w:tc>
        <w:tc>
          <w:tcPr>
            <w:tcW w:w="0" w:type="auto"/>
            <w:shd w:val="clear" w:color="auto" w:fill="auto"/>
            <w:vAlign w:val="center"/>
          </w:tcPr>
          <w:p w14:paraId="4ACE44E3" w14:textId="77777777" w:rsidR="006F587A" w:rsidRDefault="006F587A">
            <w:pPr>
              <w:rPr>
                <w:rFonts w:ascii="Times New Roman" w:hAnsi="Times New Roman"/>
                <w:sz w:val="20"/>
                <w:szCs w:val="20"/>
              </w:rPr>
            </w:pPr>
          </w:p>
        </w:tc>
      </w:tr>
      <w:tr w:rsidR="006F587A" w14:paraId="4ACE44E7" w14:textId="77777777">
        <w:trPr>
          <w:tblCellSpacing w:w="0" w:type="dxa"/>
        </w:trPr>
        <w:tc>
          <w:tcPr>
            <w:tcW w:w="0" w:type="auto"/>
            <w:shd w:val="clear" w:color="auto" w:fill="auto"/>
          </w:tcPr>
          <w:p w14:paraId="4ACE44E5"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44E6"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DCG</w:t>
            </w:r>
          </w:p>
        </w:tc>
      </w:tr>
    </w:tbl>
    <w:p w14:paraId="4ACE44E8"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440"/>
      </w:tblGrid>
      <w:tr w:rsidR="006F587A" w14:paraId="4ACE44EB" w14:textId="77777777">
        <w:trPr>
          <w:tblCellSpacing w:w="0" w:type="dxa"/>
        </w:trPr>
        <w:tc>
          <w:tcPr>
            <w:tcW w:w="480" w:type="dxa"/>
            <w:shd w:val="clear" w:color="auto" w:fill="auto"/>
            <w:vAlign w:val="center"/>
          </w:tcPr>
          <w:p w14:paraId="4ACE44E9" w14:textId="77777777" w:rsidR="006F587A" w:rsidRDefault="006F587A">
            <w:pPr>
              <w:rPr>
                <w:rFonts w:ascii="Times New Roman" w:hAnsi="Times New Roman"/>
                <w:sz w:val="20"/>
                <w:szCs w:val="20"/>
              </w:rPr>
            </w:pPr>
          </w:p>
        </w:tc>
        <w:tc>
          <w:tcPr>
            <w:tcW w:w="0" w:type="auto"/>
            <w:shd w:val="clear" w:color="auto" w:fill="auto"/>
            <w:vAlign w:val="center"/>
          </w:tcPr>
          <w:p w14:paraId="4ACE44EA" w14:textId="77777777" w:rsidR="006F587A" w:rsidRDefault="006F587A">
            <w:pPr>
              <w:rPr>
                <w:rFonts w:ascii="Times New Roman" w:hAnsi="Times New Roman"/>
                <w:sz w:val="20"/>
                <w:szCs w:val="20"/>
              </w:rPr>
            </w:pPr>
          </w:p>
        </w:tc>
      </w:tr>
      <w:tr w:rsidR="006F587A" w14:paraId="4ACE44EE" w14:textId="77777777">
        <w:trPr>
          <w:tblCellSpacing w:w="0" w:type="dxa"/>
        </w:trPr>
        <w:tc>
          <w:tcPr>
            <w:tcW w:w="0" w:type="auto"/>
            <w:shd w:val="clear" w:color="auto" w:fill="auto"/>
          </w:tcPr>
          <w:p w14:paraId="4ACE44EC"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44ED"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IOTG</w:t>
            </w:r>
          </w:p>
        </w:tc>
      </w:tr>
    </w:tbl>
    <w:p w14:paraId="4ACE44EF"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21"/>
      </w:tblGrid>
      <w:tr w:rsidR="006F587A" w14:paraId="4ACE44F2" w14:textId="77777777">
        <w:trPr>
          <w:tblCellSpacing w:w="0" w:type="dxa"/>
        </w:trPr>
        <w:tc>
          <w:tcPr>
            <w:tcW w:w="480" w:type="dxa"/>
            <w:shd w:val="clear" w:color="auto" w:fill="auto"/>
            <w:vAlign w:val="center"/>
          </w:tcPr>
          <w:p w14:paraId="4ACE44F0" w14:textId="77777777" w:rsidR="006F587A" w:rsidRDefault="006F587A">
            <w:pPr>
              <w:rPr>
                <w:rFonts w:ascii="Times New Roman" w:hAnsi="Times New Roman"/>
                <w:sz w:val="20"/>
                <w:szCs w:val="20"/>
              </w:rPr>
            </w:pPr>
          </w:p>
        </w:tc>
        <w:tc>
          <w:tcPr>
            <w:tcW w:w="0" w:type="auto"/>
            <w:shd w:val="clear" w:color="auto" w:fill="auto"/>
            <w:vAlign w:val="center"/>
          </w:tcPr>
          <w:p w14:paraId="4ACE44F1" w14:textId="77777777" w:rsidR="006F587A" w:rsidRDefault="006F587A">
            <w:pPr>
              <w:rPr>
                <w:rFonts w:ascii="Times New Roman" w:hAnsi="Times New Roman"/>
                <w:sz w:val="20"/>
                <w:szCs w:val="20"/>
              </w:rPr>
            </w:pPr>
          </w:p>
        </w:tc>
      </w:tr>
      <w:tr w:rsidR="006F587A" w14:paraId="4ACE44F5" w14:textId="77777777">
        <w:trPr>
          <w:tblCellSpacing w:w="0" w:type="dxa"/>
        </w:trPr>
        <w:tc>
          <w:tcPr>
            <w:tcW w:w="0" w:type="auto"/>
            <w:shd w:val="clear" w:color="auto" w:fill="auto"/>
          </w:tcPr>
          <w:p w14:paraId="4ACE44F3"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44F4"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Mobileye</w:t>
            </w:r>
          </w:p>
        </w:tc>
      </w:tr>
    </w:tbl>
    <w:p w14:paraId="4ACE44F6"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391"/>
      </w:tblGrid>
      <w:tr w:rsidR="006F587A" w14:paraId="4ACE44F9" w14:textId="77777777">
        <w:trPr>
          <w:tblCellSpacing w:w="0" w:type="dxa"/>
        </w:trPr>
        <w:tc>
          <w:tcPr>
            <w:tcW w:w="480" w:type="dxa"/>
            <w:shd w:val="clear" w:color="auto" w:fill="auto"/>
            <w:vAlign w:val="center"/>
          </w:tcPr>
          <w:p w14:paraId="4ACE44F7" w14:textId="77777777" w:rsidR="006F587A" w:rsidRDefault="006F587A">
            <w:pPr>
              <w:rPr>
                <w:rFonts w:ascii="Times New Roman" w:hAnsi="Times New Roman"/>
                <w:sz w:val="20"/>
                <w:szCs w:val="20"/>
              </w:rPr>
            </w:pPr>
          </w:p>
        </w:tc>
        <w:tc>
          <w:tcPr>
            <w:tcW w:w="0" w:type="auto"/>
            <w:shd w:val="clear" w:color="auto" w:fill="auto"/>
            <w:vAlign w:val="center"/>
          </w:tcPr>
          <w:p w14:paraId="4ACE44F8" w14:textId="77777777" w:rsidR="006F587A" w:rsidRDefault="006F587A">
            <w:pPr>
              <w:rPr>
                <w:rFonts w:ascii="Times New Roman" w:hAnsi="Times New Roman"/>
                <w:sz w:val="20"/>
                <w:szCs w:val="20"/>
              </w:rPr>
            </w:pPr>
          </w:p>
        </w:tc>
      </w:tr>
      <w:tr w:rsidR="006F587A" w14:paraId="4ACE44FC" w14:textId="77777777">
        <w:trPr>
          <w:tblCellSpacing w:w="0" w:type="dxa"/>
        </w:trPr>
        <w:tc>
          <w:tcPr>
            <w:tcW w:w="0" w:type="auto"/>
            <w:shd w:val="clear" w:color="auto" w:fill="auto"/>
          </w:tcPr>
          <w:p w14:paraId="4ACE44FA"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44FB"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NSG</w:t>
            </w:r>
          </w:p>
        </w:tc>
      </w:tr>
    </w:tbl>
    <w:p w14:paraId="4ACE44FD"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381"/>
      </w:tblGrid>
      <w:tr w:rsidR="006F587A" w14:paraId="4ACE4500" w14:textId="77777777">
        <w:trPr>
          <w:tblCellSpacing w:w="0" w:type="dxa"/>
        </w:trPr>
        <w:tc>
          <w:tcPr>
            <w:tcW w:w="480" w:type="dxa"/>
            <w:shd w:val="clear" w:color="auto" w:fill="auto"/>
            <w:vAlign w:val="center"/>
          </w:tcPr>
          <w:p w14:paraId="4ACE44FE" w14:textId="77777777" w:rsidR="006F587A" w:rsidRDefault="006F587A">
            <w:pPr>
              <w:rPr>
                <w:rFonts w:ascii="Times New Roman" w:hAnsi="Times New Roman"/>
                <w:sz w:val="20"/>
                <w:szCs w:val="20"/>
              </w:rPr>
            </w:pPr>
          </w:p>
        </w:tc>
        <w:tc>
          <w:tcPr>
            <w:tcW w:w="0" w:type="auto"/>
            <w:shd w:val="clear" w:color="auto" w:fill="auto"/>
            <w:vAlign w:val="center"/>
          </w:tcPr>
          <w:p w14:paraId="4ACE44FF" w14:textId="77777777" w:rsidR="006F587A" w:rsidRDefault="006F587A">
            <w:pPr>
              <w:rPr>
                <w:rFonts w:ascii="Times New Roman" w:hAnsi="Times New Roman"/>
                <w:sz w:val="20"/>
                <w:szCs w:val="20"/>
              </w:rPr>
            </w:pPr>
          </w:p>
        </w:tc>
      </w:tr>
      <w:tr w:rsidR="006F587A" w14:paraId="4ACE4503" w14:textId="77777777">
        <w:trPr>
          <w:tblCellSpacing w:w="0" w:type="dxa"/>
        </w:trPr>
        <w:tc>
          <w:tcPr>
            <w:tcW w:w="0" w:type="auto"/>
            <w:shd w:val="clear" w:color="auto" w:fill="auto"/>
          </w:tcPr>
          <w:p w14:paraId="4ACE4501"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4502"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PSG</w:t>
            </w:r>
          </w:p>
        </w:tc>
      </w:tr>
    </w:tbl>
    <w:p w14:paraId="4ACE4504"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400"/>
      </w:tblGrid>
      <w:tr w:rsidR="006F587A" w14:paraId="4ACE4507" w14:textId="77777777">
        <w:trPr>
          <w:tblCellSpacing w:w="0" w:type="dxa"/>
        </w:trPr>
        <w:tc>
          <w:tcPr>
            <w:tcW w:w="480" w:type="dxa"/>
            <w:shd w:val="clear" w:color="auto" w:fill="auto"/>
            <w:vAlign w:val="center"/>
          </w:tcPr>
          <w:p w14:paraId="4ACE4505" w14:textId="77777777" w:rsidR="006F587A" w:rsidRDefault="006F587A">
            <w:pPr>
              <w:rPr>
                <w:rFonts w:ascii="Times New Roman" w:hAnsi="Times New Roman"/>
                <w:sz w:val="20"/>
                <w:szCs w:val="20"/>
              </w:rPr>
            </w:pPr>
          </w:p>
        </w:tc>
        <w:tc>
          <w:tcPr>
            <w:tcW w:w="0" w:type="auto"/>
            <w:shd w:val="clear" w:color="auto" w:fill="auto"/>
            <w:vAlign w:val="center"/>
          </w:tcPr>
          <w:p w14:paraId="4ACE4506" w14:textId="77777777" w:rsidR="006F587A" w:rsidRDefault="006F587A">
            <w:pPr>
              <w:rPr>
                <w:rFonts w:ascii="Times New Roman" w:hAnsi="Times New Roman"/>
                <w:sz w:val="20"/>
                <w:szCs w:val="20"/>
              </w:rPr>
            </w:pPr>
          </w:p>
        </w:tc>
      </w:tr>
      <w:tr w:rsidR="006F587A" w14:paraId="4ACE450A" w14:textId="77777777">
        <w:trPr>
          <w:tblCellSpacing w:w="0" w:type="dxa"/>
        </w:trPr>
        <w:tc>
          <w:tcPr>
            <w:tcW w:w="0" w:type="auto"/>
            <w:shd w:val="clear" w:color="auto" w:fill="auto"/>
          </w:tcPr>
          <w:p w14:paraId="4ACE4508"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4509"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CCG</w:t>
            </w:r>
          </w:p>
        </w:tc>
      </w:tr>
    </w:tbl>
    <w:p w14:paraId="4ACE450B" w14:textId="77777777" w:rsidR="006F587A" w:rsidRDefault="006F587A">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480"/>
        <w:gridCol w:w="661"/>
      </w:tblGrid>
      <w:tr w:rsidR="006F587A" w14:paraId="4ACE450E" w14:textId="77777777">
        <w:trPr>
          <w:tblCellSpacing w:w="0" w:type="dxa"/>
        </w:trPr>
        <w:tc>
          <w:tcPr>
            <w:tcW w:w="480" w:type="dxa"/>
            <w:shd w:val="clear" w:color="auto" w:fill="auto"/>
            <w:vAlign w:val="center"/>
          </w:tcPr>
          <w:p w14:paraId="4ACE450C" w14:textId="77777777" w:rsidR="006F587A" w:rsidRDefault="006F587A">
            <w:pPr>
              <w:rPr>
                <w:rFonts w:ascii="Times New Roman" w:hAnsi="Times New Roman"/>
                <w:sz w:val="20"/>
                <w:szCs w:val="20"/>
              </w:rPr>
            </w:pPr>
          </w:p>
        </w:tc>
        <w:tc>
          <w:tcPr>
            <w:tcW w:w="0" w:type="auto"/>
            <w:shd w:val="clear" w:color="auto" w:fill="auto"/>
            <w:vAlign w:val="center"/>
          </w:tcPr>
          <w:p w14:paraId="4ACE450D" w14:textId="77777777" w:rsidR="006F587A" w:rsidRDefault="006F587A">
            <w:pPr>
              <w:rPr>
                <w:rFonts w:ascii="Times New Roman" w:hAnsi="Times New Roman"/>
                <w:sz w:val="20"/>
                <w:szCs w:val="20"/>
              </w:rPr>
            </w:pPr>
          </w:p>
        </w:tc>
      </w:tr>
      <w:tr w:rsidR="006F587A" w14:paraId="4ACE4511" w14:textId="77777777">
        <w:trPr>
          <w:tblCellSpacing w:w="0" w:type="dxa"/>
        </w:trPr>
        <w:tc>
          <w:tcPr>
            <w:tcW w:w="0" w:type="auto"/>
            <w:shd w:val="clear" w:color="auto" w:fill="auto"/>
          </w:tcPr>
          <w:p w14:paraId="4ACE450F"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4510"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All other</w:t>
            </w:r>
          </w:p>
        </w:tc>
      </w:tr>
    </w:tbl>
    <w:p w14:paraId="4ACE4512"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offer platform products that incorporate various components and technologies, including a microprocessor and chipset, a stand-alone SoC, or a multichip package. A platform product may be enhanced by additional hardware, software, and services offered by</w:t>
      </w:r>
      <w:r>
        <w:rPr>
          <w:rFonts w:ascii="Arial" w:eastAsia="宋体" w:hAnsi="Arial" w:cs="Arial"/>
          <w:color w:val="333333"/>
          <w:sz w:val="18"/>
          <w:szCs w:val="18"/>
        </w:rPr>
        <w:t xml:space="preserve"> Intel. Platform products are used in various form factors across our DCG, IOTG, and CCG operating segments. We derive a substantial majority of our revenue from platform products, which are our principal products and considered as one class of product. </w:t>
      </w:r>
    </w:p>
    <w:p w14:paraId="4ACE4513"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D</w:t>
      </w:r>
      <w:r>
        <w:rPr>
          <w:rFonts w:ascii="Arial" w:eastAsia="宋体" w:hAnsi="Arial" w:cs="Arial"/>
          <w:color w:val="333333"/>
          <w:sz w:val="18"/>
          <w:szCs w:val="18"/>
        </w:rPr>
        <w:t>CG and CCG are our reportable operating segments. IOTG, Mobileye, NSG, and PSG do not meet the quantitative thresholds to qualify as reportable operating segments; however, we have elected to disclose the results of these non-reportable operating segments.</w:t>
      </w:r>
      <w:r>
        <w:rPr>
          <w:rFonts w:ascii="Arial" w:eastAsia="宋体" w:hAnsi="Arial" w:cs="Arial"/>
          <w:color w:val="333333"/>
          <w:sz w:val="18"/>
          <w:szCs w:val="18"/>
        </w:rPr>
        <w:t xml:space="preserve"> Our Internet of Things portfolio, presented as Internet of Things, is comprised of the IOTG and Mobileye operating segments. </w:t>
      </w:r>
    </w:p>
    <w:p w14:paraId="4ACE4514"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have sales and marketing, manufacturing, engineering, finance, and administration groups. Expenses for these groups are genera</w:t>
      </w:r>
      <w:r>
        <w:rPr>
          <w:rFonts w:ascii="Arial" w:eastAsia="宋体" w:hAnsi="Arial" w:cs="Arial"/>
          <w:color w:val="333333"/>
          <w:sz w:val="18"/>
          <w:szCs w:val="18"/>
        </w:rPr>
        <w:t>lly allocated to the operating segments.</w:t>
      </w:r>
    </w:p>
    <w:p w14:paraId="4ACE4515"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The "all other" category includes revenue and expenses such as:</w:t>
      </w:r>
    </w:p>
    <w:tbl>
      <w:tblPr>
        <w:tblW w:w="0" w:type="auto"/>
        <w:tblCellSpacing w:w="0" w:type="dxa"/>
        <w:tblCellMar>
          <w:left w:w="0" w:type="dxa"/>
          <w:bottom w:w="80" w:type="dxa"/>
          <w:right w:w="0" w:type="dxa"/>
        </w:tblCellMar>
        <w:tblLook w:val="04A0" w:firstRow="1" w:lastRow="0" w:firstColumn="1" w:lastColumn="0" w:noHBand="0" w:noVBand="1"/>
      </w:tblPr>
      <w:tblGrid>
        <w:gridCol w:w="480"/>
        <w:gridCol w:w="6104"/>
      </w:tblGrid>
      <w:tr w:rsidR="006F587A" w14:paraId="4ACE4518" w14:textId="77777777">
        <w:trPr>
          <w:tblCellSpacing w:w="0" w:type="dxa"/>
        </w:trPr>
        <w:tc>
          <w:tcPr>
            <w:tcW w:w="480" w:type="dxa"/>
            <w:shd w:val="clear" w:color="auto" w:fill="auto"/>
            <w:vAlign w:val="center"/>
          </w:tcPr>
          <w:p w14:paraId="4ACE4516" w14:textId="77777777" w:rsidR="006F587A" w:rsidRDefault="006F587A">
            <w:pPr>
              <w:rPr>
                <w:rFonts w:ascii="Times New Roman" w:hAnsi="Times New Roman"/>
                <w:sz w:val="20"/>
                <w:szCs w:val="20"/>
              </w:rPr>
            </w:pPr>
          </w:p>
        </w:tc>
        <w:tc>
          <w:tcPr>
            <w:tcW w:w="0" w:type="auto"/>
            <w:shd w:val="clear" w:color="auto" w:fill="auto"/>
            <w:vAlign w:val="center"/>
          </w:tcPr>
          <w:p w14:paraId="4ACE4517" w14:textId="77777777" w:rsidR="006F587A" w:rsidRDefault="006F587A">
            <w:pPr>
              <w:rPr>
                <w:rFonts w:ascii="Times New Roman" w:hAnsi="Times New Roman"/>
                <w:sz w:val="20"/>
                <w:szCs w:val="20"/>
              </w:rPr>
            </w:pPr>
          </w:p>
        </w:tc>
      </w:tr>
      <w:tr w:rsidR="006F587A" w14:paraId="4ACE451B" w14:textId="77777777">
        <w:trPr>
          <w:tblCellSpacing w:w="0" w:type="dxa"/>
        </w:trPr>
        <w:tc>
          <w:tcPr>
            <w:tcW w:w="0" w:type="auto"/>
            <w:shd w:val="clear" w:color="auto" w:fill="auto"/>
          </w:tcPr>
          <w:p w14:paraId="4ACE4519"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451A"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results of operations from non-reportable segments not otherwise presented; </w:t>
            </w:r>
          </w:p>
        </w:tc>
      </w:tr>
    </w:tbl>
    <w:p w14:paraId="4ACE451C"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4513"/>
      </w:tblGrid>
      <w:tr w:rsidR="006F587A" w14:paraId="4ACE451F" w14:textId="77777777">
        <w:trPr>
          <w:tblCellSpacing w:w="0" w:type="dxa"/>
        </w:trPr>
        <w:tc>
          <w:tcPr>
            <w:tcW w:w="480" w:type="dxa"/>
            <w:shd w:val="clear" w:color="auto" w:fill="auto"/>
            <w:vAlign w:val="center"/>
          </w:tcPr>
          <w:p w14:paraId="4ACE451D" w14:textId="77777777" w:rsidR="006F587A" w:rsidRDefault="006F587A">
            <w:pPr>
              <w:rPr>
                <w:rFonts w:ascii="Times New Roman" w:hAnsi="Times New Roman"/>
                <w:sz w:val="20"/>
                <w:szCs w:val="20"/>
              </w:rPr>
            </w:pPr>
          </w:p>
        </w:tc>
        <w:tc>
          <w:tcPr>
            <w:tcW w:w="0" w:type="auto"/>
            <w:shd w:val="clear" w:color="auto" w:fill="auto"/>
            <w:vAlign w:val="center"/>
          </w:tcPr>
          <w:p w14:paraId="4ACE451E" w14:textId="77777777" w:rsidR="006F587A" w:rsidRDefault="006F587A">
            <w:pPr>
              <w:rPr>
                <w:rFonts w:ascii="Times New Roman" w:hAnsi="Times New Roman"/>
                <w:sz w:val="20"/>
                <w:szCs w:val="20"/>
              </w:rPr>
            </w:pPr>
          </w:p>
        </w:tc>
      </w:tr>
      <w:tr w:rsidR="006F587A" w14:paraId="4ACE4522" w14:textId="77777777">
        <w:trPr>
          <w:tblCellSpacing w:w="0" w:type="dxa"/>
        </w:trPr>
        <w:tc>
          <w:tcPr>
            <w:tcW w:w="0" w:type="auto"/>
            <w:shd w:val="clear" w:color="auto" w:fill="auto"/>
          </w:tcPr>
          <w:p w14:paraId="4ACE4520"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4521"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historical results of operations from divested businesses; </w:t>
            </w:r>
          </w:p>
        </w:tc>
      </w:tr>
    </w:tbl>
    <w:p w14:paraId="4ACE4523"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6F587A" w14:paraId="4ACE4526" w14:textId="77777777">
        <w:trPr>
          <w:tblCellSpacing w:w="0" w:type="dxa"/>
        </w:trPr>
        <w:tc>
          <w:tcPr>
            <w:tcW w:w="480" w:type="dxa"/>
            <w:shd w:val="clear" w:color="auto" w:fill="auto"/>
            <w:vAlign w:val="center"/>
          </w:tcPr>
          <w:p w14:paraId="4ACE4524" w14:textId="77777777" w:rsidR="006F587A" w:rsidRDefault="006F587A">
            <w:pPr>
              <w:rPr>
                <w:rFonts w:ascii="Times New Roman" w:hAnsi="Times New Roman"/>
                <w:sz w:val="20"/>
                <w:szCs w:val="20"/>
              </w:rPr>
            </w:pPr>
          </w:p>
        </w:tc>
        <w:tc>
          <w:tcPr>
            <w:tcW w:w="0" w:type="auto"/>
            <w:shd w:val="clear" w:color="auto" w:fill="auto"/>
            <w:vAlign w:val="center"/>
          </w:tcPr>
          <w:p w14:paraId="4ACE4525" w14:textId="77777777" w:rsidR="006F587A" w:rsidRDefault="006F587A">
            <w:pPr>
              <w:rPr>
                <w:rFonts w:ascii="Times New Roman" w:hAnsi="Times New Roman"/>
                <w:sz w:val="20"/>
                <w:szCs w:val="20"/>
              </w:rPr>
            </w:pPr>
          </w:p>
        </w:tc>
      </w:tr>
      <w:tr w:rsidR="006F587A" w14:paraId="4ACE4529" w14:textId="77777777">
        <w:trPr>
          <w:tblCellSpacing w:w="0" w:type="dxa"/>
        </w:trPr>
        <w:tc>
          <w:tcPr>
            <w:tcW w:w="0" w:type="auto"/>
            <w:shd w:val="clear" w:color="auto" w:fill="auto"/>
          </w:tcPr>
          <w:p w14:paraId="4ACE4527"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4528"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results of operations of start-up businesses that support our initiatives, including our foundry business; </w:t>
            </w:r>
          </w:p>
        </w:tc>
      </w:tr>
    </w:tbl>
    <w:p w14:paraId="4ACE452A"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4523"/>
      </w:tblGrid>
      <w:tr w:rsidR="006F587A" w14:paraId="4ACE452D" w14:textId="77777777">
        <w:trPr>
          <w:tblCellSpacing w:w="0" w:type="dxa"/>
        </w:trPr>
        <w:tc>
          <w:tcPr>
            <w:tcW w:w="480" w:type="dxa"/>
            <w:shd w:val="clear" w:color="auto" w:fill="auto"/>
            <w:vAlign w:val="center"/>
          </w:tcPr>
          <w:p w14:paraId="4ACE452B" w14:textId="77777777" w:rsidR="006F587A" w:rsidRDefault="006F587A">
            <w:pPr>
              <w:rPr>
                <w:rFonts w:ascii="Times New Roman" w:hAnsi="Times New Roman"/>
                <w:sz w:val="20"/>
                <w:szCs w:val="20"/>
              </w:rPr>
            </w:pPr>
          </w:p>
        </w:tc>
        <w:tc>
          <w:tcPr>
            <w:tcW w:w="0" w:type="auto"/>
            <w:shd w:val="clear" w:color="auto" w:fill="auto"/>
            <w:vAlign w:val="center"/>
          </w:tcPr>
          <w:p w14:paraId="4ACE452C" w14:textId="77777777" w:rsidR="006F587A" w:rsidRDefault="006F587A">
            <w:pPr>
              <w:rPr>
                <w:rFonts w:ascii="Times New Roman" w:hAnsi="Times New Roman"/>
                <w:sz w:val="20"/>
                <w:szCs w:val="20"/>
              </w:rPr>
            </w:pPr>
          </w:p>
        </w:tc>
      </w:tr>
      <w:tr w:rsidR="006F587A" w14:paraId="4ACE4530" w14:textId="77777777">
        <w:trPr>
          <w:tblCellSpacing w:w="0" w:type="dxa"/>
        </w:trPr>
        <w:tc>
          <w:tcPr>
            <w:tcW w:w="0" w:type="auto"/>
            <w:shd w:val="clear" w:color="auto" w:fill="auto"/>
          </w:tcPr>
          <w:p w14:paraId="4ACE452E"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452F"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amounts included within restructuring and other charges; </w:t>
            </w:r>
          </w:p>
        </w:tc>
      </w:tr>
    </w:tbl>
    <w:p w14:paraId="4ACE4531"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6F587A" w14:paraId="4ACE4534" w14:textId="77777777">
        <w:trPr>
          <w:tblCellSpacing w:w="0" w:type="dxa"/>
        </w:trPr>
        <w:tc>
          <w:tcPr>
            <w:tcW w:w="480" w:type="dxa"/>
            <w:shd w:val="clear" w:color="auto" w:fill="auto"/>
            <w:vAlign w:val="center"/>
          </w:tcPr>
          <w:p w14:paraId="4ACE4532" w14:textId="77777777" w:rsidR="006F587A" w:rsidRDefault="006F587A">
            <w:pPr>
              <w:rPr>
                <w:rFonts w:ascii="Times New Roman" w:hAnsi="Times New Roman"/>
                <w:sz w:val="20"/>
                <w:szCs w:val="20"/>
              </w:rPr>
            </w:pPr>
          </w:p>
        </w:tc>
        <w:tc>
          <w:tcPr>
            <w:tcW w:w="0" w:type="auto"/>
            <w:shd w:val="clear" w:color="auto" w:fill="auto"/>
            <w:vAlign w:val="center"/>
          </w:tcPr>
          <w:p w14:paraId="4ACE4533" w14:textId="77777777" w:rsidR="006F587A" w:rsidRDefault="006F587A">
            <w:pPr>
              <w:rPr>
                <w:rFonts w:ascii="Times New Roman" w:hAnsi="Times New Roman"/>
                <w:sz w:val="20"/>
                <w:szCs w:val="20"/>
              </w:rPr>
            </w:pPr>
          </w:p>
        </w:tc>
      </w:tr>
      <w:tr w:rsidR="006F587A" w14:paraId="4ACE4537" w14:textId="77777777">
        <w:trPr>
          <w:tblCellSpacing w:w="0" w:type="dxa"/>
        </w:trPr>
        <w:tc>
          <w:tcPr>
            <w:tcW w:w="0" w:type="auto"/>
            <w:shd w:val="clear" w:color="auto" w:fill="auto"/>
          </w:tcPr>
          <w:p w14:paraId="4ACE4535"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4536"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a portion of employee benefits, compensation, and other expenses not allocated to the operating segments; and </w:t>
            </w:r>
          </w:p>
        </w:tc>
      </w:tr>
    </w:tbl>
    <w:p w14:paraId="4ACE4538" w14:textId="77777777" w:rsidR="006F587A" w:rsidRDefault="006F587A">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480"/>
        <w:gridCol w:w="7826"/>
      </w:tblGrid>
      <w:tr w:rsidR="006F587A" w14:paraId="4ACE453B" w14:textId="77777777">
        <w:trPr>
          <w:tblCellSpacing w:w="0" w:type="dxa"/>
        </w:trPr>
        <w:tc>
          <w:tcPr>
            <w:tcW w:w="480" w:type="dxa"/>
            <w:shd w:val="clear" w:color="auto" w:fill="auto"/>
            <w:vAlign w:val="center"/>
          </w:tcPr>
          <w:p w14:paraId="4ACE4539" w14:textId="77777777" w:rsidR="006F587A" w:rsidRDefault="006F587A">
            <w:pPr>
              <w:rPr>
                <w:rFonts w:ascii="Times New Roman" w:hAnsi="Times New Roman"/>
                <w:sz w:val="20"/>
                <w:szCs w:val="20"/>
              </w:rPr>
            </w:pPr>
          </w:p>
        </w:tc>
        <w:tc>
          <w:tcPr>
            <w:tcW w:w="0" w:type="auto"/>
            <w:shd w:val="clear" w:color="auto" w:fill="auto"/>
            <w:vAlign w:val="center"/>
          </w:tcPr>
          <w:p w14:paraId="4ACE453A" w14:textId="77777777" w:rsidR="006F587A" w:rsidRDefault="006F587A">
            <w:pPr>
              <w:rPr>
                <w:rFonts w:ascii="Times New Roman" w:hAnsi="Times New Roman"/>
                <w:sz w:val="20"/>
                <w:szCs w:val="20"/>
              </w:rPr>
            </w:pPr>
          </w:p>
        </w:tc>
      </w:tr>
      <w:tr w:rsidR="006F587A" w14:paraId="4ACE453E" w14:textId="77777777">
        <w:trPr>
          <w:tblCellSpacing w:w="0" w:type="dxa"/>
        </w:trPr>
        <w:tc>
          <w:tcPr>
            <w:tcW w:w="0" w:type="auto"/>
            <w:shd w:val="clear" w:color="auto" w:fill="auto"/>
          </w:tcPr>
          <w:p w14:paraId="4ACE453C"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453D"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acquisition-related costs, including amortization and any impairment of acquisition-related intangibles and goodwill. </w:t>
            </w:r>
          </w:p>
        </w:tc>
      </w:tr>
    </w:tbl>
    <w:p w14:paraId="4ACE453F"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The CODM, who is our CEO, allocates resources to and assesses the performance of each operating segment using information about the oper</w:t>
      </w:r>
      <w:r>
        <w:rPr>
          <w:rFonts w:ascii="Arial" w:eastAsia="宋体" w:hAnsi="Arial" w:cs="Arial"/>
          <w:color w:val="333333"/>
          <w:sz w:val="18"/>
          <w:szCs w:val="18"/>
        </w:rPr>
        <w:t>ating segment's revenue and operating income (loss). The CODM does not evaluate operating segments using discrete asset information and we do not identify or allocate assets by operating segments. Based on the interchangeable nature of our manufacturing an</w:t>
      </w:r>
      <w:r>
        <w:rPr>
          <w:rFonts w:ascii="Arial" w:eastAsia="宋体" w:hAnsi="Arial" w:cs="Arial"/>
          <w:color w:val="333333"/>
          <w:sz w:val="18"/>
          <w:szCs w:val="18"/>
        </w:rPr>
        <w:t xml:space="preserve">d </w:t>
      </w:r>
      <w:r>
        <w:rPr>
          <w:rFonts w:ascii="Arial" w:eastAsia="宋体" w:hAnsi="Arial" w:cs="Arial"/>
          <w:color w:val="333333"/>
          <w:sz w:val="18"/>
          <w:szCs w:val="18"/>
        </w:rPr>
        <w:lastRenderedPageBreak/>
        <w:t>assembly and test assets, most of the related depreciation expense is not directly identifiable within our operating segments, as it is included in overhead cost pools and subsequently absorbed into inventory as each product passes through our manufactur</w:t>
      </w:r>
      <w:r>
        <w:rPr>
          <w:rFonts w:ascii="Arial" w:eastAsia="宋体" w:hAnsi="Arial" w:cs="Arial"/>
          <w:color w:val="333333"/>
          <w:sz w:val="18"/>
          <w:szCs w:val="18"/>
        </w:rPr>
        <w:t>ing process. Because our products are then sold across multiple operating segments, it is impracticable to determine the total depreciation expense included as a component of each operating segment’s operating income (loss) results. Operating segments do n</w:t>
      </w:r>
      <w:r>
        <w:rPr>
          <w:rFonts w:ascii="Arial" w:eastAsia="宋体" w:hAnsi="Arial" w:cs="Arial"/>
          <w:color w:val="333333"/>
          <w:sz w:val="18"/>
          <w:szCs w:val="18"/>
        </w:rPr>
        <w:t>ot record inter-segment revenue. We do not allocate gains and losses from equity investments, interest and other income, or taxes to operating segments. Although the CODM uses operating income to evaluate the segments, operating costs included in one segme</w:t>
      </w:r>
      <w:r>
        <w:rPr>
          <w:rFonts w:ascii="Arial" w:eastAsia="宋体" w:hAnsi="Arial" w:cs="Arial"/>
          <w:color w:val="333333"/>
          <w:sz w:val="18"/>
          <w:szCs w:val="18"/>
        </w:rPr>
        <w:t>nt may benefit other segments. Except for these differences, the accounting policies for segment reporting are the same as for Intel as a whole.</w:t>
      </w:r>
    </w:p>
    <w:p w14:paraId="4ACE4540"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4542" w14:textId="77777777">
        <w:tc>
          <w:tcPr>
            <w:tcW w:w="0" w:type="auto"/>
            <w:gridSpan w:val="3"/>
            <w:shd w:val="clear" w:color="auto" w:fill="auto"/>
            <w:vAlign w:val="center"/>
          </w:tcPr>
          <w:p w14:paraId="4ACE4541" w14:textId="77777777" w:rsidR="006F587A" w:rsidRDefault="006F587A">
            <w:pPr>
              <w:rPr>
                <w:rFonts w:ascii="Times New Roman" w:hAnsi="Times New Roman"/>
                <w:sz w:val="20"/>
                <w:szCs w:val="20"/>
              </w:rPr>
            </w:pPr>
          </w:p>
        </w:tc>
      </w:tr>
      <w:tr w:rsidR="006F587A" w14:paraId="4ACE4546" w14:textId="77777777">
        <w:tc>
          <w:tcPr>
            <w:tcW w:w="1300" w:type="pct"/>
            <w:shd w:val="clear" w:color="auto" w:fill="auto"/>
            <w:vAlign w:val="center"/>
          </w:tcPr>
          <w:p w14:paraId="4ACE4543" w14:textId="77777777" w:rsidR="006F587A" w:rsidRDefault="006F587A">
            <w:pPr>
              <w:rPr>
                <w:rFonts w:ascii="Times New Roman" w:hAnsi="Times New Roman"/>
                <w:sz w:val="20"/>
                <w:szCs w:val="20"/>
              </w:rPr>
            </w:pPr>
          </w:p>
        </w:tc>
        <w:tc>
          <w:tcPr>
            <w:tcW w:w="1600" w:type="pct"/>
            <w:shd w:val="clear" w:color="auto" w:fill="auto"/>
            <w:vAlign w:val="center"/>
          </w:tcPr>
          <w:p w14:paraId="4ACE4544" w14:textId="77777777" w:rsidR="006F587A" w:rsidRDefault="006F587A">
            <w:pPr>
              <w:rPr>
                <w:rFonts w:ascii="Times New Roman" w:hAnsi="Times New Roman"/>
                <w:sz w:val="20"/>
                <w:szCs w:val="20"/>
              </w:rPr>
            </w:pPr>
          </w:p>
        </w:tc>
        <w:tc>
          <w:tcPr>
            <w:tcW w:w="2100" w:type="pct"/>
            <w:shd w:val="clear" w:color="auto" w:fill="auto"/>
            <w:vAlign w:val="center"/>
          </w:tcPr>
          <w:p w14:paraId="4ACE4545" w14:textId="77777777" w:rsidR="006F587A" w:rsidRDefault="006F587A">
            <w:pPr>
              <w:rPr>
                <w:rFonts w:ascii="Times New Roman" w:hAnsi="Times New Roman"/>
                <w:sz w:val="20"/>
                <w:szCs w:val="20"/>
              </w:rPr>
            </w:pPr>
          </w:p>
        </w:tc>
      </w:tr>
      <w:tr w:rsidR="006F587A" w14:paraId="4ACE454A" w14:textId="77777777">
        <w:tc>
          <w:tcPr>
            <w:tcW w:w="0" w:type="auto"/>
            <w:tcBorders>
              <w:top w:val="single" w:sz="8" w:space="0" w:color="0071C5"/>
            </w:tcBorders>
            <w:shd w:val="clear" w:color="auto" w:fill="auto"/>
            <w:tcMar>
              <w:top w:w="40" w:type="dxa"/>
              <w:left w:w="40" w:type="dxa"/>
              <w:bottom w:w="40" w:type="dxa"/>
              <w:right w:w="40" w:type="dxa"/>
            </w:tcMar>
            <w:vAlign w:val="bottom"/>
          </w:tcPr>
          <w:p w14:paraId="4ACE4547" w14:textId="77777777" w:rsidR="006F587A" w:rsidRDefault="007B2B61">
            <w:pPr>
              <w:textAlignment w:val="bottom"/>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DB" wp14:editId="4ACE6DDC">
                  <wp:extent cx="304800" cy="304800"/>
                  <wp:effectExtent l="0" t="0" r="0" b="0"/>
                  <wp:docPr id="168" name="图片 300"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300"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left w:val="single" w:sz="36" w:space="0" w:color="0071C5"/>
            </w:tcBorders>
            <w:shd w:val="clear" w:color="auto" w:fill="auto"/>
            <w:tcMar>
              <w:top w:w="40" w:type="dxa"/>
              <w:left w:w="40" w:type="dxa"/>
              <w:bottom w:w="40" w:type="dxa"/>
              <w:right w:w="40" w:type="dxa"/>
            </w:tcMar>
            <w:vAlign w:val="bottom"/>
          </w:tcPr>
          <w:p w14:paraId="4ACE4548" w14:textId="77777777" w:rsidR="006F587A" w:rsidRDefault="007B2B61">
            <w:pPr>
              <w:textAlignment w:val="bottom"/>
              <w:rPr>
                <w:rFonts w:ascii="Times New Roman" w:hAnsi="Times New Roman"/>
                <w:sz w:val="16"/>
                <w:szCs w:val="16"/>
              </w:rPr>
            </w:pPr>
            <w:r>
              <w:rPr>
                <w:rFonts w:ascii="Arial" w:eastAsia="宋体" w:hAnsi="Arial" w:cs="Arial"/>
                <w:color w:val="333333"/>
                <w:sz w:val="16"/>
                <w:szCs w:val="16"/>
              </w:rPr>
              <w:t> Notes to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4549"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81</w:t>
            </w:r>
          </w:p>
        </w:tc>
      </w:tr>
    </w:tbl>
    <w:p w14:paraId="4ACE454B" w14:textId="77777777" w:rsidR="006F587A" w:rsidRDefault="007B2B61">
      <w:r>
        <w:pict w14:anchorId="4ACE6DDD">
          <v:rect id="_x0000_i1107" style="width:415.3pt;height:1.5pt" o:hralign="center" o:hrstd="t" o:hr="t" fillcolor="#a0a0a0" stroked="f"/>
        </w:pict>
      </w:r>
    </w:p>
    <w:p w14:paraId="4ACE454C" w14:textId="77777777" w:rsidR="006F587A" w:rsidRDefault="007B2B61">
      <w:pPr>
        <w:spacing w:line="288" w:lineRule="auto"/>
        <w:jc w:val="right"/>
        <w:rPr>
          <w:rFonts w:ascii="Times New Roman" w:hAnsi="Times New Roman"/>
          <w:sz w:val="16"/>
          <w:szCs w:val="16"/>
        </w:rPr>
      </w:pPr>
      <w:hyperlink r:id="rId146" w:anchor="s9DB683E2CF52561EB8A73BE37F5BF9BE" w:history="1">
        <w:r>
          <w:rPr>
            <w:rStyle w:val="a5"/>
            <w:rFonts w:ascii="Arial" w:eastAsia="宋体" w:hAnsi="Arial" w:cs="Arial"/>
            <w:b/>
            <w:bCs/>
            <w:sz w:val="16"/>
            <w:szCs w:val="16"/>
          </w:rPr>
          <w:t>Table of Contents</w:t>
        </w:r>
      </w:hyperlink>
    </w:p>
    <w:p w14:paraId="4ACE454D" w14:textId="77777777" w:rsidR="006F587A" w:rsidRDefault="006F587A">
      <w:pPr>
        <w:spacing w:line="288" w:lineRule="auto"/>
        <w:jc w:val="right"/>
        <w:rPr>
          <w:rFonts w:ascii="Times New Roman" w:hAnsi="Times New Roman"/>
          <w:sz w:val="16"/>
          <w:szCs w:val="16"/>
        </w:rPr>
      </w:pPr>
    </w:p>
    <w:p w14:paraId="4ACE454E" w14:textId="77777777" w:rsidR="006F587A" w:rsidRDefault="006F587A">
      <w:pPr>
        <w:rPr>
          <w:rFonts w:ascii="Times New Roman" w:hAnsi="Times New Roman"/>
          <w:sz w:val="20"/>
          <w:szCs w:val="20"/>
        </w:rPr>
      </w:pPr>
    </w:p>
    <w:p w14:paraId="4ACE454F" w14:textId="77777777" w:rsidR="006F587A" w:rsidRDefault="007B2B61">
      <w:pPr>
        <w:spacing w:line="288" w:lineRule="auto"/>
        <w:rPr>
          <w:rFonts w:ascii="Times New Roman" w:hAnsi="Times New Roman"/>
          <w:sz w:val="20"/>
          <w:szCs w:val="20"/>
        </w:rPr>
      </w:pPr>
      <w:r>
        <w:rPr>
          <w:rFonts w:ascii="Arial" w:eastAsia="宋体" w:hAnsi="Arial" w:cs="Arial"/>
          <w:color w:val="333333"/>
          <w:sz w:val="18"/>
          <w:szCs w:val="18"/>
        </w:rPr>
        <w:t>Net revenue and operating income (loss) for each period were as follows:</w:t>
      </w:r>
    </w:p>
    <w:tbl>
      <w:tblPr>
        <w:tblW w:w="5000" w:type="pct"/>
        <w:tblCellMar>
          <w:left w:w="0" w:type="dxa"/>
          <w:right w:w="0" w:type="dxa"/>
        </w:tblCellMar>
        <w:tblLook w:val="04A0" w:firstRow="1" w:lastRow="0" w:firstColumn="1" w:lastColumn="0" w:noHBand="0" w:noVBand="1"/>
      </w:tblPr>
      <w:tblGrid>
        <w:gridCol w:w="4975"/>
        <w:gridCol w:w="130"/>
        <w:gridCol w:w="141"/>
        <w:gridCol w:w="739"/>
        <w:gridCol w:w="100"/>
        <w:gridCol w:w="130"/>
        <w:gridCol w:w="141"/>
        <w:gridCol w:w="739"/>
        <w:gridCol w:w="100"/>
        <w:gridCol w:w="130"/>
        <w:gridCol w:w="141"/>
        <w:gridCol w:w="740"/>
        <w:gridCol w:w="100"/>
      </w:tblGrid>
      <w:tr w:rsidR="006F587A" w14:paraId="4ACE4551" w14:textId="77777777">
        <w:tc>
          <w:tcPr>
            <w:tcW w:w="0" w:type="auto"/>
            <w:gridSpan w:val="13"/>
            <w:shd w:val="clear" w:color="auto" w:fill="auto"/>
            <w:vAlign w:val="center"/>
          </w:tcPr>
          <w:p w14:paraId="4ACE4550" w14:textId="77777777" w:rsidR="006F587A" w:rsidRDefault="006F587A">
            <w:pPr>
              <w:rPr>
                <w:rFonts w:ascii="Times New Roman" w:hAnsi="Times New Roman"/>
                <w:sz w:val="20"/>
                <w:szCs w:val="20"/>
              </w:rPr>
            </w:pPr>
          </w:p>
        </w:tc>
      </w:tr>
      <w:tr w:rsidR="006F587A" w14:paraId="4ACE455F" w14:textId="77777777">
        <w:tc>
          <w:tcPr>
            <w:tcW w:w="3050" w:type="pct"/>
            <w:shd w:val="clear" w:color="auto" w:fill="auto"/>
            <w:vAlign w:val="center"/>
          </w:tcPr>
          <w:p w14:paraId="4ACE4552" w14:textId="77777777" w:rsidR="006F587A" w:rsidRDefault="006F587A">
            <w:pPr>
              <w:rPr>
                <w:rFonts w:ascii="Times New Roman" w:hAnsi="Times New Roman"/>
                <w:sz w:val="20"/>
                <w:szCs w:val="20"/>
              </w:rPr>
            </w:pPr>
          </w:p>
        </w:tc>
        <w:tc>
          <w:tcPr>
            <w:tcW w:w="50" w:type="pct"/>
            <w:shd w:val="clear" w:color="auto" w:fill="auto"/>
            <w:vAlign w:val="center"/>
          </w:tcPr>
          <w:p w14:paraId="4ACE4553" w14:textId="77777777" w:rsidR="006F587A" w:rsidRDefault="006F587A">
            <w:pPr>
              <w:rPr>
                <w:rFonts w:ascii="Times New Roman" w:hAnsi="Times New Roman"/>
                <w:sz w:val="20"/>
                <w:szCs w:val="20"/>
              </w:rPr>
            </w:pPr>
          </w:p>
        </w:tc>
        <w:tc>
          <w:tcPr>
            <w:tcW w:w="50" w:type="pct"/>
            <w:shd w:val="clear" w:color="auto" w:fill="auto"/>
            <w:vAlign w:val="center"/>
          </w:tcPr>
          <w:p w14:paraId="4ACE4554" w14:textId="77777777" w:rsidR="006F587A" w:rsidRDefault="006F587A">
            <w:pPr>
              <w:rPr>
                <w:rFonts w:ascii="Times New Roman" w:hAnsi="Times New Roman"/>
                <w:sz w:val="20"/>
                <w:szCs w:val="20"/>
              </w:rPr>
            </w:pPr>
          </w:p>
        </w:tc>
        <w:tc>
          <w:tcPr>
            <w:tcW w:w="500" w:type="pct"/>
            <w:shd w:val="clear" w:color="auto" w:fill="auto"/>
            <w:vAlign w:val="center"/>
          </w:tcPr>
          <w:p w14:paraId="4ACE4555" w14:textId="77777777" w:rsidR="006F587A" w:rsidRDefault="006F587A">
            <w:pPr>
              <w:rPr>
                <w:rFonts w:ascii="Times New Roman" w:hAnsi="Times New Roman"/>
                <w:sz w:val="20"/>
                <w:szCs w:val="20"/>
              </w:rPr>
            </w:pPr>
          </w:p>
        </w:tc>
        <w:tc>
          <w:tcPr>
            <w:tcW w:w="50" w:type="pct"/>
            <w:shd w:val="clear" w:color="auto" w:fill="auto"/>
            <w:vAlign w:val="center"/>
          </w:tcPr>
          <w:p w14:paraId="4ACE4556" w14:textId="77777777" w:rsidR="006F587A" w:rsidRDefault="006F587A">
            <w:pPr>
              <w:rPr>
                <w:rFonts w:ascii="Times New Roman" w:hAnsi="Times New Roman"/>
                <w:sz w:val="20"/>
                <w:szCs w:val="20"/>
              </w:rPr>
            </w:pPr>
          </w:p>
        </w:tc>
        <w:tc>
          <w:tcPr>
            <w:tcW w:w="50" w:type="pct"/>
            <w:shd w:val="clear" w:color="auto" w:fill="auto"/>
            <w:vAlign w:val="center"/>
          </w:tcPr>
          <w:p w14:paraId="4ACE4557" w14:textId="77777777" w:rsidR="006F587A" w:rsidRDefault="006F587A">
            <w:pPr>
              <w:rPr>
                <w:rFonts w:ascii="Times New Roman" w:hAnsi="Times New Roman"/>
                <w:sz w:val="20"/>
                <w:szCs w:val="20"/>
              </w:rPr>
            </w:pPr>
          </w:p>
        </w:tc>
        <w:tc>
          <w:tcPr>
            <w:tcW w:w="50" w:type="pct"/>
            <w:shd w:val="clear" w:color="auto" w:fill="auto"/>
            <w:vAlign w:val="center"/>
          </w:tcPr>
          <w:p w14:paraId="4ACE4558" w14:textId="77777777" w:rsidR="006F587A" w:rsidRDefault="006F587A">
            <w:pPr>
              <w:rPr>
                <w:rFonts w:ascii="Times New Roman" w:hAnsi="Times New Roman"/>
                <w:sz w:val="20"/>
                <w:szCs w:val="20"/>
              </w:rPr>
            </w:pPr>
          </w:p>
        </w:tc>
        <w:tc>
          <w:tcPr>
            <w:tcW w:w="500" w:type="pct"/>
            <w:shd w:val="clear" w:color="auto" w:fill="auto"/>
            <w:vAlign w:val="center"/>
          </w:tcPr>
          <w:p w14:paraId="4ACE4559" w14:textId="77777777" w:rsidR="006F587A" w:rsidRDefault="006F587A">
            <w:pPr>
              <w:rPr>
                <w:rFonts w:ascii="Times New Roman" w:hAnsi="Times New Roman"/>
                <w:sz w:val="20"/>
                <w:szCs w:val="20"/>
              </w:rPr>
            </w:pPr>
          </w:p>
        </w:tc>
        <w:tc>
          <w:tcPr>
            <w:tcW w:w="50" w:type="pct"/>
            <w:shd w:val="clear" w:color="auto" w:fill="auto"/>
            <w:vAlign w:val="center"/>
          </w:tcPr>
          <w:p w14:paraId="4ACE455A" w14:textId="77777777" w:rsidR="006F587A" w:rsidRDefault="006F587A">
            <w:pPr>
              <w:rPr>
                <w:rFonts w:ascii="Times New Roman" w:hAnsi="Times New Roman"/>
                <w:sz w:val="20"/>
                <w:szCs w:val="20"/>
              </w:rPr>
            </w:pPr>
          </w:p>
        </w:tc>
        <w:tc>
          <w:tcPr>
            <w:tcW w:w="50" w:type="pct"/>
            <w:shd w:val="clear" w:color="auto" w:fill="auto"/>
            <w:vAlign w:val="center"/>
          </w:tcPr>
          <w:p w14:paraId="4ACE455B" w14:textId="77777777" w:rsidR="006F587A" w:rsidRDefault="006F587A">
            <w:pPr>
              <w:rPr>
                <w:rFonts w:ascii="Times New Roman" w:hAnsi="Times New Roman"/>
                <w:sz w:val="20"/>
                <w:szCs w:val="20"/>
              </w:rPr>
            </w:pPr>
          </w:p>
        </w:tc>
        <w:tc>
          <w:tcPr>
            <w:tcW w:w="50" w:type="pct"/>
            <w:shd w:val="clear" w:color="auto" w:fill="auto"/>
            <w:vAlign w:val="center"/>
          </w:tcPr>
          <w:p w14:paraId="4ACE455C" w14:textId="77777777" w:rsidR="006F587A" w:rsidRDefault="006F587A">
            <w:pPr>
              <w:rPr>
                <w:rFonts w:ascii="Times New Roman" w:hAnsi="Times New Roman"/>
                <w:sz w:val="20"/>
                <w:szCs w:val="20"/>
              </w:rPr>
            </w:pPr>
          </w:p>
        </w:tc>
        <w:tc>
          <w:tcPr>
            <w:tcW w:w="500" w:type="pct"/>
            <w:shd w:val="clear" w:color="auto" w:fill="auto"/>
            <w:vAlign w:val="center"/>
          </w:tcPr>
          <w:p w14:paraId="4ACE455D" w14:textId="77777777" w:rsidR="006F587A" w:rsidRDefault="006F587A">
            <w:pPr>
              <w:rPr>
                <w:rFonts w:ascii="Times New Roman" w:hAnsi="Times New Roman"/>
                <w:sz w:val="20"/>
                <w:szCs w:val="20"/>
              </w:rPr>
            </w:pPr>
          </w:p>
        </w:tc>
        <w:tc>
          <w:tcPr>
            <w:tcW w:w="50" w:type="pct"/>
            <w:shd w:val="clear" w:color="auto" w:fill="auto"/>
            <w:vAlign w:val="center"/>
          </w:tcPr>
          <w:p w14:paraId="4ACE455E" w14:textId="77777777" w:rsidR="006F587A" w:rsidRDefault="006F587A">
            <w:pPr>
              <w:rPr>
                <w:rFonts w:ascii="Times New Roman" w:hAnsi="Times New Roman"/>
                <w:sz w:val="20"/>
                <w:szCs w:val="20"/>
              </w:rPr>
            </w:pPr>
          </w:p>
        </w:tc>
      </w:tr>
      <w:tr w:rsidR="006F587A" w14:paraId="4ACE4567"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4560"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Years Ended (In Millions)</w:t>
            </w:r>
          </w:p>
        </w:tc>
        <w:tc>
          <w:tcPr>
            <w:tcW w:w="0" w:type="auto"/>
            <w:shd w:val="clear" w:color="auto" w:fill="auto"/>
            <w:tcMar>
              <w:top w:w="40" w:type="dxa"/>
              <w:left w:w="40" w:type="dxa"/>
              <w:bottom w:w="40" w:type="dxa"/>
              <w:right w:w="40" w:type="dxa"/>
            </w:tcMar>
            <w:vAlign w:val="bottom"/>
          </w:tcPr>
          <w:p w14:paraId="4ACE456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562"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28, </w:t>
            </w:r>
            <w:r>
              <w:rPr>
                <w:rFonts w:ascii="Arial" w:eastAsia="宋体" w:hAnsi="Arial" w:cs="Arial"/>
                <w:b/>
                <w:bCs/>
                <w:color w:val="333333"/>
                <w:sz w:val="18"/>
                <w:szCs w:val="18"/>
              </w:rPr>
              <w:br/>
              <w:t>2019</w:t>
            </w:r>
          </w:p>
        </w:tc>
        <w:tc>
          <w:tcPr>
            <w:tcW w:w="0" w:type="auto"/>
            <w:shd w:val="clear" w:color="auto" w:fill="auto"/>
            <w:tcMar>
              <w:top w:w="40" w:type="dxa"/>
              <w:left w:w="40" w:type="dxa"/>
              <w:bottom w:w="40" w:type="dxa"/>
              <w:right w:w="40" w:type="dxa"/>
            </w:tcMar>
            <w:vAlign w:val="bottom"/>
          </w:tcPr>
          <w:p w14:paraId="4ACE456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564"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29, </w:t>
            </w:r>
            <w:r>
              <w:rPr>
                <w:rFonts w:ascii="Arial" w:eastAsia="宋体" w:hAnsi="Arial" w:cs="Arial"/>
                <w:b/>
                <w:bCs/>
                <w:color w:val="333333"/>
                <w:sz w:val="18"/>
                <w:szCs w:val="18"/>
              </w:rPr>
              <w:br/>
              <w:t>2018</w:t>
            </w:r>
          </w:p>
        </w:tc>
        <w:tc>
          <w:tcPr>
            <w:tcW w:w="0" w:type="auto"/>
            <w:shd w:val="clear" w:color="auto" w:fill="auto"/>
            <w:tcMar>
              <w:top w:w="40" w:type="dxa"/>
              <w:left w:w="40" w:type="dxa"/>
              <w:bottom w:w="40" w:type="dxa"/>
              <w:right w:w="40" w:type="dxa"/>
            </w:tcMar>
            <w:vAlign w:val="bottom"/>
          </w:tcPr>
          <w:p w14:paraId="4ACE456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566"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30, </w:t>
            </w:r>
            <w:r>
              <w:rPr>
                <w:rFonts w:ascii="Arial" w:eastAsia="宋体" w:hAnsi="Arial" w:cs="Arial"/>
                <w:b/>
                <w:bCs/>
                <w:color w:val="333333"/>
                <w:sz w:val="18"/>
                <w:szCs w:val="18"/>
              </w:rPr>
              <w:br/>
              <w:t>2017</w:t>
            </w:r>
          </w:p>
        </w:tc>
      </w:tr>
      <w:tr w:rsidR="006F587A" w14:paraId="4ACE456F" w14:textId="77777777">
        <w:tc>
          <w:tcPr>
            <w:tcW w:w="0" w:type="auto"/>
            <w:shd w:val="clear" w:color="auto" w:fill="auto"/>
            <w:tcMar>
              <w:top w:w="40" w:type="dxa"/>
              <w:left w:w="40" w:type="dxa"/>
              <w:bottom w:w="40" w:type="dxa"/>
              <w:right w:w="40" w:type="dxa"/>
            </w:tcMar>
          </w:tcPr>
          <w:p w14:paraId="4ACE4568" w14:textId="77777777" w:rsidR="006F587A" w:rsidRDefault="007B2B61">
            <w:pPr>
              <w:textAlignment w:val="top"/>
              <w:rPr>
                <w:rFonts w:ascii="Times New Roman" w:hAnsi="Times New Roman"/>
                <w:sz w:val="18"/>
                <w:szCs w:val="18"/>
              </w:rPr>
            </w:pPr>
            <w:r>
              <w:rPr>
                <w:rFonts w:ascii="Arial" w:eastAsia="宋体" w:hAnsi="Arial" w:cs="Arial"/>
                <w:b/>
                <w:bCs/>
                <w:color w:val="333333"/>
                <w:sz w:val="18"/>
                <w:szCs w:val="18"/>
              </w:rPr>
              <w:t>Net revenue:</w:t>
            </w:r>
          </w:p>
        </w:tc>
        <w:tc>
          <w:tcPr>
            <w:tcW w:w="0" w:type="auto"/>
            <w:shd w:val="clear" w:color="auto" w:fill="auto"/>
            <w:tcMar>
              <w:top w:w="40" w:type="dxa"/>
              <w:left w:w="40" w:type="dxa"/>
              <w:bottom w:w="40" w:type="dxa"/>
              <w:right w:w="40" w:type="dxa"/>
            </w:tcMar>
            <w:vAlign w:val="bottom"/>
          </w:tcPr>
          <w:p w14:paraId="4ACE456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56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56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56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56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56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4577" w14:textId="77777777">
        <w:tc>
          <w:tcPr>
            <w:tcW w:w="0" w:type="auto"/>
            <w:shd w:val="clear" w:color="auto" w:fill="auto"/>
            <w:tcMar>
              <w:top w:w="40" w:type="dxa"/>
              <w:left w:w="240" w:type="dxa"/>
              <w:bottom w:w="40" w:type="dxa"/>
              <w:right w:w="40" w:type="dxa"/>
            </w:tcMar>
          </w:tcPr>
          <w:p w14:paraId="4ACE4570" w14:textId="77777777" w:rsidR="006F587A" w:rsidRDefault="007B2B61">
            <w:pPr>
              <w:textAlignment w:val="top"/>
              <w:rPr>
                <w:rFonts w:ascii="Times New Roman" w:hAnsi="Times New Roman"/>
                <w:sz w:val="18"/>
                <w:szCs w:val="18"/>
              </w:rPr>
            </w:pPr>
            <w:r>
              <w:rPr>
                <w:rFonts w:ascii="Arial" w:eastAsia="宋体" w:hAnsi="Arial" w:cs="Arial"/>
                <w:b/>
                <w:bCs/>
                <w:color w:val="333333"/>
                <w:sz w:val="18"/>
                <w:szCs w:val="18"/>
              </w:rPr>
              <w:t>Data Center Group</w:t>
            </w:r>
          </w:p>
        </w:tc>
        <w:tc>
          <w:tcPr>
            <w:tcW w:w="0" w:type="auto"/>
            <w:shd w:val="clear" w:color="auto" w:fill="auto"/>
            <w:tcMar>
              <w:top w:w="40" w:type="dxa"/>
              <w:left w:w="40" w:type="dxa"/>
              <w:bottom w:w="40" w:type="dxa"/>
              <w:right w:w="40" w:type="dxa"/>
            </w:tcMar>
            <w:vAlign w:val="bottom"/>
          </w:tcPr>
          <w:p w14:paraId="4ACE457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57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57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57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57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57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4585" w14:textId="77777777">
        <w:tc>
          <w:tcPr>
            <w:tcW w:w="0" w:type="auto"/>
            <w:shd w:val="clear" w:color="auto" w:fill="auto"/>
            <w:tcMar>
              <w:top w:w="40" w:type="dxa"/>
              <w:left w:w="400" w:type="dxa"/>
              <w:bottom w:w="40" w:type="dxa"/>
              <w:right w:w="40" w:type="dxa"/>
            </w:tcMar>
          </w:tcPr>
          <w:p w14:paraId="4ACE4578"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Platform</w:t>
            </w:r>
          </w:p>
        </w:tc>
        <w:tc>
          <w:tcPr>
            <w:tcW w:w="0" w:type="auto"/>
            <w:shd w:val="clear" w:color="auto" w:fill="auto"/>
            <w:tcMar>
              <w:top w:w="40" w:type="dxa"/>
              <w:left w:w="40" w:type="dxa"/>
              <w:bottom w:w="40" w:type="dxa"/>
              <w:right w:w="40" w:type="dxa"/>
            </w:tcMar>
            <w:vAlign w:val="bottom"/>
          </w:tcPr>
          <w:p w14:paraId="4ACE457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57A"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457B"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21,441</w:t>
            </w:r>
          </w:p>
        </w:tc>
        <w:tc>
          <w:tcPr>
            <w:tcW w:w="0" w:type="auto"/>
            <w:shd w:val="clear" w:color="auto" w:fill="auto"/>
            <w:vAlign w:val="bottom"/>
          </w:tcPr>
          <w:p w14:paraId="4ACE457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57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57E"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457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21,155</w:t>
            </w:r>
          </w:p>
        </w:tc>
        <w:tc>
          <w:tcPr>
            <w:tcW w:w="0" w:type="auto"/>
            <w:shd w:val="clear" w:color="auto" w:fill="auto"/>
            <w:vAlign w:val="bottom"/>
          </w:tcPr>
          <w:p w14:paraId="4ACE458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58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58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4583"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17,439</w:t>
            </w:r>
          </w:p>
        </w:tc>
        <w:tc>
          <w:tcPr>
            <w:tcW w:w="0" w:type="auto"/>
            <w:shd w:val="clear" w:color="auto" w:fill="auto"/>
            <w:vAlign w:val="bottom"/>
          </w:tcPr>
          <w:p w14:paraId="4ACE4584" w14:textId="77777777" w:rsidR="006F587A" w:rsidRDefault="006F587A">
            <w:pPr>
              <w:textAlignment w:val="bottom"/>
              <w:rPr>
                <w:rFonts w:ascii="Times New Roman" w:hAnsi="Times New Roman"/>
                <w:sz w:val="20"/>
                <w:szCs w:val="20"/>
              </w:rPr>
            </w:pPr>
          </w:p>
        </w:tc>
      </w:tr>
      <w:tr w:rsidR="006F587A" w14:paraId="4ACE4590" w14:textId="77777777">
        <w:tc>
          <w:tcPr>
            <w:tcW w:w="0" w:type="auto"/>
            <w:shd w:val="clear" w:color="auto" w:fill="auto"/>
            <w:tcMar>
              <w:top w:w="40" w:type="dxa"/>
              <w:left w:w="400" w:type="dxa"/>
              <w:bottom w:w="40" w:type="dxa"/>
              <w:right w:w="40" w:type="dxa"/>
            </w:tcMar>
          </w:tcPr>
          <w:p w14:paraId="4ACE4586"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Adjacent</w:t>
            </w:r>
          </w:p>
        </w:tc>
        <w:tc>
          <w:tcPr>
            <w:tcW w:w="0" w:type="auto"/>
            <w:shd w:val="clear" w:color="auto" w:fill="auto"/>
            <w:tcMar>
              <w:top w:w="40" w:type="dxa"/>
              <w:left w:w="40" w:type="dxa"/>
              <w:bottom w:w="40" w:type="dxa"/>
              <w:right w:w="40" w:type="dxa"/>
            </w:tcMar>
            <w:vAlign w:val="bottom"/>
          </w:tcPr>
          <w:p w14:paraId="4ACE458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4588"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2,040</w:t>
            </w:r>
          </w:p>
        </w:tc>
        <w:tc>
          <w:tcPr>
            <w:tcW w:w="0" w:type="auto"/>
            <w:tcBorders>
              <w:bottom w:val="single" w:sz="8" w:space="0" w:color="333333"/>
            </w:tcBorders>
            <w:shd w:val="clear" w:color="auto" w:fill="auto"/>
            <w:vAlign w:val="bottom"/>
          </w:tcPr>
          <w:p w14:paraId="4ACE458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58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458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1,836</w:t>
            </w:r>
          </w:p>
        </w:tc>
        <w:tc>
          <w:tcPr>
            <w:tcW w:w="0" w:type="auto"/>
            <w:tcBorders>
              <w:bottom w:val="single" w:sz="8" w:space="0" w:color="333333"/>
            </w:tcBorders>
            <w:shd w:val="clear" w:color="auto" w:fill="auto"/>
            <w:vAlign w:val="bottom"/>
          </w:tcPr>
          <w:p w14:paraId="4ACE458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58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458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1,625</w:t>
            </w:r>
          </w:p>
        </w:tc>
        <w:tc>
          <w:tcPr>
            <w:tcW w:w="0" w:type="auto"/>
            <w:tcBorders>
              <w:bottom w:val="single" w:sz="8" w:space="0" w:color="333333"/>
            </w:tcBorders>
            <w:shd w:val="clear" w:color="auto" w:fill="auto"/>
            <w:vAlign w:val="bottom"/>
          </w:tcPr>
          <w:p w14:paraId="4ACE458F" w14:textId="77777777" w:rsidR="006F587A" w:rsidRDefault="006F587A">
            <w:pPr>
              <w:textAlignment w:val="bottom"/>
              <w:rPr>
                <w:rFonts w:ascii="Times New Roman" w:hAnsi="Times New Roman"/>
                <w:sz w:val="20"/>
                <w:szCs w:val="20"/>
              </w:rPr>
            </w:pPr>
          </w:p>
        </w:tc>
      </w:tr>
      <w:tr w:rsidR="006F587A" w14:paraId="4ACE459B" w14:textId="77777777">
        <w:tc>
          <w:tcPr>
            <w:tcW w:w="0" w:type="auto"/>
            <w:shd w:val="clear" w:color="auto" w:fill="auto"/>
            <w:tcMar>
              <w:top w:w="40" w:type="dxa"/>
              <w:left w:w="40" w:type="dxa"/>
              <w:bottom w:w="40" w:type="dxa"/>
              <w:right w:w="40" w:type="dxa"/>
            </w:tcMar>
            <w:vAlign w:val="bottom"/>
          </w:tcPr>
          <w:p w14:paraId="4ACE459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59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593"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23,481</w:t>
            </w:r>
          </w:p>
        </w:tc>
        <w:tc>
          <w:tcPr>
            <w:tcW w:w="0" w:type="auto"/>
            <w:shd w:val="clear" w:color="auto" w:fill="auto"/>
            <w:vAlign w:val="bottom"/>
          </w:tcPr>
          <w:p w14:paraId="4ACE459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59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596"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22,991</w:t>
            </w:r>
          </w:p>
        </w:tc>
        <w:tc>
          <w:tcPr>
            <w:tcW w:w="0" w:type="auto"/>
            <w:shd w:val="clear" w:color="auto" w:fill="auto"/>
            <w:vAlign w:val="bottom"/>
          </w:tcPr>
          <w:p w14:paraId="4ACE459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59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599"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19,064</w:t>
            </w:r>
          </w:p>
        </w:tc>
        <w:tc>
          <w:tcPr>
            <w:tcW w:w="0" w:type="auto"/>
            <w:shd w:val="clear" w:color="auto" w:fill="auto"/>
            <w:vAlign w:val="bottom"/>
          </w:tcPr>
          <w:p w14:paraId="4ACE459A" w14:textId="77777777" w:rsidR="006F587A" w:rsidRDefault="006F587A">
            <w:pPr>
              <w:textAlignment w:val="bottom"/>
              <w:rPr>
                <w:rFonts w:ascii="Times New Roman" w:hAnsi="Times New Roman"/>
                <w:sz w:val="20"/>
                <w:szCs w:val="20"/>
              </w:rPr>
            </w:pPr>
          </w:p>
        </w:tc>
      </w:tr>
      <w:tr w:rsidR="006F587A" w14:paraId="4ACE45A3" w14:textId="77777777">
        <w:tc>
          <w:tcPr>
            <w:tcW w:w="0" w:type="auto"/>
            <w:shd w:val="clear" w:color="auto" w:fill="auto"/>
            <w:tcMar>
              <w:top w:w="40" w:type="dxa"/>
              <w:left w:w="240" w:type="dxa"/>
              <w:bottom w:w="40" w:type="dxa"/>
              <w:right w:w="40" w:type="dxa"/>
            </w:tcMar>
          </w:tcPr>
          <w:p w14:paraId="4ACE459C" w14:textId="77777777" w:rsidR="006F587A" w:rsidRDefault="007B2B61">
            <w:pPr>
              <w:textAlignment w:val="top"/>
              <w:rPr>
                <w:rFonts w:ascii="Times New Roman" w:hAnsi="Times New Roman"/>
                <w:sz w:val="18"/>
                <w:szCs w:val="18"/>
              </w:rPr>
            </w:pPr>
            <w:r>
              <w:rPr>
                <w:rFonts w:ascii="Arial" w:eastAsia="宋体" w:hAnsi="Arial" w:cs="Arial"/>
                <w:b/>
                <w:bCs/>
                <w:color w:val="333333"/>
                <w:sz w:val="18"/>
                <w:szCs w:val="18"/>
              </w:rPr>
              <w:t xml:space="preserve">Internet of Things </w:t>
            </w:r>
          </w:p>
        </w:tc>
        <w:tc>
          <w:tcPr>
            <w:tcW w:w="0" w:type="auto"/>
            <w:shd w:val="clear" w:color="auto" w:fill="auto"/>
            <w:tcMar>
              <w:top w:w="40" w:type="dxa"/>
              <w:left w:w="40" w:type="dxa"/>
              <w:bottom w:w="40" w:type="dxa"/>
              <w:right w:w="40" w:type="dxa"/>
            </w:tcMar>
            <w:vAlign w:val="bottom"/>
          </w:tcPr>
          <w:p w14:paraId="4ACE459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59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59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5A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5A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5A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45AE" w14:textId="77777777">
        <w:tc>
          <w:tcPr>
            <w:tcW w:w="0" w:type="auto"/>
            <w:shd w:val="clear" w:color="auto" w:fill="auto"/>
            <w:tcMar>
              <w:top w:w="40" w:type="dxa"/>
              <w:left w:w="400" w:type="dxa"/>
              <w:bottom w:w="40" w:type="dxa"/>
              <w:right w:w="40" w:type="dxa"/>
            </w:tcMar>
          </w:tcPr>
          <w:p w14:paraId="4ACE45A4"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IOTG</w:t>
            </w:r>
          </w:p>
        </w:tc>
        <w:tc>
          <w:tcPr>
            <w:tcW w:w="0" w:type="auto"/>
            <w:shd w:val="clear" w:color="auto" w:fill="auto"/>
            <w:tcMar>
              <w:top w:w="40" w:type="dxa"/>
              <w:left w:w="40" w:type="dxa"/>
              <w:bottom w:w="40" w:type="dxa"/>
              <w:right w:w="40" w:type="dxa"/>
            </w:tcMar>
            <w:vAlign w:val="bottom"/>
          </w:tcPr>
          <w:p w14:paraId="4ACE45A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5A6"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3,821</w:t>
            </w:r>
          </w:p>
        </w:tc>
        <w:tc>
          <w:tcPr>
            <w:tcW w:w="0" w:type="auto"/>
            <w:shd w:val="clear" w:color="auto" w:fill="auto"/>
            <w:vAlign w:val="bottom"/>
          </w:tcPr>
          <w:p w14:paraId="4ACE45A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5A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5A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3,455</w:t>
            </w:r>
          </w:p>
        </w:tc>
        <w:tc>
          <w:tcPr>
            <w:tcW w:w="0" w:type="auto"/>
            <w:shd w:val="clear" w:color="auto" w:fill="auto"/>
            <w:vAlign w:val="bottom"/>
          </w:tcPr>
          <w:p w14:paraId="4ACE45A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5A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5A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3,169</w:t>
            </w:r>
          </w:p>
        </w:tc>
        <w:tc>
          <w:tcPr>
            <w:tcW w:w="0" w:type="auto"/>
            <w:shd w:val="clear" w:color="auto" w:fill="auto"/>
            <w:vAlign w:val="bottom"/>
          </w:tcPr>
          <w:p w14:paraId="4ACE45AD" w14:textId="77777777" w:rsidR="006F587A" w:rsidRDefault="006F587A">
            <w:pPr>
              <w:textAlignment w:val="bottom"/>
              <w:rPr>
                <w:rFonts w:ascii="Times New Roman" w:hAnsi="Times New Roman"/>
                <w:sz w:val="20"/>
                <w:szCs w:val="20"/>
              </w:rPr>
            </w:pPr>
          </w:p>
        </w:tc>
      </w:tr>
      <w:tr w:rsidR="006F587A" w14:paraId="4ACE45B9" w14:textId="77777777">
        <w:tc>
          <w:tcPr>
            <w:tcW w:w="0" w:type="auto"/>
            <w:shd w:val="clear" w:color="auto" w:fill="auto"/>
            <w:tcMar>
              <w:top w:w="40" w:type="dxa"/>
              <w:left w:w="400" w:type="dxa"/>
              <w:bottom w:w="40" w:type="dxa"/>
              <w:right w:w="40" w:type="dxa"/>
            </w:tcMar>
          </w:tcPr>
          <w:p w14:paraId="4ACE45AF"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Mobileye</w:t>
            </w:r>
          </w:p>
        </w:tc>
        <w:tc>
          <w:tcPr>
            <w:tcW w:w="0" w:type="auto"/>
            <w:shd w:val="clear" w:color="auto" w:fill="auto"/>
            <w:tcMar>
              <w:top w:w="40" w:type="dxa"/>
              <w:left w:w="40" w:type="dxa"/>
              <w:bottom w:w="40" w:type="dxa"/>
              <w:right w:w="40" w:type="dxa"/>
            </w:tcMar>
            <w:vAlign w:val="bottom"/>
          </w:tcPr>
          <w:p w14:paraId="4ACE45B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45B1"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879</w:t>
            </w:r>
          </w:p>
        </w:tc>
        <w:tc>
          <w:tcPr>
            <w:tcW w:w="0" w:type="auto"/>
            <w:tcBorders>
              <w:bottom w:val="single" w:sz="8" w:space="0" w:color="333333"/>
            </w:tcBorders>
            <w:shd w:val="clear" w:color="auto" w:fill="auto"/>
            <w:vAlign w:val="bottom"/>
          </w:tcPr>
          <w:p w14:paraId="4ACE45B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5B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45B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698</w:t>
            </w:r>
          </w:p>
        </w:tc>
        <w:tc>
          <w:tcPr>
            <w:tcW w:w="0" w:type="auto"/>
            <w:tcBorders>
              <w:bottom w:val="single" w:sz="8" w:space="0" w:color="333333"/>
            </w:tcBorders>
            <w:shd w:val="clear" w:color="auto" w:fill="auto"/>
            <w:vAlign w:val="bottom"/>
          </w:tcPr>
          <w:p w14:paraId="4ACE45B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5B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45B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210</w:t>
            </w:r>
          </w:p>
        </w:tc>
        <w:tc>
          <w:tcPr>
            <w:tcW w:w="0" w:type="auto"/>
            <w:tcBorders>
              <w:bottom w:val="single" w:sz="8" w:space="0" w:color="333333"/>
            </w:tcBorders>
            <w:shd w:val="clear" w:color="auto" w:fill="auto"/>
            <w:vAlign w:val="bottom"/>
          </w:tcPr>
          <w:p w14:paraId="4ACE45B8" w14:textId="77777777" w:rsidR="006F587A" w:rsidRDefault="006F587A">
            <w:pPr>
              <w:textAlignment w:val="bottom"/>
              <w:rPr>
                <w:rFonts w:ascii="Times New Roman" w:hAnsi="Times New Roman"/>
                <w:sz w:val="20"/>
                <w:szCs w:val="20"/>
              </w:rPr>
            </w:pPr>
          </w:p>
        </w:tc>
      </w:tr>
      <w:tr w:rsidR="006F587A" w14:paraId="4ACE45C4" w14:textId="77777777">
        <w:tc>
          <w:tcPr>
            <w:tcW w:w="0" w:type="auto"/>
            <w:shd w:val="clear" w:color="auto" w:fill="auto"/>
            <w:tcMar>
              <w:top w:w="40" w:type="dxa"/>
              <w:left w:w="40" w:type="dxa"/>
              <w:bottom w:w="40" w:type="dxa"/>
              <w:right w:w="40" w:type="dxa"/>
            </w:tcMar>
            <w:vAlign w:val="bottom"/>
          </w:tcPr>
          <w:p w14:paraId="4ACE45B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5B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5BC"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4,700</w:t>
            </w:r>
          </w:p>
        </w:tc>
        <w:tc>
          <w:tcPr>
            <w:tcW w:w="0" w:type="auto"/>
            <w:shd w:val="clear" w:color="auto" w:fill="auto"/>
            <w:vAlign w:val="bottom"/>
          </w:tcPr>
          <w:p w14:paraId="4ACE45B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5B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5BF"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4,153</w:t>
            </w:r>
          </w:p>
        </w:tc>
        <w:tc>
          <w:tcPr>
            <w:tcW w:w="0" w:type="auto"/>
            <w:shd w:val="clear" w:color="auto" w:fill="auto"/>
            <w:vAlign w:val="bottom"/>
          </w:tcPr>
          <w:p w14:paraId="4ACE45C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5C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5C2"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3,379</w:t>
            </w:r>
          </w:p>
        </w:tc>
        <w:tc>
          <w:tcPr>
            <w:tcW w:w="0" w:type="auto"/>
            <w:shd w:val="clear" w:color="auto" w:fill="auto"/>
            <w:vAlign w:val="bottom"/>
          </w:tcPr>
          <w:p w14:paraId="4ACE45C3" w14:textId="77777777" w:rsidR="006F587A" w:rsidRDefault="006F587A">
            <w:pPr>
              <w:textAlignment w:val="bottom"/>
              <w:rPr>
                <w:rFonts w:ascii="Times New Roman" w:hAnsi="Times New Roman"/>
                <w:sz w:val="20"/>
                <w:szCs w:val="20"/>
              </w:rPr>
            </w:pPr>
          </w:p>
        </w:tc>
      </w:tr>
      <w:tr w:rsidR="006F587A" w14:paraId="4ACE45CC" w14:textId="77777777">
        <w:tc>
          <w:tcPr>
            <w:tcW w:w="0" w:type="auto"/>
            <w:shd w:val="clear" w:color="auto" w:fill="auto"/>
            <w:tcMar>
              <w:top w:w="40" w:type="dxa"/>
              <w:left w:w="40" w:type="dxa"/>
              <w:bottom w:w="40" w:type="dxa"/>
              <w:right w:w="40" w:type="dxa"/>
            </w:tcMar>
            <w:vAlign w:val="bottom"/>
          </w:tcPr>
          <w:p w14:paraId="4ACE45C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5C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5C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5C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5C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5C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5C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45D7" w14:textId="77777777">
        <w:tc>
          <w:tcPr>
            <w:tcW w:w="0" w:type="auto"/>
            <w:shd w:val="clear" w:color="auto" w:fill="auto"/>
            <w:tcMar>
              <w:top w:w="40" w:type="dxa"/>
              <w:left w:w="240" w:type="dxa"/>
              <w:bottom w:w="40" w:type="dxa"/>
              <w:right w:w="40" w:type="dxa"/>
            </w:tcMar>
          </w:tcPr>
          <w:p w14:paraId="4ACE45CD" w14:textId="77777777" w:rsidR="006F587A" w:rsidRDefault="007B2B61">
            <w:pPr>
              <w:textAlignment w:val="top"/>
              <w:rPr>
                <w:rFonts w:ascii="Times New Roman" w:hAnsi="Times New Roman"/>
                <w:sz w:val="18"/>
                <w:szCs w:val="18"/>
              </w:rPr>
            </w:pPr>
            <w:r>
              <w:rPr>
                <w:rFonts w:ascii="Arial" w:eastAsia="宋体" w:hAnsi="Arial" w:cs="Arial"/>
                <w:b/>
                <w:bCs/>
                <w:color w:val="333333"/>
                <w:sz w:val="18"/>
                <w:szCs w:val="18"/>
              </w:rPr>
              <w:t>Non-Volatile Memory Solutions Group</w:t>
            </w:r>
          </w:p>
        </w:tc>
        <w:tc>
          <w:tcPr>
            <w:tcW w:w="0" w:type="auto"/>
            <w:shd w:val="clear" w:color="auto" w:fill="auto"/>
            <w:tcMar>
              <w:top w:w="40" w:type="dxa"/>
              <w:left w:w="40" w:type="dxa"/>
              <w:bottom w:w="40" w:type="dxa"/>
              <w:right w:w="40" w:type="dxa"/>
            </w:tcMar>
            <w:vAlign w:val="bottom"/>
          </w:tcPr>
          <w:p w14:paraId="4ACE45C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5CF"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4,362</w:t>
            </w:r>
          </w:p>
        </w:tc>
        <w:tc>
          <w:tcPr>
            <w:tcW w:w="0" w:type="auto"/>
            <w:shd w:val="clear" w:color="auto" w:fill="auto"/>
            <w:vAlign w:val="bottom"/>
          </w:tcPr>
          <w:p w14:paraId="4ACE45D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5D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5D2"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4,307</w:t>
            </w:r>
          </w:p>
        </w:tc>
        <w:tc>
          <w:tcPr>
            <w:tcW w:w="0" w:type="auto"/>
            <w:shd w:val="clear" w:color="auto" w:fill="auto"/>
            <w:vAlign w:val="bottom"/>
          </w:tcPr>
          <w:p w14:paraId="4ACE45D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5D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5D5"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3,520</w:t>
            </w:r>
          </w:p>
        </w:tc>
        <w:tc>
          <w:tcPr>
            <w:tcW w:w="0" w:type="auto"/>
            <w:shd w:val="clear" w:color="auto" w:fill="auto"/>
            <w:vAlign w:val="bottom"/>
          </w:tcPr>
          <w:p w14:paraId="4ACE45D6" w14:textId="77777777" w:rsidR="006F587A" w:rsidRDefault="006F587A">
            <w:pPr>
              <w:textAlignment w:val="bottom"/>
              <w:rPr>
                <w:rFonts w:ascii="Times New Roman" w:hAnsi="Times New Roman"/>
                <w:sz w:val="20"/>
                <w:szCs w:val="20"/>
              </w:rPr>
            </w:pPr>
          </w:p>
        </w:tc>
      </w:tr>
      <w:tr w:rsidR="006F587A" w14:paraId="4ACE45E2" w14:textId="77777777">
        <w:tc>
          <w:tcPr>
            <w:tcW w:w="0" w:type="auto"/>
            <w:shd w:val="clear" w:color="auto" w:fill="auto"/>
            <w:tcMar>
              <w:top w:w="40" w:type="dxa"/>
              <w:left w:w="240" w:type="dxa"/>
              <w:bottom w:w="40" w:type="dxa"/>
              <w:right w:w="40" w:type="dxa"/>
            </w:tcMar>
          </w:tcPr>
          <w:p w14:paraId="4ACE45D8" w14:textId="77777777" w:rsidR="006F587A" w:rsidRDefault="007B2B61">
            <w:pPr>
              <w:textAlignment w:val="top"/>
              <w:rPr>
                <w:rFonts w:ascii="Times New Roman" w:hAnsi="Times New Roman"/>
                <w:sz w:val="18"/>
                <w:szCs w:val="18"/>
              </w:rPr>
            </w:pPr>
            <w:r>
              <w:rPr>
                <w:rFonts w:ascii="Arial" w:eastAsia="宋体" w:hAnsi="Arial" w:cs="Arial"/>
                <w:b/>
                <w:bCs/>
                <w:color w:val="333333"/>
                <w:sz w:val="18"/>
                <w:szCs w:val="18"/>
              </w:rPr>
              <w:t>Programmable Solutions Group</w:t>
            </w:r>
          </w:p>
        </w:tc>
        <w:tc>
          <w:tcPr>
            <w:tcW w:w="0" w:type="auto"/>
            <w:shd w:val="clear" w:color="auto" w:fill="auto"/>
            <w:tcMar>
              <w:top w:w="40" w:type="dxa"/>
              <w:left w:w="40" w:type="dxa"/>
              <w:bottom w:w="40" w:type="dxa"/>
              <w:right w:w="40" w:type="dxa"/>
            </w:tcMar>
            <w:vAlign w:val="bottom"/>
          </w:tcPr>
          <w:p w14:paraId="4ACE45D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5DA"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1,987</w:t>
            </w:r>
          </w:p>
        </w:tc>
        <w:tc>
          <w:tcPr>
            <w:tcW w:w="0" w:type="auto"/>
            <w:shd w:val="clear" w:color="auto" w:fill="auto"/>
            <w:vAlign w:val="bottom"/>
          </w:tcPr>
          <w:p w14:paraId="4ACE45D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5D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5DD"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2,123</w:t>
            </w:r>
          </w:p>
        </w:tc>
        <w:tc>
          <w:tcPr>
            <w:tcW w:w="0" w:type="auto"/>
            <w:shd w:val="clear" w:color="auto" w:fill="auto"/>
            <w:vAlign w:val="bottom"/>
          </w:tcPr>
          <w:p w14:paraId="4ACE45D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5D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5E0"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1,902</w:t>
            </w:r>
          </w:p>
        </w:tc>
        <w:tc>
          <w:tcPr>
            <w:tcW w:w="0" w:type="auto"/>
            <w:shd w:val="clear" w:color="auto" w:fill="auto"/>
            <w:vAlign w:val="bottom"/>
          </w:tcPr>
          <w:p w14:paraId="4ACE45E1" w14:textId="77777777" w:rsidR="006F587A" w:rsidRDefault="006F587A">
            <w:pPr>
              <w:textAlignment w:val="bottom"/>
              <w:rPr>
                <w:rFonts w:ascii="Times New Roman" w:hAnsi="Times New Roman"/>
                <w:sz w:val="20"/>
                <w:szCs w:val="20"/>
              </w:rPr>
            </w:pPr>
          </w:p>
        </w:tc>
      </w:tr>
      <w:tr w:rsidR="006F587A" w14:paraId="4ACE45EA" w14:textId="77777777">
        <w:tc>
          <w:tcPr>
            <w:tcW w:w="0" w:type="auto"/>
            <w:shd w:val="clear" w:color="auto" w:fill="auto"/>
            <w:tcMar>
              <w:top w:w="40" w:type="dxa"/>
              <w:left w:w="240" w:type="dxa"/>
              <w:bottom w:w="40" w:type="dxa"/>
              <w:right w:w="40" w:type="dxa"/>
            </w:tcMar>
          </w:tcPr>
          <w:p w14:paraId="4ACE45E3" w14:textId="77777777" w:rsidR="006F587A" w:rsidRDefault="007B2B61">
            <w:pPr>
              <w:textAlignment w:val="top"/>
              <w:rPr>
                <w:rFonts w:ascii="Times New Roman" w:hAnsi="Times New Roman"/>
                <w:sz w:val="18"/>
                <w:szCs w:val="18"/>
              </w:rPr>
            </w:pPr>
            <w:r>
              <w:rPr>
                <w:rFonts w:ascii="Arial" w:eastAsia="宋体" w:hAnsi="Arial" w:cs="Arial"/>
                <w:b/>
                <w:bCs/>
                <w:color w:val="333333"/>
                <w:sz w:val="18"/>
                <w:szCs w:val="18"/>
              </w:rPr>
              <w:t>Client Computing Group</w:t>
            </w:r>
          </w:p>
        </w:tc>
        <w:tc>
          <w:tcPr>
            <w:tcW w:w="0" w:type="auto"/>
            <w:shd w:val="clear" w:color="auto" w:fill="auto"/>
            <w:tcMar>
              <w:top w:w="40" w:type="dxa"/>
              <w:left w:w="40" w:type="dxa"/>
              <w:bottom w:w="40" w:type="dxa"/>
              <w:right w:w="40" w:type="dxa"/>
            </w:tcMar>
            <w:vAlign w:val="bottom"/>
          </w:tcPr>
          <w:p w14:paraId="4ACE45E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5E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5E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5E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5E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5E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45F5" w14:textId="77777777">
        <w:tc>
          <w:tcPr>
            <w:tcW w:w="0" w:type="auto"/>
            <w:shd w:val="clear" w:color="auto" w:fill="auto"/>
            <w:tcMar>
              <w:top w:w="40" w:type="dxa"/>
              <w:left w:w="400" w:type="dxa"/>
              <w:bottom w:w="40" w:type="dxa"/>
              <w:right w:w="40" w:type="dxa"/>
            </w:tcMar>
          </w:tcPr>
          <w:p w14:paraId="4ACE45EB"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Platform</w:t>
            </w:r>
          </w:p>
        </w:tc>
        <w:tc>
          <w:tcPr>
            <w:tcW w:w="0" w:type="auto"/>
            <w:shd w:val="clear" w:color="auto" w:fill="auto"/>
            <w:tcMar>
              <w:top w:w="40" w:type="dxa"/>
              <w:left w:w="40" w:type="dxa"/>
              <w:bottom w:w="40" w:type="dxa"/>
              <w:right w:w="40" w:type="dxa"/>
            </w:tcMar>
            <w:vAlign w:val="bottom"/>
          </w:tcPr>
          <w:p w14:paraId="4ACE45E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5ED"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32,681</w:t>
            </w:r>
          </w:p>
        </w:tc>
        <w:tc>
          <w:tcPr>
            <w:tcW w:w="0" w:type="auto"/>
            <w:shd w:val="clear" w:color="auto" w:fill="auto"/>
            <w:vAlign w:val="bottom"/>
          </w:tcPr>
          <w:p w14:paraId="4ACE45E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5E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5F0"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33,234</w:t>
            </w:r>
          </w:p>
        </w:tc>
        <w:tc>
          <w:tcPr>
            <w:tcW w:w="0" w:type="auto"/>
            <w:shd w:val="clear" w:color="auto" w:fill="auto"/>
            <w:vAlign w:val="bottom"/>
          </w:tcPr>
          <w:p w14:paraId="4ACE45F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5F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5F3"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31,226</w:t>
            </w:r>
          </w:p>
        </w:tc>
        <w:tc>
          <w:tcPr>
            <w:tcW w:w="0" w:type="auto"/>
            <w:shd w:val="clear" w:color="auto" w:fill="auto"/>
            <w:vAlign w:val="bottom"/>
          </w:tcPr>
          <w:p w14:paraId="4ACE45F4" w14:textId="77777777" w:rsidR="006F587A" w:rsidRDefault="006F587A">
            <w:pPr>
              <w:textAlignment w:val="bottom"/>
              <w:rPr>
                <w:rFonts w:ascii="Times New Roman" w:hAnsi="Times New Roman"/>
                <w:sz w:val="20"/>
                <w:szCs w:val="20"/>
              </w:rPr>
            </w:pPr>
          </w:p>
        </w:tc>
      </w:tr>
      <w:tr w:rsidR="006F587A" w14:paraId="4ACE4600" w14:textId="77777777">
        <w:tc>
          <w:tcPr>
            <w:tcW w:w="0" w:type="auto"/>
            <w:shd w:val="clear" w:color="auto" w:fill="auto"/>
            <w:tcMar>
              <w:top w:w="40" w:type="dxa"/>
              <w:left w:w="400" w:type="dxa"/>
              <w:bottom w:w="40" w:type="dxa"/>
              <w:right w:w="40" w:type="dxa"/>
            </w:tcMar>
          </w:tcPr>
          <w:p w14:paraId="4ACE45F6"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Adjacent</w:t>
            </w:r>
          </w:p>
        </w:tc>
        <w:tc>
          <w:tcPr>
            <w:tcW w:w="0" w:type="auto"/>
            <w:shd w:val="clear" w:color="auto" w:fill="auto"/>
            <w:tcMar>
              <w:top w:w="40" w:type="dxa"/>
              <w:left w:w="40" w:type="dxa"/>
              <w:bottom w:w="40" w:type="dxa"/>
              <w:right w:w="40" w:type="dxa"/>
            </w:tcMar>
            <w:vAlign w:val="bottom"/>
          </w:tcPr>
          <w:p w14:paraId="4ACE45F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45F8"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4,465</w:t>
            </w:r>
          </w:p>
        </w:tc>
        <w:tc>
          <w:tcPr>
            <w:tcW w:w="0" w:type="auto"/>
            <w:tcBorders>
              <w:bottom w:val="single" w:sz="8" w:space="0" w:color="333333"/>
            </w:tcBorders>
            <w:shd w:val="clear" w:color="auto" w:fill="auto"/>
            <w:vAlign w:val="bottom"/>
          </w:tcPr>
          <w:p w14:paraId="4ACE45F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5F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45F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3,770</w:t>
            </w:r>
          </w:p>
        </w:tc>
        <w:tc>
          <w:tcPr>
            <w:tcW w:w="0" w:type="auto"/>
            <w:tcBorders>
              <w:bottom w:val="single" w:sz="8" w:space="0" w:color="333333"/>
            </w:tcBorders>
            <w:shd w:val="clear" w:color="auto" w:fill="auto"/>
            <w:vAlign w:val="bottom"/>
          </w:tcPr>
          <w:p w14:paraId="4ACE45F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5F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45F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2,777</w:t>
            </w:r>
          </w:p>
        </w:tc>
        <w:tc>
          <w:tcPr>
            <w:tcW w:w="0" w:type="auto"/>
            <w:tcBorders>
              <w:bottom w:val="single" w:sz="8" w:space="0" w:color="333333"/>
            </w:tcBorders>
            <w:shd w:val="clear" w:color="auto" w:fill="auto"/>
            <w:vAlign w:val="bottom"/>
          </w:tcPr>
          <w:p w14:paraId="4ACE45FF" w14:textId="77777777" w:rsidR="006F587A" w:rsidRDefault="006F587A">
            <w:pPr>
              <w:textAlignment w:val="bottom"/>
              <w:rPr>
                <w:rFonts w:ascii="Times New Roman" w:hAnsi="Times New Roman"/>
                <w:sz w:val="20"/>
                <w:szCs w:val="20"/>
              </w:rPr>
            </w:pPr>
          </w:p>
        </w:tc>
      </w:tr>
      <w:tr w:rsidR="006F587A" w14:paraId="4ACE460B" w14:textId="77777777">
        <w:tc>
          <w:tcPr>
            <w:tcW w:w="0" w:type="auto"/>
            <w:shd w:val="clear" w:color="auto" w:fill="auto"/>
            <w:tcMar>
              <w:top w:w="40" w:type="dxa"/>
              <w:left w:w="40" w:type="dxa"/>
              <w:bottom w:w="40" w:type="dxa"/>
              <w:right w:w="40" w:type="dxa"/>
            </w:tcMar>
            <w:vAlign w:val="bottom"/>
          </w:tcPr>
          <w:p w14:paraId="4ACE460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60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tcBorders>
            <w:shd w:val="clear" w:color="auto" w:fill="auto"/>
            <w:tcMar>
              <w:top w:w="40" w:type="dxa"/>
              <w:left w:w="40" w:type="dxa"/>
              <w:bottom w:w="40" w:type="dxa"/>
            </w:tcMar>
            <w:vAlign w:val="bottom"/>
          </w:tcPr>
          <w:p w14:paraId="4ACE4603"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37,146</w:t>
            </w:r>
          </w:p>
        </w:tc>
        <w:tc>
          <w:tcPr>
            <w:tcW w:w="0" w:type="auto"/>
            <w:tcBorders>
              <w:top w:val="single" w:sz="8" w:space="0" w:color="333333"/>
            </w:tcBorders>
            <w:shd w:val="clear" w:color="auto" w:fill="auto"/>
            <w:vAlign w:val="bottom"/>
          </w:tcPr>
          <w:p w14:paraId="4ACE460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60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tcBorders>
            <w:shd w:val="clear" w:color="auto" w:fill="auto"/>
            <w:tcMar>
              <w:top w:w="40" w:type="dxa"/>
              <w:left w:w="40" w:type="dxa"/>
              <w:bottom w:w="40" w:type="dxa"/>
            </w:tcMar>
            <w:vAlign w:val="bottom"/>
          </w:tcPr>
          <w:p w14:paraId="4ACE4606"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37,004</w:t>
            </w:r>
          </w:p>
        </w:tc>
        <w:tc>
          <w:tcPr>
            <w:tcW w:w="0" w:type="auto"/>
            <w:tcBorders>
              <w:top w:val="single" w:sz="8" w:space="0" w:color="333333"/>
            </w:tcBorders>
            <w:shd w:val="clear" w:color="auto" w:fill="auto"/>
            <w:vAlign w:val="bottom"/>
          </w:tcPr>
          <w:p w14:paraId="4ACE460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60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tcBorders>
            <w:shd w:val="clear" w:color="auto" w:fill="auto"/>
            <w:tcMar>
              <w:top w:w="40" w:type="dxa"/>
              <w:left w:w="40" w:type="dxa"/>
              <w:bottom w:w="40" w:type="dxa"/>
            </w:tcMar>
            <w:vAlign w:val="bottom"/>
          </w:tcPr>
          <w:p w14:paraId="4ACE4609"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34,003</w:t>
            </w:r>
          </w:p>
        </w:tc>
        <w:tc>
          <w:tcPr>
            <w:tcW w:w="0" w:type="auto"/>
            <w:tcBorders>
              <w:top w:val="single" w:sz="8" w:space="0" w:color="333333"/>
            </w:tcBorders>
            <w:shd w:val="clear" w:color="auto" w:fill="auto"/>
            <w:vAlign w:val="bottom"/>
          </w:tcPr>
          <w:p w14:paraId="4ACE460A" w14:textId="77777777" w:rsidR="006F587A" w:rsidRDefault="006F587A">
            <w:pPr>
              <w:textAlignment w:val="bottom"/>
              <w:rPr>
                <w:rFonts w:ascii="Times New Roman" w:hAnsi="Times New Roman"/>
                <w:sz w:val="20"/>
                <w:szCs w:val="20"/>
              </w:rPr>
            </w:pPr>
          </w:p>
        </w:tc>
      </w:tr>
      <w:tr w:rsidR="006F587A" w14:paraId="4ACE4616" w14:textId="77777777">
        <w:tc>
          <w:tcPr>
            <w:tcW w:w="0" w:type="auto"/>
            <w:shd w:val="clear" w:color="auto" w:fill="auto"/>
            <w:tcMar>
              <w:top w:w="40" w:type="dxa"/>
              <w:left w:w="240" w:type="dxa"/>
              <w:bottom w:w="40" w:type="dxa"/>
              <w:right w:w="40" w:type="dxa"/>
            </w:tcMar>
          </w:tcPr>
          <w:p w14:paraId="4ACE460C" w14:textId="77777777" w:rsidR="006F587A" w:rsidRDefault="007B2B61">
            <w:pPr>
              <w:textAlignment w:val="top"/>
              <w:rPr>
                <w:rFonts w:ascii="Times New Roman" w:hAnsi="Times New Roman"/>
                <w:sz w:val="18"/>
                <w:szCs w:val="18"/>
              </w:rPr>
            </w:pPr>
            <w:r>
              <w:rPr>
                <w:rFonts w:ascii="Arial" w:eastAsia="宋体" w:hAnsi="Arial" w:cs="Arial"/>
                <w:b/>
                <w:bCs/>
                <w:color w:val="333333"/>
                <w:sz w:val="18"/>
                <w:szCs w:val="18"/>
              </w:rPr>
              <w:t>All other</w:t>
            </w:r>
          </w:p>
        </w:tc>
        <w:tc>
          <w:tcPr>
            <w:tcW w:w="0" w:type="auto"/>
            <w:shd w:val="clear" w:color="auto" w:fill="auto"/>
            <w:tcMar>
              <w:top w:w="40" w:type="dxa"/>
              <w:left w:w="40" w:type="dxa"/>
              <w:bottom w:w="40" w:type="dxa"/>
              <w:right w:w="40" w:type="dxa"/>
            </w:tcMar>
            <w:vAlign w:val="bottom"/>
          </w:tcPr>
          <w:p w14:paraId="4ACE460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60E"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289</w:t>
            </w:r>
          </w:p>
        </w:tc>
        <w:tc>
          <w:tcPr>
            <w:tcW w:w="0" w:type="auto"/>
            <w:shd w:val="clear" w:color="auto" w:fill="auto"/>
            <w:vAlign w:val="bottom"/>
          </w:tcPr>
          <w:p w14:paraId="4ACE460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61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611"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270</w:t>
            </w:r>
          </w:p>
        </w:tc>
        <w:tc>
          <w:tcPr>
            <w:tcW w:w="0" w:type="auto"/>
            <w:shd w:val="clear" w:color="auto" w:fill="auto"/>
            <w:vAlign w:val="bottom"/>
          </w:tcPr>
          <w:p w14:paraId="4ACE461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61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614"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893</w:t>
            </w:r>
          </w:p>
        </w:tc>
        <w:tc>
          <w:tcPr>
            <w:tcW w:w="0" w:type="auto"/>
            <w:shd w:val="clear" w:color="auto" w:fill="auto"/>
            <w:vAlign w:val="bottom"/>
          </w:tcPr>
          <w:p w14:paraId="4ACE4615" w14:textId="77777777" w:rsidR="006F587A" w:rsidRDefault="006F587A">
            <w:pPr>
              <w:textAlignment w:val="bottom"/>
              <w:rPr>
                <w:rFonts w:ascii="Times New Roman" w:hAnsi="Times New Roman"/>
                <w:sz w:val="20"/>
                <w:szCs w:val="20"/>
              </w:rPr>
            </w:pPr>
          </w:p>
        </w:tc>
      </w:tr>
      <w:tr w:rsidR="006F587A" w14:paraId="4ACE4624" w14:textId="77777777">
        <w:tc>
          <w:tcPr>
            <w:tcW w:w="0" w:type="auto"/>
            <w:shd w:val="clear" w:color="auto" w:fill="auto"/>
            <w:tcMar>
              <w:top w:w="40" w:type="dxa"/>
              <w:left w:w="40" w:type="dxa"/>
              <w:bottom w:w="40" w:type="dxa"/>
              <w:right w:w="40" w:type="dxa"/>
            </w:tcMar>
          </w:tcPr>
          <w:p w14:paraId="4ACE4617" w14:textId="77777777" w:rsidR="006F587A" w:rsidRDefault="007B2B61">
            <w:pPr>
              <w:textAlignment w:val="top"/>
              <w:rPr>
                <w:rFonts w:ascii="Times New Roman" w:hAnsi="Times New Roman"/>
                <w:sz w:val="18"/>
                <w:szCs w:val="18"/>
              </w:rPr>
            </w:pPr>
            <w:r>
              <w:rPr>
                <w:rFonts w:ascii="Arial" w:eastAsia="宋体" w:hAnsi="Arial" w:cs="Arial"/>
                <w:b/>
                <w:bCs/>
                <w:color w:val="333333"/>
                <w:sz w:val="18"/>
                <w:szCs w:val="18"/>
              </w:rPr>
              <w:t>Total net revenue</w:t>
            </w:r>
          </w:p>
        </w:tc>
        <w:tc>
          <w:tcPr>
            <w:tcW w:w="0" w:type="auto"/>
            <w:shd w:val="clear" w:color="auto" w:fill="auto"/>
            <w:tcMar>
              <w:top w:w="40" w:type="dxa"/>
              <w:left w:w="40" w:type="dxa"/>
              <w:bottom w:w="40" w:type="dxa"/>
              <w:right w:w="40" w:type="dxa"/>
            </w:tcMar>
            <w:vAlign w:val="bottom"/>
          </w:tcPr>
          <w:p w14:paraId="4ACE461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619"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61A"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71,965</w:t>
            </w:r>
          </w:p>
        </w:tc>
        <w:tc>
          <w:tcPr>
            <w:tcW w:w="0" w:type="auto"/>
            <w:tcBorders>
              <w:top w:val="single" w:sz="8" w:space="0" w:color="333333"/>
              <w:bottom w:val="double" w:sz="6" w:space="0" w:color="333333"/>
            </w:tcBorders>
            <w:shd w:val="clear" w:color="auto" w:fill="auto"/>
            <w:vAlign w:val="bottom"/>
          </w:tcPr>
          <w:p w14:paraId="4ACE461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61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61D"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61E"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70,848</w:t>
            </w:r>
          </w:p>
        </w:tc>
        <w:tc>
          <w:tcPr>
            <w:tcW w:w="0" w:type="auto"/>
            <w:tcBorders>
              <w:top w:val="single" w:sz="8" w:space="0" w:color="333333"/>
              <w:bottom w:val="double" w:sz="6" w:space="0" w:color="333333"/>
            </w:tcBorders>
            <w:shd w:val="clear" w:color="auto" w:fill="auto"/>
            <w:vAlign w:val="bottom"/>
          </w:tcPr>
          <w:p w14:paraId="4ACE461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62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621"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622"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62,761</w:t>
            </w:r>
          </w:p>
        </w:tc>
        <w:tc>
          <w:tcPr>
            <w:tcW w:w="0" w:type="auto"/>
            <w:tcBorders>
              <w:top w:val="single" w:sz="8" w:space="0" w:color="333333"/>
              <w:bottom w:val="double" w:sz="6" w:space="0" w:color="333333"/>
            </w:tcBorders>
            <w:shd w:val="clear" w:color="auto" w:fill="auto"/>
            <w:vAlign w:val="bottom"/>
          </w:tcPr>
          <w:p w14:paraId="4ACE4623" w14:textId="77777777" w:rsidR="006F587A" w:rsidRDefault="006F587A">
            <w:pPr>
              <w:textAlignment w:val="bottom"/>
              <w:rPr>
                <w:rFonts w:ascii="Times New Roman" w:hAnsi="Times New Roman"/>
                <w:sz w:val="20"/>
                <w:szCs w:val="20"/>
              </w:rPr>
            </w:pPr>
          </w:p>
        </w:tc>
      </w:tr>
      <w:tr w:rsidR="006F587A" w14:paraId="4ACE462C" w14:textId="77777777">
        <w:tc>
          <w:tcPr>
            <w:tcW w:w="0" w:type="auto"/>
            <w:shd w:val="clear" w:color="auto" w:fill="auto"/>
            <w:tcMar>
              <w:top w:w="40" w:type="dxa"/>
              <w:left w:w="40" w:type="dxa"/>
              <w:bottom w:w="40" w:type="dxa"/>
              <w:right w:w="40" w:type="dxa"/>
            </w:tcMar>
            <w:vAlign w:val="bottom"/>
          </w:tcPr>
          <w:p w14:paraId="4ACE462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62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62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62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62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62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62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4634" w14:textId="77777777">
        <w:tc>
          <w:tcPr>
            <w:tcW w:w="0" w:type="auto"/>
            <w:shd w:val="clear" w:color="auto" w:fill="auto"/>
            <w:tcMar>
              <w:top w:w="40" w:type="dxa"/>
              <w:left w:w="40" w:type="dxa"/>
              <w:bottom w:w="40" w:type="dxa"/>
              <w:right w:w="40" w:type="dxa"/>
            </w:tcMar>
          </w:tcPr>
          <w:p w14:paraId="4ACE462D" w14:textId="77777777" w:rsidR="006F587A" w:rsidRDefault="007B2B61">
            <w:pPr>
              <w:textAlignment w:val="top"/>
              <w:rPr>
                <w:rFonts w:ascii="Times New Roman" w:hAnsi="Times New Roman"/>
                <w:sz w:val="18"/>
                <w:szCs w:val="18"/>
              </w:rPr>
            </w:pPr>
            <w:r>
              <w:rPr>
                <w:rFonts w:ascii="Arial" w:eastAsia="宋体" w:hAnsi="Arial" w:cs="Arial"/>
                <w:b/>
                <w:bCs/>
                <w:color w:val="333333"/>
                <w:sz w:val="18"/>
                <w:szCs w:val="18"/>
              </w:rPr>
              <w:t>Operating income (loss):</w:t>
            </w:r>
          </w:p>
        </w:tc>
        <w:tc>
          <w:tcPr>
            <w:tcW w:w="0" w:type="auto"/>
            <w:shd w:val="clear" w:color="auto" w:fill="auto"/>
            <w:tcMar>
              <w:top w:w="40" w:type="dxa"/>
              <w:left w:w="40" w:type="dxa"/>
              <w:bottom w:w="40" w:type="dxa"/>
              <w:right w:w="40" w:type="dxa"/>
            </w:tcMar>
            <w:vAlign w:val="bottom"/>
          </w:tcPr>
          <w:p w14:paraId="4ACE462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62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63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63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63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63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4642" w14:textId="77777777">
        <w:tc>
          <w:tcPr>
            <w:tcW w:w="0" w:type="auto"/>
            <w:shd w:val="clear" w:color="auto" w:fill="auto"/>
            <w:tcMar>
              <w:top w:w="40" w:type="dxa"/>
              <w:left w:w="240" w:type="dxa"/>
              <w:bottom w:w="40" w:type="dxa"/>
              <w:right w:w="40" w:type="dxa"/>
            </w:tcMar>
          </w:tcPr>
          <w:p w14:paraId="4ACE4635" w14:textId="77777777" w:rsidR="006F587A" w:rsidRDefault="007B2B61">
            <w:pPr>
              <w:textAlignment w:val="top"/>
              <w:rPr>
                <w:rFonts w:ascii="Times New Roman" w:hAnsi="Times New Roman"/>
                <w:sz w:val="18"/>
                <w:szCs w:val="18"/>
              </w:rPr>
            </w:pPr>
            <w:r>
              <w:rPr>
                <w:rFonts w:ascii="Arial" w:eastAsia="宋体" w:hAnsi="Arial" w:cs="Arial"/>
                <w:b/>
                <w:bCs/>
                <w:color w:val="333333"/>
                <w:sz w:val="18"/>
                <w:szCs w:val="18"/>
              </w:rPr>
              <w:t>Data Center Group</w:t>
            </w:r>
          </w:p>
        </w:tc>
        <w:tc>
          <w:tcPr>
            <w:tcW w:w="0" w:type="auto"/>
            <w:shd w:val="clear" w:color="auto" w:fill="auto"/>
            <w:tcMar>
              <w:top w:w="40" w:type="dxa"/>
              <w:left w:w="40" w:type="dxa"/>
              <w:bottom w:w="40" w:type="dxa"/>
              <w:right w:w="40" w:type="dxa"/>
            </w:tcMar>
            <w:vAlign w:val="bottom"/>
          </w:tcPr>
          <w:p w14:paraId="4ACE463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637"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bottom w:w="40" w:type="dxa"/>
            </w:tcMar>
            <w:vAlign w:val="bottom"/>
          </w:tcPr>
          <w:p w14:paraId="4ACE4638"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10,227</w:t>
            </w:r>
          </w:p>
        </w:tc>
        <w:tc>
          <w:tcPr>
            <w:tcW w:w="0" w:type="auto"/>
            <w:shd w:val="clear" w:color="auto" w:fill="auto"/>
            <w:vAlign w:val="bottom"/>
          </w:tcPr>
          <w:p w14:paraId="4ACE463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63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63B"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bottom w:w="40" w:type="dxa"/>
            </w:tcMar>
            <w:vAlign w:val="bottom"/>
          </w:tcPr>
          <w:p w14:paraId="4ACE463C"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11,476</w:t>
            </w:r>
          </w:p>
        </w:tc>
        <w:tc>
          <w:tcPr>
            <w:tcW w:w="0" w:type="auto"/>
            <w:shd w:val="clear" w:color="auto" w:fill="auto"/>
            <w:vAlign w:val="bottom"/>
          </w:tcPr>
          <w:p w14:paraId="4ACE463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63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63F"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bottom w:w="40" w:type="dxa"/>
            </w:tcMar>
            <w:vAlign w:val="bottom"/>
          </w:tcPr>
          <w:p w14:paraId="4ACE4640"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8,395</w:t>
            </w:r>
          </w:p>
        </w:tc>
        <w:tc>
          <w:tcPr>
            <w:tcW w:w="0" w:type="auto"/>
            <w:shd w:val="clear" w:color="auto" w:fill="auto"/>
            <w:vAlign w:val="bottom"/>
          </w:tcPr>
          <w:p w14:paraId="4ACE4641" w14:textId="77777777" w:rsidR="006F587A" w:rsidRDefault="006F587A">
            <w:pPr>
              <w:textAlignment w:val="bottom"/>
              <w:rPr>
                <w:rFonts w:ascii="Times New Roman" w:hAnsi="Times New Roman"/>
                <w:sz w:val="20"/>
                <w:szCs w:val="20"/>
              </w:rPr>
            </w:pPr>
          </w:p>
        </w:tc>
      </w:tr>
      <w:tr w:rsidR="006F587A" w14:paraId="4ACE464A" w14:textId="77777777">
        <w:tc>
          <w:tcPr>
            <w:tcW w:w="0" w:type="auto"/>
            <w:shd w:val="clear" w:color="auto" w:fill="auto"/>
            <w:tcMar>
              <w:top w:w="40" w:type="dxa"/>
              <w:left w:w="40" w:type="dxa"/>
              <w:bottom w:w="40" w:type="dxa"/>
              <w:right w:w="40" w:type="dxa"/>
            </w:tcMar>
            <w:vAlign w:val="bottom"/>
          </w:tcPr>
          <w:p w14:paraId="4ACE464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64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64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64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64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64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64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4652" w14:textId="77777777">
        <w:tc>
          <w:tcPr>
            <w:tcW w:w="0" w:type="auto"/>
            <w:shd w:val="clear" w:color="auto" w:fill="auto"/>
            <w:tcMar>
              <w:top w:w="40" w:type="dxa"/>
              <w:left w:w="240" w:type="dxa"/>
              <w:bottom w:w="40" w:type="dxa"/>
              <w:right w:w="40" w:type="dxa"/>
            </w:tcMar>
          </w:tcPr>
          <w:p w14:paraId="4ACE464B" w14:textId="77777777" w:rsidR="006F587A" w:rsidRDefault="007B2B61">
            <w:pPr>
              <w:textAlignment w:val="top"/>
              <w:rPr>
                <w:rFonts w:ascii="Times New Roman" w:hAnsi="Times New Roman"/>
                <w:sz w:val="18"/>
                <w:szCs w:val="18"/>
              </w:rPr>
            </w:pPr>
            <w:r>
              <w:rPr>
                <w:rFonts w:ascii="Arial" w:eastAsia="宋体" w:hAnsi="Arial" w:cs="Arial"/>
                <w:b/>
                <w:bCs/>
                <w:color w:val="333333"/>
                <w:sz w:val="18"/>
                <w:szCs w:val="18"/>
              </w:rPr>
              <w:t>Internet of Things</w:t>
            </w:r>
          </w:p>
        </w:tc>
        <w:tc>
          <w:tcPr>
            <w:tcW w:w="0" w:type="auto"/>
            <w:shd w:val="clear" w:color="auto" w:fill="auto"/>
            <w:tcMar>
              <w:top w:w="40" w:type="dxa"/>
              <w:left w:w="40" w:type="dxa"/>
              <w:bottom w:w="40" w:type="dxa"/>
              <w:right w:w="40" w:type="dxa"/>
            </w:tcMar>
            <w:vAlign w:val="bottom"/>
          </w:tcPr>
          <w:p w14:paraId="4ACE464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64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64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64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65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65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465D" w14:textId="77777777">
        <w:tc>
          <w:tcPr>
            <w:tcW w:w="0" w:type="auto"/>
            <w:shd w:val="clear" w:color="auto" w:fill="auto"/>
            <w:tcMar>
              <w:top w:w="40" w:type="dxa"/>
              <w:left w:w="400" w:type="dxa"/>
              <w:bottom w:w="40" w:type="dxa"/>
              <w:right w:w="40" w:type="dxa"/>
            </w:tcMar>
          </w:tcPr>
          <w:p w14:paraId="4ACE4653"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IOTG</w:t>
            </w:r>
          </w:p>
        </w:tc>
        <w:tc>
          <w:tcPr>
            <w:tcW w:w="0" w:type="auto"/>
            <w:shd w:val="clear" w:color="auto" w:fill="auto"/>
            <w:tcMar>
              <w:top w:w="40" w:type="dxa"/>
              <w:left w:w="40" w:type="dxa"/>
              <w:bottom w:w="40" w:type="dxa"/>
              <w:right w:w="40" w:type="dxa"/>
            </w:tcMar>
            <w:vAlign w:val="bottom"/>
          </w:tcPr>
          <w:p w14:paraId="4ACE465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655"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1,097</w:t>
            </w:r>
          </w:p>
        </w:tc>
        <w:tc>
          <w:tcPr>
            <w:tcW w:w="0" w:type="auto"/>
            <w:shd w:val="clear" w:color="auto" w:fill="auto"/>
            <w:vAlign w:val="bottom"/>
          </w:tcPr>
          <w:p w14:paraId="4ACE465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65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65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980</w:t>
            </w:r>
          </w:p>
        </w:tc>
        <w:tc>
          <w:tcPr>
            <w:tcW w:w="0" w:type="auto"/>
            <w:shd w:val="clear" w:color="auto" w:fill="auto"/>
            <w:vAlign w:val="bottom"/>
          </w:tcPr>
          <w:p w14:paraId="4ACE465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65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65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650</w:t>
            </w:r>
          </w:p>
        </w:tc>
        <w:tc>
          <w:tcPr>
            <w:tcW w:w="0" w:type="auto"/>
            <w:shd w:val="clear" w:color="auto" w:fill="auto"/>
            <w:vAlign w:val="bottom"/>
          </w:tcPr>
          <w:p w14:paraId="4ACE465C" w14:textId="77777777" w:rsidR="006F587A" w:rsidRDefault="006F587A">
            <w:pPr>
              <w:textAlignment w:val="bottom"/>
              <w:rPr>
                <w:rFonts w:ascii="Times New Roman" w:hAnsi="Times New Roman"/>
                <w:sz w:val="20"/>
                <w:szCs w:val="20"/>
              </w:rPr>
            </w:pPr>
          </w:p>
        </w:tc>
      </w:tr>
      <w:tr w:rsidR="006F587A" w14:paraId="4ACE4668" w14:textId="77777777">
        <w:tc>
          <w:tcPr>
            <w:tcW w:w="0" w:type="auto"/>
            <w:shd w:val="clear" w:color="auto" w:fill="auto"/>
            <w:tcMar>
              <w:top w:w="40" w:type="dxa"/>
              <w:left w:w="400" w:type="dxa"/>
              <w:bottom w:w="40" w:type="dxa"/>
              <w:right w:w="40" w:type="dxa"/>
            </w:tcMar>
          </w:tcPr>
          <w:p w14:paraId="4ACE465E"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Mobileye</w:t>
            </w:r>
          </w:p>
        </w:tc>
        <w:tc>
          <w:tcPr>
            <w:tcW w:w="0" w:type="auto"/>
            <w:shd w:val="clear" w:color="auto" w:fill="auto"/>
            <w:tcMar>
              <w:top w:w="40" w:type="dxa"/>
              <w:left w:w="40" w:type="dxa"/>
              <w:bottom w:w="40" w:type="dxa"/>
              <w:right w:w="40" w:type="dxa"/>
            </w:tcMar>
            <w:vAlign w:val="bottom"/>
          </w:tcPr>
          <w:p w14:paraId="4ACE465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4660"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245</w:t>
            </w:r>
          </w:p>
        </w:tc>
        <w:tc>
          <w:tcPr>
            <w:tcW w:w="0" w:type="auto"/>
            <w:tcBorders>
              <w:bottom w:val="single" w:sz="8" w:space="0" w:color="333333"/>
            </w:tcBorders>
            <w:shd w:val="clear" w:color="auto" w:fill="auto"/>
            <w:vAlign w:val="bottom"/>
          </w:tcPr>
          <w:p w14:paraId="4ACE466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66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4663"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143</w:t>
            </w:r>
          </w:p>
        </w:tc>
        <w:tc>
          <w:tcPr>
            <w:tcW w:w="0" w:type="auto"/>
            <w:tcBorders>
              <w:bottom w:val="single" w:sz="8" w:space="0" w:color="333333"/>
            </w:tcBorders>
            <w:shd w:val="clear" w:color="auto" w:fill="auto"/>
            <w:vAlign w:val="bottom"/>
          </w:tcPr>
          <w:p w14:paraId="4ACE466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66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466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(28</w:t>
            </w:r>
          </w:p>
        </w:tc>
        <w:tc>
          <w:tcPr>
            <w:tcW w:w="0" w:type="auto"/>
            <w:tcBorders>
              <w:bottom w:val="single" w:sz="8" w:space="0" w:color="333333"/>
            </w:tcBorders>
            <w:shd w:val="clear" w:color="auto" w:fill="auto"/>
            <w:tcMar>
              <w:top w:w="40" w:type="dxa"/>
              <w:bottom w:w="40" w:type="dxa"/>
              <w:right w:w="40" w:type="dxa"/>
            </w:tcMar>
            <w:vAlign w:val="bottom"/>
          </w:tcPr>
          <w:p w14:paraId="4ACE466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4673" w14:textId="77777777">
        <w:tc>
          <w:tcPr>
            <w:tcW w:w="0" w:type="auto"/>
            <w:shd w:val="clear" w:color="auto" w:fill="auto"/>
            <w:tcMar>
              <w:top w:w="40" w:type="dxa"/>
              <w:left w:w="40" w:type="dxa"/>
              <w:bottom w:w="40" w:type="dxa"/>
              <w:right w:w="40" w:type="dxa"/>
            </w:tcMar>
            <w:vAlign w:val="bottom"/>
          </w:tcPr>
          <w:p w14:paraId="4ACE466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lastRenderedPageBreak/>
              <w:t> </w:t>
            </w:r>
          </w:p>
        </w:tc>
        <w:tc>
          <w:tcPr>
            <w:tcW w:w="0" w:type="auto"/>
            <w:shd w:val="clear" w:color="auto" w:fill="auto"/>
            <w:tcMar>
              <w:top w:w="40" w:type="dxa"/>
              <w:left w:w="40" w:type="dxa"/>
              <w:bottom w:w="40" w:type="dxa"/>
              <w:right w:w="40" w:type="dxa"/>
            </w:tcMar>
            <w:vAlign w:val="bottom"/>
          </w:tcPr>
          <w:p w14:paraId="4ACE466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66B"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1,342</w:t>
            </w:r>
          </w:p>
        </w:tc>
        <w:tc>
          <w:tcPr>
            <w:tcW w:w="0" w:type="auto"/>
            <w:shd w:val="clear" w:color="auto" w:fill="auto"/>
            <w:vAlign w:val="bottom"/>
          </w:tcPr>
          <w:p w14:paraId="4ACE466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66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66E"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1,123</w:t>
            </w:r>
          </w:p>
        </w:tc>
        <w:tc>
          <w:tcPr>
            <w:tcW w:w="0" w:type="auto"/>
            <w:shd w:val="clear" w:color="auto" w:fill="auto"/>
            <w:vAlign w:val="bottom"/>
          </w:tcPr>
          <w:p w14:paraId="4ACE466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67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671"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622</w:t>
            </w:r>
          </w:p>
        </w:tc>
        <w:tc>
          <w:tcPr>
            <w:tcW w:w="0" w:type="auto"/>
            <w:shd w:val="clear" w:color="auto" w:fill="auto"/>
            <w:vAlign w:val="bottom"/>
          </w:tcPr>
          <w:p w14:paraId="4ACE4672" w14:textId="77777777" w:rsidR="006F587A" w:rsidRDefault="006F587A">
            <w:pPr>
              <w:textAlignment w:val="bottom"/>
              <w:rPr>
                <w:rFonts w:ascii="Times New Roman" w:hAnsi="Times New Roman"/>
                <w:sz w:val="20"/>
                <w:szCs w:val="20"/>
              </w:rPr>
            </w:pPr>
          </w:p>
        </w:tc>
      </w:tr>
      <w:tr w:rsidR="006F587A" w14:paraId="4ACE467B" w14:textId="77777777">
        <w:tc>
          <w:tcPr>
            <w:tcW w:w="0" w:type="auto"/>
            <w:shd w:val="clear" w:color="auto" w:fill="auto"/>
            <w:tcMar>
              <w:top w:w="40" w:type="dxa"/>
              <w:left w:w="40" w:type="dxa"/>
              <w:bottom w:w="40" w:type="dxa"/>
              <w:right w:w="40" w:type="dxa"/>
            </w:tcMar>
            <w:vAlign w:val="bottom"/>
          </w:tcPr>
          <w:p w14:paraId="4ACE467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67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67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67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67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67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67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4686" w14:textId="77777777">
        <w:tc>
          <w:tcPr>
            <w:tcW w:w="0" w:type="auto"/>
            <w:shd w:val="clear" w:color="auto" w:fill="auto"/>
            <w:tcMar>
              <w:top w:w="40" w:type="dxa"/>
              <w:left w:w="240" w:type="dxa"/>
              <w:bottom w:w="40" w:type="dxa"/>
              <w:right w:w="40" w:type="dxa"/>
            </w:tcMar>
          </w:tcPr>
          <w:p w14:paraId="4ACE467C" w14:textId="77777777" w:rsidR="006F587A" w:rsidRDefault="007B2B61">
            <w:pPr>
              <w:textAlignment w:val="top"/>
              <w:rPr>
                <w:rFonts w:ascii="Times New Roman" w:hAnsi="Times New Roman"/>
                <w:sz w:val="18"/>
                <w:szCs w:val="18"/>
              </w:rPr>
            </w:pPr>
            <w:r>
              <w:rPr>
                <w:rFonts w:ascii="Arial" w:eastAsia="宋体" w:hAnsi="Arial" w:cs="Arial"/>
                <w:b/>
                <w:bCs/>
                <w:color w:val="333333"/>
                <w:sz w:val="18"/>
                <w:szCs w:val="18"/>
              </w:rPr>
              <w:t>Non-Volatile Memory Solutions Group</w:t>
            </w:r>
          </w:p>
        </w:tc>
        <w:tc>
          <w:tcPr>
            <w:tcW w:w="0" w:type="auto"/>
            <w:shd w:val="clear" w:color="auto" w:fill="auto"/>
            <w:tcMar>
              <w:top w:w="40" w:type="dxa"/>
              <w:left w:w="40" w:type="dxa"/>
              <w:bottom w:w="40" w:type="dxa"/>
              <w:right w:w="40" w:type="dxa"/>
            </w:tcMar>
            <w:vAlign w:val="bottom"/>
          </w:tcPr>
          <w:p w14:paraId="4ACE467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67E"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(1,176</w:t>
            </w:r>
          </w:p>
        </w:tc>
        <w:tc>
          <w:tcPr>
            <w:tcW w:w="0" w:type="auto"/>
            <w:shd w:val="clear" w:color="auto" w:fill="auto"/>
            <w:tcMar>
              <w:top w:w="40" w:type="dxa"/>
              <w:bottom w:w="40" w:type="dxa"/>
              <w:right w:w="40" w:type="dxa"/>
            </w:tcMar>
            <w:vAlign w:val="bottom"/>
          </w:tcPr>
          <w:p w14:paraId="4ACE467F"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left w:w="40" w:type="dxa"/>
              <w:bottom w:w="40" w:type="dxa"/>
              <w:right w:w="40" w:type="dxa"/>
            </w:tcMar>
            <w:vAlign w:val="bottom"/>
          </w:tcPr>
          <w:p w14:paraId="4ACE468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681"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(5</w:t>
            </w:r>
          </w:p>
        </w:tc>
        <w:tc>
          <w:tcPr>
            <w:tcW w:w="0" w:type="auto"/>
            <w:shd w:val="clear" w:color="auto" w:fill="auto"/>
            <w:tcMar>
              <w:top w:w="40" w:type="dxa"/>
              <w:bottom w:w="40" w:type="dxa"/>
              <w:right w:w="40" w:type="dxa"/>
            </w:tcMar>
            <w:vAlign w:val="bottom"/>
          </w:tcPr>
          <w:p w14:paraId="4ACE4682"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4ACE468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684"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(260</w:t>
            </w:r>
          </w:p>
        </w:tc>
        <w:tc>
          <w:tcPr>
            <w:tcW w:w="0" w:type="auto"/>
            <w:shd w:val="clear" w:color="auto" w:fill="auto"/>
            <w:tcMar>
              <w:top w:w="40" w:type="dxa"/>
              <w:bottom w:w="40" w:type="dxa"/>
              <w:right w:w="40" w:type="dxa"/>
            </w:tcMar>
            <w:vAlign w:val="bottom"/>
          </w:tcPr>
          <w:p w14:paraId="4ACE4685"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r>
      <w:tr w:rsidR="006F587A" w14:paraId="4ACE4691" w14:textId="77777777">
        <w:tc>
          <w:tcPr>
            <w:tcW w:w="0" w:type="auto"/>
            <w:shd w:val="clear" w:color="auto" w:fill="auto"/>
            <w:tcMar>
              <w:top w:w="40" w:type="dxa"/>
              <w:left w:w="240" w:type="dxa"/>
              <w:bottom w:w="40" w:type="dxa"/>
              <w:right w:w="40" w:type="dxa"/>
            </w:tcMar>
          </w:tcPr>
          <w:p w14:paraId="4ACE4687" w14:textId="77777777" w:rsidR="006F587A" w:rsidRDefault="007B2B61">
            <w:pPr>
              <w:textAlignment w:val="top"/>
              <w:rPr>
                <w:rFonts w:ascii="Times New Roman" w:hAnsi="Times New Roman"/>
                <w:sz w:val="18"/>
                <w:szCs w:val="18"/>
              </w:rPr>
            </w:pPr>
            <w:r>
              <w:rPr>
                <w:rFonts w:ascii="Arial" w:eastAsia="宋体" w:hAnsi="Arial" w:cs="Arial"/>
                <w:b/>
                <w:bCs/>
                <w:color w:val="333333"/>
                <w:sz w:val="18"/>
                <w:szCs w:val="18"/>
              </w:rPr>
              <w:t>Programmable Solutions Group</w:t>
            </w:r>
          </w:p>
        </w:tc>
        <w:tc>
          <w:tcPr>
            <w:tcW w:w="0" w:type="auto"/>
            <w:shd w:val="clear" w:color="auto" w:fill="auto"/>
            <w:tcMar>
              <w:top w:w="40" w:type="dxa"/>
              <w:left w:w="40" w:type="dxa"/>
              <w:bottom w:w="40" w:type="dxa"/>
              <w:right w:w="40" w:type="dxa"/>
            </w:tcMar>
            <w:vAlign w:val="bottom"/>
          </w:tcPr>
          <w:p w14:paraId="4ACE468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689"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318</w:t>
            </w:r>
          </w:p>
        </w:tc>
        <w:tc>
          <w:tcPr>
            <w:tcW w:w="0" w:type="auto"/>
            <w:shd w:val="clear" w:color="auto" w:fill="auto"/>
            <w:vAlign w:val="bottom"/>
          </w:tcPr>
          <w:p w14:paraId="4ACE468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68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68C"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466</w:t>
            </w:r>
          </w:p>
        </w:tc>
        <w:tc>
          <w:tcPr>
            <w:tcW w:w="0" w:type="auto"/>
            <w:shd w:val="clear" w:color="auto" w:fill="auto"/>
            <w:vAlign w:val="bottom"/>
          </w:tcPr>
          <w:p w14:paraId="4ACE468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68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68F"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458</w:t>
            </w:r>
          </w:p>
        </w:tc>
        <w:tc>
          <w:tcPr>
            <w:tcW w:w="0" w:type="auto"/>
            <w:shd w:val="clear" w:color="auto" w:fill="auto"/>
            <w:vAlign w:val="bottom"/>
          </w:tcPr>
          <w:p w14:paraId="4ACE4690" w14:textId="77777777" w:rsidR="006F587A" w:rsidRDefault="006F587A">
            <w:pPr>
              <w:textAlignment w:val="bottom"/>
              <w:rPr>
                <w:rFonts w:ascii="Times New Roman" w:hAnsi="Times New Roman"/>
                <w:sz w:val="20"/>
                <w:szCs w:val="20"/>
              </w:rPr>
            </w:pPr>
          </w:p>
        </w:tc>
      </w:tr>
      <w:tr w:rsidR="006F587A" w14:paraId="4ACE469C" w14:textId="77777777">
        <w:tc>
          <w:tcPr>
            <w:tcW w:w="0" w:type="auto"/>
            <w:shd w:val="clear" w:color="auto" w:fill="auto"/>
            <w:tcMar>
              <w:top w:w="40" w:type="dxa"/>
              <w:left w:w="240" w:type="dxa"/>
              <w:bottom w:w="40" w:type="dxa"/>
              <w:right w:w="40" w:type="dxa"/>
            </w:tcMar>
          </w:tcPr>
          <w:p w14:paraId="4ACE4692" w14:textId="77777777" w:rsidR="006F587A" w:rsidRDefault="007B2B61">
            <w:pPr>
              <w:textAlignment w:val="top"/>
              <w:rPr>
                <w:rFonts w:ascii="Times New Roman" w:hAnsi="Times New Roman"/>
                <w:sz w:val="18"/>
                <w:szCs w:val="18"/>
              </w:rPr>
            </w:pPr>
            <w:r>
              <w:rPr>
                <w:rFonts w:ascii="Arial" w:eastAsia="宋体" w:hAnsi="Arial" w:cs="Arial"/>
                <w:b/>
                <w:bCs/>
                <w:color w:val="333333"/>
                <w:sz w:val="18"/>
                <w:szCs w:val="18"/>
              </w:rPr>
              <w:t>Client Computing Group</w:t>
            </w:r>
          </w:p>
        </w:tc>
        <w:tc>
          <w:tcPr>
            <w:tcW w:w="0" w:type="auto"/>
            <w:shd w:val="clear" w:color="auto" w:fill="auto"/>
            <w:tcMar>
              <w:top w:w="40" w:type="dxa"/>
              <w:left w:w="40" w:type="dxa"/>
              <w:bottom w:w="40" w:type="dxa"/>
              <w:right w:w="40" w:type="dxa"/>
            </w:tcMar>
            <w:vAlign w:val="bottom"/>
          </w:tcPr>
          <w:p w14:paraId="4ACE469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694"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15,202</w:t>
            </w:r>
          </w:p>
        </w:tc>
        <w:tc>
          <w:tcPr>
            <w:tcW w:w="0" w:type="auto"/>
            <w:shd w:val="clear" w:color="auto" w:fill="auto"/>
            <w:vAlign w:val="bottom"/>
          </w:tcPr>
          <w:p w14:paraId="4ACE469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69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697"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14,222</w:t>
            </w:r>
          </w:p>
        </w:tc>
        <w:tc>
          <w:tcPr>
            <w:tcW w:w="0" w:type="auto"/>
            <w:shd w:val="clear" w:color="auto" w:fill="auto"/>
            <w:vAlign w:val="bottom"/>
          </w:tcPr>
          <w:p w14:paraId="4ACE469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69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69A"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12,919</w:t>
            </w:r>
          </w:p>
        </w:tc>
        <w:tc>
          <w:tcPr>
            <w:tcW w:w="0" w:type="auto"/>
            <w:shd w:val="clear" w:color="auto" w:fill="auto"/>
            <w:vAlign w:val="bottom"/>
          </w:tcPr>
          <w:p w14:paraId="4ACE469B" w14:textId="77777777" w:rsidR="006F587A" w:rsidRDefault="006F587A">
            <w:pPr>
              <w:textAlignment w:val="bottom"/>
              <w:rPr>
                <w:rFonts w:ascii="Times New Roman" w:hAnsi="Times New Roman"/>
                <w:sz w:val="20"/>
                <w:szCs w:val="20"/>
              </w:rPr>
            </w:pPr>
          </w:p>
        </w:tc>
      </w:tr>
      <w:tr w:rsidR="006F587A" w14:paraId="4ACE46A7" w14:textId="77777777">
        <w:tc>
          <w:tcPr>
            <w:tcW w:w="0" w:type="auto"/>
            <w:shd w:val="clear" w:color="auto" w:fill="auto"/>
            <w:tcMar>
              <w:top w:w="40" w:type="dxa"/>
              <w:left w:w="240" w:type="dxa"/>
              <w:bottom w:w="40" w:type="dxa"/>
              <w:right w:w="40" w:type="dxa"/>
            </w:tcMar>
          </w:tcPr>
          <w:p w14:paraId="4ACE469D" w14:textId="77777777" w:rsidR="006F587A" w:rsidRDefault="007B2B61">
            <w:pPr>
              <w:textAlignment w:val="top"/>
              <w:rPr>
                <w:rFonts w:ascii="Times New Roman" w:hAnsi="Times New Roman"/>
                <w:sz w:val="18"/>
                <w:szCs w:val="18"/>
              </w:rPr>
            </w:pPr>
            <w:r>
              <w:rPr>
                <w:rFonts w:ascii="Arial" w:eastAsia="宋体" w:hAnsi="Arial" w:cs="Arial"/>
                <w:b/>
                <w:bCs/>
                <w:color w:val="333333"/>
                <w:sz w:val="18"/>
                <w:szCs w:val="18"/>
              </w:rPr>
              <w:t>All other</w:t>
            </w:r>
          </w:p>
        </w:tc>
        <w:tc>
          <w:tcPr>
            <w:tcW w:w="0" w:type="auto"/>
            <w:shd w:val="clear" w:color="auto" w:fill="auto"/>
            <w:tcMar>
              <w:top w:w="40" w:type="dxa"/>
              <w:left w:w="40" w:type="dxa"/>
              <w:bottom w:w="40" w:type="dxa"/>
              <w:right w:w="40" w:type="dxa"/>
            </w:tcMar>
            <w:vAlign w:val="bottom"/>
          </w:tcPr>
          <w:p w14:paraId="4ACE469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69F"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(3,878</w:t>
            </w:r>
          </w:p>
        </w:tc>
        <w:tc>
          <w:tcPr>
            <w:tcW w:w="0" w:type="auto"/>
            <w:shd w:val="clear" w:color="auto" w:fill="auto"/>
            <w:tcMar>
              <w:top w:w="40" w:type="dxa"/>
              <w:bottom w:w="40" w:type="dxa"/>
              <w:right w:w="40" w:type="dxa"/>
            </w:tcMar>
            <w:vAlign w:val="bottom"/>
          </w:tcPr>
          <w:p w14:paraId="4ACE46A0"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left w:w="40" w:type="dxa"/>
              <w:bottom w:w="40" w:type="dxa"/>
              <w:right w:w="40" w:type="dxa"/>
            </w:tcMar>
            <w:vAlign w:val="bottom"/>
          </w:tcPr>
          <w:p w14:paraId="4ACE46A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6A2"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(3,966</w:t>
            </w:r>
          </w:p>
        </w:tc>
        <w:tc>
          <w:tcPr>
            <w:tcW w:w="0" w:type="auto"/>
            <w:shd w:val="clear" w:color="auto" w:fill="auto"/>
            <w:tcMar>
              <w:top w:w="40" w:type="dxa"/>
              <w:bottom w:w="40" w:type="dxa"/>
              <w:right w:w="40" w:type="dxa"/>
            </w:tcMar>
            <w:vAlign w:val="bottom"/>
          </w:tcPr>
          <w:p w14:paraId="4ACE46A3"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4ACE46A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6A5"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(4,084</w:t>
            </w:r>
          </w:p>
        </w:tc>
        <w:tc>
          <w:tcPr>
            <w:tcW w:w="0" w:type="auto"/>
            <w:shd w:val="clear" w:color="auto" w:fill="auto"/>
            <w:tcMar>
              <w:top w:w="40" w:type="dxa"/>
              <w:bottom w:w="40" w:type="dxa"/>
              <w:right w:w="40" w:type="dxa"/>
            </w:tcMar>
            <w:vAlign w:val="bottom"/>
          </w:tcPr>
          <w:p w14:paraId="4ACE46A6"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r>
      <w:tr w:rsidR="006F587A" w14:paraId="4ACE46B5" w14:textId="77777777">
        <w:tc>
          <w:tcPr>
            <w:tcW w:w="0" w:type="auto"/>
            <w:shd w:val="clear" w:color="auto" w:fill="auto"/>
            <w:tcMar>
              <w:top w:w="40" w:type="dxa"/>
              <w:left w:w="40" w:type="dxa"/>
              <w:bottom w:w="40" w:type="dxa"/>
              <w:right w:w="40" w:type="dxa"/>
            </w:tcMar>
          </w:tcPr>
          <w:p w14:paraId="4ACE46A8" w14:textId="77777777" w:rsidR="006F587A" w:rsidRDefault="007B2B61">
            <w:pPr>
              <w:textAlignment w:val="top"/>
              <w:rPr>
                <w:rFonts w:ascii="Times New Roman" w:hAnsi="Times New Roman"/>
                <w:sz w:val="18"/>
                <w:szCs w:val="18"/>
              </w:rPr>
            </w:pPr>
            <w:r>
              <w:rPr>
                <w:rFonts w:ascii="Arial" w:eastAsia="宋体" w:hAnsi="Arial" w:cs="Arial"/>
                <w:b/>
                <w:bCs/>
                <w:color w:val="333333"/>
                <w:sz w:val="18"/>
                <w:szCs w:val="18"/>
              </w:rPr>
              <w:t>Total operating income</w:t>
            </w:r>
          </w:p>
        </w:tc>
        <w:tc>
          <w:tcPr>
            <w:tcW w:w="0" w:type="auto"/>
            <w:shd w:val="clear" w:color="auto" w:fill="auto"/>
            <w:tcMar>
              <w:top w:w="40" w:type="dxa"/>
              <w:left w:w="40" w:type="dxa"/>
              <w:bottom w:w="40" w:type="dxa"/>
              <w:right w:w="40" w:type="dxa"/>
            </w:tcMar>
            <w:vAlign w:val="bottom"/>
          </w:tcPr>
          <w:p w14:paraId="4ACE46A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6AA"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6AB"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22,035</w:t>
            </w:r>
          </w:p>
        </w:tc>
        <w:tc>
          <w:tcPr>
            <w:tcW w:w="0" w:type="auto"/>
            <w:tcBorders>
              <w:top w:val="single" w:sz="8" w:space="0" w:color="333333"/>
              <w:bottom w:val="double" w:sz="6" w:space="0" w:color="333333"/>
            </w:tcBorders>
            <w:shd w:val="clear" w:color="auto" w:fill="auto"/>
            <w:vAlign w:val="bottom"/>
          </w:tcPr>
          <w:p w14:paraId="4ACE46A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6A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6AE"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6AF"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23,316</w:t>
            </w:r>
          </w:p>
        </w:tc>
        <w:tc>
          <w:tcPr>
            <w:tcW w:w="0" w:type="auto"/>
            <w:tcBorders>
              <w:top w:val="single" w:sz="8" w:space="0" w:color="333333"/>
              <w:bottom w:val="double" w:sz="6" w:space="0" w:color="333333"/>
            </w:tcBorders>
            <w:shd w:val="clear" w:color="auto" w:fill="auto"/>
            <w:vAlign w:val="bottom"/>
          </w:tcPr>
          <w:p w14:paraId="4ACE46B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6B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6B2"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6B3"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18,050</w:t>
            </w:r>
          </w:p>
        </w:tc>
        <w:tc>
          <w:tcPr>
            <w:tcW w:w="0" w:type="auto"/>
            <w:tcBorders>
              <w:top w:val="single" w:sz="8" w:space="0" w:color="333333"/>
              <w:bottom w:val="double" w:sz="6" w:space="0" w:color="333333"/>
            </w:tcBorders>
            <w:shd w:val="clear" w:color="auto" w:fill="auto"/>
            <w:vAlign w:val="bottom"/>
          </w:tcPr>
          <w:p w14:paraId="4ACE46B4" w14:textId="77777777" w:rsidR="006F587A" w:rsidRDefault="006F587A">
            <w:pPr>
              <w:textAlignment w:val="bottom"/>
              <w:rPr>
                <w:rFonts w:ascii="Times New Roman" w:hAnsi="Times New Roman"/>
                <w:sz w:val="20"/>
                <w:szCs w:val="20"/>
              </w:rPr>
            </w:pPr>
          </w:p>
        </w:tc>
      </w:tr>
    </w:tbl>
    <w:p w14:paraId="4ACE46B6" w14:textId="77777777" w:rsidR="006F587A" w:rsidRDefault="006F587A"/>
    <w:p w14:paraId="4ACE46B7"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Disaggregated net revenue for each period was as follows:</w:t>
      </w:r>
    </w:p>
    <w:tbl>
      <w:tblPr>
        <w:tblW w:w="5000" w:type="pct"/>
        <w:tblCellMar>
          <w:left w:w="0" w:type="dxa"/>
          <w:right w:w="0" w:type="dxa"/>
        </w:tblCellMar>
        <w:tblLook w:val="04A0" w:firstRow="1" w:lastRow="0" w:firstColumn="1" w:lastColumn="0" w:noHBand="0" w:noVBand="1"/>
      </w:tblPr>
      <w:tblGrid>
        <w:gridCol w:w="5015"/>
        <w:gridCol w:w="130"/>
        <w:gridCol w:w="142"/>
        <w:gridCol w:w="780"/>
        <w:gridCol w:w="59"/>
        <w:gridCol w:w="130"/>
        <w:gridCol w:w="142"/>
        <w:gridCol w:w="758"/>
        <w:gridCol w:w="59"/>
        <w:gridCol w:w="130"/>
        <w:gridCol w:w="142"/>
        <w:gridCol w:w="760"/>
        <w:gridCol w:w="59"/>
      </w:tblGrid>
      <w:tr w:rsidR="006F587A" w14:paraId="4ACE46B9" w14:textId="77777777">
        <w:tc>
          <w:tcPr>
            <w:tcW w:w="0" w:type="auto"/>
            <w:gridSpan w:val="13"/>
            <w:shd w:val="clear" w:color="auto" w:fill="auto"/>
            <w:vAlign w:val="center"/>
          </w:tcPr>
          <w:p w14:paraId="4ACE46B8" w14:textId="77777777" w:rsidR="006F587A" w:rsidRDefault="006F587A">
            <w:pPr>
              <w:rPr>
                <w:rFonts w:ascii="Times New Roman" w:hAnsi="Times New Roman"/>
                <w:sz w:val="20"/>
                <w:szCs w:val="20"/>
              </w:rPr>
            </w:pPr>
          </w:p>
        </w:tc>
      </w:tr>
      <w:tr w:rsidR="006F587A" w14:paraId="4ACE46C7" w14:textId="77777777">
        <w:tc>
          <w:tcPr>
            <w:tcW w:w="3050" w:type="pct"/>
            <w:shd w:val="clear" w:color="auto" w:fill="auto"/>
            <w:vAlign w:val="center"/>
          </w:tcPr>
          <w:p w14:paraId="4ACE46BA" w14:textId="77777777" w:rsidR="006F587A" w:rsidRDefault="006F587A">
            <w:pPr>
              <w:rPr>
                <w:rFonts w:ascii="Times New Roman" w:hAnsi="Times New Roman"/>
                <w:sz w:val="20"/>
                <w:szCs w:val="20"/>
              </w:rPr>
            </w:pPr>
          </w:p>
        </w:tc>
        <w:tc>
          <w:tcPr>
            <w:tcW w:w="50" w:type="pct"/>
            <w:shd w:val="clear" w:color="auto" w:fill="auto"/>
            <w:vAlign w:val="center"/>
          </w:tcPr>
          <w:p w14:paraId="4ACE46BB" w14:textId="77777777" w:rsidR="006F587A" w:rsidRDefault="006F587A">
            <w:pPr>
              <w:rPr>
                <w:rFonts w:ascii="Times New Roman" w:hAnsi="Times New Roman"/>
                <w:sz w:val="20"/>
                <w:szCs w:val="20"/>
              </w:rPr>
            </w:pPr>
          </w:p>
        </w:tc>
        <w:tc>
          <w:tcPr>
            <w:tcW w:w="50" w:type="pct"/>
            <w:shd w:val="clear" w:color="auto" w:fill="auto"/>
            <w:vAlign w:val="center"/>
          </w:tcPr>
          <w:p w14:paraId="4ACE46BC" w14:textId="77777777" w:rsidR="006F587A" w:rsidRDefault="006F587A">
            <w:pPr>
              <w:rPr>
                <w:rFonts w:ascii="Times New Roman" w:hAnsi="Times New Roman"/>
                <w:sz w:val="20"/>
                <w:szCs w:val="20"/>
              </w:rPr>
            </w:pPr>
          </w:p>
        </w:tc>
        <w:tc>
          <w:tcPr>
            <w:tcW w:w="500" w:type="pct"/>
            <w:shd w:val="clear" w:color="auto" w:fill="auto"/>
            <w:vAlign w:val="center"/>
          </w:tcPr>
          <w:p w14:paraId="4ACE46BD" w14:textId="77777777" w:rsidR="006F587A" w:rsidRDefault="006F587A">
            <w:pPr>
              <w:rPr>
                <w:rFonts w:ascii="Times New Roman" w:hAnsi="Times New Roman"/>
                <w:sz w:val="20"/>
                <w:szCs w:val="20"/>
              </w:rPr>
            </w:pPr>
          </w:p>
        </w:tc>
        <w:tc>
          <w:tcPr>
            <w:tcW w:w="50" w:type="pct"/>
            <w:shd w:val="clear" w:color="auto" w:fill="auto"/>
            <w:vAlign w:val="center"/>
          </w:tcPr>
          <w:p w14:paraId="4ACE46BE" w14:textId="77777777" w:rsidR="006F587A" w:rsidRDefault="006F587A">
            <w:pPr>
              <w:rPr>
                <w:rFonts w:ascii="Times New Roman" w:hAnsi="Times New Roman"/>
                <w:sz w:val="20"/>
                <w:szCs w:val="20"/>
              </w:rPr>
            </w:pPr>
          </w:p>
        </w:tc>
        <w:tc>
          <w:tcPr>
            <w:tcW w:w="50" w:type="pct"/>
            <w:shd w:val="clear" w:color="auto" w:fill="auto"/>
            <w:vAlign w:val="center"/>
          </w:tcPr>
          <w:p w14:paraId="4ACE46BF" w14:textId="77777777" w:rsidR="006F587A" w:rsidRDefault="006F587A">
            <w:pPr>
              <w:rPr>
                <w:rFonts w:ascii="Times New Roman" w:hAnsi="Times New Roman"/>
                <w:sz w:val="20"/>
                <w:szCs w:val="20"/>
              </w:rPr>
            </w:pPr>
          </w:p>
        </w:tc>
        <w:tc>
          <w:tcPr>
            <w:tcW w:w="50" w:type="pct"/>
            <w:shd w:val="clear" w:color="auto" w:fill="auto"/>
            <w:vAlign w:val="center"/>
          </w:tcPr>
          <w:p w14:paraId="4ACE46C0" w14:textId="77777777" w:rsidR="006F587A" w:rsidRDefault="006F587A">
            <w:pPr>
              <w:rPr>
                <w:rFonts w:ascii="Times New Roman" w:hAnsi="Times New Roman"/>
                <w:sz w:val="20"/>
                <w:szCs w:val="20"/>
              </w:rPr>
            </w:pPr>
          </w:p>
        </w:tc>
        <w:tc>
          <w:tcPr>
            <w:tcW w:w="500" w:type="pct"/>
            <w:shd w:val="clear" w:color="auto" w:fill="auto"/>
            <w:vAlign w:val="center"/>
          </w:tcPr>
          <w:p w14:paraId="4ACE46C1" w14:textId="77777777" w:rsidR="006F587A" w:rsidRDefault="006F587A">
            <w:pPr>
              <w:rPr>
                <w:rFonts w:ascii="Times New Roman" w:hAnsi="Times New Roman"/>
                <w:sz w:val="20"/>
                <w:szCs w:val="20"/>
              </w:rPr>
            </w:pPr>
          </w:p>
        </w:tc>
        <w:tc>
          <w:tcPr>
            <w:tcW w:w="50" w:type="pct"/>
            <w:shd w:val="clear" w:color="auto" w:fill="auto"/>
            <w:vAlign w:val="center"/>
          </w:tcPr>
          <w:p w14:paraId="4ACE46C2" w14:textId="77777777" w:rsidR="006F587A" w:rsidRDefault="006F587A">
            <w:pPr>
              <w:rPr>
                <w:rFonts w:ascii="Times New Roman" w:hAnsi="Times New Roman"/>
                <w:sz w:val="20"/>
                <w:szCs w:val="20"/>
              </w:rPr>
            </w:pPr>
          </w:p>
        </w:tc>
        <w:tc>
          <w:tcPr>
            <w:tcW w:w="50" w:type="pct"/>
            <w:shd w:val="clear" w:color="auto" w:fill="auto"/>
            <w:vAlign w:val="center"/>
          </w:tcPr>
          <w:p w14:paraId="4ACE46C3" w14:textId="77777777" w:rsidR="006F587A" w:rsidRDefault="006F587A">
            <w:pPr>
              <w:rPr>
                <w:rFonts w:ascii="Times New Roman" w:hAnsi="Times New Roman"/>
                <w:sz w:val="20"/>
                <w:szCs w:val="20"/>
              </w:rPr>
            </w:pPr>
          </w:p>
        </w:tc>
        <w:tc>
          <w:tcPr>
            <w:tcW w:w="50" w:type="pct"/>
            <w:shd w:val="clear" w:color="auto" w:fill="auto"/>
            <w:vAlign w:val="center"/>
          </w:tcPr>
          <w:p w14:paraId="4ACE46C4" w14:textId="77777777" w:rsidR="006F587A" w:rsidRDefault="006F587A">
            <w:pPr>
              <w:rPr>
                <w:rFonts w:ascii="Times New Roman" w:hAnsi="Times New Roman"/>
                <w:sz w:val="20"/>
                <w:szCs w:val="20"/>
              </w:rPr>
            </w:pPr>
          </w:p>
        </w:tc>
        <w:tc>
          <w:tcPr>
            <w:tcW w:w="500" w:type="pct"/>
            <w:shd w:val="clear" w:color="auto" w:fill="auto"/>
            <w:vAlign w:val="center"/>
          </w:tcPr>
          <w:p w14:paraId="4ACE46C5" w14:textId="77777777" w:rsidR="006F587A" w:rsidRDefault="006F587A">
            <w:pPr>
              <w:rPr>
                <w:rFonts w:ascii="Times New Roman" w:hAnsi="Times New Roman"/>
                <w:sz w:val="20"/>
                <w:szCs w:val="20"/>
              </w:rPr>
            </w:pPr>
          </w:p>
        </w:tc>
        <w:tc>
          <w:tcPr>
            <w:tcW w:w="50" w:type="pct"/>
            <w:shd w:val="clear" w:color="auto" w:fill="auto"/>
            <w:vAlign w:val="center"/>
          </w:tcPr>
          <w:p w14:paraId="4ACE46C6" w14:textId="77777777" w:rsidR="006F587A" w:rsidRDefault="006F587A">
            <w:pPr>
              <w:rPr>
                <w:rFonts w:ascii="Times New Roman" w:hAnsi="Times New Roman"/>
                <w:sz w:val="20"/>
                <w:szCs w:val="20"/>
              </w:rPr>
            </w:pPr>
          </w:p>
        </w:tc>
      </w:tr>
      <w:tr w:rsidR="006F587A" w14:paraId="4ACE46CF"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46C8"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Years Ended (In Millions)</w:t>
            </w:r>
          </w:p>
        </w:tc>
        <w:tc>
          <w:tcPr>
            <w:tcW w:w="0" w:type="auto"/>
            <w:shd w:val="clear" w:color="auto" w:fill="auto"/>
            <w:tcMar>
              <w:top w:w="40" w:type="dxa"/>
              <w:left w:w="40" w:type="dxa"/>
              <w:bottom w:w="40" w:type="dxa"/>
              <w:right w:w="40" w:type="dxa"/>
            </w:tcMar>
            <w:vAlign w:val="bottom"/>
          </w:tcPr>
          <w:p w14:paraId="4ACE46C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6CA"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28, </w:t>
            </w:r>
            <w:r>
              <w:rPr>
                <w:rFonts w:ascii="Arial" w:eastAsia="宋体" w:hAnsi="Arial" w:cs="Arial"/>
                <w:b/>
                <w:bCs/>
                <w:color w:val="333333"/>
                <w:sz w:val="18"/>
                <w:szCs w:val="18"/>
              </w:rPr>
              <w:br/>
              <w:t>2019</w:t>
            </w:r>
          </w:p>
        </w:tc>
        <w:tc>
          <w:tcPr>
            <w:tcW w:w="0" w:type="auto"/>
            <w:shd w:val="clear" w:color="auto" w:fill="auto"/>
            <w:tcMar>
              <w:top w:w="40" w:type="dxa"/>
              <w:left w:w="40" w:type="dxa"/>
              <w:bottom w:w="40" w:type="dxa"/>
              <w:right w:w="40" w:type="dxa"/>
            </w:tcMar>
            <w:vAlign w:val="bottom"/>
          </w:tcPr>
          <w:p w14:paraId="4ACE46C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6CC"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29, </w:t>
            </w:r>
            <w:r>
              <w:rPr>
                <w:rFonts w:ascii="Arial" w:eastAsia="宋体" w:hAnsi="Arial" w:cs="Arial"/>
                <w:b/>
                <w:bCs/>
                <w:color w:val="333333"/>
                <w:sz w:val="18"/>
                <w:szCs w:val="18"/>
              </w:rPr>
              <w:br/>
              <w:t>2018</w:t>
            </w:r>
          </w:p>
        </w:tc>
        <w:tc>
          <w:tcPr>
            <w:tcW w:w="0" w:type="auto"/>
            <w:shd w:val="clear" w:color="auto" w:fill="auto"/>
            <w:tcMar>
              <w:top w:w="40" w:type="dxa"/>
              <w:left w:w="40" w:type="dxa"/>
              <w:bottom w:w="40" w:type="dxa"/>
              <w:right w:w="40" w:type="dxa"/>
            </w:tcMar>
            <w:vAlign w:val="bottom"/>
          </w:tcPr>
          <w:p w14:paraId="4ACE46C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6CE"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30, </w:t>
            </w:r>
            <w:r>
              <w:rPr>
                <w:rFonts w:ascii="Arial" w:eastAsia="宋体" w:hAnsi="Arial" w:cs="Arial"/>
                <w:b/>
                <w:bCs/>
                <w:color w:val="333333"/>
                <w:sz w:val="18"/>
                <w:szCs w:val="18"/>
              </w:rPr>
              <w:br/>
              <w:t>2017</w:t>
            </w:r>
          </w:p>
        </w:tc>
      </w:tr>
      <w:tr w:rsidR="006F587A" w14:paraId="4ACE46D7" w14:textId="77777777">
        <w:tc>
          <w:tcPr>
            <w:tcW w:w="0" w:type="auto"/>
            <w:shd w:val="clear" w:color="auto" w:fill="auto"/>
            <w:tcMar>
              <w:top w:w="40" w:type="dxa"/>
              <w:left w:w="240" w:type="dxa"/>
              <w:bottom w:w="40" w:type="dxa"/>
              <w:right w:w="40" w:type="dxa"/>
            </w:tcMar>
            <w:vAlign w:val="bottom"/>
          </w:tcPr>
          <w:p w14:paraId="4ACE46D0"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Platform revenue</w:t>
            </w:r>
          </w:p>
        </w:tc>
        <w:tc>
          <w:tcPr>
            <w:tcW w:w="0" w:type="auto"/>
            <w:shd w:val="clear" w:color="auto" w:fill="auto"/>
            <w:tcMar>
              <w:top w:w="40" w:type="dxa"/>
              <w:left w:w="40" w:type="dxa"/>
              <w:bottom w:w="40" w:type="dxa"/>
              <w:right w:w="40" w:type="dxa"/>
            </w:tcMar>
            <w:vAlign w:val="bottom"/>
          </w:tcPr>
          <w:p w14:paraId="4ACE46D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6D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6D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6D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6D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6D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46E5" w14:textId="77777777">
        <w:tc>
          <w:tcPr>
            <w:tcW w:w="0" w:type="auto"/>
            <w:shd w:val="clear" w:color="auto" w:fill="auto"/>
            <w:tcMar>
              <w:top w:w="40" w:type="dxa"/>
              <w:left w:w="560" w:type="dxa"/>
              <w:bottom w:w="40" w:type="dxa"/>
              <w:right w:w="40" w:type="dxa"/>
            </w:tcMar>
            <w:vAlign w:val="bottom"/>
          </w:tcPr>
          <w:p w14:paraId="4ACE46D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DCG platform</w:t>
            </w:r>
          </w:p>
        </w:tc>
        <w:tc>
          <w:tcPr>
            <w:tcW w:w="0" w:type="auto"/>
            <w:shd w:val="clear" w:color="auto" w:fill="auto"/>
            <w:tcMar>
              <w:top w:w="40" w:type="dxa"/>
              <w:left w:w="40" w:type="dxa"/>
              <w:bottom w:w="40" w:type="dxa"/>
              <w:right w:w="40" w:type="dxa"/>
            </w:tcMar>
            <w:vAlign w:val="bottom"/>
          </w:tcPr>
          <w:p w14:paraId="4ACE46D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6DA"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46DB"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21,441</w:t>
            </w:r>
          </w:p>
        </w:tc>
        <w:tc>
          <w:tcPr>
            <w:tcW w:w="0" w:type="auto"/>
            <w:shd w:val="clear" w:color="auto" w:fill="auto"/>
            <w:vAlign w:val="bottom"/>
          </w:tcPr>
          <w:p w14:paraId="4ACE46D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6D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6DE"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46D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21,155</w:t>
            </w:r>
          </w:p>
        </w:tc>
        <w:tc>
          <w:tcPr>
            <w:tcW w:w="0" w:type="auto"/>
            <w:shd w:val="clear" w:color="auto" w:fill="auto"/>
            <w:vAlign w:val="bottom"/>
          </w:tcPr>
          <w:p w14:paraId="4ACE46E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6E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6E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46E3"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17,439</w:t>
            </w:r>
          </w:p>
        </w:tc>
        <w:tc>
          <w:tcPr>
            <w:tcW w:w="0" w:type="auto"/>
            <w:shd w:val="clear" w:color="auto" w:fill="auto"/>
            <w:vAlign w:val="bottom"/>
          </w:tcPr>
          <w:p w14:paraId="4ACE46E4" w14:textId="77777777" w:rsidR="006F587A" w:rsidRDefault="006F587A">
            <w:pPr>
              <w:textAlignment w:val="bottom"/>
              <w:rPr>
                <w:rFonts w:ascii="Times New Roman" w:hAnsi="Times New Roman"/>
                <w:sz w:val="20"/>
                <w:szCs w:val="20"/>
              </w:rPr>
            </w:pPr>
          </w:p>
        </w:tc>
      </w:tr>
      <w:tr w:rsidR="006F587A" w14:paraId="4ACE46F0" w14:textId="77777777">
        <w:tc>
          <w:tcPr>
            <w:tcW w:w="0" w:type="auto"/>
            <w:shd w:val="clear" w:color="auto" w:fill="auto"/>
            <w:tcMar>
              <w:top w:w="40" w:type="dxa"/>
              <w:left w:w="560" w:type="dxa"/>
              <w:bottom w:w="40" w:type="dxa"/>
              <w:right w:w="40" w:type="dxa"/>
            </w:tcMar>
            <w:vAlign w:val="bottom"/>
          </w:tcPr>
          <w:p w14:paraId="4ACE46E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IOTG platform</w:t>
            </w:r>
          </w:p>
        </w:tc>
        <w:tc>
          <w:tcPr>
            <w:tcW w:w="0" w:type="auto"/>
            <w:shd w:val="clear" w:color="auto" w:fill="auto"/>
            <w:tcMar>
              <w:top w:w="40" w:type="dxa"/>
              <w:left w:w="40" w:type="dxa"/>
              <w:bottom w:w="40" w:type="dxa"/>
              <w:right w:w="40" w:type="dxa"/>
            </w:tcMar>
            <w:vAlign w:val="bottom"/>
          </w:tcPr>
          <w:p w14:paraId="4ACE46E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6E8"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3,440</w:t>
            </w:r>
          </w:p>
        </w:tc>
        <w:tc>
          <w:tcPr>
            <w:tcW w:w="0" w:type="auto"/>
            <w:shd w:val="clear" w:color="auto" w:fill="auto"/>
            <w:vAlign w:val="bottom"/>
          </w:tcPr>
          <w:p w14:paraId="4ACE46E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6E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6E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3,065</w:t>
            </w:r>
          </w:p>
        </w:tc>
        <w:tc>
          <w:tcPr>
            <w:tcW w:w="0" w:type="auto"/>
            <w:shd w:val="clear" w:color="auto" w:fill="auto"/>
            <w:vAlign w:val="bottom"/>
          </w:tcPr>
          <w:p w14:paraId="4ACE46E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6E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6E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2,645</w:t>
            </w:r>
          </w:p>
        </w:tc>
        <w:tc>
          <w:tcPr>
            <w:tcW w:w="0" w:type="auto"/>
            <w:shd w:val="clear" w:color="auto" w:fill="auto"/>
            <w:vAlign w:val="bottom"/>
          </w:tcPr>
          <w:p w14:paraId="4ACE46EF" w14:textId="77777777" w:rsidR="006F587A" w:rsidRDefault="006F587A">
            <w:pPr>
              <w:textAlignment w:val="bottom"/>
              <w:rPr>
                <w:rFonts w:ascii="Times New Roman" w:hAnsi="Times New Roman"/>
                <w:sz w:val="20"/>
                <w:szCs w:val="20"/>
              </w:rPr>
            </w:pPr>
          </w:p>
        </w:tc>
      </w:tr>
      <w:tr w:rsidR="006F587A" w14:paraId="4ACE46FB" w14:textId="77777777">
        <w:tc>
          <w:tcPr>
            <w:tcW w:w="0" w:type="auto"/>
            <w:shd w:val="clear" w:color="auto" w:fill="auto"/>
            <w:tcMar>
              <w:top w:w="40" w:type="dxa"/>
              <w:left w:w="560" w:type="dxa"/>
              <w:bottom w:w="40" w:type="dxa"/>
              <w:right w:w="40" w:type="dxa"/>
            </w:tcMar>
            <w:vAlign w:val="bottom"/>
          </w:tcPr>
          <w:p w14:paraId="4ACE46F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CCG desktop platform</w:t>
            </w:r>
          </w:p>
        </w:tc>
        <w:tc>
          <w:tcPr>
            <w:tcW w:w="0" w:type="auto"/>
            <w:shd w:val="clear" w:color="auto" w:fill="auto"/>
            <w:tcMar>
              <w:top w:w="40" w:type="dxa"/>
              <w:left w:w="40" w:type="dxa"/>
              <w:bottom w:w="40" w:type="dxa"/>
              <w:right w:w="40" w:type="dxa"/>
            </w:tcMar>
            <w:vAlign w:val="bottom"/>
          </w:tcPr>
          <w:p w14:paraId="4ACE46F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6F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11,822</w:t>
            </w:r>
          </w:p>
        </w:tc>
        <w:tc>
          <w:tcPr>
            <w:tcW w:w="0" w:type="auto"/>
            <w:shd w:val="clear" w:color="auto" w:fill="auto"/>
            <w:vAlign w:val="bottom"/>
          </w:tcPr>
          <w:p w14:paraId="4ACE46F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6F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6F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12,220</w:t>
            </w:r>
          </w:p>
        </w:tc>
        <w:tc>
          <w:tcPr>
            <w:tcW w:w="0" w:type="auto"/>
            <w:shd w:val="clear" w:color="auto" w:fill="auto"/>
            <w:vAlign w:val="bottom"/>
          </w:tcPr>
          <w:p w14:paraId="4ACE46F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6F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6F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11,647</w:t>
            </w:r>
          </w:p>
        </w:tc>
        <w:tc>
          <w:tcPr>
            <w:tcW w:w="0" w:type="auto"/>
            <w:shd w:val="clear" w:color="auto" w:fill="auto"/>
            <w:vAlign w:val="bottom"/>
          </w:tcPr>
          <w:p w14:paraId="4ACE46FA" w14:textId="77777777" w:rsidR="006F587A" w:rsidRDefault="006F587A">
            <w:pPr>
              <w:textAlignment w:val="bottom"/>
              <w:rPr>
                <w:rFonts w:ascii="Times New Roman" w:hAnsi="Times New Roman"/>
                <w:sz w:val="20"/>
                <w:szCs w:val="20"/>
              </w:rPr>
            </w:pPr>
          </w:p>
        </w:tc>
      </w:tr>
      <w:tr w:rsidR="006F587A" w14:paraId="4ACE4706" w14:textId="77777777">
        <w:tc>
          <w:tcPr>
            <w:tcW w:w="0" w:type="auto"/>
            <w:shd w:val="clear" w:color="auto" w:fill="auto"/>
            <w:tcMar>
              <w:top w:w="40" w:type="dxa"/>
              <w:left w:w="560" w:type="dxa"/>
              <w:bottom w:w="40" w:type="dxa"/>
              <w:right w:w="40" w:type="dxa"/>
            </w:tcMar>
            <w:vAlign w:val="bottom"/>
          </w:tcPr>
          <w:p w14:paraId="4ACE46F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CCG notebook platform</w:t>
            </w:r>
          </w:p>
        </w:tc>
        <w:tc>
          <w:tcPr>
            <w:tcW w:w="0" w:type="auto"/>
            <w:shd w:val="clear" w:color="auto" w:fill="auto"/>
            <w:tcMar>
              <w:top w:w="40" w:type="dxa"/>
              <w:left w:w="40" w:type="dxa"/>
              <w:bottom w:w="40" w:type="dxa"/>
              <w:right w:w="40" w:type="dxa"/>
            </w:tcMar>
            <w:vAlign w:val="bottom"/>
          </w:tcPr>
          <w:p w14:paraId="4ACE46F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6FE"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20,779</w:t>
            </w:r>
          </w:p>
        </w:tc>
        <w:tc>
          <w:tcPr>
            <w:tcW w:w="0" w:type="auto"/>
            <w:shd w:val="clear" w:color="auto" w:fill="auto"/>
            <w:vAlign w:val="bottom"/>
          </w:tcPr>
          <w:p w14:paraId="4ACE46F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70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701"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20,930</w:t>
            </w:r>
          </w:p>
        </w:tc>
        <w:tc>
          <w:tcPr>
            <w:tcW w:w="0" w:type="auto"/>
            <w:shd w:val="clear" w:color="auto" w:fill="auto"/>
            <w:vAlign w:val="bottom"/>
          </w:tcPr>
          <w:p w14:paraId="4ACE470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70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70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19,414</w:t>
            </w:r>
          </w:p>
        </w:tc>
        <w:tc>
          <w:tcPr>
            <w:tcW w:w="0" w:type="auto"/>
            <w:shd w:val="clear" w:color="auto" w:fill="auto"/>
            <w:vAlign w:val="bottom"/>
          </w:tcPr>
          <w:p w14:paraId="4ACE4705" w14:textId="77777777" w:rsidR="006F587A" w:rsidRDefault="006F587A">
            <w:pPr>
              <w:textAlignment w:val="bottom"/>
              <w:rPr>
                <w:rFonts w:ascii="Times New Roman" w:hAnsi="Times New Roman"/>
                <w:sz w:val="20"/>
                <w:szCs w:val="20"/>
              </w:rPr>
            </w:pPr>
          </w:p>
        </w:tc>
      </w:tr>
      <w:tr w:rsidR="006F587A" w14:paraId="4ACE4711" w14:textId="77777777">
        <w:tc>
          <w:tcPr>
            <w:tcW w:w="0" w:type="auto"/>
            <w:shd w:val="clear" w:color="auto" w:fill="auto"/>
            <w:tcMar>
              <w:top w:w="40" w:type="dxa"/>
              <w:left w:w="560" w:type="dxa"/>
              <w:bottom w:w="40" w:type="dxa"/>
              <w:right w:w="40" w:type="dxa"/>
            </w:tcMar>
            <w:vAlign w:val="bottom"/>
          </w:tcPr>
          <w:p w14:paraId="4ACE470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Other platform</w:t>
            </w:r>
            <w:r>
              <w:rPr>
                <w:rFonts w:ascii="Arial" w:eastAsia="宋体" w:hAnsi="Arial" w:cs="Arial"/>
                <w:color w:val="333333"/>
                <w:sz w:val="12"/>
                <w:szCs w:val="12"/>
              </w:rPr>
              <w:t>1</w:t>
            </w:r>
          </w:p>
        </w:tc>
        <w:tc>
          <w:tcPr>
            <w:tcW w:w="0" w:type="auto"/>
            <w:shd w:val="clear" w:color="auto" w:fill="auto"/>
            <w:tcMar>
              <w:top w:w="40" w:type="dxa"/>
              <w:left w:w="40" w:type="dxa"/>
              <w:bottom w:w="40" w:type="dxa"/>
              <w:right w:w="40" w:type="dxa"/>
            </w:tcMar>
            <w:vAlign w:val="bottom"/>
          </w:tcPr>
          <w:p w14:paraId="4ACE470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4709"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80</w:t>
            </w:r>
          </w:p>
        </w:tc>
        <w:tc>
          <w:tcPr>
            <w:tcW w:w="0" w:type="auto"/>
            <w:tcBorders>
              <w:bottom w:val="single" w:sz="8" w:space="0" w:color="333333"/>
            </w:tcBorders>
            <w:shd w:val="clear" w:color="auto" w:fill="auto"/>
            <w:vAlign w:val="bottom"/>
          </w:tcPr>
          <w:p w14:paraId="4ACE470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70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470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84</w:t>
            </w:r>
          </w:p>
        </w:tc>
        <w:tc>
          <w:tcPr>
            <w:tcW w:w="0" w:type="auto"/>
            <w:tcBorders>
              <w:bottom w:val="single" w:sz="8" w:space="0" w:color="333333"/>
            </w:tcBorders>
            <w:shd w:val="clear" w:color="auto" w:fill="auto"/>
            <w:vAlign w:val="bottom"/>
          </w:tcPr>
          <w:p w14:paraId="4ACE470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70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470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165</w:t>
            </w:r>
          </w:p>
        </w:tc>
        <w:tc>
          <w:tcPr>
            <w:tcW w:w="0" w:type="auto"/>
            <w:tcBorders>
              <w:bottom w:val="single" w:sz="8" w:space="0" w:color="333333"/>
            </w:tcBorders>
            <w:shd w:val="clear" w:color="auto" w:fill="auto"/>
            <w:vAlign w:val="bottom"/>
          </w:tcPr>
          <w:p w14:paraId="4ACE4710" w14:textId="77777777" w:rsidR="006F587A" w:rsidRDefault="006F587A">
            <w:pPr>
              <w:textAlignment w:val="bottom"/>
              <w:rPr>
                <w:rFonts w:ascii="Times New Roman" w:hAnsi="Times New Roman"/>
                <w:sz w:val="20"/>
                <w:szCs w:val="20"/>
              </w:rPr>
            </w:pPr>
          </w:p>
        </w:tc>
      </w:tr>
      <w:tr w:rsidR="006F587A" w14:paraId="4ACE471C" w14:textId="77777777">
        <w:tc>
          <w:tcPr>
            <w:tcW w:w="0" w:type="auto"/>
            <w:shd w:val="clear" w:color="auto" w:fill="auto"/>
            <w:tcMar>
              <w:top w:w="40" w:type="dxa"/>
              <w:left w:w="40" w:type="dxa"/>
              <w:bottom w:w="40" w:type="dxa"/>
              <w:right w:w="40" w:type="dxa"/>
            </w:tcMar>
            <w:vAlign w:val="bottom"/>
          </w:tcPr>
          <w:p w14:paraId="4ACE471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71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714"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57,562</w:t>
            </w:r>
          </w:p>
        </w:tc>
        <w:tc>
          <w:tcPr>
            <w:tcW w:w="0" w:type="auto"/>
            <w:shd w:val="clear" w:color="auto" w:fill="auto"/>
            <w:vAlign w:val="bottom"/>
          </w:tcPr>
          <w:p w14:paraId="4ACE471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71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717"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57,454</w:t>
            </w:r>
          </w:p>
        </w:tc>
        <w:tc>
          <w:tcPr>
            <w:tcW w:w="0" w:type="auto"/>
            <w:shd w:val="clear" w:color="auto" w:fill="auto"/>
            <w:vAlign w:val="bottom"/>
          </w:tcPr>
          <w:p w14:paraId="4ACE471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71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71A"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51,310</w:t>
            </w:r>
          </w:p>
        </w:tc>
        <w:tc>
          <w:tcPr>
            <w:tcW w:w="0" w:type="auto"/>
            <w:shd w:val="clear" w:color="auto" w:fill="auto"/>
            <w:vAlign w:val="bottom"/>
          </w:tcPr>
          <w:p w14:paraId="4ACE471B" w14:textId="77777777" w:rsidR="006F587A" w:rsidRDefault="006F587A">
            <w:pPr>
              <w:textAlignment w:val="bottom"/>
              <w:rPr>
                <w:rFonts w:ascii="Times New Roman" w:hAnsi="Times New Roman"/>
                <w:sz w:val="20"/>
                <w:szCs w:val="20"/>
              </w:rPr>
            </w:pPr>
          </w:p>
        </w:tc>
      </w:tr>
      <w:tr w:rsidR="006F587A" w14:paraId="4ACE4724" w14:textId="77777777">
        <w:tc>
          <w:tcPr>
            <w:tcW w:w="0" w:type="auto"/>
            <w:shd w:val="clear" w:color="auto" w:fill="auto"/>
            <w:tcMar>
              <w:top w:w="40" w:type="dxa"/>
              <w:left w:w="40" w:type="dxa"/>
              <w:bottom w:w="40" w:type="dxa"/>
              <w:right w:w="40" w:type="dxa"/>
            </w:tcMar>
            <w:vAlign w:val="bottom"/>
          </w:tcPr>
          <w:p w14:paraId="4ACE471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71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71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72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72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72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72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472F" w14:textId="77777777">
        <w:tc>
          <w:tcPr>
            <w:tcW w:w="0" w:type="auto"/>
            <w:shd w:val="clear" w:color="auto" w:fill="auto"/>
            <w:tcMar>
              <w:top w:w="40" w:type="dxa"/>
              <w:left w:w="240" w:type="dxa"/>
              <w:bottom w:w="40" w:type="dxa"/>
              <w:right w:w="40" w:type="dxa"/>
            </w:tcMar>
            <w:vAlign w:val="bottom"/>
          </w:tcPr>
          <w:p w14:paraId="4ACE4725"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Adjacent revenue</w:t>
            </w:r>
            <w:r>
              <w:rPr>
                <w:rFonts w:ascii="Arial" w:eastAsia="宋体" w:hAnsi="Arial" w:cs="Arial"/>
                <w:b/>
                <w:bCs/>
                <w:color w:val="333333"/>
                <w:sz w:val="12"/>
                <w:szCs w:val="12"/>
              </w:rPr>
              <w:t>2</w:t>
            </w:r>
          </w:p>
        </w:tc>
        <w:tc>
          <w:tcPr>
            <w:tcW w:w="0" w:type="auto"/>
            <w:shd w:val="clear" w:color="auto" w:fill="auto"/>
            <w:tcMar>
              <w:top w:w="40" w:type="dxa"/>
              <w:left w:w="40" w:type="dxa"/>
              <w:bottom w:w="40" w:type="dxa"/>
              <w:right w:w="40" w:type="dxa"/>
            </w:tcMar>
            <w:vAlign w:val="bottom"/>
          </w:tcPr>
          <w:p w14:paraId="4ACE472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727"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14,403</w:t>
            </w:r>
          </w:p>
        </w:tc>
        <w:tc>
          <w:tcPr>
            <w:tcW w:w="0" w:type="auto"/>
            <w:shd w:val="clear" w:color="auto" w:fill="auto"/>
            <w:vAlign w:val="bottom"/>
          </w:tcPr>
          <w:p w14:paraId="4ACE472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72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72A"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13,394</w:t>
            </w:r>
          </w:p>
        </w:tc>
        <w:tc>
          <w:tcPr>
            <w:tcW w:w="0" w:type="auto"/>
            <w:shd w:val="clear" w:color="auto" w:fill="auto"/>
            <w:vAlign w:val="bottom"/>
          </w:tcPr>
          <w:p w14:paraId="4ACE472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72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72D"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10,917</w:t>
            </w:r>
          </w:p>
        </w:tc>
        <w:tc>
          <w:tcPr>
            <w:tcW w:w="0" w:type="auto"/>
            <w:shd w:val="clear" w:color="auto" w:fill="auto"/>
            <w:vAlign w:val="bottom"/>
          </w:tcPr>
          <w:p w14:paraId="4ACE472E" w14:textId="77777777" w:rsidR="006F587A" w:rsidRDefault="006F587A">
            <w:pPr>
              <w:textAlignment w:val="bottom"/>
              <w:rPr>
                <w:rFonts w:ascii="Times New Roman" w:hAnsi="Times New Roman"/>
                <w:sz w:val="20"/>
                <w:szCs w:val="20"/>
              </w:rPr>
            </w:pPr>
          </w:p>
        </w:tc>
      </w:tr>
      <w:tr w:rsidR="006F587A" w14:paraId="4ACE473A" w14:textId="77777777">
        <w:tc>
          <w:tcPr>
            <w:tcW w:w="0" w:type="auto"/>
            <w:shd w:val="clear" w:color="auto" w:fill="auto"/>
            <w:tcMar>
              <w:top w:w="40" w:type="dxa"/>
              <w:left w:w="240" w:type="dxa"/>
              <w:bottom w:w="40" w:type="dxa"/>
              <w:right w:w="40" w:type="dxa"/>
            </w:tcMar>
            <w:vAlign w:val="bottom"/>
          </w:tcPr>
          <w:p w14:paraId="4ACE4730"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ISecG divested business</w:t>
            </w:r>
          </w:p>
        </w:tc>
        <w:tc>
          <w:tcPr>
            <w:tcW w:w="0" w:type="auto"/>
            <w:shd w:val="clear" w:color="auto" w:fill="auto"/>
            <w:tcMar>
              <w:top w:w="40" w:type="dxa"/>
              <w:left w:w="40" w:type="dxa"/>
              <w:bottom w:w="40" w:type="dxa"/>
              <w:right w:w="40" w:type="dxa"/>
            </w:tcMar>
            <w:vAlign w:val="bottom"/>
          </w:tcPr>
          <w:p w14:paraId="4ACE473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732"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vAlign w:val="bottom"/>
          </w:tcPr>
          <w:p w14:paraId="4ACE473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73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735"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vAlign w:val="bottom"/>
          </w:tcPr>
          <w:p w14:paraId="4ACE473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73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738"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534</w:t>
            </w:r>
          </w:p>
        </w:tc>
        <w:tc>
          <w:tcPr>
            <w:tcW w:w="0" w:type="auto"/>
            <w:shd w:val="clear" w:color="auto" w:fill="auto"/>
            <w:vAlign w:val="bottom"/>
          </w:tcPr>
          <w:p w14:paraId="4ACE4739" w14:textId="77777777" w:rsidR="006F587A" w:rsidRDefault="006F587A">
            <w:pPr>
              <w:textAlignment w:val="bottom"/>
              <w:rPr>
                <w:rFonts w:ascii="Times New Roman" w:hAnsi="Times New Roman"/>
                <w:sz w:val="20"/>
                <w:szCs w:val="20"/>
              </w:rPr>
            </w:pPr>
          </w:p>
        </w:tc>
      </w:tr>
      <w:tr w:rsidR="006F587A" w14:paraId="4ACE4748" w14:textId="77777777">
        <w:tc>
          <w:tcPr>
            <w:tcW w:w="0" w:type="auto"/>
            <w:shd w:val="clear" w:color="auto" w:fill="auto"/>
            <w:tcMar>
              <w:top w:w="40" w:type="dxa"/>
              <w:left w:w="40" w:type="dxa"/>
              <w:bottom w:w="40" w:type="dxa"/>
              <w:right w:w="40" w:type="dxa"/>
            </w:tcMar>
            <w:vAlign w:val="bottom"/>
          </w:tcPr>
          <w:p w14:paraId="4ACE473B"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Total revenue</w:t>
            </w:r>
          </w:p>
        </w:tc>
        <w:tc>
          <w:tcPr>
            <w:tcW w:w="0" w:type="auto"/>
            <w:shd w:val="clear" w:color="auto" w:fill="auto"/>
            <w:tcMar>
              <w:top w:w="40" w:type="dxa"/>
              <w:left w:w="40" w:type="dxa"/>
              <w:bottom w:w="40" w:type="dxa"/>
              <w:right w:w="40" w:type="dxa"/>
            </w:tcMar>
            <w:vAlign w:val="bottom"/>
          </w:tcPr>
          <w:p w14:paraId="4ACE473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73D"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73E"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71,965</w:t>
            </w:r>
          </w:p>
        </w:tc>
        <w:tc>
          <w:tcPr>
            <w:tcW w:w="0" w:type="auto"/>
            <w:tcBorders>
              <w:top w:val="single" w:sz="8" w:space="0" w:color="333333"/>
              <w:bottom w:val="double" w:sz="6" w:space="0" w:color="333333"/>
            </w:tcBorders>
            <w:shd w:val="clear" w:color="auto" w:fill="auto"/>
            <w:vAlign w:val="bottom"/>
          </w:tcPr>
          <w:p w14:paraId="4ACE473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74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741"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742"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70,848</w:t>
            </w:r>
          </w:p>
        </w:tc>
        <w:tc>
          <w:tcPr>
            <w:tcW w:w="0" w:type="auto"/>
            <w:tcBorders>
              <w:top w:val="single" w:sz="8" w:space="0" w:color="333333"/>
              <w:bottom w:val="double" w:sz="6" w:space="0" w:color="333333"/>
            </w:tcBorders>
            <w:shd w:val="clear" w:color="auto" w:fill="auto"/>
            <w:vAlign w:val="bottom"/>
          </w:tcPr>
          <w:p w14:paraId="4ACE474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74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745"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746"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62,761</w:t>
            </w:r>
          </w:p>
        </w:tc>
        <w:tc>
          <w:tcPr>
            <w:tcW w:w="0" w:type="auto"/>
            <w:tcBorders>
              <w:top w:val="single" w:sz="8" w:space="0" w:color="333333"/>
              <w:bottom w:val="double" w:sz="6" w:space="0" w:color="333333"/>
            </w:tcBorders>
            <w:shd w:val="clear" w:color="auto" w:fill="auto"/>
            <w:vAlign w:val="bottom"/>
          </w:tcPr>
          <w:p w14:paraId="4ACE4747" w14:textId="77777777" w:rsidR="006F587A" w:rsidRDefault="006F587A">
            <w:pPr>
              <w:textAlignment w:val="bottom"/>
              <w:rPr>
                <w:rFonts w:ascii="Times New Roman" w:hAnsi="Times New Roman"/>
                <w:sz w:val="20"/>
                <w:szCs w:val="20"/>
              </w:rPr>
            </w:pPr>
          </w:p>
        </w:tc>
      </w:tr>
    </w:tbl>
    <w:p w14:paraId="4ACE4749"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3460"/>
      </w:tblGrid>
      <w:tr w:rsidR="006F587A" w14:paraId="4ACE474C" w14:textId="77777777">
        <w:trPr>
          <w:tblCellSpacing w:w="0" w:type="dxa"/>
        </w:trPr>
        <w:tc>
          <w:tcPr>
            <w:tcW w:w="720" w:type="dxa"/>
            <w:shd w:val="clear" w:color="auto" w:fill="auto"/>
            <w:vAlign w:val="center"/>
          </w:tcPr>
          <w:p w14:paraId="4ACE474A" w14:textId="77777777" w:rsidR="006F587A" w:rsidRDefault="006F587A">
            <w:pPr>
              <w:rPr>
                <w:rFonts w:ascii="Times New Roman" w:hAnsi="Times New Roman"/>
                <w:sz w:val="20"/>
                <w:szCs w:val="20"/>
              </w:rPr>
            </w:pPr>
          </w:p>
        </w:tc>
        <w:tc>
          <w:tcPr>
            <w:tcW w:w="0" w:type="auto"/>
            <w:shd w:val="clear" w:color="auto" w:fill="auto"/>
            <w:vAlign w:val="center"/>
          </w:tcPr>
          <w:p w14:paraId="4ACE474B" w14:textId="77777777" w:rsidR="006F587A" w:rsidRDefault="006F587A">
            <w:pPr>
              <w:rPr>
                <w:rFonts w:ascii="Times New Roman" w:hAnsi="Times New Roman"/>
                <w:sz w:val="20"/>
                <w:szCs w:val="20"/>
              </w:rPr>
            </w:pPr>
          </w:p>
        </w:tc>
      </w:tr>
      <w:tr w:rsidR="006F587A" w14:paraId="4ACE474F" w14:textId="77777777">
        <w:trPr>
          <w:tblCellSpacing w:w="0" w:type="dxa"/>
        </w:trPr>
        <w:tc>
          <w:tcPr>
            <w:tcW w:w="0" w:type="auto"/>
            <w:shd w:val="clear" w:color="auto" w:fill="auto"/>
          </w:tcPr>
          <w:p w14:paraId="4ACE474D"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0"/>
                <w:szCs w:val="10"/>
              </w:rPr>
              <w:t>1</w:t>
            </w:r>
            <w:r>
              <w:rPr>
                <w:rFonts w:ascii="Arial" w:eastAsia="宋体" w:hAnsi="Arial" w:cs="Arial"/>
                <w:i/>
                <w:iCs/>
                <w:color w:val="333333"/>
                <w:sz w:val="16"/>
                <w:szCs w:val="16"/>
              </w:rPr>
              <w:t> </w:t>
            </w:r>
          </w:p>
        </w:tc>
        <w:tc>
          <w:tcPr>
            <w:tcW w:w="0" w:type="auto"/>
            <w:shd w:val="clear" w:color="auto" w:fill="auto"/>
          </w:tcPr>
          <w:p w14:paraId="4ACE474E"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6"/>
                <w:szCs w:val="16"/>
              </w:rPr>
              <w:t>Includes our tablet and service provider revenue.</w:t>
            </w:r>
          </w:p>
        </w:tc>
      </w:tr>
    </w:tbl>
    <w:p w14:paraId="4ACE4750" w14:textId="77777777" w:rsidR="006F587A" w:rsidRDefault="006F587A">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6F587A" w14:paraId="4ACE4753" w14:textId="77777777">
        <w:trPr>
          <w:tblCellSpacing w:w="0" w:type="dxa"/>
        </w:trPr>
        <w:tc>
          <w:tcPr>
            <w:tcW w:w="720" w:type="dxa"/>
            <w:shd w:val="clear" w:color="auto" w:fill="auto"/>
            <w:vAlign w:val="center"/>
          </w:tcPr>
          <w:p w14:paraId="4ACE4751" w14:textId="77777777" w:rsidR="006F587A" w:rsidRDefault="006F587A">
            <w:pPr>
              <w:rPr>
                <w:rFonts w:ascii="Times New Roman" w:hAnsi="Times New Roman"/>
                <w:sz w:val="20"/>
                <w:szCs w:val="20"/>
              </w:rPr>
            </w:pPr>
          </w:p>
        </w:tc>
        <w:tc>
          <w:tcPr>
            <w:tcW w:w="0" w:type="auto"/>
            <w:shd w:val="clear" w:color="auto" w:fill="auto"/>
            <w:vAlign w:val="center"/>
          </w:tcPr>
          <w:p w14:paraId="4ACE4752" w14:textId="77777777" w:rsidR="006F587A" w:rsidRDefault="006F587A">
            <w:pPr>
              <w:rPr>
                <w:rFonts w:ascii="Times New Roman" w:hAnsi="Times New Roman"/>
                <w:sz w:val="20"/>
                <w:szCs w:val="20"/>
              </w:rPr>
            </w:pPr>
          </w:p>
        </w:tc>
      </w:tr>
      <w:tr w:rsidR="006F587A" w14:paraId="4ACE4756" w14:textId="77777777">
        <w:trPr>
          <w:tblCellSpacing w:w="0" w:type="dxa"/>
        </w:trPr>
        <w:tc>
          <w:tcPr>
            <w:tcW w:w="0" w:type="auto"/>
            <w:shd w:val="clear" w:color="auto" w:fill="auto"/>
          </w:tcPr>
          <w:p w14:paraId="4ACE4754"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0"/>
                <w:szCs w:val="10"/>
              </w:rPr>
              <w:t>2</w:t>
            </w:r>
            <w:r>
              <w:rPr>
                <w:rFonts w:ascii="Arial" w:eastAsia="宋体" w:hAnsi="Arial" w:cs="Arial"/>
                <w:i/>
                <w:iCs/>
                <w:color w:val="333333"/>
                <w:sz w:val="16"/>
                <w:szCs w:val="16"/>
              </w:rPr>
              <w:t> </w:t>
            </w:r>
          </w:p>
        </w:tc>
        <w:tc>
          <w:tcPr>
            <w:tcW w:w="0" w:type="auto"/>
            <w:shd w:val="clear" w:color="auto" w:fill="auto"/>
          </w:tcPr>
          <w:p w14:paraId="4ACE4755"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6"/>
                <w:szCs w:val="16"/>
              </w:rPr>
              <w:t xml:space="preserve">Includes all of our non-platform products for DCG, IOTG, and CCG, </w:t>
            </w:r>
            <w:r>
              <w:rPr>
                <w:rFonts w:ascii="Arial" w:eastAsia="宋体" w:hAnsi="Arial" w:cs="Arial"/>
                <w:i/>
                <w:iCs/>
                <w:color w:val="333333"/>
                <w:sz w:val="16"/>
                <w:szCs w:val="16"/>
              </w:rPr>
              <w:t>such as modem, Ethernet, and silicon photonics, as well as Mobileye, NSG, and PSG products.</w:t>
            </w:r>
          </w:p>
        </w:tc>
      </w:tr>
    </w:tbl>
    <w:p w14:paraId="4ACE4757"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4759" w14:textId="77777777">
        <w:tc>
          <w:tcPr>
            <w:tcW w:w="0" w:type="auto"/>
            <w:gridSpan w:val="3"/>
            <w:shd w:val="clear" w:color="auto" w:fill="auto"/>
            <w:vAlign w:val="center"/>
          </w:tcPr>
          <w:p w14:paraId="4ACE4758" w14:textId="77777777" w:rsidR="006F587A" w:rsidRDefault="006F587A">
            <w:pPr>
              <w:rPr>
                <w:rFonts w:ascii="Times New Roman" w:hAnsi="Times New Roman"/>
                <w:sz w:val="20"/>
                <w:szCs w:val="20"/>
              </w:rPr>
            </w:pPr>
          </w:p>
        </w:tc>
      </w:tr>
      <w:tr w:rsidR="006F587A" w14:paraId="4ACE475D" w14:textId="77777777">
        <w:tc>
          <w:tcPr>
            <w:tcW w:w="1300" w:type="pct"/>
            <w:shd w:val="clear" w:color="auto" w:fill="auto"/>
            <w:vAlign w:val="center"/>
          </w:tcPr>
          <w:p w14:paraId="4ACE475A" w14:textId="77777777" w:rsidR="006F587A" w:rsidRDefault="006F587A">
            <w:pPr>
              <w:rPr>
                <w:rFonts w:ascii="Times New Roman" w:hAnsi="Times New Roman"/>
                <w:sz w:val="20"/>
                <w:szCs w:val="20"/>
              </w:rPr>
            </w:pPr>
          </w:p>
        </w:tc>
        <w:tc>
          <w:tcPr>
            <w:tcW w:w="1600" w:type="pct"/>
            <w:shd w:val="clear" w:color="auto" w:fill="auto"/>
            <w:vAlign w:val="center"/>
          </w:tcPr>
          <w:p w14:paraId="4ACE475B" w14:textId="77777777" w:rsidR="006F587A" w:rsidRDefault="006F587A">
            <w:pPr>
              <w:rPr>
                <w:rFonts w:ascii="Times New Roman" w:hAnsi="Times New Roman"/>
                <w:sz w:val="20"/>
                <w:szCs w:val="20"/>
              </w:rPr>
            </w:pPr>
          </w:p>
        </w:tc>
        <w:tc>
          <w:tcPr>
            <w:tcW w:w="2100" w:type="pct"/>
            <w:shd w:val="clear" w:color="auto" w:fill="auto"/>
            <w:vAlign w:val="center"/>
          </w:tcPr>
          <w:p w14:paraId="4ACE475C" w14:textId="77777777" w:rsidR="006F587A" w:rsidRDefault="006F587A">
            <w:pPr>
              <w:rPr>
                <w:rFonts w:ascii="Times New Roman" w:hAnsi="Times New Roman"/>
                <w:sz w:val="20"/>
                <w:szCs w:val="20"/>
              </w:rPr>
            </w:pPr>
          </w:p>
        </w:tc>
      </w:tr>
      <w:tr w:rsidR="006F587A" w14:paraId="4ACE4761" w14:textId="77777777">
        <w:tc>
          <w:tcPr>
            <w:tcW w:w="0" w:type="auto"/>
            <w:tcBorders>
              <w:top w:val="single" w:sz="8" w:space="0" w:color="0071C5"/>
            </w:tcBorders>
            <w:shd w:val="clear" w:color="auto" w:fill="auto"/>
            <w:tcMar>
              <w:top w:w="40" w:type="dxa"/>
              <w:left w:w="40" w:type="dxa"/>
              <w:bottom w:w="40" w:type="dxa"/>
              <w:right w:w="40" w:type="dxa"/>
            </w:tcMar>
            <w:vAlign w:val="bottom"/>
          </w:tcPr>
          <w:p w14:paraId="4ACE475E" w14:textId="77777777" w:rsidR="006F587A" w:rsidRDefault="007B2B61">
            <w:pPr>
              <w:textAlignment w:val="bottom"/>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DE" wp14:editId="4ACE6DDF">
                  <wp:extent cx="304800" cy="304800"/>
                  <wp:effectExtent l="0" t="0" r="0" b="0"/>
                  <wp:docPr id="171" name="图片 302"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302"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left w:val="single" w:sz="36" w:space="0" w:color="0071C5"/>
            </w:tcBorders>
            <w:shd w:val="clear" w:color="auto" w:fill="auto"/>
            <w:tcMar>
              <w:top w:w="40" w:type="dxa"/>
              <w:left w:w="40" w:type="dxa"/>
              <w:bottom w:w="40" w:type="dxa"/>
              <w:right w:w="40" w:type="dxa"/>
            </w:tcMar>
            <w:vAlign w:val="bottom"/>
          </w:tcPr>
          <w:p w14:paraId="4ACE475F" w14:textId="77777777" w:rsidR="006F587A" w:rsidRDefault="007B2B61">
            <w:pPr>
              <w:textAlignment w:val="bottom"/>
              <w:rPr>
                <w:rFonts w:ascii="Times New Roman" w:hAnsi="Times New Roman"/>
                <w:sz w:val="16"/>
                <w:szCs w:val="16"/>
              </w:rPr>
            </w:pPr>
            <w:r>
              <w:rPr>
                <w:rFonts w:ascii="Arial" w:eastAsia="宋体" w:hAnsi="Arial" w:cs="Arial"/>
                <w:color w:val="333333"/>
                <w:sz w:val="16"/>
                <w:szCs w:val="16"/>
              </w:rPr>
              <w:t> Notes to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4760"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82</w:t>
            </w:r>
          </w:p>
        </w:tc>
      </w:tr>
    </w:tbl>
    <w:p w14:paraId="4ACE4762" w14:textId="77777777" w:rsidR="006F587A" w:rsidRDefault="007B2B61">
      <w:r>
        <w:pict w14:anchorId="4ACE6DE0">
          <v:rect id="_x0000_i1108" style="width:415.3pt;height:1.5pt" o:hralign="center" o:hrstd="t" o:hr="t" fillcolor="#a0a0a0" stroked="f"/>
        </w:pict>
      </w:r>
    </w:p>
    <w:p w14:paraId="4ACE4763" w14:textId="77777777" w:rsidR="006F587A" w:rsidRDefault="007B2B61">
      <w:pPr>
        <w:spacing w:line="288" w:lineRule="auto"/>
        <w:jc w:val="right"/>
        <w:rPr>
          <w:rFonts w:ascii="Times New Roman" w:hAnsi="Times New Roman"/>
          <w:sz w:val="16"/>
          <w:szCs w:val="16"/>
        </w:rPr>
      </w:pPr>
      <w:hyperlink r:id="rId147" w:anchor="s9DB683E2CF52561EB8A73BE37F5BF9BE" w:history="1">
        <w:r>
          <w:rPr>
            <w:rStyle w:val="a5"/>
            <w:rFonts w:ascii="Arial" w:eastAsia="宋体" w:hAnsi="Arial" w:cs="Arial"/>
            <w:b/>
            <w:bCs/>
            <w:sz w:val="16"/>
            <w:szCs w:val="16"/>
          </w:rPr>
          <w:t>Table of Contents</w:t>
        </w:r>
      </w:hyperlink>
    </w:p>
    <w:p w14:paraId="4ACE4764" w14:textId="77777777" w:rsidR="006F587A" w:rsidRDefault="006F587A">
      <w:pPr>
        <w:spacing w:line="288" w:lineRule="auto"/>
        <w:jc w:val="right"/>
        <w:rPr>
          <w:rFonts w:ascii="Times New Roman" w:hAnsi="Times New Roman"/>
          <w:sz w:val="16"/>
          <w:szCs w:val="16"/>
        </w:rPr>
      </w:pPr>
    </w:p>
    <w:p w14:paraId="4ACE4765" w14:textId="77777777" w:rsidR="006F587A" w:rsidRDefault="006F587A">
      <w:pPr>
        <w:rPr>
          <w:rFonts w:ascii="Times New Roman" w:hAnsi="Times New Roman"/>
          <w:sz w:val="20"/>
          <w:szCs w:val="20"/>
        </w:rPr>
      </w:pPr>
    </w:p>
    <w:p w14:paraId="4ACE4766"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In 2019, our three largest customers accounted for 41% of our net </w:t>
      </w:r>
      <w:r>
        <w:rPr>
          <w:rFonts w:ascii="Arial" w:eastAsia="宋体" w:hAnsi="Arial" w:cs="Arial"/>
          <w:color w:val="333333"/>
          <w:sz w:val="18"/>
          <w:szCs w:val="18"/>
        </w:rPr>
        <w:t>revenue (39% in 2018, 40% in 2017), with Dell Inc. accounting for 17% (16% in 2018, 16% in 2017), Lenovo Group Limited accounting for 13% (12% in 2018, 13% in 2017), and HP Inc. accounting for 11% (11% in 2018, 11% in 2017). These three customers accounted</w:t>
      </w:r>
      <w:r>
        <w:rPr>
          <w:rFonts w:ascii="Arial" w:eastAsia="宋体" w:hAnsi="Arial" w:cs="Arial"/>
          <w:color w:val="333333"/>
          <w:sz w:val="18"/>
          <w:szCs w:val="18"/>
        </w:rPr>
        <w:t xml:space="preserve"> for 39% of our accounts receivable as of December 28, 2019 (45% as of December 29, 2018). Substantially all of the revenue from these customers was from the sale of platforms and other components by the CCG and DCG operating segments.</w:t>
      </w:r>
    </w:p>
    <w:p w14:paraId="4ACE4767"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Net revenue by count</w:t>
      </w:r>
      <w:r>
        <w:rPr>
          <w:rFonts w:ascii="Arial" w:eastAsia="宋体" w:hAnsi="Arial" w:cs="Arial"/>
          <w:color w:val="333333"/>
          <w:sz w:val="18"/>
          <w:szCs w:val="18"/>
        </w:rPr>
        <w:t>ry as presented below is based on the billing location of the customer. Revenue from unaffiliated customers for each period was as follows:</w:t>
      </w:r>
    </w:p>
    <w:tbl>
      <w:tblPr>
        <w:tblW w:w="5000" w:type="pct"/>
        <w:tblCellMar>
          <w:left w:w="0" w:type="dxa"/>
          <w:right w:w="0" w:type="dxa"/>
        </w:tblCellMar>
        <w:tblLook w:val="04A0" w:firstRow="1" w:lastRow="0" w:firstColumn="1" w:lastColumn="0" w:noHBand="0" w:noVBand="1"/>
      </w:tblPr>
      <w:tblGrid>
        <w:gridCol w:w="5015"/>
        <w:gridCol w:w="130"/>
        <w:gridCol w:w="142"/>
        <w:gridCol w:w="780"/>
        <w:gridCol w:w="59"/>
        <w:gridCol w:w="130"/>
        <w:gridCol w:w="142"/>
        <w:gridCol w:w="758"/>
        <w:gridCol w:w="59"/>
        <w:gridCol w:w="130"/>
        <w:gridCol w:w="142"/>
        <w:gridCol w:w="760"/>
        <w:gridCol w:w="59"/>
      </w:tblGrid>
      <w:tr w:rsidR="006F587A" w14:paraId="4ACE4769" w14:textId="77777777">
        <w:tc>
          <w:tcPr>
            <w:tcW w:w="0" w:type="auto"/>
            <w:gridSpan w:val="13"/>
            <w:shd w:val="clear" w:color="auto" w:fill="auto"/>
            <w:vAlign w:val="center"/>
          </w:tcPr>
          <w:p w14:paraId="4ACE4768" w14:textId="77777777" w:rsidR="006F587A" w:rsidRDefault="006F587A">
            <w:pPr>
              <w:rPr>
                <w:rFonts w:ascii="Times New Roman" w:hAnsi="Times New Roman"/>
                <w:sz w:val="20"/>
                <w:szCs w:val="20"/>
              </w:rPr>
            </w:pPr>
          </w:p>
        </w:tc>
      </w:tr>
      <w:tr w:rsidR="006F587A" w14:paraId="4ACE4777" w14:textId="77777777">
        <w:tc>
          <w:tcPr>
            <w:tcW w:w="3050" w:type="pct"/>
            <w:shd w:val="clear" w:color="auto" w:fill="auto"/>
            <w:vAlign w:val="center"/>
          </w:tcPr>
          <w:p w14:paraId="4ACE476A" w14:textId="77777777" w:rsidR="006F587A" w:rsidRDefault="006F587A">
            <w:pPr>
              <w:rPr>
                <w:rFonts w:ascii="Times New Roman" w:hAnsi="Times New Roman"/>
                <w:sz w:val="20"/>
                <w:szCs w:val="20"/>
              </w:rPr>
            </w:pPr>
          </w:p>
        </w:tc>
        <w:tc>
          <w:tcPr>
            <w:tcW w:w="50" w:type="pct"/>
            <w:shd w:val="clear" w:color="auto" w:fill="auto"/>
            <w:vAlign w:val="center"/>
          </w:tcPr>
          <w:p w14:paraId="4ACE476B" w14:textId="77777777" w:rsidR="006F587A" w:rsidRDefault="006F587A">
            <w:pPr>
              <w:rPr>
                <w:rFonts w:ascii="Times New Roman" w:hAnsi="Times New Roman"/>
                <w:sz w:val="20"/>
                <w:szCs w:val="20"/>
              </w:rPr>
            </w:pPr>
          </w:p>
        </w:tc>
        <w:tc>
          <w:tcPr>
            <w:tcW w:w="50" w:type="pct"/>
            <w:shd w:val="clear" w:color="auto" w:fill="auto"/>
            <w:vAlign w:val="center"/>
          </w:tcPr>
          <w:p w14:paraId="4ACE476C" w14:textId="77777777" w:rsidR="006F587A" w:rsidRDefault="006F587A">
            <w:pPr>
              <w:rPr>
                <w:rFonts w:ascii="Times New Roman" w:hAnsi="Times New Roman"/>
                <w:sz w:val="20"/>
                <w:szCs w:val="20"/>
              </w:rPr>
            </w:pPr>
          </w:p>
        </w:tc>
        <w:tc>
          <w:tcPr>
            <w:tcW w:w="500" w:type="pct"/>
            <w:shd w:val="clear" w:color="auto" w:fill="auto"/>
            <w:vAlign w:val="center"/>
          </w:tcPr>
          <w:p w14:paraId="4ACE476D" w14:textId="77777777" w:rsidR="006F587A" w:rsidRDefault="006F587A">
            <w:pPr>
              <w:rPr>
                <w:rFonts w:ascii="Times New Roman" w:hAnsi="Times New Roman"/>
                <w:sz w:val="20"/>
                <w:szCs w:val="20"/>
              </w:rPr>
            </w:pPr>
          </w:p>
        </w:tc>
        <w:tc>
          <w:tcPr>
            <w:tcW w:w="50" w:type="pct"/>
            <w:shd w:val="clear" w:color="auto" w:fill="auto"/>
            <w:vAlign w:val="center"/>
          </w:tcPr>
          <w:p w14:paraId="4ACE476E" w14:textId="77777777" w:rsidR="006F587A" w:rsidRDefault="006F587A">
            <w:pPr>
              <w:rPr>
                <w:rFonts w:ascii="Times New Roman" w:hAnsi="Times New Roman"/>
                <w:sz w:val="20"/>
                <w:szCs w:val="20"/>
              </w:rPr>
            </w:pPr>
          </w:p>
        </w:tc>
        <w:tc>
          <w:tcPr>
            <w:tcW w:w="50" w:type="pct"/>
            <w:shd w:val="clear" w:color="auto" w:fill="auto"/>
            <w:vAlign w:val="center"/>
          </w:tcPr>
          <w:p w14:paraId="4ACE476F" w14:textId="77777777" w:rsidR="006F587A" w:rsidRDefault="006F587A">
            <w:pPr>
              <w:rPr>
                <w:rFonts w:ascii="Times New Roman" w:hAnsi="Times New Roman"/>
                <w:sz w:val="20"/>
                <w:szCs w:val="20"/>
              </w:rPr>
            </w:pPr>
          </w:p>
        </w:tc>
        <w:tc>
          <w:tcPr>
            <w:tcW w:w="50" w:type="pct"/>
            <w:shd w:val="clear" w:color="auto" w:fill="auto"/>
            <w:vAlign w:val="center"/>
          </w:tcPr>
          <w:p w14:paraId="4ACE4770" w14:textId="77777777" w:rsidR="006F587A" w:rsidRDefault="006F587A">
            <w:pPr>
              <w:rPr>
                <w:rFonts w:ascii="Times New Roman" w:hAnsi="Times New Roman"/>
                <w:sz w:val="20"/>
                <w:szCs w:val="20"/>
              </w:rPr>
            </w:pPr>
          </w:p>
        </w:tc>
        <w:tc>
          <w:tcPr>
            <w:tcW w:w="500" w:type="pct"/>
            <w:shd w:val="clear" w:color="auto" w:fill="auto"/>
            <w:vAlign w:val="center"/>
          </w:tcPr>
          <w:p w14:paraId="4ACE4771" w14:textId="77777777" w:rsidR="006F587A" w:rsidRDefault="006F587A">
            <w:pPr>
              <w:rPr>
                <w:rFonts w:ascii="Times New Roman" w:hAnsi="Times New Roman"/>
                <w:sz w:val="20"/>
                <w:szCs w:val="20"/>
              </w:rPr>
            </w:pPr>
          </w:p>
        </w:tc>
        <w:tc>
          <w:tcPr>
            <w:tcW w:w="50" w:type="pct"/>
            <w:shd w:val="clear" w:color="auto" w:fill="auto"/>
            <w:vAlign w:val="center"/>
          </w:tcPr>
          <w:p w14:paraId="4ACE4772" w14:textId="77777777" w:rsidR="006F587A" w:rsidRDefault="006F587A">
            <w:pPr>
              <w:rPr>
                <w:rFonts w:ascii="Times New Roman" w:hAnsi="Times New Roman"/>
                <w:sz w:val="20"/>
                <w:szCs w:val="20"/>
              </w:rPr>
            </w:pPr>
          </w:p>
        </w:tc>
        <w:tc>
          <w:tcPr>
            <w:tcW w:w="50" w:type="pct"/>
            <w:shd w:val="clear" w:color="auto" w:fill="auto"/>
            <w:vAlign w:val="center"/>
          </w:tcPr>
          <w:p w14:paraId="4ACE4773" w14:textId="77777777" w:rsidR="006F587A" w:rsidRDefault="006F587A">
            <w:pPr>
              <w:rPr>
                <w:rFonts w:ascii="Times New Roman" w:hAnsi="Times New Roman"/>
                <w:sz w:val="20"/>
                <w:szCs w:val="20"/>
              </w:rPr>
            </w:pPr>
          </w:p>
        </w:tc>
        <w:tc>
          <w:tcPr>
            <w:tcW w:w="50" w:type="pct"/>
            <w:shd w:val="clear" w:color="auto" w:fill="auto"/>
            <w:vAlign w:val="center"/>
          </w:tcPr>
          <w:p w14:paraId="4ACE4774" w14:textId="77777777" w:rsidR="006F587A" w:rsidRDefault="006F587A">
            <w:pPr>
              <w:rPr>
                <w:rFonts w:ascii="Times New Roman" w:hAnsi="Times New Roman"/>
                <w:sz w:val="20"/>
                <w:szCs w:val="20"/>
              </w:rPr>
            </w:pPr>
          </w:p>
        </w:tc>
        <w:tc>
          <w:tcPr>
            <w:tcW w:w="500" w:type="pct"/>
            <w:shd w:val="clear" w:color="auto" w:fill="auto"/>
            <w:vAlign w:val="center"/>
          </w:tcPr>
          <w:p w14:paraId="4ACE4775" w14:textId="77777777" w:rsidR="006F587A" w:rsidRDefault="006F587A">
            <w:pPr>
              <w:rPr>
                <w:rFonts w:ascii="Times New Roman" w:hAnsi="Times New Roman"/>
                <w:sz w:val="20"/>
                <w:szCs w:val="20"/>
              </w:rPr>
            </w:pPr>
          </w:p>
        </w:tc>
        <w:tc>
          <w:tcPr>
            <w:tcW w:w="50" w:type="pct"/>
            <w:shd w:val="clear" w:color="auto" w:fill="auto"/>
            <w:vAlign w:val="center"/>
          </w:tcPr>
          <w:p w14:paraId="4ACE4776" w14:textId="77777777" w:rsidR="006F587A" w:rsidRDefault="006F587A">
            <w:pPr>
              <w:rPr>
                <w:rFonts w:ascii="Times New Roman" w:hAnsi="Times New Roman"/>
                <w:sz w:val="20"/>
                <w:szCs w:val="20"/>
              </w:rPr>
            </w:pPr>
          </w:p>
        </w:tc>
      </w:tr>
      <w:tr w:rsidR="006F587A" w14:paraId="4ACE477F"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4778"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lastRenderedPageBreak/>
              <w:t>Years Ended (In Millions)</w:t>
            </w:r>
          </w:p>
        </w:tc>
        <w:tc>
          <w:tcPr>
            <w:tcW w:w="0" w:type="auto"/>
            <w:shd w:val="clear" w:color="auto" w:fill="auto"/>
            <w:tcMar>
              <w:top w:w="40" w:type="dxa"/>
              <w:left w:w="40" w:type="dxa"/>
              <w:bottom w:w="40" w:type="dxa"/>
              <w:right w:w="40" w:type="dxa"/>
            </w:tcMar>
            <w:vAlign w:val="bottom"/>
          </w:tcPr>
          <w:p w14:paraId="4ACE477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77A"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28, </w:t>
            </w:r>
            <w:r>
              <w:rPr>
                <w:rFonts w:ascii="Arial" w:eastAsia="宋体" w:hAnsi="Arial" w:cs="Arial"/>
                <w:b/>
                <w:bCs/>
                <w:color w:val="333333"/>
                <w:sz w:val="18"/>
                <w:szCs w:val="18"/>
              </w:rPr>
              <w:br/>
              <w:t>2019</w:t>
            </w:r>
          </w:p>
        </w:tc>
        <w:tc>
          <w:tcPr>
            <w:tcW w:w="0" w:type="auto"/>
            <w:shd w:val="clear" w:color="auto" w:fill="auto"/>
            <w:tcMar>
              <w:top w:w="40" w:type="dxa"/>
              <w:left w:w="40" w:type="dxa"/>
              <w:bottom w:w="40" w:type="dxa"/>
              <w:right w:w="40" w:type="dxa"/>
            </w:tcMar>
            <w:vAlign w:val="bottom"/>
          </w:tcPr>
          <w:p w14:paraId="4ACE477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77C"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29, </w:t>
            </w:r>
            <w:r>
              <w:rPr>
                <w:rFonts w:ascii="Arial" w:eastAsia="宋体" w:hAnsi="Arial" w:cs="Arial"/>
                <w:b/>
                <w:bCs/>
                <w:color w:val="333333"/>
                <w:sz w:val="18"/>
                <w:szCs w:val="18"/>
              </w:rPr>
              <w:br/>
              <w:t>2018</w:t>
            </w:r>
          </w:p>
        </w:tc>
        <w:tc>
          <w:tcPr>
            <w:tcW w:w="0" w:type="auto"/>
            <w:shd w:val="clear" w:color="auto" w:fill="auto"/>
            <w:tcMar>
              <w:top w:w="40" w:type="dxa"/>
              <w:left w:w="40" w:type="dxa"/>
              <w:bottom w:w="40" w:type="dxa"/>
              <w:right w:w="40" w:type="dxa"/>
            </w:tcMar>
            <w:vAlign w:val="bottom"/>
          </w:tcPr>
          <w:p w14:paraId="4ACE477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77E"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30, </w:t>
            </w:r>
            <w:r>
              <w:rPr>
                <w:rFonts w:ascii="Arial" w:eastAsia="宋体" w:hAnsi="Arial" w:cs="Arial"/>
                <w:b/>
                <w:bCs/>
                <w:color w:val="333333"/>
                <w:sz w:val="18"/>
                <w:szCs w:val="18"/>
              </w:rPr>
              <w:br/>
              <w:t>2017</w:t>
            </w:r>
          </w:p>
        </w:tc>
      </w:tr>
      <w:tr w:rsidR="006F587A" w14:paraId="4ACE478D" w14:textId="77777777">
        <w:tc>
          <w:tcPr>
            <w:tcW w:w="0" w:type="auto"/>
            <w:shd w:val="clear" w:color="auto" w:fill="auto"/>
            <w:tcMar>
              <w:top w:w="40" w:type="dxa"/>
              <w:left w:w="40" w:type="dxa"/>
              <w:bottom w:w="40" w:type="dxa"/>
              <w:right w:w="40" w:type="dxa"/>
            </w:tcMar>
            <w:vAlign w:val="bottom"/>
          </w:tcPr>
          <w:p w14:paraId="4ACE478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China </w:t>
            </w:r>
            <w:r>
              <w:rPr>
                <w:rFonts w:ascii="Arial" w:eastAsia="宋体" w:hAnsi="Arial" w:cs="Arial"/>
                <w:color w:val="333333"/>
                <w:sz w:val="18"/>
                <w:szCs w:val="18"/>
              </w:rPr>
              <w:t>(including Hong Kong)</w:t>
            </w:r>
          </w:p>
        </w:tc>
        <w:tc>
          <w:tcPr>
            <w:tcW w:w="0" w:type="auto"/>
            <w:shd w:val="clear" w:color="auto" w:fill="auto"/>
            <w:tcMar>
              <w:top w:w="40" w:type="dxa"/>
              <w:left w:w="40" w:type="dxa"/>
              <w:bottom w:w="40" w:type="dxa"/>
              <w:right w:w="40" w:type="dxa"/>
            </w:tcMar>
            <w:vAlign w:val="bottom"/>
          </w:tcPr>
          <w:p w14:paraId="4ACE478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782"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478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20,026</w:t>
            </w:r>
          </w:p>
        </w:tc>
        <w:tc>
          <w:tcPr>
            <w:tcW w:w="0" w:type="auto"/>
            <w:shd w:val="clear" w:color="auto" w:fill="auto"/>
            <w:vAlign w:val="bottom"/>
          </w:tcPr>
          <w:p w14:paraId="4ACE478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78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78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478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18,824</w:t>
            </w:r>
          </w:p>
        </w:tc>
        <w:tc>
          <w:tcPr>
            <w:tcW w:w="0" w:type="auto"/>
            <w:shd w:val="clear" w:color="auto" w:fill="auto"/>
            <w:vAlign w:val="bottom"/>
          </w:tcPr>
          <w:p w14:paraId="4ACE478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78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78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478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14,796</w:t>
            </w:r>
          </w:p>
        </w:tc>
        <w:tc>
          <w:tcPr>
            <w:tcW w:w="0" w:type="auto"/>
            <w:shd w:val="clear" w:color="auto" w:fill="auto"/>
            <w:vAlign w:val="bottom"/>
          </w:tcPr>
          <w:p w14:paraId="4ACE478C" w14:textId="77777777" w:rsidR="006F587A" w:rsidRDefault="006F587A">
            <w:pPr>
              <w:textAlignment w:val="bottom"/>
              <w:rPr>
                <w:rFonts w:ascii="Times New Roman" w:hAnsi="Times New Roman"/>
                <w:sz w:val="20"/>
                <w:szCs w:val="20"/>
              </w:rPr>
            </w:pPr>
          </w:p>
        </w:tc>
      </w:tr>
      <w:tr w:rsidR="006F587A" w14:paraId="4ACE4798" w14:textId="77777777">
        <w:tc>
          <w:tcPr>
            <w:tcW w:w="0" w:type="auto"/>
            <w:shd w:val="clear" w:color="auto" w:fill="auto"/>
            <w:tcMar>
              <w:top w:w="40" w:type="dxa"/>
              <w:left w:w="40" w:type="dxa"/>
              <w:bottom w:w="40" w:type="dxa"/>
              <w:right w:w="40" w:type="dxa"/>
            </w:tcMar>
            <w:vAlign w:val="bottom"/>
          </w:tcPr>
          <w:p w14:paraId="4ACE478E"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Singapore</w:t>
            </w:r>
          </w:p>
        </w:tc>
        <w:tc>
          <w:tcPr>
            <w:tcW w:w="0" w:type="auto"/>
            <w:shd w:val="clear" w:color="auto" w:fill="auto"/>
            <w:tcMar>
              <w:top w:w="40" w:type="dxa"/>
              <w:left w:w="40" w:type="dxa"/>
              <w:bottom w:w="40" w:type="dxa"/>
              <w:right w:w="40" w:type="dxa"/>
            </w:tcMar>
            <w:vAlign w:val="bottom"/>
          </w:tcPr>
          <w:p w14:paraId="4ACE478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790"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15,650</w:t>
            </w:r>
          </w:p>
        </w:tc>
        <w:tc>
          <w:tcPr>
            <w:tcW w:w="0" w:type="auto"/>
            <w:shd w:val="clear" w:color="auto" w:fill="auto"/>
            <w:vAlign w:val="bottom"/>
          </w:tcPr>
          <w:p w14:paraId="4ACE479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79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793"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15,409</w:t>
            </w:r>
          </w:p>
        </w:tc>
        <w:tc>
          <w:tcPr>
            <w:tcW w:w="0" w:type="auto"/>
            <w:shd w:val="clear" w:color="auto" w:fill="auto"/>
            <w:vAlign w:val="bottom"/>
          </w:tcPr>
          <w:p w14:paraId="4ACE479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79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79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14,285</w:t>
            </w:r>
          </w:p>
        </w:tc>
        <w:tc>
          <w:tcPr>
            <w:tcW w:w="0" w:type="auto"/>
            <w:shd w:val="clear" w:color="auto" w:fill="auto"/>
            <w:vAlign w:val="bottom"/>
          </w:tcPr>
          <w:p w14:paraId="4ACE4797" w14:textId="77777777" w:rsidR="006F587A" w:rsidRDefault="006F587A">
            <w:pPr>
              <w:textAlignment w:val="bottom"/>
              <w:rPr>
                <w:rFonts w:ascii="Times New Roman" w:hAnsi="Times New Roman"/>
                <w:sz w:val="20"/>
                <w:szCs w:val="20"/>
              </w:rPr>
            </w:pPr>
          </w:p>
        </w:tc>
      </w:tr>
      <w:tr w:rsidR="006F587A" w14:paraId="4ACE47A3" w14:textId="77777777">
        <w:tc>
          <w:tcPr>
            <w:tcW w:w="0" w:type="auto"/>
            <w:shd w:val="clear" w:color="auto" w:fill="auto"/>
            <w:tcMar>
              <w:top w:w="40" w:type="dxa"/>
              <w:left w:w="40" w:type="dxa"/>
              <w:bottom w:w="40" w:type="dxa"/>
              <w:right w:w="40" w:type="dxa"/>
            </w:tcMar>
            <w:vAlign w:val="bottom"/>
          </w:tcPr>
          <w:p w14:paraId="4ACE479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United States</w:t>
            </w:r>
          </w:p>
        </w:tc>
        <w:tc>
          <w:tcPr>
            <w:tcW w:w="0" w:type="auto"/>
            <w:shd w:val="clear" w:color="auto" w:fill="auto"/>
            <w:tcMar>
              <w:top w:w="40" w:type="dxa"/>
              <w:left w:w="40" w:type="dxa"/>
              <w:bottom w:w="40" w:type="dxa"/>
              <w:right w:w="40" w:type="dxa"/>
            </w:tcMar>
            <w:vAlign w:val="bottom"/>
          </w:tcPr>
          <w:p w14:paraId="4ACE479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79B"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15,617</w:t>
            </w:r>
          </w:p>
        </w:tc>
        <w:tc>
          <w:tcPr>
            <w:tcW w:w="0" w:type="auto"/>
            <w:shd w:val="clear" w:color="auto" w:fill="auto"/>
            <w:vAlign w:val="bottom"/>
          </w:tcPr>
          <w:p w14:paraId="4ACE479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79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79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14,303</w:t>
            </w:r>
          </w:p>
        </w:tc>
        <w:tc>
          <w:tcPr>
            <w:tcW w:w="0" w:type="auto"/>
            <w:shd w:val="clear" w:color="auto" w:fill="auto"/>
            <w:vAlign w:val="bottom"/>
          </w:tcPr>
          <w:p w14:paraId="4ACE479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7A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7A1"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12,543</w:t>
            </w:r>
          </w:p>
        </w:tc>
        <w:tc>
          <w:tcPr>
            <w:tcW w:w="0" w:type="auto"/>
            <w:shd w:val="clear" w:color="auto" w:fill="auto"/>
            <w:vAlign w:val="bottom"/>
          </w:tcPr>
          <w:p w14:paraId="4ACE47A2" w14:textId="77777777" w:rsidR="006F587A" w:rsidRDefault="006F587A">
            <w:pPr>
              <w:textAlignment w:val="bottom"/>
              <w:rPr>
                <w:rFonts w:ascii="Times New Roman" w:hAnsi="Times New Roman"/>
                <w:sz w:val="20"/>
                <w:szCs w:val="20"/>
              </w:rPr>
            </w:pPr>
          </w:p>
        </w:tc>
      </w:tr>
      <w:tr w:rsidR="006F587A" w14:paraId="4ACE47AE" w14:textId="77777777">
        <w:tc>
          <w:tcPr>
            <w:tcW w:w="0" w:type="auto"/>
            <w:shd w:val="clear" w:color="auto" w:fill="auto"/>
            <w:tcMar>
              <w:top w:w="40" w:type="dxa"/>
              <w:left w:w="40" w:type="dxa"/>
              <w:bottom w:w="40" w:type="dxa"/>
              <w:right w:w="40" w:type="dxa"/>
            </w:tcMar>
            <w:vAlign w:val="bottom"/>
          </w:tcPr>
          <w:p w14:paraId="4ACE47A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Taiwan</w:t>
            </w:r>
          </w:p>
        </w:tc>
        <w:tc>
          <w:tcPr>
            <w:tcW w:w="0" w:type="auto"/>
            <w:shd w:val="clear" w:color="auto" w:fill="auto"/>
            <w:tcMar>
              <w:top w:w="40" w:type="dxa"/>
              <w:left w:w="40" w:type="dxa"/>
              <w:bottom w:w="40" w:type="dxa"/>
              <w:right w:w="40" w:type="dxa"/>
            </w:tcMar>
            <w:vAlign w:val="bottom"/>
          </w:tcPr>
          <w:p w14:paraId="4ACE47A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7A6"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10,058</w:t>
            </w:r>
          </w:p>
        </w:tc>
        <w:tc>
          <w:tcPr>
            <w:tcW w:w="0" w:type="auto"/>
            <w:shd w:val="clear" w:color="auto" w:fill="auto"/>
            <w:vAlign w:val="bottom"/>
          </w:tcPr>
          <w:p w14:paraId="4ACE47A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7A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7A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10,646</w:t>
            </w:r>
          </w:p>
        </w:tc>
        <w:tc>
          <w:tcPr>
            <w:tcW w:w="0" w:type="auto"/>
            <w:shd w:val="clear" w:color="auto" w:fill="auto"/>
            <w:vAlign w:val="bottom"/>
          </w:tcPr>
          <w:p w14:paraId="4ACE47A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7A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7A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10,518</w:t>
            </w:r>
          </w:p>
        </w:tc>
        <w:tc>
          <w:tcPr>
            <w:tcW w:w="0" w:type="auto"/>
            <w:shd w:val="clear" w:color="auto" w:fill="auto"/>
            <w:vAlign w:val="bottom"/>
          </w:tcPr>
          <w:p w14:paraId="4ACE47AD" w14:textId="77777777" w:rsidR="006F587A" w:rsidRDefault="006F587A">
            <w:pPr>
              <w:textAlignment w:val="bottom"/>
              <w:rPr>
                <w:rFonts w:ascii="Times New Roman" w:hAnsi="Times New Roman"/>
                <w:sz w:val="20"/>
                <w:szCs w:val="20"/>
              </w:rPr>
            </w:pPr>
          </w:p>
        </w:tc>
      </w:tr>
      <w:tr w:rsidR="006F587A" w14:paraId="4ACE47B9" w14:textId="77777777">
        <w:tc>
          <w:tcPr>
            <w:tcW w:w="0" w:type="auto"/>
            <w:shd w:val="clear" w:color="auto" w:fill="auto"/>
            <w:tcMar>
              <w:top w:w="40" w:type="dxa"/>
              <w:left w:w="40" w:type="dxa"/>
              <w:bottom w:w="40" w:type="dxa"/>
              <w:right w:w="40" w:type="dxa"/>
            </w:tcMar>
            <w:vAlign w:val="bottom"/>
          </w:tcPr>
          <w:p w14:paraId="4ACE47A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Other countries</w:t>
            </w:r>
          </w:p>
        </w:tc>
        <w:tc>
          <w:tcPr>
            <w:tcW w:w="0" w:type="auto"/>
            <w:shd w:val="clear" w:color="auto" w:fill="auto"/>
            <w:tcMar>
              <w:top w:w="40" w:type="dxa"/>
              <w:left w:w="40" w:type="dxa"/>
              <w:bottom w:w="40" w:type="dxa"/>
              <w:right w:w="40" w:type="dxa"/>
            </w:tcMar>
            <w:vAlign w:val="bottom"/>
          </w:tcPr>
          <w:p w14:paraId="4ACE47B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7B1"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10,614</w:t>
            </w:r>
          </w:p>
        </w:tc>
        <w:tc>
          <w:tcPr>
            <w:tcW w:w="0" w:type="auto"/>
            <w:shd w:val="clear" w:color="auto" w:fill="auto"/>
            <w:vAlign w:val="bottom"/>
          </w:tcPr>
          <w:p w14:paraId="4ACE47B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7B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7B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11,666</w:t>
            </w:r>
          </w:p>
        </w:tc>
        <w:tc>
          <w:tcPr>
            <w:tcW w:w="0" w:type="auto"/>
            <w:shd w:val="clear" w:color="auto" w:fill="auto"/>
            <w:vAlign w:val="bottom"/>
          </w:tcPr>
          <w:p w14:paraId="4ACE47B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7B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7B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10,619</w:t>
            </w:r>
          </w:p>
        </w:tc>
        <w:tc>
          <w:tcPr>
            <w:tcW w:w="0" w:type="auto"/>
            <w:shd w:val="clear" w:color="auto" w:fill="auto"/>
            <w:vAlign w:val="bottom"/>
          </w:tcPr>
          <w:p w14:paraId="4ACE47B8" w14:textId="77777777" w:rsidR="006F587A" w:rsidRDefault="006F587A">
            <w:pPr>
              <w:textAlignment w:val="bottom"/>
              <w:rPr>
                <w:rFonts w:ascii="Times New Roman" w:hAnsi="Times New Roman"/>
                <w:sz w:val="20"/>
                <w:szCs w:val="20"/>
              </w:rPr>
            </w:pPr>
          </w:p>
        </w:tc>
      </w:tr>
      <w:tr w:rsidR="006F587A" w14:paraId="4ACE47C7" w14:textId="77777777">
        <w:tc>
          <w:tcPr>
            <w:tcW w:w="0" w:type="auto"/>
            <w:shd w:val="clear" w:color="auto" w:fill="auto"/>
            <w:tcMar>
              <w:top w:w="40" w:type="dxa"/>
              <w:left w:w="40" w:type="dxa"/>
              <w:bottom w:w="40" w:type="dxa"/>
              <w:right w:w="40" w:type="dxa"/>
            </w:tcMar>
            <w:vAlign w:val="bottom"/>
          </w:tcPr>
          <w:p w14:paraId="4ACE47BA"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 xml:space="preserve">Total net revenue </w:t>
            </w:r>
          </w:p>
        </w:tc>
        <w:tc>
          <w:tcPr>
            <w:tcW w:w="0" w:type="auto"/>
            <w:shd w:val="clear" w:color="auto" w:fill="auto"/>
            <w:tcMar>
              <w:top w:w="40" w:type="dxa"/>
              <w:left w:w="40" w:type="dxa"/>
              <w:bottom w:w="40" w:type="dxa"/>
              <w:right w:w="40" w:type="dxa"/>
            </w:tcMar>
            <w:vAlign w:val="bottom"/>
          </w:tcPr>
          <w:p w14:paraId="4ACE47B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7BC"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7BD"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71,965</w:t>
            </w:r>
          </w:p>
        </w:tc>
        <w:tc>
          <w:tcPr>
            <w:tcW w:w="0" w:type="auto"/>
            <w:tcBorders>
              <w:top w:val="single" w:sz="8" w:space="0" w:color="333333"/>
              <w:bottom w:val="double" w:sz="6" w:space="0" w:color="333333"/>
            </w:tcBorders>
            <w:shd w:val="clear" w:color="auto" w:fill="auto"/>
            <w:vAlign w:val="bottom"/>
          </w:tcPr>
          <w:p w14:paraId="4ACE47B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7B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7C0"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7C1"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70,848</w:t>
            </w:r>
          </w:p>
        </w:tc>
        <w:tc>
          <w:tcPr>
            <w:tcW w:w="0" w:type="auto"/>
            <w:tcBorders>
              <w:top w:val="single" w:sz="8" w:space="0" w:color="333333"/>
              <w:bottom w:val="double" w:sz="6" w:space="0" w:color="333333"/>
            </w:tcBorders>
            <w:shd w:val="clear" w:color="auto" w:fill="auto"/>
            <w:vAlign w:val="bottom"/>
          </w:tcPr>
          <w:p w14:paraId="4ACE47C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7C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7C4"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7C5"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62,761</w:t>
            </w:r>
          </w:p>
        </w:tc>
        <w:tc>
          <w:tcPr>
            <w:tcW w:w="0" w:type="auto"/>
            <w:tcBorders>
              <w:top w:val="single" w:sz="8" w:space="0" w:color="333333"/>
              <w:bottom w:val="double" w:sz="6" w:space="0" w:color="333333"/>
            </w:tcBorders>
            <w:shd w:val="clear" w:color="auto" w:fill="auto"/>
            <w:vAlign w:val="bottom"/>
          </w:tcPr>
          <w:p w14:paraId="4ACE47C6" w14:textId="77777777" w:rsidR="006F587A" w:rsidRDefault="006F587A">
            <w:pPr>
              <w:textAlignment w:val="bottom"/>
              <w:rPr>
                <w:rFonts w:ascii="Times New Roman" w:hAnsi="Times New Roman"/>
                <w:sz w:val="20"/>
                <w:szCs w:val="20"/>
              </w:rPr>
            </w:pPr>
          </w:p>
        </w:tc>
      </w:tr>
    </w:tbl>
    <w:p w14:paraId="4ACE47C8" w14:textId="77777777" w:rsidR="006F587A" w:rsidRDefault="006F587A">
      <w:pPr>
        <w:spacing w:line="288" w:lineRule="auto"/>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997"/>
        <w:gridCol w:w="7309"/>
      </w:tblGrid>
      <w:tr w:rsidR="006F587A" w14:paraId="4ACE47CA" w14:textId="77777777">
        <w:tc>
          <w:tcPr>
            <w:tcW w:w="0" w:type="auto"/>
            <w:gridSpan w:val="2"/>
            <w:shd w:val="clear" w:color="auto" w:fill="auto"/>
            <w:vAlign w:val="center"/>
          </w:tcPr>
          <w:p w14:paraId="4ACE47C9" w14:textId="77777777" w:rsidR="006F587A" w:rsidRDefault="006F587A">
            <w:pPr>
              <w:rPr>
                <w:rFonts w:ascii="Times New Roman" w:hAnsi="Times New Roman"/>
                <w:sz w:val="20"/>
                <w:szCs w:val="20"/>
              </w:rPr>
            </w:pPr>
          </w:p>
        </w:tc>
      </w:tr>
      <w:tr w:rsidR="006F587A" w14:paraId="4ACE47CD" w14:textId="77777777">
        <w:tc>
          <w:tcPr>
            <w:tcW w:w="600" w:type="pct"/>
            <w:shd w:val="clear" w:color="auto" w:fill="auto"/>
            <w:vAlign w:val="center"/>
          </w:tcPr>
          <w:p w14:paraId="4ACE47CB" w14:textId="77777777" w:rsidR="006F587A" w:rsidRDefault="006F587A">
            <w:pPr>
              <w:rPr>
                <w:rFonts w:ascii="Times New Roman" w:hAnsi="Times New Roman"/>
                <w:sz w:val="20"/>
                <w:szCs w:val="20"/>
              </w:rPr>
            </w:pPr>
          </w:p>
        </w:tc>
        <w:tc>
          <w:tcPr>
            <w:tcW w:w="4400" w:type="pct"/>
            <w:shd w:val="clear" w:color="auto" w:fill="auto"/>
            <w:vAlign w:val="center"/>
          </w:tcPr>
          <w:p w14:paraId="4ACE47CC" w14:textId="77777777" w:rsidR="006F587A" w:rsidRDefault="006F587A">
            <w:pPr>
              <w:rPr>
                <w:rFonts w:ascii="Times New Roman" w:hAnsi="Times New Roman"/>
                <w:sz w:val="20"/>
                <w:szCs w:val="20"/>
              </w:rPr>
            </w:pPr>
          </w:p>
        </w:tc>
      </w:tr>
      <w:tr w:rsidR="006F587A" w14:paraId="4ACE47D0" w14:textId="77777777">
        <w:tc>
          <w:tcPr>
            <w:tcW w:w="0" w:type="auto"/>
            <w:tcBorders>
              <w:bottom w:val="single" w:sz="8" w:space="0" w:color="0071C5"/>
            </w:tcBorders>
            <w:shd w:val="clear" w:color="auto" w:fill="0071C5"/>
            <w:tcMar>
              <w:top w:w="40" w:type="dxa"/>
              <w:left w:w="40" w:type="dxa"/>
              <w:bottom w:w="40" w:type="dxa"/>
              <w:right w:w="40" w:type="dxa"/>
            </w:tcMar>
            <w:vAlign w:val="bottom"/>
          </w:tcPr>
          <w:p w14:paraId="4ACE47CE" w14:textId="77777777" w:rsidR="006F587A" w:rsidRDefault="007B2B61">
            <w:pPr>
              <w:textAlignment w:val="bottom"/>
              <w:rPr>
                <w:rFonts w:ascii="Times New Roman" w:hAnsi="Times New Roman"/>
                <w:sz w:val="28"/>
                <w:szCs w:val="28"/>
              </w:rPr>
            </w:pPr>
            <w:r>
              <w:rPr>
                <w:rFonts w:ascii="Arial" w:eastAsia="宋体" w:hAnsi="Arial" w:cs="Arial"/>
                <w:b/>
                <w:bCs/>
                <w:color w:val="FFFFFF"/>
                <w:sz w:val="28"/>
                <w:szCs w:val="28"/>
                <w:shd w:val="clear" w:color="auto" w:fill="0071C5"/>
              </w:rPr>
              <w:t xml:space="preserve">NOTE 5 : </w:t>
            </w:r>
          </w:p>
        </w:tc>
        <w:tc>
          <w:tcPr>
            <w:tcW w:w="0" w:type="auto"/>
            <w:tcBorders>
              <w:bottom w:val="single" w:sz="8" w:space="0" w:color="0071C5"/>
            </w:tcBorders>
            <w:shd w:val="clear" w:color="auto" w:fill="auto"/>
            <w:tcMar>
              <w:top w:w="40" w:type="dxa"/>
              <w:left w:w="40" w:type="dxa"/>
              <w:bottom w:w="40" w:type="dxa"/>
              <w:right w:w="40" w:type="dxa"/>
            </w:tcMar>
            <w:vAlign w:val="bottom"/>
          </w:tcPr>
          <w:p w14:paraId="4ACE47CF" w14:textId="77777777" w:rsidR="006F587A" w:rsidRDefault="007B2B61">
            <w:pPr>
              <w:textAlignment w:val="bottom"/>
              <w:rPr>
                <w:rFonts w:ascii="Times New Roman" w:hAnsi="Times New Roman"/>
                <w:sz w:val="28"/>
                <w:szCs w:val="28"/>
              </w:rPr>
            </w:pPr>
            <w:r>
              <w:rPr>
                <w:rFonts w:ascii="Arial" w:eastAsia="宋体" w:hAnsi="Arial" w:cs="Arial"/>
                <w:b/>
                <w:bCs/>
                <w:color w:val="0071C5"/>
                <w:sz w:val="28"/>
                <w:szCs w:val="28"/>
              </w:rPr>
              <w:t>EARNINGS PER SHARE</w:t>
            </w:r>
          </w:p>
        </w:tc>
      </w:tr>
    </w:tbl>
    <w:p w14:paraId="4ACE47D1"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computed basic earnings per share of common stock based on the weighted average number of shares of common stock outstanding during the period. We computed diluted earnings per share of common stock based on the weighted average number of shares of comm</w:t>
      </w:r>
      <w:r>
        <w:rPr>
          <w:rFonts w:ascii="Arial" w:eastAsia="宋体" w:hAnsi="Arial" w:cs="Arial"/>
          <w:color w:val="333333"/>
          <w:sz w:val="18"/>
          <w:szCs w:val="18"/>
        </w:rPr>
        <w:t xml:space="preserve">on stock outstanding plus potentially dilutive shares of common stock outstanding during the period. </w:t>
      </w:r>
    </w:p>
    <w:tbl>
      <w:tblPr>
        <w:tblW w:w="5000" w:type="pct"/>
        <w:tblCellMar>
          <w:left w:w="0" w:type="dxa"/>
          <w:right w:w="0" w:type="dxa"/>
        </w:tblCellMar>
        <w:tblLook w:val="04A0" w:firstRow="1" w:lastRow="0" w:firstColumn="1" w:lastColumn="0" w:noHBand="0" w:noVBand="1"/>
      </w:tblPr>
      <w:tblGrid>
        <w:gridCol w:w="5015"/>
        <w:gridCol w:w="130"/>
        <w:gridCol w:w="142"/>
        <w:gridCol w:w="780"/>
        <w:gridCol w:w="59"/>
        <w:gridCol w:w="130"/>
        <w:gridCol w:w="142"/>
        <w:gridCol w:w="758"/>
        <w:gridCol w:w="59"/>
        <w:gridCol w:w="130"/>
        <w:gridCol w:w="142"/>
        <w:gridCol w:w="760"/>
        <w:gridCol w:w="59"/>
      </w:tblGrid>
      <w:tr w:rsidR="006F587A" w14:paraId="4ACE47D3" w14:textId="77777777">
        <w:tc>
          <w:tcPr>
            <w:tcW w:w="0" w:type="auto"/>
            <w:gridSpan w:val="13"/>
            <w:shd w:val="clear" w:color="auto" w:fill="auto"/>
            <w:vAlign w:val="center"/>
          </w:tcPr>
          <w:p w14:paraId="4ACE47D2" w14:textId="77777777" w:rsidR="006F587A" w:rsidRDefault="006F587A">
            <w:pPr>
              <w:rPr>
                <w:rFonts w:ascii="Times New Roman" w:hAnsi="Times New Roman"/>
                <w:sz w:val="20"/>
                <w:szCs w:val="20"/>
              </w:rPr>
            </w:pPr>
          </w:p>
        </w:tc>
      </w:tr>
      <w:tr w:rsidR="006F587A" w14:paraId="4ACE47E1" w14:textId="77777777">
        <w:tc>
          <w:tcPr>
            <w:tcW w:w="3050" w:type="pct"/>
            <w:shd w:val="clear" w:color="auto" w:fill="auto"/>
            <w:vAlign w:val="center"/>
          </w:tcPr>
          <w:p w14:paraId="4ACE47D4" w14:textId="77777777" w:rsidR="006F587A" w:rsidRDefault="006F587A">
            <w:pPr>
              <w:rPr>
                <w:rFonts w:ascii="Times New Roman" w:hAnsi="Times New Roman"/>
                <w:sz w:val="20"/>
                <w:szCs w:val="20"/>
              </w:rPr>
            </w:pPr>
          </w:p>
        </w:tc>
        <w:tc>
          <w:tcPr>
            <w:tcW w:w="50" w:type="pct"/>
            <w:shd w:val="clear" w:color="auto" w:fill="auto"/>
            <w:vAlign w:val="center"/>
          </w:tcPr>
          <w:p w14:paraId="4ACE47D5" w14:textId="77777777" w:rsidR="006F587A" w:rsidRDefault="006F587A">
            <w:pPr>
              <w:rPr>
                <w:rFonts w:ascii="Times New Roman" w:hAnsi="Times New Roman"/>
                <w:sz w:val="20"/>
                <w:szCs w:val="20"/>
              </w:rPr>
            </w:pPr>
          </w:p>
        </w:tc>
        <w:tc>
          <w:tcPr>
            <w:tcW w:w="50" w:type="pct"/>
            <w:shd w:val="clear" w:color="auto" w:fill="auto"/>
            <w:vAlign w:val="center"/>
          </w:tcPr>
          <w:p w14:paraId="4ACE47D6" w14:textId="77777777" w:rsidR="006F587A" w:rsidRDefault="006F587A">
            <w:pPr>
              <w:rPr>
                <w:rFonts w:ascii="Times New Roman" w:hAnsi="Times New Roman"/>
                <w:sz w:val="20"/>
                <w:szCs w:val="20"/>
              </w:rPr>
            </w:pPr>
          </w:p>
        </w:tc>
        <w:tc>
          <w:tcPr>
            <w:tcW w:w="500" w:type="pct"/>
            <w:shd w:val="clear" w:color="auto" w:fill="auto"/>
            <w:vAlign w:val="center"/>
          </w:tcPr>
          <w:p w14:paraId="4ACE47D7" w14:textId="77777777" w:rsidR="006F587A" w:rsidRDefault="006F587A">
            <w:pPr>
              <w:rPr>
                <w:rFonts w:ascii="Times New Roman" w:hAnsi="Times New Roman"/>
                <w:sz w:val="20"/>
                <w:szCs w:val="20"/>
              </w:rPr>
            </w:pPr>
          </w:p>
        </w:tc>
        <w:tc>
          <w:tcPr>
            <w:tcW w:w="50" w:type="pct"/>
            <w:shd w:val="clear" w:color="auto" w:fill="auto"/>
            <w:vAlign w:val="center"/>
          </w:tcPr>
          <w:p w14:paraId="4ACE47D8" w14:textId="77777777" w:rsidR="006F587A" w:rsidRDefault="006F587A">
            <w:pPr>
              <w:rPr>
                <w:rFonts w:ascii="Times New Roman" w:hAnsi="Times New Roman"/>
                <w:sz w:val="20"/>
                <w:szCs w:val="20"/>
              </w:rPr>
            </w:pPr>
          </w:p>
        </w:tc>
        <w:tc>
          <w:tcPr>
            <w:tcW w:w="50" w:type="pct"/>
            <w:shd w:val="clear" w:color="auto" w:fill="auto"/>
            <w:vAlign w:val="center"/>
          </w:tcPr>
          <w:p w14:paraId="4ACE47D9" w14:textId="77777777" w:rsidR="006F587A" w:rsidRDefault="006F587A">
            <w:pPr>
              <w:rPr>
                <w:rFonts w:ascii="Times New Roman" w:hAnsi="Times New Roman"/>
                <w:sz w:val="20"/>
                <w:szCs w:val="20"/>
              </w:rPr>
            </w:pPr>
          </w:p>
        </w:tc>
        <w:tc>
          <w:tcPr>
            <w:tcW w:w="50" w:type="pct"/>
            <w:shd w:val="clear" w:color="auto" w:fill="auto"/>
            <w:vAlign w:val="center"/>
          </w:tcPr>
          <w:p w14:paraId="4ACE47DA" w14:textId="77777777" w:rsidR="006F587A" w:rsidRDefault="006F587A">
            <w:pPr>
              <w:rPr>
                <w:rFonts w:ascii="Times New Roman" w:hAnsi="Times New Roman"/>
                <w:sz w:val="20"/>
                <w:szCs w:val="20"/>
              </w:rPr>
            </w:pPr>
          </w:p>
        </w:tc>
        <w:tc>
          <w:tcPr>
            <w:tcW w:w="500" w:type="pct"/>
            <w:shd w:val="clear" w:color="auto" w:fill="auto"/>
            <w:vAlign w:val="center"/>
          </w:tcPr>
          <w:p w14:paraId="4ACE47DB" w14:textId="77777777" w:rsidR="006F587A" w:rsidRDefault="006F587A">
            <w:pPr>
              <w:rPr>
                <w:rFonts w:ascii="Times New Roman" w:hAnsi="Times New Roman"/>
                <w:sz w:val="20"/>
                <w:szCs w:val="20"/>
              </w:rPr>
            </w:pPr>
          </w:p>
        </w:tc>
        <w:tc>
          <w:tcPr>
            <w:tcW w:w="50" w:type="pct"/>
            <w:shd w:val="clear" w:color="auto" w:fill="auto"/>
            <w:vAlign w:val="center"/>
          </w:tcPr>
          <w:p w14:paraId="4ACE47DC" w14:textId="77777777" w:rsidR="006F587A" w:rsidRDefault="006F587A">
            <w:pPr>
              <w:rPr>
                <w:rFonts w:ascii="Times New Roman" w:hAnsi="Times New Roman"/>
                <w:sz w:val="20"/>
                <w:szCs w:val="20"/>
              </w:rPr>
            </w:pPr>
          </w:p>
        </w:tc>
        <w:tc>
          <w:tcPr>
            <w:tcW w:w="50" w:type="pct"/>
            <w:shd w:val="clear" w:color="auto" w:fill="auto"/>
            <w:vAlign w:val="center"/>
          </w:tcPr>
          <w:p w14:paraId="4ACE47DD" w14:textId="77777777" w:rsidR="006F587A" w:rsidRDefault="006F587A">
            <w:pPr>
              <w:rPr>
                <w:rFonts w:ascii="Times New Roman" w:hAnsi="Times New Roman"/>
                <w:sz w:val="20"/>
                <w:szCs w:val="20"/>
              </w:rPr>
            </w:pPr>
          </w:p>
        </w:tc>
        <w:tc>
          <w:tcPr>
            <w:tcW w:w="50" w:type="pct"/>
            <w:shd w:val="clear" w:color="auto" w:fill="auto"/>
            <w:vAlign w:val="center"/>
          </w:tcPr>
          <w:p w14:paraId="4ACE47DE" w14:textId="77777777" w:rsidR="006F587A" w:rsidRDefault="006F587A">
            <w:pPr>
              <w:rPr>
                <w:rFonts w:ascii="Times New Roman" w:hAnsi="Times New Roman"/>
                <w:sz w:val="20"/>
                <w:szCs w:val="20"/>
              </w:rPr>
            </w:pPr>
          </w:p>
        </w:tc>
        <w:tc>
          <w:tcPr>
            <w:tcW w:w="500" w:type="pct"/>
            <w:shd w:val="clear" w:color="auto" w:fill="auto"/>
            <w:vAlign w:val="center"/>
          </w:tcPr>
          <w:p w14:paraId="4ACE47DF" w14:textId="77777777" w:rsidR="006F587A" w:rsidRDefault="006F587A">
            <w:pPr>
              <w:rPr>
                <w:rFonts w:ascii="Times New Roman" w:hAnsi="Times New Roman"/>
                <w:sz w:val="20"/>
                <w:szCs w:val="20"/>
              </w:rPr>
            </w:pPr>
          </w:p>
        </w:tc>
        <w:tc>
          <w:tcPr>
            <w:tcW w:w="50" w:type="pct"/>
            <w:shd w:val="clear" w:color="auto" w:fill="auto"/>
            <w:vAlign w:val="center"/>
          </w:tcPr>
          <w:p w14:paraId="4ACE47E0" w14:textId="77777777" w:rsidR="006F587A" w:rsidRDefault="006F587A">
            <w:pPr>
              <w:rPr>
                <w:rFonts w:ascii="Times New Roman" w:hAnsi="Times New Roman"/>
                <w:sz w:val="20"/>
                <w:szCs w:val="20"/>
              </w:rPr>
            </w:pPr>
          </w:p>
        </w:tc>
      </w:tr>
      <w:tr w:rsidR="006F587A" w14:paraId="4ACE47E9"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47E2"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Years Ended (In Millions, Except Per Share Amounts)</w:t>
            </w:r>
          </w:p>
        </w:tc>
        <w:tc>
          <w:tcPr>
            <w:tcW w:w="0" w:type="auto"/>
            <w:shd w:val="clear" w:color="auto" w:fill="auto"/>
            <w:tcMar>
              <w:top w:w="40" w:type="dxa"/>
              <w:left w:w="40" w:type="dxa"/>
              <w:bottom w:w="40" w:type="dxa"/>
              <w:right w:w="40" w:type="dxa"/>
            </w:tcMar>
            <w:vAlign w:val="bottom"/>
          </w:tcPr>
          <w:p w14:paraId="4ACE47E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7E4"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28, </w:t>
            </w:r>
            <w:r>
              <w:rPr>
                <w:rFonts w:ascii="Arial" w:eastAsia="宋体" w:hAnsi="Arial" w:cs="Arial"/>
                <w:b/>
                <w:bCs/>
                <w:color w:val="333333"/>
                <w:sz w:val="18"/>
                <w:szCs w:val="18"/>
              </w:rPr>
              <w:br/>
              <w:t>2019</w:t>
            </w:r>
          </w:p>
        </w:tc>
        <w:tc>
          <w:tcPr>
            <w:tcW w:w="0" w:type="auto"/>
            <w:shd w:val="clear" w:color="auto" w:fill="auto"/>
            <w:tcMar>
              <w:top w:w="40" w:type="dxa"/>
              <w:left w:w="40" w:type="dxa"/>
              <w:bottom w:w="40" w:type="dxa"/>
              <w:right w:w="40" w:type="dxa"/>
            </w:tcMar>
            <w:vAlign w:val="bottom"/>
          </w:tcPr>
          <w:p w14:paraId="4ACE47E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7E6"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29, </w:t>
            </w:r>
            <w:r>
              <w:rPr>
                <w:rFonts w:ascii="Arial" w:eastAsia="宋体" w:hAnsi="Arial" w:cs="Arial"/>
                <w:b/>
                <w:bCs/>
                <w:color w:val="333333"/>
                <w:sz w:val="18"/>
                <w:szCs w:val="18"/>
              </w:rPr>
              <w:br/>
              <w:t>2018</w:t>
            </w:r>
          </w:p>
        </w:tc>
        <w:tc>
          <w:tcPr>
            <w:tcW w:w="0" w:type="auto"/>
            <w:shd w:val="clear" w:color="auto" w:fill="auto"/>
            <w:tcMar>
              <w:top w:w="40" w:type="dxa"/>
              <w:left w:w="40" w:type="dxa"/>
              <w:bottom w:w="40" w:type="dxa"/>
              <w:right w:w="40" w:type="dxa"/>
            </w:tcMar>
            <w:vAlign w:val="bottom"/>
          </w:tcPr>
          <w:p w14:paraId="4ACE47E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7E8"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30, </w:t>
            </w:r>
            <w:r>
              <w:rPr>
                <w:rFonts w:ascii="Arial" w:eastAsia="宋体" w:hAnsi="Arial" w:cs="Arial"/>
                <w:b/>
                <w:bCs/>
                <w:color w:val="333333"/>
                <w:sz w:val="18"/>
                <w:szCs w:val="18"/>
              </w:rPr>
              <w:br/>
              <w:t>2017</w:t>
            </w:r>
          </w:p>
        </w:tc>
      </w:tr>
      <w:tr w:rsidR="006F587A" w14:paraId="4ACE47F7" w14:textId="77777777">
        <w:tc>
          <w:tcPr>
            <w:tcW w:w="0" w:type="auto"/>
            <w:shd w:val="clear" w:color="auto" w:fill="auto"/>
            <w:tcMar>
              <w:top w:w="40" w:type="dxa"/>
              <w:left w:w="40" w:type="dxa"/>
              <w:bottom w:w="40" w:type="dxa"/>
              <w:right w:w="40" w:type="dxa"/>
            </w:tcMar>
            <w:vAlign w:val="bottom"/>
          </w:tcPr>
          <w:p w14:paraId="4ACE47EA"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 xml:space="preserve">Net income available to common </w:t>
            </w:r>
            <w:r>
              <w:rPr>
                <w:rFonts w:ascii="Arial" w:eastAsia="宋体" w:hAnsi="Arial" w:cs="Arial"/>
                <w:b/>
                <w:bCs/>
                <w:color w:val="333333"/>
                <w:sz w:val="18"/>
                <w:szCs w:val="18"/>
              </w:rPr>
              <w:t>stockholders</w:t>
            </w:r>
          </w:p>
        </w:tc>
        <w:tc>
          <w:tcPr>
            <w:tcW w:w="0" w:type="auto"/>
            <w:shd w:val="clear" w:color="auto" w:fill="auto"/>
            <w:tcMar>
              <w:top w:w="40" w:type="dxa"/>
              <w:left w:w="40" w:type="dxa"/>
              <w:bottom w:w="40" w:type="dxa"/>
              <w:right w:w="40" w:type="dxa"/>
            </w:tcMar>
            <w:vAlign w:val="bottom"/>
          </w:tcPr>
          <w:p w14:paraId="4ACE47E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7EC"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bottom w:w="40" w:type="dxa"/>
            </w:tcMar>
            <w:vAlign w:val="bottom"/>
          </w:tcPr>
          <w:p w14:paraId="4ACE47ED"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21,048</w:t>
            </w:r>
          </w:p>
        </w:tc>
        <w:tc>
          <w:tcPr>
            <w:tcW w:w="0" w:type="auto"/>
            <w:shd w:val="clear" w:color="auto" w:fill="auto"/>
            <w:vAlign w:val="bottom"/>
          </w:tcPr>
          <w:p w14:paraId="4ACE47E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7E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7F0"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bottom w:w="40" w:type="dxa"/>
            </w:tcMar>
            <w:vAlign w:val="bottom"/>
          </w:tcPr>
          <w:p w14:paraId="4ACE47F1"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21,053</w:t>
            </w:r>
          </w:p>
        </w:tc>
        <w:tc>
          <w:tcPr>
            <w:tcW w:w="0" w:type="auto"/>
            <w:shd w:val="clear" w:color="auto" w:fill="auto"/>
            <w:vAlign w:val="bottom"/>
          </w:tcPr>
          <w:p w14:paraId="4ACE47F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7F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7F4"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bottom w:w="40" w:type="dxa"/>
            </w:tcMar>
            <w:vAlign w:val="bottom"/>
          </w:tcPr>
          <w:p w14:paraId="4ACE47F5"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9,601</w:t>
            </w:r>
          </w:p>
        </w:tc>
        <w:tc>
          <w:tcPr>
            <w:tcW w:w="0" w:type="auto"/>
            <w:shd w:val="clear" w:color="auto" w:fill="auto"/>
            <w:vAlign w:val="bottom"/>
          </w:tcPr>
          <w:p w14:paraId="4ACE47F6" w14:textId="77777777" w:rsidR="006F587A" w:rsidRDefault="006F587A">
            <w:pPr>
              <w:textAlignment w:val="bottom"/>
              <w:rPr>
                <w:rFonts w:ascii="Times New Roman" w:hAnsi="Times New Roman"/>
                <w:sz w:val="20"/>
                <w:szCs w:val="20"/>
              </w:rPr>
            </w:pPr>
          </w:p>
        </w:tc>
      </w:tr>
      <w:tr w:rsidR="006F587A" w14:paraId="4ACE4802" w14:textId="77777777">
        <w:tc>
          <w:tcPr>
            <w:tcW w:w="0" w:type="auto"/>
            <w:shd w:val="clear" w:color="auto" w:fill="auto"/>
            <w:tcMar>
              <w:top w:w="40" w:type="dxa"/>
              <w:left w:w="40" w:type="dxa"/>
              <w:bottom w:w="40" w:type="dxa"/>
              <w:right w:w="40" w:type="dxa"/>
            </w:tcMar>
            <w:vAlign w:val="bottom"/>
          </w:tcPr>
          <w:p w14:paraId="4ACE47F8" w14:textId="77777777" w:rsidR="006F587A" w:rsidRDefault="007B2B61">
            <w:pPr>
              <w:ind w:hanging="240"/>
              <w:textAlignment w:val="bottom"/>
              <w:rPr>
                <w:rFonts w:ascii="Times New Roman" w:hAnsi="Times New Roman"/>
                <w:sz w:val="18"/>
                <w:szCs w:val="18"/>
              </w:rPr>
            </w:pPr>
            <w:r>
              <w:rPr>
                <w:rFonts w:ascii="Arial" w:eastAsia="宋体" w:hAnsi="Arial" w:cs="Arial"/>
                <w:b/>
                <w:bCs/>
                <w:color w:val="333333"/>
                <w:sz w:val="18"/>
                <w:szCs w:val="18"/>
              </w:rPr>
              <w:t>Weighted average shares of common stock outstanding—Basic</w:t>
            </w:r>
          </w:p>
        </w:tc>
        <w:tc>
          <w:tcPr>
            <w:tcW w:w="0" w:type="auto"/>
            <w:shd w:val="clear" w:color="auto" w:fill="auto"/>
            <w:tcMar>
              <w:top w:w="40" w:type="dxa"/>
              <w:left w:w="40" w:type="dxa"/>
              <w:bottom w:w="40" w:type="dxa"/>
              <w:right w:w="40" w:type="dxa"/>
            </w:tcMar>
            <w:vAlign w:val="bottom"/>
          </w:tcPr>
          <w:p w14:paraId="4ACE47F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7FA"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4,417</w:t>
            </w:r>
          </w:p>
        </w:tc>
        <w:tc>
          <w:tcPr>
            <w:tcW w:w="0" w:type="auto"/>
            <w:shd w:val="clear" w:color="auto" w:fill="auto"/>
            <w:vAlign w:val="bottom"/>
          </w:tcPr>
          <w:p w14:paraId="4ACE47F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7F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7FD"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4,611</w:t>
            </w:r>
          </w:p>
        </w:tc>
        <w:tc>
          <w:tcPr>
            <w:tcW w:w="0" w:type="auto"/>
            <w:shd w:val="clear" w:color="auto" w:fill="auto"/>
            <w:vAlign w:val="bottom"/>
          </w:tcPr>
          <w:p w14:paraId="4ACE47F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7F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800"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4,701</w:t>
            </w:r>
          </w:p>
        </w:tc>
        <w:tc>
          <w:tcPr>
            <w:tcW w:w="0" w:type="auto"/>
            <w:shd w:val="clear" w:color="auto" w:fill="auto"/>
            <w:vAlign w:val="bottom"/>
          </w:tcPr>
          <w:p w14:paraId="4ACE4801" w14:textId="77777777" w:rsidR="006F587A" w:rsidRDefault="006F587A">
            <w:pPr>
              <w:textAlignment w:val="bottom"/>
              <w:rPr>
                <w:rFonts w:ascii="Times New Roman" w:hAnsi="Times New Roman"/>
                <w:sz w:val="20"/>
                <w:szCs w:val="20"/>
              </w:rPr>
            </w:pPr>
          </w:p>
        </w:tc>
      </w:tr>
      <w:tr w:rsidR="006F587A" w14:paraId="4ACE480D" w14:textId="77777777">
        <w:tc>
          <w:tcPr>
            <w:tcW w:w="0" w:type="auto"/>
            <w:shd w:val="clear" w:color="auto" w:fill="auto"/>
            <w:tcMar>
              <w:top w:w="40" w:type="dxa"/>
              <w:left w:w="40" w:type="dxa"/>
              <w:bottom w:w="40" w:type="dxa"/>
              <w:right w:w="40" w:type="dxa"/>
            </w:tcMar>
            <w:vAlign w:val="bottom"/>
          </w:tcPr>
          <w:p w14:paraId="4ACE480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Dilutive effect of employee incentive plans</w:t>
            </w:r>
          </w:p>
        </w:tc>
        <w:tc>
          <w:tcPr>
            <w:tcW w:w="0" w:type="auto"/>
            <w:shd w:val="clear" w:color="auto" w:fill="auto"/>
            <w:tcMar>
              <w:top w:w="40" w:type="dxa"/>
              <w:left w:w="40" w:type="dxa"/>
              <w:bottom w:w="40" w:type="dxa"/>
              <w:right w:w="40" w:type="dxa"/>
            </w:tcMar>
            <w:vAlign w:val="bottom"/>
          </w:tcPr>
          <w:p w14:paraId="4ACE480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805"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41</w:t>
            </w:r>
          </w:p>
        </w:tc>
        <w:tc>
          <w:tcPr>
            <w:tcW w:w="0" w:type="auto"/>
            <w:shd w:val="clear" w:color="auto" w:fill="auto"/>
            <w:vAlign w:val="bottom"/>
          </w:tcPr>
          <w:p w14:paraId="4ACE480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80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80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50</w:t>
            </w:r>
          </w:p>
        </w:tc>
        <w:tc>
          <w:tcPr>
            <w:tcW w:w="0" w:type="auto"/>
            <w:shd w:val="clear" w:color="auto" w:fill="auto"/>
            <w:vAlign w:val="bottom"/>
          </w:tcPr>
          <w:p w14:paraId="4ACE480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80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80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47</w:t>
            </w:r>
          </w:p>
        </w:tc>
        <w:tc>
          <w:tcPr>
            <w:tcW w:w="0" w:type="auto"/>
            <w:shd w:val="clear" w:color="auto" w:fill="auto"/>
            <w:vAlign w:val="bottom"/>
          </w:tcPr>
          <w:p w14:paraId="4ACE480C" w14:textId="77777777" w:rsidR="006F587A" w:rsidRDefault="006F587A">
            <w:pPr>
              <w:textAlignment w:val="bottom"/>
              <w:rPr>
                <w:rFonts w:ascii="Times New Roman" w:hAnsi="Times New Roman"/>
                <w:sz w:val="20"/>
                <w:szCs w:val="20"/>
              </w:rPr>
            </w:pPr>
          </w:p>
        </w:tc>
      </w:tr>
      <w:tr w:rsidR="006F587A" w14:paraId="4ACE4818" w14:textId="77777777">
        <w:tc>
          <w:tcPr>
            <w:tcW w:w="0" w:type="auto"/>
            <w:shd w:val="clear" w:color="auto" w:fill="auto"/>
            <w:tcMar>
              <w:top w:w="40" w:type="dxa"/>
              <w:left w:w="40" w:type="dxa"/>
              <w:bottom w:w="40" w:type="dxa"/>
              <w:right w:w="40" w:type="dxa"/>
            </w:tcMar>
            <w:vAlign w:val="bottom"/>
          </w:tcPr>
          <w:p w14:paraId="4ACE480E"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Dilutive effect of convertible debt</w:t>
            </w:r>
          </w:p>
        </w:tc>
        <w:tc>
          <w:tcPr>
            <w:tcW w:w="0" w:type="auto"/>
            <w:shd w:val="clear" w:color="auto" w:fill="auto"/>
            <w:tcMar>
              <w:top w:w="40" w:type="dxa"/>
              <w:left w:w="40" w:type="dxa"/>
              <w:bottom w:w="40" w:type="dxa"/>
              <w:right w:w="40" w:type="dxa"/>
            </w:tcMar>
            <w:vAlign w:val="bottom"/>
          </w:tcPr>
          <w:p w14:paraId="4ACE480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810"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15</w:t>
            </w:r>
          </w:p>
        </w:tc>
        <w:tc>
          <w:tcPr>
            <w:tcW w:w="0" w:type="auto"/>
            <w:shd w:val="clear" w:color="auto" w:fill="auto"/>
            <w:vAlign w:val="bottom"/>
          </w:tcPr>
          <w:p w14:paraId="4ACE481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81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813"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40</w:t>
            </w:r>
          </w:p>
        </w:tc>
        <w:tc>
          <w:tcPr>
            <w:tcW w:w="0" w:type="auto"/>
            <w:shd w:val="clear" w:color="auto" w:fill="auto"/>
            <w:vAlign w:val="bottom"/>
          </w:tcPr>
          <w:p w14:paraId="4ACE481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81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81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87</w:t>
            </w:r>
          </w:p>
        </w:tc>
        <w:tc>
          <w:tcPr>
            <w:tcW w:w="0" w:type="auto"/>
            <w:shd w:val="clear" w:color="auto" w:fill="auto"/>
            <w:vAlign w:val="bottom"/>
          </w:tcPr>
          <w:p w14:paraId="4ACE4817" w14:textId="77777777" w:rsidR="006F587A" w:rsidRDefault="006F587A">
            <w:pPr>
              <w:textAlignment w:val="bottom"/>
              <w:rPr>
                <w:rFonts w:ascii="Times New Roman" w:hAnsi="Times New Roman"/>
                <w:sz w:val="20"/>
                <w:szCs w:val="20"/>
              </w:rPr>
            </w:pPr>
          </w:p>
        </w:tc>
      </w:tr>
      <w:tr w:rsidR="006F587A" w14:paraId="4ACE4823" w14:textId="77777777">
        <w:tc>
          <w:tcPr>
            <w:tcW w:w="0" w:type="auto"/>
            <w:shd w:val="clear" w:color="auto" w:fill="auto"/>
            <w:tcMar>
              <w:top w:w="40" w:type="dxa"/>
              <w:left w:w="40" w:type="dxa"/>
              <w:bottom w:w="40" w:type="dxa"/>
              <w:right w:w="40" w:type="dxa"/>
            </w:tcMar>
            <w:vAlign w:val="bottom"/>
          </w:tcPr>
          <w:p w14:paraId="4ACE4819" w14:textId="77777777" w:rsidR="006F587A" w:rsidRDefault="007B2B61">
            <w:pPr>
              <w:ind w:hanging="240"/>
              <w:textAlignment w:val="bottom"/>
              <w:rPr>
                <w:rFonts w:ascii="Times New Roman" w:hAnsi="Times New Roman"/>
                <w:sz w:val="18"/>
                <w:szCs w:val="18"/>
              </w:rPr>
            </w:pPr>
            <w:r>
              <w:rPr>
                <w:rFonts w:ascii="Arial" w:eastAsia="宋体" w:hAnsi="Arial" w:cs="Arial"/>
                <w:b/>
                <w:bCs/>
                <w:color w:val="333333"/>
                <w:sz w:val="18"/>
                <w:szCs w:val="18"/>
              </w:rPr>
              <w:t>Weighted average shares of common stock outstanding—Diluted</w:t>
            </w:r>
          </w:p>
        </w:tc>
        <w:tc>
          <w:tcPr>
            <w:tcW w:w="0" w:type="auto"/>
            <w:shd w:val="clear" w:color="auto" w:fill="auto"/>
            <w:tcMar>
              <w:top w:w="40" w:type="dxa"/>
              <w:left w:w="40" w:type="dxa"/>
              <w:bottom w:w="40" w:type="dxa"/>
              <w:right w:w="40" w:type="dxa"/>
            </w:tcMar>
            <w:vAlign w:val="bottom"/>
          </w:tcPr>
          <w:p w14:paraId="4ACE481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481B"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4,473</w:t>
            </w:r>
          </w:p>
        </w:tc>
        <w:tc>
          <w:tcPr>
            <w:tcW w:w="0" w:type="auto"/>
            <w:tcBorders>
              <w:top w:val="single" w:sz="8" w:space="0" w:color="333333"/>
              <w:bottom w:val="single" w:sz="8" w:space="0" w:color="333333"/>
            </w:tcBorders>
            <w:shd w:val="clear" w:color="auto" w:fill="auto"/>
            <w:vAlign w:val="bottom"/>
          </w:tcPr>
          <w:p w14:paraId="4ACE481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81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481E"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4,701</w:t>
            </w:r>
          </w:p>
        </w:tc>
        <w:tc>
          <w:tcPr>
            <w:tcW w:w="0" w:type="auto"/>
            <w:tcBorders>
              <w:top w:val="single" w:sz="8" w:space="0" w:color="333333"/>
              <w:bottom w:val="single" w:sz="8" w:space="0" w:color="333333"/>
            </w:tcBorders>
            <w:shd w:val="clear" w:color="auto" w:fill="auto"/>
            <w:vAlign w:val="bottom"/>
          </w:tcPr>
          <w:p w14:paraId="4ACE481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82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4821"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4,835</w:t>
            </w:r>
          </w:p>
        </w:tc>
        <w:tc>
          <w:tcPr>
            <w:tcW w:w="0" w:type="auto"/>
            <w:tcBorders>
              <w:top w:val="single" w:sz="8" w:space="0" w:color="333333"/>
              <w:bottom w:val="single" w:sz="8" w:space="0" w:color="333333"/>
            </w:tcBorders>
            <w:shd w:val="clear" w:color="auto" w:fill="auto"/>
            <w:vAlign w:val="bottom"/>
          </w:tcPr>
          <w:p w14:paraId="4ACE4822" w14:textId="77777777" w:rsidR="006F587A" w:rsidRDefault="006F587A">
            <w:pPr>
              <w:textAlignment w:val="bottom"/>
              <w:rPr>
                <w:rFonts w:ascii="Times New Roman" w:hAnsi="Times New Roman"/>
                <w:sz w:val="20"/>
                <w:szCs w:val="20"/>
              </w:rPr>
            </w:pPr>
          </w:p>
        </w:tc>
      </w:tr>
      <w:tr w:rsidR="006F587A" w14:paraId="4ACE4831" w14:textId="77777777">
        <w:tc>
          <w:tcPr>
            <w:tcW w:w="0" w:type="auto"/>
            <w:shd w:val="clear" w:color="auto" w:fill="auto"/>
            <w:tcMar>
              <w:top w:w="40" w:type="dxa"/>
              <w:left w:w="40" w:type="dxa"/>
              <w:bottom w:w="40" w:type="dxa"/>
              <w:right w:w="40" w:type="dxa"/>
            </w:tcMar>
            <w:vAlign w:val="bottom"/>
          </w:tcPr>
          <w:p w14:paraId="4ACE4824"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Earnings per share—Basic</w:t>
            </w:r>
          </w:p>
        </w:tc>
        <w:tc>
          <w:tcPr>
            <w:tcW w:w="0" w:type="auto"/>
            <w:shd w:val="clear" w:color="auto" w:fill="auto"/>
            <w:tcMar>
              <w:top w:w="40" w:type="dxa"/>
              <w:left w:w="40" w:type="dxa"/>
              <w:bottom w:w="40" w:type="dxa"/>
              <w:right w:w="40" w:type="dxa"/>
            </w:tcMar>
            <w:vAlign w:val="bottom"/>
          </w:tcPr>
          <w:p w14:paraId="4ACE482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333333"/>
            </w:tcBorders>
            <w:shd w:val="clear" w:color="auto" w:fill="auto"/>
            <w:tcMar>
              <w:top w:w="40" w:type="dxa"/>
              <w:left w:w="40" w:type="dxa"/>
              <w:bottom w:w="40" w:type="dxa"/>
            </w:tcMar>
            <w:vAlign w:val="bottom"/>
          </w:tcPr>
          <w:p w14:paraId="4ACE4826"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bottom w:val="double" w:sz="6" w:space="0" w:color="333333"/>
            </w:tcBorders>
            <w:shd w:val="clear" w:color="auto" w:fill="auto"/>
            <w:tcMar>
              <w:top w:w="40" w:type="dxa"/>
              <w:bottom w:w="40" w:type="dxa"/>
            </w:tcMar>
            <w:vAlign w:val="bottom"/>
          </w:tcPr>
          <w:p w14:paraId="4ACE4827"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4.77</w:t>
            </w:r>
          </w:p>
        </w:tc>
        <w:tc>
          <w:tcPr>
            <w:tcW w:w="0" w:type="auto"/>
            <w:tcBorders>
              <w:bottom w:val="double" w:sz="6" w:space="0" w:color="333333"/>
            </w:tcBorders>
            <w:shd w:val="clear" w:color="auto" w:fill="auto"/>
            <w:vAlign w:val="bottom"/>
          </w:tcPr>
          <w:p w14:paraId="4ACE482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82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333333"/>
            </w:tcBorders>
            <w:shd w:val="clear" w:color="auto" w:fill="auto"/>
            <w:tcMar>
              <w:top w:w="40" w:type="dxa"/>
              <w:left w:w="40" w:type="dxa"/>
              <w:bottom w:w="40" w:type="dxa"/>
            </w:tcMar>
            <w:vAlign w:val="bottom"/>
          </w:tcPr>
          <w:p w14:paraId="4ACE482A"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bottom w:val="double" w:sz="6" w:space="0" w:color="333333"/>
            </w:tcBorders>
            <w:shd w:val="clear" w:color="auto" w:fill="auto"/>
            <w:tcMar>
              <w:top w:w="40" w:type="dxa"/>
              <w:bottom w:w="40" w:type="dxa"/>
            </w:tcMar>
            <w:vAlign w:val="bottom"/>
          </w:tcPr>
          <w:p w14:paraId="4ACE482B"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4.57</w:t>
            </w:r>
          </w:p>
        </w:tc>
        <w:tc>
          <w:tcPr>
            <w:tcW w:w="0" w:type="auto"/>
            <w:tcBorders>
              <w:bottom w:val="double" w:sz="6" w:space="0" w:color="333333"/>
            </w:tcBorders>
            <w:shd w:val="clear" w:color="auto" w:fill="auto"/>
            <w:vAlign w:val="bottom"/>
          </w:tcPr>
          <w:p w14:paraId="4ACE482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82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333333"/>
            </w:tcBorders>
            <w:shd w:val="clear" w:color="auto" w:fill="auto"/>
            <w:tcMar>
              <w:top w:w="40" w:type="dxa"/>
              <w:left w:w="40" w:type="dxa"/>
              <w:bottom w:w="40" w:type="dxa"/>
            </w:tcMar>
            <w:vAlign w:val="bottom"/>
          </w:tcPr>
          <w:p w14:paraId="4ACE482E"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bottom w:val="double" w:sz="6" w:space="0" w:color="333333"/>
            </w:tcBorders>
            <w:shd w:val="clear" w:color="auto" w:fill="auto"/>
            <w:tcMar>
              <w:top w:w="40" w:type="dxa"/>
              <w:bottom w:w="40" w:type="dxa"/>
            </w:tcMar>
            <w:vAlign w:val="bottom"/>
          </w:tcPr>
          <w:p w14:paraId="4ACE482F"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2.04</w:t>
            </w:r>
          </w:p>
        </w:tc>
        <w:tc>
          <w:tcPr>
            <w:tcW w:w="0" w:type="auto"/>
            <w:tcBorders>
              <w:bottom w:val="double" w:sz="6" w:space="0" w:color="333333"/>
            </w:tcBorders>
            <w:shd w:val="clear" w:color="auto" w:fill="auto"/>
            <w:vAlign w:val="bottom"/>
          </w:tcPr>
          <w:p w14:paraId="4ACE4830" w14:textId="77777777" w:rsidR="006F587A" w:rsidRDefault="006F587A">
            <w:pPr>
              <w:textAlignment w:val="bottom"/>
              <w:rPr>
                <w:rFonts w:ascii="Times New Roman" w:hAnsi="Times New Roman"/>
                <w:sz w:val="20"/>
                <w:szCs w:val="20"/>
              </w:rPr>
            </w:pPr>
          </w:p>
        </w:tc>
      </w:tr>
      <w:tr w:rsidR="006F587A" w14:paraId="4ACE483F" w14:textId="77777777">
        <w:tc>
          <w:tcPr>
            <w:tcW w:w="0" w:type="auto"/>
            <w:shd w:val="clear" w:color="auto" w:fill="auto"/>
            <w:tcMar>
              <w:top w:w="40" w:type="dxa"/>
              <w:left w:w="40" w:type="dxa"/>
              <w:bottom w:w="40" w:type="dxa"/>
              <w:right w:w="40" w:type="dxa"/>
            </w:tcMar>
            <w:vAlign w:val="bottom"/>
          </w:tcPr>
          <w:p w14:paraId="4ACE4832"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Earnings per share—Diluted</w:t>
            </w:r>
          </w:p>
        </w:tc>
        <w:tc>
          <w:tcPr>
            <w:tcW w:w="0" w:type="auto"/>
            <w:shd w:val="clear" w:color="auto" w:fill="auto"/>
            <w:tcMar>
              <w:top w:w="40" w:type="dxa"/>
              <w:left w:w="40" w:type="dxa"/>
              <w:bottom w:w="40" w:type="dxa"/>
              <w:right w:w="40" w:type="dxa"/>
            </w:tcMar>
            <w:vAlign w:val="bottom"/>
          </w:tcPr>
          <w:p w14:paraId="4ACE483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333333"/>
            </w:tcBorders>
            <w:shd w:val="clear" w:color="auto" w:fill="auto"/>
            <w:tcMar>
              <w:top w:w="40" w:type="dxa"/>
              <w:left w:w="40" w:type="dxa"/>
              <w:bottom w:w="40" w:type="dxa"/>
            </w:tcMar>
            <w:vAlign w:val="bottom"/>
          </w:tcPr>
          <w:p w14:paraId="4ACE4834"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bottom w:val="double" w:sz="6" w:space="0" w:color="333333"/>
            </w:tcBorders>
            <w:shd w:val="clear" w:color="auto" w:fill="auto"/>
            <w:tcMar>
              <w:top w:w="40" w:type="dxa"/>
              <w:bottom w:w="40" w:type="dxa"/>
            </w:tcMar>
            <w:vAlign w:val="bottom"/>
          </w:tcPr>
          <w:p w14:paraId="4ACE4835"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4.71</w:t>
            </w:r>
          </w:p>
        </w:tc>
        <w:tc>
          <w:tcPr>
            <w:tcW w:w="0" w:type="auto"/>
            <w:tcBorders>
              <w:bottom w:val="double" w:sz="6" w:space="0" w:color="333333"/>
            </w:tcBorders>
            <w:shd w:val="clear" w:color="auto" w:fill="auto"/>
            <w:vAlign w:val="bottom"/>
          </w:tcPr>
          <w:p w14:paraId="4ACE483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83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333333"/>
            </w:tcBorders>
            <w:shd w:val="clear" w:color="auto" w:fill="auto"/>
            <w:tcMar>
              <w:top w:w="40" w:type="dxa"/>
              <w:left w:w="40" w:type="dxa"/>
              <w:bottom w:w="40" w:type="dxa"/>
            </w:tcMar>
            <w:vAlign w:val="bottom"/>
          </w:tcPr>
          <w:p w14:paraId="4ACE4838"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bottom w:val="double" w:sz="6" w:space="0" w:color="333333"/>
            </w:tcBorders>
            <w:shd w:val="clear" w:color="auto" w:fill="auto"/>
            <w:tcMar>
              <w:top w:w="40" w:type="dxa"/>
              <w:bottom w:w="40" w:type="dxa"/>
            </w:tcMar>
            <w:vAlign w:val="bottom"/>
          </w:tcPr>
          <w:p w14:paraId="4ACE4839"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4.48</w:t>
            </w:r>
          </w:p>
        </w:tc>
        <w:tc>
          <w:tcPr>
            <w:tcW w:w="0" w:type="auto"/>
            <w:tcBorders>
              <w:bottom w:val="double" w:sz="6" w:space="0" w:color="333333"/>
            </w:tcBorders>
            <w:shd w:val="clear" w:color="auto" w:fill="auto"/>
            <w:vAlign w:val="bottom"/>
          </w:tcPr>
          <w:p w14:paraId="4ACE483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83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333333"/>
            </w:tcBorders>
            <w:shd w:val="clear" w:color="auto" w:fill="auto"/>
            <w:tcMar>
              <w:top w:w="40" w:type="dxa"/>
              <w:left w:w="40" w:type="dxa"/>
              <w:bottom w:w="40" w:type="dxa"/>
            </w:tcMar>
            <w:vAlign w:val="bottom"/>
          </w:tcPr>
          <w:p w14:paraId="4ACE483C"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bottom w:val="double" w:sz="6" w:space="0" w:color="333333"/>
            </w:tcBorders>
            <w:shd w:val="clear" w:color="auto" w:fill="auto"/>
            <w:tcMar>
              <w:top w:w="40" w:type="dxa"/>
              <w:bottom w:w="40" w:type="dxa"/>
            </w:tcMar>
            <w:vAlign w:val="bottom"/>
          </w:tcPr>
          <w:p w14:paraId="4ACE483D"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1.99</w:t>
            </w:r>
          </w:p>
        </w:tc>
        <w:tc>
          <w:tcPr>
            <w:tcW w:w="0" w:type="auto"/>
            <w:tcBorders>
              <w:bottom w:val="double" w:sz="6" w:space="0" w:color="333333"/>
            </w:tcBorders>
            <w:shd w:val="clear" w:color="auto" w:fill="auto"/>
            <w:vAlign w:val="bottom"/>
          </w:tcPr>
          <w:p w14:paraId="4ACE483E" w14:textId="77777777" w:rsidR="006F587A" w:rsidRDefault="006F587A">
            <w:pPr>
              <w:textAlignment w:val="bottom"/>
              <w:rPr>
                <w:rFonts w:ascii="Times New Roman" w:hAnsi="Times New Roman"/>
                <w:sz w:val="20"/>
                <w:szCs w:val="20"/>
              </w:rPr>
            </w:pPr>
          </w:p>
        </w:tc>
      </w:tr>
    </w:tbl>
    <w:p w14:paraId="4ACE4840" w14:textId="77777777" w:rsidR="006F587A" w:rsidRDefault="006F587A">
      <w:pPr>
        <w:spacing w:line="288" w:lineRule="auto"/>
        <w:rPr>
          <w:rFonts w:ascii="Times New Roman" w:hAnsi="Times New Roman"/>
          <w:sz w:val="20"/>
          <w:szCs w:val="20"/>
        </w:rPr>
      </w:pPr>
    </w:p>
    <w:p w14:paraId="4ACE4841"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Potentially dilutive shares of common stock from employee incentive plans are determined by applying the treasury stock method to the assumed exercise of outstanding stock options, the assumed vesting of outstanding RSUs, and the assumed issuance of common</w:t>
      </w:r>
      <w:r>
        <w:rPr>
          <w:rFonts w:ascii="Arial" w:eastAsia="宋体" w:hAnsi="Arial" w:cs="Arial"/>
          <w:color w:val="333333"/>
          <w:sz w:val="18"/>
          <w:szCs w:val="18"/>
        </w:rPr>
        <w:t xml:space="preserve"> stock under the 2006 ESPP. In December 2017, we paid cash to satisfy the conversion of our convertible debentures due 2035, which we excluded from our diluted earnings per share computation starting in the fourth quarter of 2017 and are no longer dilutive</w:t>
      </w:r>
      <w:r>
        <w:rPr>
          <w:rFonts w:ascii="Arial" w:eastAsia="宋体" w:hAnsi="Arial" w:cs="Arial"/>
          <w:color w:val="333333"/>
          <w:sz w:val="18"/>
          <w:szCs w:val="18"/>
        </w:rPr>
        <w:t>. In November 2019, we issued a notice of redemption for the remaining $372 million of 2009 Debentures with a redemption date of January 9, 2020. Our 2009 Debentures required settlement of the principal amount of the debt in cash upon conversion. Since the</w:t>
      </w:r>
      <w:r>
        <w:rPr>
          <w:rFonts w:ascii="Arial" w:eastAsia="宋体" w:hAnsi="Arial" w:cs="Arial"/>
          <w:color w:val="333333"/>
          <w:sz w:val="18"/>
          <w:szCs w:val="18"/>
        </w:rPr>
        <w:t xml:space="preserve"> conversion premium was paid in cash or stock at our option, we determined the potentially dilutive shares of common stock by applying the treasury stock method. We included our 2009 Debentures in the calculation of diluted earnings per share of common sto</w:t>
      </w:r>
      <w:r>
        <w:rPr>
          <w:rFonts w:ascii="Arial" w:eastAsia="宋体" w:hAnsi="Arial" w:cs="Arial"/>
          <w:color w:val="333333"/>
          <w:sz w:val="18"/>
          <w:szCs w:val="18"/>
        </w:rPr>
        <w:t xml:space="preserve">ck in all periods presented because the average market price was above the conversion price. </w:t>
      </w:r>
    </w:p>
    <w:p w14:paraId="4ACE4842"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Securities that would have been anti-dilutive are insignificant and are excluded from the computation of diluted earnings per share in all periods presented.</w:t>
      </w:r>
    </w:p>
    <w:p w14:paraId="4ACE4843"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4845" w14:textId="77777777">
        <w:tc>
          <w:tcPr>
            <w:tcW w:w="0" w:type="auto"/>
            <w:gridSpan w:val="3"/>
            <w:shd w:val="clear" w:color="auto" w:fill="auto"/>
            <w:vAlign w:val="center"/>
          </w:tcPr>
          <w:p w14:paraId="4ACE4844" w14:textId="77777777" w:rsidR="006F587A" w:rsidRDefault="006F587A">
            <w:pPr>
              <w:rPr>
                <w:rFonts w:ascii="Times New Roman" w:hAnsi="Times New Roman"/>
                <w:sz w:val="20"/>
                <w:szCs w:val="20"/>
              </w:rPr>
            </w:pPr>
          </w:p>
        </w:tc>
      </w:tr>
      <w:tr w:rsidR="006F587A" w14:paraId="4ACE4849" w14:textId="77777777">
        <w:tc>
          <w:tcPr>
            <w:tcW w:w="1300" w:type="pct"/>
            <w:shd w:val="clear" w:color="auto" w:fill="auto"/>
            <w:vAlign w:val="center"/>
          </w:tcPr>
          <w:p w14:paraId="4ACE4846" w14:textId="77777777" w:rsidR="006F587A" w:rsidRDefault="006F587A">
            <w:pPr>
              <w:rPr>
                <w:rFonts w:ascii="Times New Roman" w:hAnsi="Times New Roman"/>
                <w:sz w:val="20"/>
                <w:szCs w:val="20"/>
              </w:rPr>
            </w:pPr>
          </w:p>
        </w:tc>
        <w:tc>
          <w:tcPr>
            <w:tcW w:w="1600" w:type="pct"/>
            <w:shd w:val="clear" w:color="auto" w:fill="auto"/>
            <w:vAlign w:val="center"/>
          </w:tcPr>
          <w:p w14:paraId="4ACE4847" w14:textId="77777777" w:rsidR="006F587A" w:rsidRDefault="006F587A">
            <w:pPr>
              <w:rPr>
                <w:rFonts w:ascii="Times New Roman" w:hAnsi="Times New Roman"/>
                <w:sz w:val="20"/>
                <w:szCs w:val="20"/>
              </w:rPr>
            </w:pPr>
          </w:p>
        </w:tc>
        <w:tc>
          <w:tcPr>
            <w:tcW w:w="2100" w:type="pct"/>
            <w:shd w:val="clear" w:color="auto" w:fill="auto"/>
            <w:vAlign w:val="center"/>
          </w:tcPr>
          <w:p w14:paraId="4ACE4848" w14:textId="77777777" w:rsidR="006F587A" w:rsidRDefault="006F587A">
            <w:pPr>
              <w:rPr>
                <w:rFonts w:ascii="Times New Roman" w:hAnsi="Times New Roman"/>
                <w:sz w:val="20"/>
                <w:szCs w:val="20"/>
              </w:rPr>
            </w:pPr>
          </w:p>
        </w:tc>
      </w:tr>
      <w:tr w:rsidR="006F587A" w14:paraId="4ACE484D" w14:textId="77777777">
        <w:tc>
          <w:tcPr>
            <w:tcW w:w="0" w:type="auto"/>
            <w:tcBorders>
              <w:top w:val="single" w:sz="8" w:space="0" w:color="0071C5"/>
            </w:tcBorders>
            <w:shd w:val="clear" w:color="auto" w:fill="auto"/>
            <w:tcMar>
              <w:top w:w="40" w:type="dxa"/>
              <w:left w:w="40" w:type="dxa"/>
              <w:bottom w:w="40" w:type="dxa"/>
              <w:right w:w="40" w:type="dxa"/>
            </w:tcMar>
            <w:vAlign w:val="bottom"/>
          </w:tcPr>
          <w:p w14:paraId="4ACE484A" w14:textId="77777777" w:rsidR="006F587A" w:rsidRDefault="007B2B61">
            <w:pPr>
              <w:textAlignment w:val="bottom"/>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E1" wp14:editId="4ACE6DE2">
                  <wp:extent cx="304800" cy="304800"/>
                  <wp:effectExtent l="0" t="0" r="0" b="0"/>
                  <wp:docPr id="157" name="图片 304"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304"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left w:val="single" w:sz="36" w:space="0" w:color="0071C5"/>
            </w:tcBorders>
            <w:shd w:val="clear" w:color="auto" w:fill="auto"/>
            <w:tcMar>
              <w:top w:w="40" w:type="dxa"/>
              <w:left w:w="40" w:type="dxa"/>
              <w:bottom w:w="40" w:type="dxa"/>
              <w:right w:w="40" w:type="dxa"/>
            </w:tcMar>
            <w:vAlign w:val="bottom"/>
          </w:tcPr>
          <w:p w14:paraId="4ACE484B" w14:textId="77777777" w:rsidR="006F587A" w:rsidRDefault="007B2B61">
            <w:pPr>
              <w:textAlignment w:val="bottom"/>
              <w:rPr>
                <w:rFonts w:ascii="Times New Roman" w:hAnsi="Times New Roman"/>
                <w:sz w:val="16"/>
                <w:szCs w:val="16"/>
              </w:rPr>
            </w:pPr>
            <w:r>
              <w:rPr>
                <w:rFonts w:ascii="Arial" w:eastAsia="宋体" w:hAnsi="Arial" w:cs="Arial"/>
                <w:color w:val="333333"/>
                <w:sz w:val="16"/>
                <w:szCs w:val="16"/>
              </w:rPr>
              <w:t> Notes to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484C"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83</w:t>
            </w:r>
          </w:p>
        </w:tc>
      </w:tr>
    </w:tbl>
    <w:p w14:paraId="4ACE484E" w14:textId="77777777" w:rsidR="006F587A" w:rsidRDefault="007B2B61">
      <w:r>
        <w:lastRenderedPageBreak/>
        <w:pict w14:anchorId="4ACE6DE3">
          <v:rect id="_x0000_i1109" style="width:415.3pt;height:1.5pt" o:hralign="center" o:hrstd="t" o:hr="t" fillcolor="#a0a0a0" stroked="f"/>
        </w:pict>
      </w:r>
    </w:p>
    <w:p w14:paraId="4ACE484F" w14:textId="77777777" w:rsidR="006F587A" w:rsidRDefault="007B2B61">
      <w:pPr>
        <w:spacing w:line="288" w:lineRule="auto"/>
        <w:jc w:val="right"/>
        <w:rPr>
          <w:rFonts w:ascii="Times New Roman" w:hAnsi="Times New Roman"/>
          <w:sz w:val="16"/>
          <w:szCs w:val="16"/>
        </w:rPr>
      </w:pPr>
      <w:hyperlink r:id="rId148" w:anchor="s9DB683E2CF52561EB8A73BE37F5BF9BE" w:history="1">
        <w:r>
          <w:rPr>
            <w:rStyle w:val="a5"/>
            <w:rFonts w:ascii="Arial" w:eastAsia="宋体" w:hAnsi="Arial" w:cs="Arial"/>
            <w:b/>
            <w:bCs/>
            <w:sz w:val="16"/>
            <w:szCs w:val="16"/>
          </w:rPr>
          <w:t>Table of Contents</w:t>
        </w:r>
      </w:hyperlink>
    </w:p>
    <w:p w14:paraId="4ACE4850" w14:textId="77777777" w:rsidR="006F587A" w:rsidRDefault="006F587A">
      <w:pPr>
        <w:spacing w:line="288" w:lineRule="auto"/>
        <w:jc w:val="right"/>
        <w:rPr>
          <w:rFonts w:ascii="Times New Roman" w:hAnsi="Times New Roman"/>
          <w:sz w:val="16"/>
          <w:szCs w:val="16"/>
        </w:rPr>
      </w:pPr>
    </w:p>
    <w:p w14:paraId="4ACE4851"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997"/>
        <w:gridCol w:w="7309"/>
      </w:tblGrid>
      <w:tr w:rsidR="006F587A" w14:paraId="4ACE4853" w14:textId="77777777">
        <w:tc>
          <w:tcPr>
            <w:tcW w:w="0" w:type="auto"/>
            <w:gridSpan w:val="2"/>
            <w:shd w:val="clear" w:color="auto" w:fill="auto"/>
            <w:vAlign w:val="center"/>
          </w:tcPr>
          <w:p w14:paraId="4ACE4852" w14:textId="77777777" w:rsidR="006F587A" w:rsidRDefault="006F587A">
            <w:pPr>
              <w:rPr>
                <w:rFonts w:ascii="Times New Roman" w:hAnsi="Times New Roman"/>
                <w:sz w:val="20"/>
                <w:szCs w:val="20"/>
              </w:rPr>
            </w:pPr>
          </w:p>
        </w:tc>
      </w:tr>
      <w:tr w:rsidR="006F587A" w14:paraId="4ACE4856" w14:textId="77777777">
        <w:tc>
          <w:tcPr>
            <w:tcW w:w="600" w:type="pct"/>
            <w:shd w:val="clear" w:color="auto" w:fill="auto"/>
            <w:vAlign w:val="center"/>
          </w:tcPr>
          <w:p w14:paraId="4ACE4854" w14:textId="77777777" w:rsidR="006F587A" w:rsidRDefault="006F587A">
            <w:pPr>
              <w:rPr>
                <w:rFonts w:ascii="Times New Roman" w:hAnsi="Times New Roman"/>
                <w:sz w:val="20"/>
                <w:szCs w:val="20"/>
              </w:rPr>
            </w:pPr>
          </w:p>
        </w:tc>
        <w:tc>
          <w:tcPr>
            <w:tcW w:w="4400" w:type="pct"/>
            <w:shd w:val="clear" w:color="auto" w:fill="auto"/>
            <w:vAlign w:val="center"/>
          </w:tcPr>
          <w:p w14:paraId="4ACE4855" w14:textId="77777777" w:rsidR="006F587A" w:rsidRDefault="006F587A">
            <w:pPr>
              <w:rPr>
                <w:rFonts w:ascii="Times New Roman" w:hAnsi="Times New Roman"/>
                <w:sz w:val="20"/>
                <w:szCs w:val="20"/>
              </w:rPr>
            </w:pPr>
          </w:p>
        </w:tc>
      </w:tr>
      <w:tr w:rsidR="006F587A" w14:paraId="4ACE4859" w14:textId="77777777">
        <w:tc>
          <w:tcPr>
            <w:tcW w:w="0" w:type="auto"/>
            <w:tcBorders>
              <w:bottom w:val="single" w:sz="8" w:space="0" w:color="0071C5"/>
            </w:tcBorders>
            <w:shd w:val="clear" w:color="auto" w:fill="0071C5"/>
            <w:tcMar>
              <w:top w:w="40" w:type="dxa"/>
              <w:left w:w="40" w:type="dxa"/>
              <w:bottom w:w="40" w:type="dxa"/>
              <w:right w:w="40" w:type="dxa"/>
            </w:tcMar>
            <w:vAlign w:val="bottom"/>
          </w:tcPr>
          <w:p w14:paraId="4ACE4857" w14:textId="77777777" w:rsidR="006F587A" w:rsidRDefault="007B2B61">
            <w:pPr>
              <w:textAlignment w:val="bottom"/>
              <w:rPr>
                <w:rFonts w:ascii="Times New Roman" w:hAnsi="Times New Roman"/>
                <w:sz w:val="28"/>
                <w:szCs w:val="28"/>
              </w:rPr>
            </w:pPr>
            <w:r>
              <w:rPr>
                <w:rFonts w:ascii="Arial" w:eastAsia="宋体" w:hAnsi="Arial" w:cs="Arial"/>
                <w:b/>
                <w:bCs/>
                <w:color w:val="FFFFFF"/>
                <w:sz w:val="28"/>
                <w:szCs w:val="28"/>
                <w:shd w:val="clear" w:color="auto" w:fill="0071C5"/>
              </w:rPr>
              <w:t xml:space="preserve">NOTE 6 : </w:t>
            </w:r>
          </w:p>
        </w:tc>
        <w:tc>
          <w:tcPr>
            <w:tcW w:w="0" w:type="auto"/>
            <w:tcBorders>
              <w:bottom w:val="single" w:sz="8" w:space="0" w:color="0071C5"/>
            </w:tcBorders>
            <w:shd w:val="clear" w:color="auto" w:fill="auto"/>
            <w:tcMar>
              <w:top w:w="40" w:type="dxa"/>
              <w:left w:w="40" w:type="dxa"/>
              <w:bottom w:w="40" w:type="dxa"/>
              <w:right w:w="40" w:type="dxa"/>
            </w:tcMar>
            <w:vAlign w:val="bottom"/>
          </w:tcPr>
          <w:p w14:paraId="4ACE4858" w14:textId="77777777" w:rsidR="006F587A" w:rsidRDefault="007B2B61">
            <w:pPr>
              <w:textAlignment w:val="bottom"/>
              <w:rPr>
                <w:rFonts w:ascii="Times New Roman" w:hAnsi="Times New Roman"/>
                <w:sz w:val="28"/>
                <w:szCs w:val="28"/>
              </w:rPr>
            </w:pPr>
            <w:r>
              <w:rPr>
                <w:rFonts w:ascii="Arial" w:eastAsia="宋体" w:hAnsi="Arial" w:cs="Arial"/>
                <w:b/>
                <w:bCs/>
                <w:color w:val="0071C5"/>
                <w:sz w:val="28"/>
                <w:szCs w:val="28"/>
              </w:rPr>
              <w:t>CONTRACT LIABILITIES</w:t>
            </w:r>
          </w:p>
        </w:tc>
      </w:tr>
    </w:tbl>
    <w:p w14:paraId="4ACE485A" w14:textId="77777777" w:rsidR="006F587A" w:rsidRDefault="006F587A">
      <w:pPr>
        <w:rPr>
          <w:vanish/>
        </w:rPr>
      </w:pPr>
    </w:p>
    <w:tbl>
      <w:tblPr>
        <w:tblW w:w="5000" w:type="pct"/>
        <w:tblCellMar>
          <w:left w:w="0" w:type="dxa"/>
          <w:right w:w="0" w:type="dxa"/>
        </w:tblCellMar>
        <w:tblLook w:val="04A0" w:firstRow="1" w:lastRow="0" w:firstColumn="1" w:lastColumn="0" w:noHBand="0" w:noVBand="1"/>
      </w:tblPr>
      <w:tblGrid>
        <w:gridCol w:w="6097"/>
        <w:gridCol w:w="130"/>
        <w:gridCol w:w="142"/>
        <w:gridCol w:w="782"/>
        <w:gridCol w:w="59"/>
        <w:gridCol w:w="130"/>
        <w:gridCol w:w="142"/>
        <w:gridCol w:w="765"/>
        <w:gridCol w:w="59"/>
      </w:tblGrid>
      <w:tr w:rsidR="006F587A" w14:paraId="4ACE485C" w14:textId="77777777">
        <w:tc>
          <w:tcPr>
            <w:tcW w:w="0" w:type="auto"/>
            <w:gridSpan w:val="9"/>
            <w:shd w:val="clear" w:color="auto" w:fill="auto"/>
            <w:vAlign w:val="center"/>
          </w:tcPr>
          <w:p w14:paraId="4ACE485B" w14:textId="77777777" w:rsidR="006F587A" w:rsidRDefault="006F587A">
            <w:pPr>
              <w:rPr>
                <w:rFonts w:ascii="Times New Roman" w:hAnsi="Times New Roman"/>
                <w:sz w:val="20"/>
                <w:szCs w:val="20"/>
              </w:rPr>
            </w:pPr>
          </w:p>
        </w:tc>
      </w:tr>
      <w:tr w:rsidR="006F587A" w14:paraId="4ACE4866" w14:textId="77777777">
        <w:tc>
          <w:tcPr>
            <w:tcW w:w="3700" w:type="pct"/>
            <w:shd w:val="clear" w:color="auto" w:fill="auto"/>
            <w:vAlign w:val="center"/>
          </w:tcPr>
          <w:p w14:paraId="4ACE485D" w14:textId="77777777" w:rsidR="006F587A" w:rsidRDefault="006F587A">
            <w:pPr>
              <w:rPr>
                <w:rFonts w:ascii="Times New Roman" w:hAnsi="Times New Roman"/>
                <w:sz w:val="20"/>
                <w:szCs w:val="20"/>
              </w:rPr>
            </w:pPr>
          </w:p>
        </w:tc>
        <w:tc>
          <w:tcPr>
            <w:tcW w:w="50" w:type="pct"/>
            <w:shd w:val="clear" w:color="auto" w:fill="auto"/>
            <w:vAlign w:val="center"/>
          </w:tcPr>
          <w:p w14:paraId="4ACE485E" w14:textId="77777777" w:rsidR="006F587A" w:rsidRDefault="006F587A">
            <w:pPr>
              <w:rPr>
                <w:rFonts w:ascii="Times New Roman" w:hAnsi="Times New Roman"/>
                <w:sz w:val="20"/>
                <w:szCs w:val="20"/>
              </w:rPr>
            </w:pPr>
          </w:p>
        </w:tc>
        <w:tc>
          <w:tcPr>
            <w:tcW w:w="50" w:type="pct"/>
            <w:shd w:val="clear" w:color="auto" w:fill="auto"/>
            <w:vAlign w:val="center"/>
          </w:tcPr>
          <w:p w14:paraId="4ACE485F" w14:textId="77777777" w:rsidR="006F587A" w:rsidRDefault="006F587A">
            <w:pPr>
              <w:rPr>
                <w:rFonts w:ascii="Times New Roman" w:hAnsi="Times New Roman"/>
                <w:sz w:val="20"/>
                <w:szCs w:val="20"/>
              </w:rPr>
            </w:pPr>
          </w:p>
        </w:tc>
        <w:tc>
          <w:tcPr>
            <w:tcW w:w="500" w:type="pct"/>
            <w:shd w:val="clear" w:color="auto" w:fill="auto"/>
            <w:vAlign w:val="center"/>
          </w:tcPr>
          <w:p w14:paraId="4ACE4860" w14:textId="77777777" w:rsidR="006F587A" w:rsidRDefault="006F587A">
            <w:pPr>
              <w:rPr>
                <w:rFonts w:ascii="Times New Roman" w:hAnsi="Times New Roman"/>
                <w:sz w:val="20"/>
                <w:szCs w:val="20"/>
              </w:rPr>
            </w:pPr>
          </w:p>
        </w:tc>
        <w:tc>
          <w:tcPr>
            <w:tcW w:w="50" w:type="pct"/>
            <w:shd w:val="clear" w:color="auto" w:fill="auto"/>
            <w:vAlign w:val="center"/>
          </w:tcPr>
          <w:p w14:paraId="4ACE4861" w14:textId="77777777" w:rsidR="006F587A" w:rsidRDefault="006F587A">
            <w:pPr>
              <w:rPr>
                <w:rFonts w:ascii="Times New Roman" w:hAnsi="Times New Roman"/>
                <w:sz w:val="20"/>
                <w:szCs w:val="20"/>
              </w:rPr>
            </w:pPr>
          </w:p>
        </w:tc>
        <w:tc>
          <w:tcPr>
            <w:tcW w:w="50" w:type="pct"/>
            <w:shd w:val="clear" w:color="auto" w:fill="auto"/>
            <w:vAlign w:val="center"/>
          </w:tcPr>
          <w:p w14:paraId="4ACE4862" w14:textId="77777777" w:rsidR="006F587A" w:rsidRDefault="006F587A">
            <w:pPr>
              <w:rPr>
                <w:rFonts w:ascii="Times New Roman" w:hAnsi="Times New Roman"/>
                <w:sz w:val="20"/>
                <w:szCs w:val="20"/>
              </w:rPr>
            </w:pPr>
          </w:p>
        </w:tc>
        <w:tc>
          <w:tcPr>
            <w:tcW w:w="50" w:type="pct"/>
            <w:shd w:val="clear" w:color="auto" w:fill="auto"/>
            <w:vAlign w:val="center"/>
          </w:tcPr>
          <w:p w14:paraId="4ACE4863" w14:textId="77777777" w:rsidR="006F587A" w:rsidRDefault="006F587A">
            <w:pPr>
              <w:rPr>
                <w:rFonts w:ascii="Times New Roman" w:hAnsi="Times New Roman"/>
                <w:sz w:val="20"/>
                <w:szCs w:val="20"/>
              </w:rPr>
            </w:pPr>
          </w:p>
        </w:tc>
        <w:tc>
          <w:tcPr>
            <w:tcW w:w="500" w:type="pct"/>
            <w:shd w:val="clear" w:color="auto" w:fill="auto"/>
            <w:vAlign w:val="center"/>
          </w:tcPr>
          <w:p w14:paraId="4ACE4864" w14:textId="77777777" w:rsidR="006F587A" w:rsidRDefault="006F587A">
            <w:pPr>
              <w:rPr>
                <w:rFonts w:ascii="Times New Roman" w:hAnsi="Times New Roman"/>
                <w:sz w:val="20"/>
                <w:szCs w:val="20"/>
              </w:rPr>
            </w:pPr>
          </w:p>
        </w:tc>
        <w:tc>
          <w:tcPr>
            <w:tcW w:w="50" w:type="pct"/>
            <w:shd w:val="clear" w:color="auto" w:fill="auto"/>
            <w:vAlign w:val="center"/>
          </w:tcPr>
          <w:p w14:paraId="4ACE4865" w14:textId="77777777" w:rsidR="006F587A" w:rsidRDefault="006F587A">
            <w:pPr>
              <w:rPr>
                <w:rFonts w:ascii="Times New Roman" w:hAnsi="Times New Roman"/>
                <w:sz w:val="20"/>
                <w:szCs w:val="20"/>
              </w:rPr>
            </w:pPr>
          </w:p>
        </w:tc>
      </w:tr>
      <w:tr w:rsidR="006F587A" w14:paraId="4ACE486C"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4867" w14:textId="77777777" w:rsidR="006F587A" w:rsidRDefault="007B2B61">
            <w:pPr>
              <w:ind w:hanging="240"/>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4ACE486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869"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28, </w:t>
            </w:r>
            <w:r>
              <w:rPr>
                <w:rFonts w:ascii="Arial" w:eastAsia="宋体" w:hAnsi="Arial" w:cs="Arial"/>
                <w:b/>
                <w:bCs/>
                <w:color w:val="333333"/>
                <w:sz w:val="18"/>
                <w:szCs w:val="18"/>
              </w:rPr>
              <w:br/>
              <w:t>2019</w:t>
            </w:r>
          </w:p>
        </w:tc>
        <w:tc>
          <w:tcPr>
            <w:tcW w:w="0" w:type="auto"/>
            <w:shd w:val="clear" w:color="auto" w:fill="auto"/>
            <w:tcMar>
              <w:top w:w="40" w:type="dxa"/>
              <w:left w:w="40" w:type="dxa"/>
              <w:bottom w:w="40" w:type="dxa"/>
              <w:right w:w="40" w:type="dxa"/>
            </w:tcMar>
            <w:vAlign w:val="bottom"/>
          </w:tcPr>
          <w:p w14:paraId="4ACE486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86B"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29, </w:t>
            </w:r>
            <w:r>
              <w:rPr>
                <w:rFonts w:ascii="Arial" w:eastAsia="宋体" w:hAnsi="Arial" w:cs="Arial"/>
                <w:b/>
                <w:bCs/>
                <w:color w:val="333333"/>
                <w:sz w:val="18"/>
                <w:szCs w:val="18"/>
              </w:rPr>
              <w:br/>
              <w:t>2018</w:t>
            </w:r>
          </w:p>
        </w:tc>
      </w:tr>
      <w:tr w:rsidR="006F587A" w14:paraId="4ACE4876" w14:textId="77777777">
        <w:tc>
          <w:tcPr>
            <w:tcW w:w="0" w:type="auto"/>
            <w:shd w:val="clear" w:color="auto" w:fill="auto"/>
            <w:tcMar>
              <w:top w:w="40" w:type="dxa"/>
              <w:left w:w="40" w:type="dxa"/>
              <w:bottom w:w="40" w:type="dxa"/>
              <w:right w:w="40" w:type="dxa"/>
            </w:tcMar>
            <w:vAlign w:val="bottom"/>
          </w:tcPr>
          <w:p w14:paraId="4ACE486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Prepaid supply agreements</w:t>
            </w:r>
          </w:p>
        </w:tc>
        <w:tc>
          <w:tcPr>
            <w:tcW w:w="0" w:type="auto"/>
            <w:shd w:val="clear" w:color="auto" w:fill="auto"/>
            <w:tcMar>
              <w:top w:w="40" w:type="dxa"/>
              <w:left w:w="40" w:type="dxa"/>
              <w:bottom w:w="40" w:type="dxa"/>
              <w:right w:w="40" w:type="dxa"/>
            </w:tcMar>
            <w:vAlign w:val="bottom"/>
          </w:tcPr>
          <w:p w14:paraId="4ACE486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486F"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tcBorders>
              <w:top w:val="single" w:sz="8" w:space="0" w:color="0071C5"/>
            </w:tcBorders>
            <w:shd w:val="clear" w:color="auto" w:fill="auto"/>
            <w:tcMar>
              <w:top w:w="40" w:type="dxa"/>
              <w:bottom w:w="40" w:type="dxa"/>
            </w:tcMar>
            <w:vAlign w:val="bottom"/>
          </w:tcPr>
          <w:p w14:paraId="4ACE4870"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1,805</w:t>
            </w:r>
          </w:p>
        </w:tc>
        <w:tc>
          <w:tcPr>
            <w:tcW w:w="0" w:type="auto"/>
            <w:tcBorders>
              <w:top w:val="single" w:sz="8" w:space="0" w:color="0071C5"/>
            </w:tcBorders>
            <w:shd w:val="clear" w:color="auto" w:fill="auto"/>
            <w:vAlign w:val="bottom"/>
          </w:tcPr>
          <w:p w14:paraId="4ACE487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87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487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tcMar>
            <w:vAlign w:val="bottom"/>
          </w:tcPr>
          <w:p w14:paraId="4ACE487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2,587</w:t>
            </w:r>
          </w:p>
        </w:tc>
        <w:tc>
          <w:tcPr>
            <w:tcW w:w="0" w:type="auto"/>
            <w:tcBorders>
              <w:top w:val="single" w:sz="8" w:space="0" w:color="0071C5"/>
            </w:tcBorders>
            <w:shd w:val="clear" w:color="auto" w:fill="auto"/>
            <w:vAlign w:val="bottom"/>
          </w:tcPr>
          <w:p w14:paraId="4ACE4875" w14:textId="77777777" w:rsidR="006F587A" w:rsidRDefault="006F587A">
            <w:pPr>
              <w:textAlignment w:val="bottom"/>
              <w:rPr>
                <w:rFonts w:ascii="Times New Roman" w:hAnsi="Times New Roman"/>
                <w:sz w:val="20"/>
                <w:szCs w:val="20"/>
              </w:rPr>
            </w:pPr>
          </w:p>
        </w:tc>
      </w:tr>
      <w:tr w:rsidR="006F587A" w14:paraId="4ACE487E" w14:textId="77777777">
        <w:tc>
          <w:tcPr>
            <w:tcW w:w="0" w:type="auto"/>
            <w:shd w:val="clear" w:color="auto" w:fill="auto"/>
            <w:tcMar>
              <w:top w:w="40" w:type="dxa"/>
              <w:left w:w="40" w:type="dxa"/>
              <w:bottom w:w="40" w:type="dxa"/>
              <w:right w:w="40" w:type="dxa"/>
            </w:tcMar>
            <w:vAlign w:val="bottom"/>
          </w:tcPr>
          <w:p w14:paraId="4ACE4877"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Other</w:t>
            </w:r>
          </w:p>
        </w:tc>
        <w:tc>
          <w:tcPr>
            <w:tcW w:w="0" w:type="auto"/>
            <w:shd w:val="clear" w:color="auto" w:fill="auto"/>
            <w:tcMar>
              <w:top w:w="40" w:type="dxa"/>
              <w:left w:w="40" w:type="dxa"/>
              <w:bottom w:w="40" w:type="dxa"/>
              <w:right w:w="40" w:type="dxa"/>
            </w:tcMar>
            <w:vAlign w:val="bottom"/>
          </w:tcPr>
          <w:p w14:paraId="4ACE487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879"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236</w:t>
            </w:r>
          </w:p>
        </w:tc>
        <w:tc>
          <w:tcPr>
            <w:tcW w:w="0" w:type="auto"/>
            <w:shd w:val="clear" w:color="auto" w:fill="auto"/>
            <w:vAlign w:val="bottom"/>
          </w:tcPr>
          <w:p w14:paraId="4ACE487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87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87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122</w:t>
            </w:r>
          </w:p>
        </w:tc>
        <w:tc>
          <w:tcPr>
            <w:tcW w:w="0" w:type="auto"/>
            <w:shd w:val="clear" w:color="auto" w:fill="auto"/>
            <w:vAlign w:val="bottom"/>
          </w:tcPr>
          <w:p w14:paraId="4ACE487D" w14:textId="77777777" w:rsidR="006F587A" w:rsidRDefault="006F587A">
            <w:pPr>
              <w:textAlignment w:val="bottom"/>
              <w:rPr>
                <w:rFonts w:ascii="Times New Roman" w:hAnsi="Times New Roman"/>
                <w:sz w:val="20"/>
                <w:szCs w:val="20"/>
              </w:rPr>
            </w:pPr>
          </w:p>
        </w:tc>
      </w:tr>
      <w:tr w:rsidR="006F587A" w14:paraId="4ACE4888" w14:textId="77777777">
        <w:tc>
          <w:tcPr>
            <w:tcW w:w="0" w:type="auto"/>
            <w:shd w:val="clear" w:color="auto" w:fill="auto"/>
            <w:tcMar>
              <w:top w:w="40" w:type="dxa"/>
              <w:left w:w="40" w:type="dxa"/>
              <w:bottom w:w="40" w:type="dxa"/>
              <w:right w:w="40" w:type="dxa"/>
            </w:tcMar>
            <w:vAlign w:val="bottom"/>
          </w:tcPr>
          <w:p w14:paraId="4ACE487F" w14:textId="77777777" w:rsidR="006F587A" w:rsidRDefault="007B2B61">
            <w:pPr>
              <w:ind w:hanging="240"/>
              <w:textAlignment w:val="bottom"/>
              <w:rPr>
                <w:rFonts w:ascii="Times New Roman" w:hAnsi="Times New Roman"/>
                <w:sz w:val="18"/>
                <w:szCs w:val="18"/>
              </w:rPr>
            </w:pPr>
            <w:r>
              <w:rPr>
                <w:rFonts w:ascii="Arial" w:eastAsia="宋体" w:hAnsi="Arial" w:cs="Arial"/>
                <w:b/>
                <w:bCs/>
                <w:color w:val="333333"/>
                <w:sz w:val="18"/>
                <w:szCs w:val="18"/>
              </w:rPr>
              <w:t>Total contract liabilities</w:t>
            </w:r>
          </w:p>
        </w:tc>
        <w:tc>
          <w:tcPr>
            <w:tcW w:w="0" w:type="auto"/>
            <w:shd w:val="clear" w:color="auto" w:fill="auto"/>
            <w:tcMar>
              <w:top w:w="40" w:type="dxa"/>
              <w:left w:w="40" w:type="dxa"/>
              <w:bottom w:w="40" w:type="dxa"/>
              <w:right w:w="40" w:type="dxa"/>
            </w:tcMar>
            <w:vAlign w:val="bottom"/>
          </w:tcPr>
          <w:p w14:paraId="4ACE488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881"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882"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2,041</w:t>
            </w:r>
          </w:p>
        </w:tc>
        <w:tc>
          <w:tcPr>
            <w:tcW w:w="0" w:type="auto"/>
            <w:tcBorders>
              <w:top w:val="single" w:sz="8" w:space="0" w:color="333333"/>
              <w:bottom w:val="double" w:sz="6" w:space="0" w:color="333333"/>
            </w:tcBorders>
            <w:shd w:val="clear" w:color="auto" w:fill="auto"/>
            <w:vAlign w:val="bottom"/>
          </w:tcPr>
          <w:p w14:paraId="4ACE488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88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885"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886"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2,709</w:t>
            </w:r>
          </w:p>
        </w:tc>
        <w:tc>
          <w:tcPr>
            <w:tcW w:w="0" w:type="auto"/>
            <w:tcBorders>
              <w:top w:val="single" w:sz="8" w:space="0" w:color="333333"/>
              <w:bottom w:val="double" w:sz="6" w:space="0" w:color="333333"/>
            </w:tcBorders>
            <w:shd w:val="clear" w:color="auto" w:fill="auto"/>
            <w:vAlign w:val="bottom"/>
          </w:tcPr>
          <w:p w14:paraId="4ACE4887" w14:textId="77777777" w:rsidR="006F587A" w:rsidRDefault="006F587A">
            <w:pPr>
              <w:textAlignment w:val="bottom"/>
              <w:rPr>
                <w:rFonts w:ascii="Times New Roman" w:hAnsi="Times New Roman"/>
                <w:sz w:val="20"/>
                <w:szCs w:val="20"/>
              </w:rPr>
            </w:pPr>
          </w:p>
        </w:tc>
      </w:tr>
    </w:tbl>
    <w:p w14:paraId="4ACE4889" w14:textId="77777777" w:rsidR="006F587A" w:rsidRDefault="006F587A">
      <w:pPr>
        <w:spacing w:line="288" w:lineRule="auto"/>
        <w:rPr>
          <w:rFonts w:ascii="Times New Roman" w:hAnsi="Times New Roman"/>
          <w:sz w:val="20"/>
          <w:szCs w:val="20"/>
        </w:rPr>
      </w:pPr>
    </w:p>
    <w:p w14:paraId="4ACE488A"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Contract liabilities are primarily related to prepayments received from customers on long-term prepaid supply agreements toward future NSG product delivery. The short-term portion of contract liabilities is reported on the Consolidated Balance Sheets withi</w:t>
      </w:r>
      <w:r>
        <w:rPr>
          <w:rFonts w:ascii="Arial" w:eastAsia="宋体" w:hAnsi="Arial" w:cs="Arial"/>
          <w:color w:val="333333"/>
          <w:sz w:val="18"/>
          <w:szCs w:val="18"/>
        </w:rPr>
        <w:t xml:space="preserve">n other accrued liabilities. </w:t>
      </w:r>
    </w:p>
    <w:p w14:paraId="4ACE488B"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The following table shows the changes in contract liability balances relating to long-term prepaid supply agreements during 2019:</w:t>
      </w:r>
    </w:p>
    <w:tbl>
      <w:tblPr>
        <w:tblW w:w="5000" w:type="pct"/>
        <w:tblCellMar>
          <w:left w:w="0" w:type="dxa"/>
          <w:right w:w="0" w:type="dxa"/>
        </w:tblCellMar>
        <w:tblLook w:val="04A0" w:firstRow="1" w:lastRow="0" w:firstColumn="1" w:lastColumn="0" w:noHBand="0" w:noVBand="1"/>
      </w:tblPr>
      <w:tblGrid>
        <w:gridCol w:w="7165"/>
        <w:gridCol w:w="130"/>
        <w:gridCol w:w="141"/>
        <w:gridCol w:w="770"/>
        <w:gridCol w:w="100"/>
      </w:tblGrid>
      <w:tr w:rsidR="006F587A" w14:paraId="4ACE488D" w14:textId="77777777">
        <w:tc>
          <w:tcPr>
            <w:tcW w:w="0" w:type="auto"/>
            <w:gridSpan w:val="5"/>
            <w:shd w:val="clear" w:color="auto" w:fill="auto"/>
            <w:vAlign w:val="center"/>
          </w:tcPr>
          <w:p w14:paraId="4ACE488C" w14:textId="77777777" w:rsidR="006F587A" w:rsidRDefault="006F587A">
            <w:pPr>
              <w:rPr>
                <w:rFonts w:ascii="Times New Roman" w:hAnsi="Times New Roman"/>
                <w:sz w:val="20"/>
                <w:szCs w:val="20"/>
              </w:rPr>
            </w:pPr>
          </w:p>
        </w:tc>
      </w:tr>
      <w:tr w:rsidR="006F587A" w14:paraId="4ACE4893" w14:textId="77777777">
        <w:tc>
          <w:tcPr>
            <w:tcW w:w="4350" w:type="pct"/>
            <w:shd w:val="clear" w:color="auto" w:fill="auto"/>
            <w:vAlign w:val="center"/>
          </w:tcPr>
          <w:p w14:paraId="4ACE488E" w14:textId="77777777" w:rsidR="006F587A" w:rsidRDefault="006F587A">
            <w:pPr>
              <w:rPr>
                <w:rFonts w:ascii="Times New Roman" w:hAnsi="Times New Roman"/>
                <w:sz w:val="20"/>
                <w:szCs w:val="20"/>
              </w:rPr>
            </w:pPr>
          </w:p>
        </w:tc>
        <w:tc>
          <w:tcPr>
            <w:tcW w:w="50" w:type="pct"/>
            <w:shd w:val="clear" w:color="auto" w:fill="auto"/>
            <w:vAlign w:val="center"/>
          </w:tcPr>
          <w:p w14:paraId="4ACE488F" w14:textId="77777777" w:rsidR="006F587A" w:rsidRDefault="006F587A">
            <w:pPr>
              <w:rPr>
                <w:rFonts w:ascii="Times New Roman" w:hAnsi="Times New Roman"/>
                <w:sz w:val="20"/>
                <w:szCs w:val="20"/>
              </w:rPr>
            </w:pPr>
          </w:p>
        </w:tc>
        <w:tc>
          <w:tcPr>
            <w:tcW w:w="50" w:type="pct"/>
            <w:shd w:val="clear" w:color="auto" w:fill="auto"/>
            <w:vAlign w:val="center"/>
          </w:tcPr>
          <w:p w14:paraId="4ACE4890" w14:textId="77777777" w:rsidR="006F587A" w:rsidRDefault="006F587A">
            <w:pPr>
              <w:rPr>
                <w:rFonts w:ascii="Times New Roman" w:hAnsi="Times New Roman"/>
                <w:sz w:val="20"/>
                <w:szCs w:val="20"/>
              </w:rPr>
            </w:pPr>
          </w:p>
        </w:tc>
        <w:tc>
          <w:tcPr>
            <w:tcW w:w="500" w:type="pct"/>
            <w:shd w:val="clear" w:color="auto" w:fill="auto"/>
            <w:vAlign w:val="center"/>
          </w:tcPr>
          <w:p w14:paraId="4ACE4891" w14:textId="77777777" w:rsidR="006F587A" w:rsidRDefault="006F587A">
            <w:pPr>
              <w:rPr>
                <w:rFonts w:ascii="Times New Roman" w:hAnsi="Times New Roman"/>
                <w:sz w:val="20"/>
                <w:szCs w:val="20"/>
              </w:rPr>
            </w:pPr>
          </w:p>
        </w:tc>
        <w:tc>
          <w:tcPr>
            <w:tcW w:w="50" w:type="pct"/>
            <w:shd w:val="clear" w:color="auto" w:fill="auto"/>
            <w:vAlign w:val="center"/>
          </w:tcPr>
          <w:p w14:paraId="4ACE4892" w14:textId="77777777" w:rsidR="006F587A" w:rsidRDefault="006F587A">
            <w:pPr>
              <w:rPr>
                <w:rFonts w:ascii="Times New Roman" w:hAnsi="Times New Roman"/>
                <w:sz w:val="20"/>
                <w:szCs w:val="20"/>
              </w:rPr>
            </w:pPr>
          </w:p>
        </w:tc>
      </w:tr>
      <w:tr w:rsidR="006F587A" w14:paraId="4ACE4897"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4894" w14:textId="77777777" w:rsidR="006F587A" w:rsidRDefault="007B2B61">
            <w:pPr>
              <w:ind w:hanging="240"/>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4ACE489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89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489D" w14:textId="77777777">
        <w:tc>
          <w:tcPr>
            <w:tcW w:w="0" w:type="auto"/>
            <w:tcBorders>
              <w:top w:val="single" w:sz="8" w:space="0" w:color="0071C5"/>
            </w:tcBorders>
            <w:shd w:val="clear" w:color="auto" w:fill="auto"/>
            <w:tcMar>
              <w:top w:w="40" w:type="dxa"/>
              <w:left w:w="40" w:type="dxa"/>
              <w:bottom w:w="40" w:type="dxa"/>
              <w:right w:w="40" w:type="dxa"/>
            </w:tcMar>
            <w:vAlign w:val="bottom"/>
          </w:tcPr>
          <w:p w14:paraId="4ACE4898" w14:textId="77777777" w:rsidR="006F587A" w:rsidRDefault="007B2B61">
            <w:pPr>
              <w:ind w:hanging="240"/>
              <w:textAlignment w:val="bottom"/>
              <w:rPr>
                <w:rFonts w:ascii="Times New Roman" w:hAnsi="Times New Roman"/>
                <w:sz w:val="18"/>
                <w:szCs w:val="18"/>
              </w:rPr>
            </w:pPr>
            <w:r>
              <w:rPr>
                <w:rFonts w:ascii="Arial" w:eastAsia="宋体" w:hAnsi="Arial" w:cs="Arial"/>
                <w:b/>
                <w:bCs/>
                <w:color w:val="333333"/>
                <w:sz w:val="18"/>
                <w:szCs w:val="18"/>
              </w:rPr>
              <w:t>Prepaid supply agreements balance as of December 29, 2018</w:t>
            </w:r>
          </w:p>
        </w:tc>
        <w:tc>
          <w:tcPr>
            <w:tcW w:w="0" w:type="auto"/>
            <w:shd w:val="clear" w:color="auto" w:fill="auto"/>
            <w:tcMar>
              <w:top w:w="40" w:type="dxa"/>
              <w:left w:w="40" w:type="dxa"/>
              <w:bottom w:w="40" w:type="dxa"/>
              <w:right w:w="40" w:type="dxa"/>
            </w:tcMar>
            <w:vAlign w:val="bottom"/>
          </w:tcPr>
          <w:p w14:paraId="4ACE489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489A"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0071C5"/>
            </w:tcBorders>
            <w:shd w:val="clear" w:color="auto" w:fill="auto"/>
            <w:tcMar>
              <w:top w:w="40" w:type="dxa"/>
              <w:bottom w:w="40" w:type="dxa"/>
            </w:tcMar>
            <w:vAlign w:val="bottom"/>
          </w:tcPr>
          <w:p w14:paraId="4ACE489B"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2,587</w:t>
            </w:r>
          </w:p>
        </w:tc>
        <w:tc>
          <w:tcPr>
            <w:tcW w:w="0" w:type="auto"/>
            <w:tcBorders>
              <w:top w:val="single" w:sz="8" w:space="0" w:color="0071C5"/>
            </w:tcBorders>
            <w:shd w:val="clear" w:color="auto" w:fill="auto"/>
            <w:vAlign w:val="bottom"/>
          </w:tcPr>
          <w:p w14:paraId="4ACE489C" w14:textId="77777777" w:rsidR="006F587A" w:rsidRDefault="006F587A">
            <w:pPr>
              <w:textAlignment w:val="bottom"/>
              <w:rPr>
                <w:rFonts w:ascii="Times New Roman" w:hAnsi="Times New Roman"/>
                <w:sz w:val="20"/>
                <w:szCs w:val="20"/>
              </w:rPr>
            </w:pPr>
          </w:p>
        </w:tc>
      </w:tr>
      <w:tr w:rsidR="006F587A" w14:paraId="4ACE48A2" w14:textId="77777777">
        <w:tc>
          <w:tcPr>
            <w:tcW w:w="0" w:type="auto"/>
            <w:shd w:val="clear" w:color="auto" w:fill="auto"/>
            <w:tcMar>
              <w:top w:w="40" w:type="dxa"/>
              <w:left w:w="40" w:type="dxa"/>
              <w:bottom w:w="40" w:type="dxa"/>
              <w:right w:w="40" w:type="dxa"/>
            </w:tcMar>
            <w:vAlign w:val="bottom"/>
          </w:tcPr>
          <w:p w14:paraId="4ACE489E"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 xml:space="preserve">Prepaids utilized </w:t>
            </w:r>
          </w:p>
        </w:tc>
        <w:tc>
          <w:tcPr>
            <w:tcW w:w="0" w:type="auto"/>
            <w:shd w:val="clear" w:color="auto" w:fill="auto"/>
            <w:tcMar>
              <w:top w:w="40" w:type="dxa"/>
              <w:left w:w="40" w:type="dxa"/>
              <w:bottom w:w="40" w:type="dxa"/>
              <w:right w:w="40" w:type="dxa"/>
            </w:tcMar>
            <w:vAlign w:val="bottom"/>
          </w:tcPr>
          <w:p w14:paraId="4ACE489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8A0"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(782</w:t>
            </w:r>
          </w:p>
        </w:tc>
        <w:tc>
          <w:tcPr>
            <w:tcW w:w="0" w:type="auto"/>
            <w:shd w:val="clear" w:color="auto" w:fill="auto"/>
            <w:tcMar>
              <w:top w:w="40" w:type="dxa"/>
              <w:bottom w:w="40" w:type="dxa"/>
              <w:right w:w="40" w:type="dxa"/>
            </w:tcMar>
            <w:vAlign w:val="bottom"/>
          </w:tcPr>
          <w:p w14:paraId="4ACE48A1"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r>
      <w:tr w:rsidR="006F587A" w14:paraId="4ACE48A8" w14:textId="77777777">
        <w:tc>
          <w:tcPr>
            <w:tcW w:w="0" w:type="auto"/>
            <w:shd w:val="clear" w:color="auto" w:fill="auto"/>
            <w:tcMar>
              <w:top w:w="40" w:type="dxa"/>
              <w:left w:w="40" w:type="dxa"/>
              <w:bottom w:w="40" w:type="dxa"/>
              <w:right w:w="40" w:type="dxa"/>
            </w:tcMar>
            <w:vAlign w:val="bottom"/>
          </w:tcPr>
          <w:p w14:paraId="4ACE48A3" w14:textId="77777777" w:rsidR="006F587A" w:rsidRDefault="007B2B61">
            <w:pPr>
              <w:ind w:hanging="240"/>
              <w:textAlignment w:val="bottom"/>
              <w:rPr>
                <w:rFonts w:ascii="Times New Roman" w:hAnsi="Times New Roman"/>
                <w:sz w:val="18"/>
                <w:szCs w:val="18"/>
              </w:rPr>
            </w:pPr>
            <w:r>
              <w:rPr>
                <w:rFonts w:ascii="Arial" w:eastAsia="宋体" w:hAnsi="Arial" w:cs="Arial"/>
                <w:b/>
                <w:bCs/>
                <w:color w:val="333333"/>
                <w:sz w:val="18"/>
                <w:szCs w:val="18"/>
              </w:rPr>
              <w:t>Prepaid supply agreements balance as of December 28, 2019</w:t>
            </w:r>
          </w:p>
        </w:tc>
        <w:tc>
          <w:tcPr>
            <w:tcW w:w="0" w:type="auto"/>
            <w:shd w:val="clear" w:color="auto" w:fill="auto"/>
            <w:tcMar>
              <w:top w:w="40" w:type="dxa"/>
              <w:left w:w="40" w:type="dxa"/>
              <w:bottom w:w="40" w:type="dxa"/>
              <w:right w:w="40" w:type="dxa"/>
            </w:tcMar>
            <w:vAlign w:val="bottom"/>
          </w:tcPr>
          <w:p w14:paraId="4ACE48A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8A5"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8A6"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1,805</w:t>
            </w:r>
          </w:p>
        </w:tc>
        <w:tc>
          <w:tcPr>
            <w:tcW w:w="0" w:type="auto"/>
            <w:tcBorders>
              <w:top w:val="single" w:sz="8" w:space="0" w:color="333333"/>
              <w:bottom w:val="double" w:sz="6" w:space="0" w:color="333333"/>
            </w:tcBorders>
            <w:shd w:val="clear" w:color="auto" w:fill="auto"/>
            <w:vAlign w:val="bottom"/>
          </w:tcPr>
          <w:p w14:paraId="4ACE48A7" w14:textId="77777777" w:rsidR="006F587A" w:rsidRDefault="006F587A">
            <w:pPr>
              <w:textAlignment w:val="bottom"/>
              <w:rPr>
                <w:rFonts w:ascii="Times New Roman" w:hAnsi="Times New Roman"/>
                <w:sz w:val="20"/>
                <w:szCs w:val="20"/>
              </w:rPr>
            </w:pPr>
          </w:p>
        </w:tc>
      </w:tr>
    </w:tbl>
    <w:p w14:paraId="4ACE48A9" w14:textId="77777777" w:rsidR="006F587A" w:rsidRDefault="006F587A">
      <w:pPr>
        <w:spacing w:line="288" w:lineRule="auto"/>
        <w:rPr>
          <w:rFonts w:ascii="Times New Roman" w:hAnsi="Times New Roman"/>
          <w:sz w:val="20"/>
          <w:szCs w:val="20"/>
        </w:rPr>
      </w:pPr>
    </w:p>
    <w:p w14:paraId="4ACE48AA"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As new long-term prepaid supply agreements are entered into and performance obligations are negotiated, this component of the contract liability balance will increase, and as customers purchase product and utilize their prepaid balances, the balance will d</w:t>
      </w:r>
      <w:r>
        <w:rPr>
          <w:rFonts w:ascii="Arial" w:eastAsia="宋体" w:hAnsi="Arial" w:cs="Arial"/>
          <w:color w:val="333333"/>
          <w:sz w:val="18"/>
          <w:szCs w:val="18"/>
        </w:rPr>
        <w:t xml:space="preserve">ecrease. </w:t>
      </w:r>
    </w:p>
    <w:p w14:paraId="4ACE48AB"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We expect our remaining contract liability balance of $1.8 billion to be recognized into revenue over the next 4 years. The timing and amount of future anticipated revenue may vary from our expectations due to changes in supply, demand, and </w:t>
      </w:r>
      <w:r>
        <w:rPr>
          <w:rFonts w:ascii="Arial" w:eastAsia="宋体" w:hAnsi="Arial" w:cs="Arial"/>
          <w:color w:val="333333"/>
          <w:sz w:val="18"/>
          <w:szCs w:val="18"/>
        </w:rPr>
        <w:t>market pricing.</w:t>
      </w:r>
    </w:p>
    <w:tbl>
      <w:tblPr>
        <w:tblW w:w="5000" w:type="pct"/>
        <w:tblCellMar>
          <w:left w:w="0" w:type="dxa"/>
          <w:right w:w="0" w:type="dxa"/>
        </w:tblCellMar>
        <w:tblLook w:val="04A0" w:firstRow="1" w:lastRow="0" w:firstColumn="1" w:lastColumn="0" w:noHBand="0" w:noVBand="1"/>
      </w:tblPr>
      <w:tblGrid>
        <w:gridCol w:w="997"/>
        <w:gridCol w:w="7309"/>
      </w:tblGrid>
      <w:tr w:rsidR="006F587A" w14:paraId="4ACE48AD" w14:textId="77777777">
        <w:tc>
          <w:tcPr>
            <w:tcW w:w="0" w:type="auto"/>
            <w:gridSpan w:val="2"/>
            <w:shd w:val="clear" w:color="auto" w:fill="auto"/>
            <w:vAlign w:val="center"/>
          </w:tcPr>
          <w:p w14:paraId="4ACE48AC" w14:textId="77777777" w:rsidR="006F587A" w:rsidRDefault="006F587A">
            <w:pPr>
              <w:rPr>
                <w:rFonts w:ascii="Times New Roman" w:hAnsi="Times New Roman"/>
                <w:sz w:val="20"/>
                <w:szCs w:val="20"/>
              </w:rPr>
            </w:pPr>
          </w:p>
        </w:tc>
      </w:tr>
      <w:tr w:rsidR="006F587A" w14:paraId="4ACE48B0" w14:textId="77777777">
        <w:tc>
          <w:tcPr>
            <w:tcW w:w="600" w:type="pct"/>
            <w:shd w:val="clear" w:color="auto" w:fill="auto"/>
            <w:vAlign w:val="center"/>
          </w:tcPr>
          <w:p w14:paraId="4ACE48AE" w14:textId="77777777" w:rsidR="006F587A" w:rsidRDefault="006F587A">
            <w:pPr>
              <w:rPr>
                <w:rFonts w:ascii="Times New Roman" w:hAnsi="Times New Roman"/>
                <w:sz w:val="20"/>
                <w:szCs w:val="20"/>
              </w:rPr>
            </w:pPr>
          </w:p>
        </w:tc>
        <w:tc>
          <w:tcPr>
            <w:tcW w:w="4400" w:type="pct"/>
            <w:shd w:val="clear" w:color="auto" w:fill="auto"/>
            <w:vAlign w:val="center"/>
          </w:tcPr>
          <w:p w14:paraId="4ACE48AF" w14:textId="77777777" w:rsidR="006F587A" w:rsidRDefault="006F587A">
            <w:pPr>
              <w:rPr>
                <w:rFonts w:ascii="Times New Roman" w:hAnsi="Times New Roman"/>
                <w:sz w:val="20"/>
                <w:szCs w:val="20"/>
              </w:rPr>
            </w:pPr>
          </w:p>
        </w:tc>
      </w:tr>
      <w:tr w:rsidR="006F587A" w14:paraId="4ACE48B3" w14:textId="77777777">
        <w:tc>
          <w:tcPr>
            <w:tcW w:w="0" w:type="auto"/>
            <w:tcBorders>
              <w:bottom w:val="single" w:sz="8" w:space="0" w:color="0071C5"/>
            </w:tcBorders>
            <w:shd w:val="clear" w:color="auto" w:fill="0071C5"/>
            <w:tcMar>
              <w:top w:w="40" w:type="dxa"/>
              <w:left w:w="40" w:type="dxa"/>
              <w:bottom w:w="40" w:type="dxa"/>
              <w:right w:w="40" w:type="dxa"/>
            </w:tcMar>
            <w:vAlign w:val="bottom"/>
          </w:tcPr>
          <w:p w14:paraId="4ACE48B1" w14:textId="77777777" w:rsidR="006F587A" w:rsidRDefault="007B2B61">
            <w:pPr>
              <w:textAlignment w:val="bottom"/>
              <w:rPr>
                <w:rFonts w:ascii="Times New Roman" w:hAnsi="Times New Roman"/>
                <w:sz w:val="28"/>
                <w:szCs w:val="28"/>
              </w:rPr>
            </w:pPr>
            <w:r>
              <w:rPr>
                <w:rFonts w:ascii="Arial" w:eastAsia="宋体" w:hAnsi="Arial" w:cs="Arial"/>
                <w:b/>
                <w:bCs/>
                <w:color w:val="FFFFFF"/>
                <w:sz w:val="28"/>
                <w:szCs w:val="28"/>
                <w:shd w:val="clear" w:color="auto" w:fill="0071C5"/>
              </w:rPr>
              <w:t xml:space="preserve">NOTE 7 : </w:t>
            </w:r>
          </w:p>
        </w:tc>
        <w:tc>
          <w:tcPr>
            <w:tcW w:w="0" w:type="auto"/>
            <w:tcBorders>
              <w:bottom w:val="single" w:sz="8" w:space="0" w:color="0071C5"/>
            </w:tcBorders>
            <w:shd w:val="clear" w:color="auto" w:fill="auto"/>
            <w:tcMar>
              <w:top w:w="40" w:type="dxa"/>
              <w:left w:w="40" w:type="dxa"/>
              <w:bottom w:w="40" w:type="dxa"/>
              <w:right w:w="40" w:type="dxa"/>
            </w:tcMar>
            <w:vAlign w:val="bottom"/>
          </w:tcPr>
          <w:p w14:paraId="4ACE48B2" w14:textId="77777777" w:rsidR="006F587A" w:rsidRDefault="007B2B61">
            <w:pPr>
              <w:textAlignment w:val="bottom"/>
              <w:rPr>
                <w:rFonts w:ascii="Times New Roman" w:hAnsi="Times New Roman"/>
                <w:sz w:val="28"/>
                <w:szCs w:val="28"/>
              </w:rPr>
            </w:pPr>
            <w:r>
              <w:rPr>
                <w:rFonts w:ascii="Arial" w:eastAsia="宋体" w:hAnsi="Arial" w:cs="Arial"/>
                <w:b/>
                <w:bCs/>
                <w:color w:val="0071C5"/>
                <w:sz w:val="28"/>
                <w:szCs w:val="28"/>
              </w:rPr>
              <w:t>OTHER FINANCIAL STATEMENT DETAILS</w:t>
            </w:r>
          </w:p>
        </w:tc>
      </w:tr>
    </w:tbl>
    <w:p w14:paraId="4ACE48B4" w14:textId="77777777" w:rsidR="006F587A" w:rsidRDefault="006F587A">
      <w:pPr>
        <w:spacing w:line="288" w:lineRule="auto"/>
        <w:rPr>
          <w:rFonts w:ascii="Times New Roman" w:hAnsi="Times New Roman"/>
          <w:sz w:val="28"/>
          <w:szCs w:val="28"/>
        </w:rPr>
      </w:pPr>
    </w:p>
    <w:p w14:paraId="4ACE48B5" w14:textId="77777777" w:rsidR="006F587A" w:rsidRDefault="007B2B61">
      <w:pPr>
        <w:spacing w:line="288" w:lineRule="auto"/>
        <w:rPr>
          <w:rFonts w:ascii="Times New Roman" w:hAnsi="Times New Roman"/>
        </w:rPr>
      </w:pPr>
      <w:r>
        <w:rPr>
          <w:rFonts w:ascii="Arial" w:eastAsia="宋体" w:hAnsi="Arial" w:cs="Arial"/>
          <w:b/>
          <w:bCs/>
          <w:color w:val="0071C5"/>
        </w:rPr>
        <w:t>INVENTORIES</w:t>
      </w:r>
    </w:p>
    <w:tbl>
      <w:tblPr>
        <w:tblW w:w="5000" w:type="pct"/>
        <w:tblCellMar>
          <w:left w:w="0" w:type="dxa"/>
          <w:right w:w="0" w:type="dxa"/>
        </w:tblCellMar>
        <w:tblLook w:val="04A0" w:firstRow="1" w:lastRow="0" w:firstColumn="1" w:lastColumn="0" w:noHBand="0" w:noVBand="1"/>
      </w:tblPr>
      <w:tblGrid>
        <w:gridCol w:w="6097"/>
        <w:gridCol w:w="130"/>
        <w:gridCol w:w="142"/>
        <w:gridCol w:w="782"/>
        <w:gridCol w:w="59"/>
        <w:gridCol w:w="130"/>
        <w:gridCol w:w="142"/>
        <w:gridCol w:w="765"/>
        <w:gridCol w:w="59"/>
      </w:tblGrid>
      <w:tr w:rsidR="006F587A" w14:paraId="4ACE48B7" w14:textId="77777777">
        <w:tc>
          <w:tcPr>
            <w:tcW w:w="0" w:type="auto"/>
            <w:gridSpan w:val="9"/>
            <w:shd w:val="clear" w:color="auto" w:fill="auto"/>
            <w:vAlign w:val="center"/>
          </w:tcPr>
          <w:p w14:paraId="4ACE48B6" w14:textId="77777777" w:rsidR="006F587A" w:rsidRDefault="006F587A">
            <w:pPr>
              <w:rPr>
                <w:rFonts w:ascii="Times New Roman" w:hAnsi="Times New Roman"/>
                <w:sz w:val="20"/>
                <w:szCs w:val="20"/>
              </w:rPr>
            </w:pPr>
          </w:p>
        </w:tc>
      </w:tr>
      <w:tr w:rsidR="006F587A" w14:paraId="4ACE48C1" w14:textId="77777777">
        <w:tc>
          <w:tcPr>
            <w:tcW w:w="3700" w:type="pct"/>
            <w:shd w:val="clear" w:color="auto" w:fill="auto"/>
            <w:vAlign w:val="center"/>
          </w:tcPr>
          <w:p w14:paraId="4ACE48B8" w14:textId="77777777" w:rsidR="006F587A" w:rsidRDefault="006F587A">
            <w:pPr>
              <w:rPr>
                <w:rFonts w:ascii="Times New Roman" w:hAnsi="Times New Roman"/>
                <w:sz w:val="20"/>
                <w:szCs w:val="20"/>
              </w:rPr>
            </w:pPr>
          </w:p>
        </w:tc>
        <w:tc>
          <w:tcPr>
            <w:tcW w:w="50" w:type="pct"/>
            <w:shd w:val="clear" w:color="auto" w:fill="auto"/>
            <w:vAlign w:val="center"/>
          </w:tcPr>
          <w:p w14:paraId="4ACE48B9" w14:textId="77777777" w:rsidR="006F587A" w:rsidRDefault="006F587A">
            <w:pPr>
              <w:rPr>
                <w:rFonts w:ascii="Times New Roman" w:hAnsi="Times New Roman"/>
                <w:sz w:val="20"/>
                <w:szCs w:val="20"/>
              </w:rPr>
            </w:pPr>
          </w:p>
        </w:tc>
        <w:tc>
          <w:tcPr>
            <w:tcW w:w="50" w:type="pct"/>
            <w:shd w:val="clear" w:color="auto" w:fill="auto"/>
            <w:vAlign w:val="center"/>
          </w:tcPr>
          <w:p w14:paraId="4ACE48BA" w14:textId="77777777" w:rsidR="006F587A" w:rsidRDefault="006F587A">
            <w:pPr>
              <w:rPr>
                <w:rFonts w:ascii="Times New Roman" w:hAnsi="Times New Roman"/>
                <w:sz w:val="20"/>
                <w:szCs w:val="20"/>
              </w:rPr>
            </w:pPr>
          </w:p>
        </w:tc>
        <w:tc>
          <w:tcPr>
            <w:tcW w:w="500" w:type="pct"/>
            <w:shd w:val="clear" w:color="auto" w:fill="auto"/>
            <w:vAlign w:val="center"/>
          </w:tcPr>
          <w:p w14:paraId="4ACE48BB" w14:textId="77777777" w:rsidR="006F587A" w:rsidRDefault="006F587A">
            <w:pPr>
              <w:rPr>
                <w:rFonts w:ascii="Times New Roman" w:hAnsi="Times New Roman"/>
                <w:sz w:val="20"/>
                <w:szCs w:val="20"/>
              </w:rPr>
            </w:pPr>
          </w:p>
        </w:tc>
        <w:tc>
          <w:tcPr>
            <w:tcW w:w="50" w:type="pct"/>
            <w:shd w:val="clear" w:color="auto" w:fill="auto"/>
            <w:vAlign w:val="center"/>
          </w:tcPr>
          <w:p w14:paraId="4ACE48BC" w14:textId="77777777" w:rsidR="006F587A" w:rsidRDefault="006F587A">
            <w:pPr>
              <w:rPr>
                <w:rFonts w:ascii="Times New Roman" w:hAnsi="Times New Roman"/>
                <w:sz w:val="20"/>
                <w:szCs w:val="20"/>
              </w:rPr>
            </w:pPr>
          </w:p>
        </w:tc>
        <w:tc>
          <w:tcPr>
            <w:tcW w:w="50" w:type="pct"/>
            <w:shd w:val="clear" w:color="auto" w:fill="auto"/>
            <w:vAlign w:val="center"/>
          </w:tcPr>
          <w:p w14:paraId="4ACE48BD" w14:textId="77777777" w:rsidR="006F587A" w:rsidRDefault="006F587A">
            <w:pPr>
              <w:rPr>
                <w:rFonts w:ascii="Times New Roman" w:hAnsi="Times New Roman"/>
                <w:sz w:val="20"/>
                <w:szCs w:val="20"/>
              </w:rPr>
            </w:pPr>
          </w:p>
        </w:tc>
        <w:tc>
          <w:tcPr>
            <w:tcW w:w="50" w:type="pct"/>
            <w:shd w:val="clear" w:color="auto" w:fill="auto"/>
            <w:vAlign w:val="center"/>
          </w:tcPr>
          <w:p w14:paraId="4ACE48BE" w14:textId="77777777" w:rsidR="006F587A" w:rsidRDefault="006F587A">
            <w:pPr>
              <w:rPr>
                <w:rFonts w:ascii="Times New Roman" w:hAnsi="Times New Roman"/>
                <w:sz w:val="20"/>
                <w:szCs w:val="20"/>
              </w:rPr>
            </w:pPr>
          </w:p>
        </w:tc>
        <w:tc>
          <w:tcPr>
            <w:tcW w:w="500" w:type="pct"/>
            <w:shd w:val="clear" w:color="auto" w:fill="auto"/>
            <w:vAlign w:val="center"/>
          </w:tcPr>
          <w:p w14:paraId="4ACE48BF" w14:textId="77777777" w:rsidR="006F587A" w:rsidRDefault="006F587A">
            <w:pPr>
              <w:rPr>
                <w:rFonts w:ascii="Times New Roman" w:hAnsi="Times New Roman"/>
                <w:sz w:val="20"/>
                <w:szCs w:val="20"/>
              </w:rPr>
            </w:pPr>
          </w:p>
        </w:tc>
        <w:tc>
          <w:tcPr>
            <w:tcW w:w="50" w:type="pct"/>
            <w:shd w:val="clear" w:color="auto" w:fill="auto"/>
            <w:vAlign w:val="center"/>
          </w:tcPr>
          <w:p w14:paraId="4ACE48C0" w14:textId="77777777" w:rsidR="006F587A" w:rsidRDefault="006F587A">
            <w:pPr>
              <w:rPr>
                <w:rFonts w:ascii="Times New Roman" w:hAnsi="Times New Roman"/>
                <w:sz w:val="20"/>
                <w:szCs w:val="20"/>
              </w:rPr>
            </w:pPr>
          </w:p>
        </w:tc>
      </w:tr>
      <w:tr w:rsidR="006F587A" w14:paraId="4ACE48C7"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48C2"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4ACE48C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8C4"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28, </w:t>
            </w:r>
            <w:r>
              <w:rPr>
                <w:rFonts w:ascii="Arial" w:eastAsia="宋体" w:hAnsi="Arial" w:cs="Arial"/>
                <w:b/>
                <w:bCs/>
                <w:color w:val="333333"/>
                <w:sz w:val="18"/>
                <w:szCs w:val="18"/>
              </w:rPr>
              <w:br/>
              <w:t>2019</w:t>
            </w:r>
          </w:p>
        </w:tc>
        <w:tc>
          <w:tcPr>
            <w:tcW w:w="0" w:type="auto"/>
            <w:shd w:val="clear" w:color="auto" w:fill="auto"/>
            <w:tcMar>
              <w:top w:w="40" w:type="dxa"/>
              <w:left w:w="40" w:type="dxa"/>
              <w:bottom w:w="40" w:type="dxa"/>
              <w:right w:w="40" w:type="dxa"/>
            </w:tcMar>
            <w:vAlign w:val="bottom"/>
          </w:tcPr>
          <w:p w14:paraId="4ACE48C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8C6"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29, </w:t>
            </w:r>
            <w:r>
              <w:rPr>
                <w:rFonts w:ascii="Arial" w:eastAsia="宋体" w:hAnsi="Arial" w:cs="Arial"/>
                <w:b/>
                <w:bCs/>
                <w:color w:val="333333"/>
                <w:sz w:val="18"/>
                <w:szCs w:val="18"/>
              </w:rPr>
              <w:br/>
              <w:t>2018</w:t>
            </w:r>
          </w:p>
        </w:tc>
      </w:tr>
      <w:tr w:rsidR="006F587A" w14:paraId="4ACE48D1" w14:textId="77777777">
        <w:tc>
          <w:tcPr>
            <w:tcW w:w="0" w:type="auto"/>
            <w:shd w:val="clear" w:color="auto" w:fill="auto"/>
            <w:tcMar>
              <w:top w:w="40" w:type="dxa"/>
              <w:left w:w="40" w:type="dxa"/>
              <w:bottom w:w="40" w:type="dxa"/>
              <w:right w:w="40" w:type="dxa"/>
            </w:tcMar>
            <w:vAlign w:val="bottom"/>
          </w:tcPr>
          <w:p w14:paraId="4ACE48C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Raw materials</w:t>
            </w:r>
          </w:p>
        </w:tc>
        <w:tc>
          <w:tcPr>
            <w:tcW w:w="0" w:type="auto"/>
            <w:shd w:val="clear" w:color="auto" w:fill="auto"/>
            <w:tcMar>
              <w:top w:w="40" w:type="dxa"/>
              <w:left w:w="40" w:type="dxa"/>
              <w:bottom w:w="40" w:type="dxa"/>
              <w:right w:w="40" w:type="dxa"/>
            </w:tcMar>
            <w:vAlign w:val="bottom"/>
          </w:tcPr>
          <w:p w14:paraId="4ACE48C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48CA"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tcBorders>
              <w:top w:val="single" w:sz="8" w:space="0" w:color="0071C5"/>
            </w:tcBorders>
            <w:shd w:val="clear" w:color="auto" w:fill="auto"/>
            <w:tcMar>
              <w:top w:w="40" w:type="dxa"/>
              <w:bottom w:w="40" w:type="dxa"/>
            </w:tcMar>
            <w:vAlign w:val="bottom"/>
          </w:tcPr>
          <w:p w14:paraId="4ACE48CB"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840</w:t>
            </w:r>
          </w:p>
        </w:tc>
        <w:tc>
          <w:tcPr>
            <w:tcW w:w="0" w:type="auto"/>
            <w:tcBorders>
              <w:top w:val="single" w:sz="8" w:space="0" w:color="0071C5"/>
            </w:tcBorders>
            <w:shd w:val="clear" w:color="auto" w:fill="auto"/>
            <w:vAlign w:val="bottom"/>
          </w:tcPr>
          <w:p w14:paraId="4ACE48C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8C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48CE"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tcMar>
            <w:vAlign w:val="bottom"/>
          </w:tcPr>
          <w:p w14:paraId="4ACE48C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813</w:t>
            </w:r>
          </w:p>
        </w:tc>
        <w:tc>
          <w:tcPr>
            <w:tcW w:w="0" w:type="auto"/>
            <w:tcBorders>
              <w:top w:val="single" w:sz="8" w:space="0" w:color="0071C5"/>
            </w:tcBorders>
            <w:shd w:val="clear" w:color="auto" w:fill="auto"/>
            <w:vAlign w:val="bottom"/>
          </w:tcPr>
          <w:p w14:paraId="4ACE48D0" w14:textId="77777777" w:rsidR="006F587A" w:rsidRDefault="006F587A">
            <w:pPr>
              <w:textAlignment w:val="bottom"/>
              <w:rPr>
                <w:rFonts w:ascii="Times New Roman" w:hAnsi="Times New Roman"/>
                <w:sz w:val="20"/>
                <w:szCs w:val="20"/>
              </w:rPr>
            </w:pPr>
          </w:p>
        </w:tc>
      </w:tr>
      <w:tr w:rsidR="006F587A" w14:paraId="4ACE48D9" w14:textId="77777777">
        <w:tc>
          <w:tcPr>
            <w:tcW w:w="0" w:type="auto"/>
            <w:shd w:val="clear" w:color="auto" w:fill="auto"/>
            <w:tcMar>
              <w:top w:w="40" w:type="dxa"/>
              <w:left w:w="40" w:type="dxa"/>
              <w:bottom w:w="40" w:type="dxa"/>
              <w:right w:w="40" w:type="dxa"/>
            </w:tcMar>
            <w:vAlign w:val="bottom"/>
          </w:tcPr>
          <w:p w14:paraId="4ACE48D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Work in process</w:t>
            </w:r>
          </w:p>
        </w:tc>
        <w:tc>
          <w:tcPr>
            <w:tcW w:w="0" w:type="auto"/>
            <w:shd w:val="clear" w:color="auto" w:fill="auto"/>
            <w:tcMar>
              <w:top w:w="40" w:type="dxa"/>
              <w:left w:w="40" w:type="dxa"/>
              <w:bottom w:w="40" w:type="dxa"/>
              <w:right w:w="40" w:type="dxa"/>
            </w:tcMar>
            <w:vAlign w:val="bottom"/>
          </w:tcPr>
          <w:p w14:paraId="4ACE48D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8D4"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6,225</w:t>
            </w:r>
          </w:p>
        </w:tc>
        <w:tc>
          <w:tcPr>
            <w:tcW w:w="0" w:type="auto"/>
            <w:shd w:val="clear" w:color="auto" w:fill="auto"/>
            <w:vAlign w:val="bottom"/>
          </w:tcPr>
          <w:p w14:paraId="4ACE48D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8D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8D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4,511</w:t>
            </w:r>
          </w:p>
        </w:tc>
        <w:tc>
          <w:tcPr>
            <w:tcW w:w="0" w:type="auto"/>
            <w:shd w:val="clear" w:color="auto" w:fill="auto"/>
            <w:vAlign w:val="bottom"/>
          </w:tcPr>
          <w:p w14:paraId="4ACE48D8" w14:textId="77777777" w:rsidR="006F587A" w:rsidRDefault="006F587A">
            <w:pPr>
              <w:textAlignment w:val="bottom"/>
              <w:rPr>
                <w:rFonts w:ascii="Times New Roman" w:hAnsi="Times New Roman"/>
                <w:sz w:val="20"/>
                <w:szCs w:val="20"/>
              </w:rPr>
            </w:pPr>
          </w:p>
        </w:tc>
      </w:tr>
      <w:tr w:rsidR="006F587A" w14:paraId="4ACE48E1" w14:textId="77777777">
        <w:tc>
          <w:tcPr>
            <w:tcW w:w="0" w:type="auto"/>
            <w:shd w:val="clear" w:color="auto" w:fill="auto"/>
            <w:tcMar>
              <w:top w:w="40" w:type="dxa"/>
              <w:left w:w="40" w:type="dxa"/>
              <w:bottom w:w="40" w:type="dxa"/>
              <w:right w:w="40" w:type="dxa"/>
            </w:tcMar>
            <w:vAlign w:val="bottom"/>
          </w:tcPr>
          <w:p w14:paraId="4ACE48D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Finished goods</w:t>
            </w:r>
          </w:p>
        </w:tc>
        <w:tc>
          <w:tcPr>
            <w:tcW w:w="0" w:type="auto"/>
            <w:shd w:val="clear" w:color="auto" w:fill="auto"/>
            <w:tcMar>
              <w:top w:w="40" w:type="dxa"/>
              <w:left w:w="40" w:type="dxa"/>
              <w:bottom w:w="40" w:type="dxa"/>
              <w:right w:w="40" w:type="dxa"/>
            </w:tcMar>
            <w:vAlign w:val="bottom"/>
          </w:tcPr>
          <w:p w14:paraId="4ACE48D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8DC"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1,679</w:t>
            </w:r>
          </w:p>
        </w:tc>
        <w:tc>
          <w:tcPr>
            <w:tcW w:w="0" w:type="auto"/>
            <w:shd w:val="clear" w:color="auto" w:fill="auto"/>
            <w:vAlign w:val="bottom"/>
          </w:tcPr>
          <w:p w14:paraId="4ACE48D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8D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8D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1,929</w:t>
            </w:r>
          </w:p>
        </w:tc>
        <w:tc>
          <w:tcPr>
            <w:tcW w:w="0" w:type="auto"/>
            <w:shd w:val="clear" w:color="auto" w:fill="auto"/>
            <w:vAlign w:val="bottom"/>
          </w:tcPr>
          <w:p w14:paraId="4ACE48E0" w14:textId="77777777" w:rsidR="006F587A" w:rsidRDefault="006F587A">
            <w:pPr>
              <w:textAlignment w:val="bottom"/>
              <w:rPr>
                <w:rFonts w:ascii="Times New Roman" w:hAnsi="Times New Roman"/>
                <w:sz w:val="20"/>
                <w:szCs w:val="20"/>
              </w:rPr>
            </w:pPr>
          </w:p>
        </w:tc>
      </w:tr>
      <w:tr w:rsidR="006F587A" w14:paraId="4ACE48EB" w14:textId="77777777">
        <w:tc>
          <w:tcPr>
            <w:tcW w:w="0" w:type="auto"/>
            <w:shd w:val="clear" w:color="auto" w:fill="auto"/>
            <w:tcMar>
              <w:top w:w="40" w:type="dxa"/>
              <w:left w:w="40" w:type="dxa"/>
              <w:bottom w:w="40" w:type="dxa"/>
              <w:right w:w="40" w:type="dxa"/>
            </w:tcMar>
            <w:vAlign w:val="bottom"/>
          </w:tcPr>
          <w:p w14:paraId="4ACE48E2"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 xml:space="preserve">Total </w:t>
            </w:r>
            <w:r>
              <w:rPr>
                <w:rFonts w:ascii="Arial" w:eastAsia="宋体" w:hAnsi="Arial" w:cs="Arial"/>
                <w:b/>
                <w:bCs/>
                <w:color w:val="333333"/>
                <w:sz w:val="18"/>
                <w:szCs w:val="18"/>
              </w:rPr>
              <w:t>inventories</w:t>
            </w:r>
          </w:p>
        </w:tc>
        <w:tc>
          <w:tcPr>
            <w:tcW w:w="0" w:type="auto"/>
            <w:shd w:val="clear" w:color="auto" w:fill="auto"/>
            <w:tcMar>
              <w:top w:w="40" w:type="dxa"/>
              <w:left w:w="40" w:type="dxa"/>
              <w:bottom w:w="40" w:type="dxa"/>
              <w:right w:w="40" w:type="dxa"/>
            </w:tcMar>
            <w:vAlign w:val="bottom"/>
          </w:tcPr>
          <w:p w14:paraId="4ACE48E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8E4"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8E5"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8,744</w:t>
            </w:r>
          </w:p>
        </w:tc>
        <w:tc>
          <w:tcPr>
            <w:tcW w:w="0" w:type="auto"/>
            <w:tcBorders>
              <w:top w:val="single" w:sz="8" w:space="0" w:color="333333"/>
              <w:bottom w:val="double" w:sz="6" w:space="0" w:color="333333"/>
            </w:tcBorders>
            <w:shd w:val="clear" w:color="auto" w:fill="auto"/>
            <w:vAlign w:val="bottom"/>
          </w:tcPr>
          <w:p w14:paraId="4ACE48E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8E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8E8"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8E9"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7,253</w:t>
            </w:r>
          </w:p>
        </w:tc>
        <w:tc>
          <w:tcPr>
            <w:tcW w:w="0" w:type="auto"/>
            <w:tcBorders>
              <w:top w:val="single" w:sz="8" w:space="0" w:color="333333"/>
              <w:bottom w:val="double" w:sz="6" w:space="0" w:color="333333"/>
            </w:tcBorders>
            <w:shd w:val="clear" w:color="auto" w:fill="auto"/>
            <w:vAlign w:val="bottom"/>
          </w:tcPr>
          <w:p w14:paraId="4ACE48EA" w14:textId="77777777" w:rsidR="006F587A" w:rsidRDefault="006F587A">
            <w:pPr>
              <w:textAlignment w:val="bottom"/>
              <w:rPr>
                <w:rFonts w:ascii="Times New Roman" w:hAnsi="Times New Roman"/>
                <w:sz w:val="20"/>
                <w:szCs w:val="20"/>
              </w:rPr>
            </w:pPr>
          </w:p>
        </w:tc>
      </w:tr>
    </w:tbl>
    <w:p w14:paraId="4ACE48EC" w14:textId="77777777" w:rsidR="006F587A" w:rsidRDefault="006F587A">
      <w:pPr>
        <w:spacing w:line="288" w:lineRule="auto"/>
        <w:rPr>
          <w:rFonts w:ascii="Times New Roman" w:hAnsi="Times New Roman"/>
          <w:sz w:val="20"/>
          <w:szCs w:val="20"/>
        </w:rPr>
      </w:pPr>
    </w:p>
    <w:p w14:paraId="4ACE48ED" w14:textId="77777777" w:rsidR="006F587A" w:rsidRDefault="007B2B61">
      <w:pPr>
        <w:spacing w:line="288" w:lineRule="auto"/>
        <w:rPr>
          <w:rFonts w:ascii="Times New Roman" w:hAnsi="Times New Roman"/>
        </w:rPr>
      </w:pPr>
      <w:r>
        <w:rPr>
          <w:rFonts w:ascii="Arial" w:eastAsia="宋体" w:hAnsi="Arial" w:cs="Arial"/>
          <w:b/>
          <w:bCs/>
          <w:color w:val="0071C5"/>
        </w:rPr>
        <w:lastRenderedPageBreak/>
        <w:t>PROPERTY, PLANT AND EQUIPMENT</w:t>
      </w:r>
    </w:p>
    <w:tbl>
      <w:tblPr>
        <w:tblW w:w="5000" w:type="pct"/>
        <w:tblCellMar>
          <w:left w:w="0" w:type="dxa"/>
          <w:right w:w="0" w:type="dxa"/>
        </w:tblCellMar>
        <w:tblLook w:val="04A0" w:firstRow="1" w:lastRow="0" w:firstColumn="1" w:lastColumn="0" w:noHBand="0" w:noVBand="1"/>
      </w:tblPr>
      <w:tblGrid>
        <w:gridCol w:w="6064"/>
        <w:gridCol w:w="130"/>
        <w:gridCol w:w="141"/>
        <w:gridCol w:w="750"/>
        <w:gridCol w:w="100"/>
        <w:gridCol w:w="130"/>
        <w:gridCol w:w="141"/>
        <w:gridCol w:w="750"/>
        <w:gridCol w:w="100"/>
      </w:tblGrid>
      <w:tr w:rsidR="006F587A" w14:paraId="4ACE48EF" w14:textId="77777777">
        <w:tc>
          <w:tcPr>
            <w:tcW w:w="0" w:type="auto"/>
            <w:gridSpan w:val="9"/>
            <w:shd w:val="clear" w:color="auto" w:fill="auto"/>
            <w:vAlign w:val="center"/>
          </w:tcPr>
          <w:p w14:paraId="4ACE48EE" w14:textId="77777777" w:rsidR="006F587A" w:rsidRDefault="006F587A">
            <w:pPr>
              <w:rPr>
                <w:rFonts w:ascii="Times New Roman" w:hAnsi="Times New Roman"/>
                <w:sz w:val="20"/>
                <w:szCs w:val="20"/>
              </w:rPr>
            </w:pPr>
          </w:p>
        </w:tc>
      </w:tr>
      <w:tr w:rsidR="006F587A" w14:paraId="4ACE48F9" w14:textId="77777777">
        <w:tc>
          <w:tcPr>
            <w:tcW w:w="3700" w:type="pct"/>
            <w:shd w:val="clear" w:color="auto" w:fill="auto"/>
            <w:vAlign w:val="center"/>
          </w:tcPr>
          <w:p w14:paraId="4ACE48F0" w14:textId="77777777" w:rsidR="006F587A" w:rsidRDefault="006F587A">
            <w:pPr>
              <w:rPr>
                <w:rFonts w:ascii="Times New Roman" w:hAnsi="Times New Roman"/>
                <w:sz w:val="20"/>
                <w:szCs w:val="20"/>
              </w:rPr>
            </w:pPr>
          </w:p>
        </w:tc>
        <w:tc>
          <w:tcPr>
            <w:tcW w:w="50" w:type="pct"/>
            <w:shd w:val="clear" w:color="auto" w:fill="auto"/>
            <w:vAlign w:val="center"/>
          </w:tcPr>
          <w:p w14:paraId="4ACE48F1" w14:textId="77777777" w:rsidR="006F587A" w:rsidRDefault="006F587A">
            <w:pPr>
              <w:rPr>
                <w:rFonts w:ascii="Times New Roman" w:hAnsi="Times New Roman"/>
                <w:sz w:val="20"/>
                <w:szCs w:val="20"/>
              </w:rPr>
            </w:pPr>
          </w:p>
        </w:tc>
        <w:tc>
          <w:tcPr>
            <w:tcW w:w="50" w:type="pct"/>
            <w:shd w:val="clear" w:color="auto" w:fill="auto"/>
            <w:vAlign w:val="center"/>
          </w:tcPr>
          <w:p w14:paraId="4ACE48F2" w14:textId="77777777" w:rsidR="006F587A" w:rsidRDefault="006F587A">
            <w:pPr>
              <w:rPr>
                <w:rFonts w:ascii="Times New Roman" w:hAnsi="Times New Roman"/>
                <w:sz w:val="20"/>
                <w:szCs w:val="20"/>
              </w:rPr>
            </w:pPr>
          </w:p>
        </w:tc>
        <w:tc>
          <w:tcPr>
            <w:tcW w:w="500" w:type="pct"/>
            <w:shd w:val="clear" w:color="auto" w:fill="auto"/>
            <w:vAlign w:val="center"/>
          </w:tcPr>
          <w:p w14:paraId="4ACE48F3" w14:textId="77777777" w:rsidR="006F587A" w:rsidRDefault="006F587A">
            <w:pPr>
              <w:rPr>
                <w:rFonts w:ascii="Times New Roman" w:hAnsi="Times New Roman"/>
                <w:sz w:val="20"/>
                <w:szCs w:val="20"/>
              </w:rPr>
            </w:pPr>
          </w:p>
        </w:tc>
        <w:tc>
          <w:tcPr>
            <w:tcW w:w="50" w:type="pct"/>
            <w:shd w:val="clear" w:color="auto" w:fill="auto"/>
            <w:vAlign w:val="center"/>
          </w:tcPr>
          <w:p w14:paraId="4ACE48F4" w14:textId="77777777" w:rsidR="006F587A" w:rsidRDefault="006F587A">
            <w:pPr>
              <w:rPr>
                <w:rFonts w:ascii="Times New Roman" w:hAnsi="Times New Roman"/>
                <w:sz w:val="20"/>
                <w:szCs w:val="20"/>
              </w:rPr>
            </w:pPr>
          </w:p>
        </w:tc>
        <w:tc>
          <w:tcPr>
            <w:tcW w:w="50" w:type="pct"/>
            <w:shd w:val="clear" w:color="auto" w:fill="auto"/>
            <w:vAlign w:val="center"/>
          </w:tcPr>
          <w:p w14:paraId="4ACE48F5" w14:textId="77777777" w:rsidR="006F587A" w:rsidRDefault="006F587A">
            <w:pPr>
              <w:rPr>
                <w:rFonts w:ascii="Times New Roman" w:hAnsi="Times New Roman"/>
                <w:sz w:val="20"/>
                <w:szCs w:val="20"/>
              </w:rPr>
            </w:pPr>
          </w:p>
        </w:tc>
        <w:tc>
          <w:tcPr>
            <w:tcW w:w="50" w:type="pct"/>
            <w:shd w:val="clear" w:color="auto" w:fill="auto"/>
            <w:vAlign w:val="center"/>
          </w:tcPr>
          <w:p w14:paraId="4ACE48F6" w14:textId="77777777" w:rsidR="006F587A" w:rsidRDefault="006F587A">
            <w:pPr>
              <w:rPr>
                <w:rFonts w:ascii="Times New Roman" w:hAnsi="Times New Roman"/>
                <w:sz w:val="20"/>
                <w:szCs w:val="20"/>
              </w:rPr>
            </w:pPr>
          </w:p>
        </w:tc>
        <w:tc>
          <w:tcPr>
            <w:tcW w:w="500" w:type="pct"/>
            <w:shd w:val="clear" w:color="auto" w:fill="auto"/>
            <w:vAlign w:val="center"/>
          </w:tcPr>
          <w:p w14:paraId="4ACE48F7" w14:textId="77777777" w:rsidR="006F587A" w:rsidRDefault="006F587A">
            <w:pPr>
              <w:rPr>
                <w:rFonts w:ascii="Times New Roman" w:hAnsi="Times New Roman"/>
                <w:sz w:val="20"/>
                <w:szCs w:val="20"/>
              </w:rPr>
            </w:pPr>
          </w:p>
        </w:tc>
        <w:tc>
          <w:tcPr>
            <w:tcW w:w="50" w:type="pct"/>
            <w:shd w:val="clear" w:color="auto" w:fill="auto"/>
            <w:vAlign w:val="center"/>
          </w:tcPr>
          <w:p w14:paraId="4ACE48F8" w14:textId="77777777" w:rsidR="006F587A" w:rsidRDefault="006F587A">
            <w:pPr>
              <w:rPr>
                <w:rFonts w:ascii="Times New Roman" w:hAnsi="Times New Roman"/>
                <w:sz w:val="20"/>
                <w:szCs w:val="20"/>
              </w:rPr>
            </w:pPr>
          </w:p>
        </w:tc>
      </w:tr>
      <w:tr w:rsidR="006F587A" w14:paraId="4ACE48FF"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48FA"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4ACE48F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8FC"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28, </w:t>
            </w:r>
            <w:r>
              <w:rPr>
                <w:rFonts w:ascii="Arial" w:eastAsia="宋体" w:hAnsi="Arial" w:cs="Arial"/>
                <w:b/>
                <w:bCs/>
                <w:color w:val="333333"/>
                <w:sz w:val="18"/>
                <w:szCs w:val="18"/>
              </w:rPr>
              <w:br/>
              <w:t>2019</w:t>
            </w:r>
          </w:p>
        </w:tc>
        <w:tc>
          <w:tcPr>
            <w:tcW w:w="0" w:type="auto"/>
            <w:shd w:val="clear" w:color="auto" w:fill="auto"/>
            <w:tcMar>
              <w:top w:w="40" w:type="dxa"/>
              <w:left w:w="40" w:type="dxa"/>
              <w:bottom w:w="40" w:type="dxa"/>
              <w:right w:w="40" w:type="dxa"/>
            </w:tcMar>
            <w:vAlign w:val="bottom"/>
          </w:tcPr>
          <w:p w14:paraId="4ACE48F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8FE"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29, </w:t>
            </w:r>
            <w:r>
              <w:rPr>
                <w:rFonts w:ascii="Arial" w:eastAsia="宋体" w:hAnsi="Arial" w:cs="Arial"/>
                <w:b/>
                <w:bCs/>
                <w:color w:val="333333"/>
                <w:sz w:val="18"/>
                <w:szCs w:val="18"/>
              </w:rPr>
              <w:br/>
              <w:t>2018</w:t>
            </w:r>
          </w:p>
        </w:tc>
      </w:tr>
      <w:tr w:rsidR="006F587A" w14:paraId="4ACE4909" w14:textId="77777777">
        <w:tc>
          <w:tcPr>
            <w:tcW w:w="0" w:type="auto"/>
            <w:shd w:val="clear" w:color="auto" w:fill="auto"/>
            <w:tcMar>
              <w:top w:w="40" w:type="dxa"/>
              <w:left w:w="40" w:type="dxa"/>
              <w:bottom w:w="40" w:type="dxa"/>
              <w:right w:w="40" w:type="dxa"/>
            </w:tcMar>
            <w:vAlign w:val="bottom"/>
          </w:tcPr>
          <w:p w14:paraId="4ACE490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Land and buildings</w:t>
            </w:r>
          </w:p>
        </w:tc>
        <w:tc>
          <w:tcPr>
            <w:tcW w:w="0" w:type="auto"/>
            <w:shd w:val="clear" w:color="auto" w:fill="auto"/>
            <w:tcMar>
              <w:top w:w="40" w:type="dxa"/>
              <w:left w:w="40" w:type="dxa"/>
              <w:bottom w:w="40" w:type="dxa"/>
              <w:right w:w="40" w:type="dxa"/>
            </w:tcMar>
            <w:vAlign w:val="bottom"/>
          </w:tcPr>
          <w:p w14:paraId="4ACE490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902"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490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37,743</w:t>
            </w:r>
          </w:p>
        </w:tc>
        <w:tc>
          <w:tcPr>
            <w:tcW w:w="0" w:type="auto"/>
            <w:shd w:val="clear" w:color="auto" w:fill="auto"/>
            <w:vAlign w:val="bottom"/>
          </w:tcPr>
          <w:p w14:paraId="4ACE490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90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90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490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30,954</w:t>
            </w:r>
          </w:p>
        </w:tc>
        <w:tc>
          <w:tcPr>
            <w:tcW w:w="0" w:type="auto"/>
            <w:shd w:val="clear" w:color="auto" w:fill="auto"/>
            <w:vAlign w:val="bottom"/>
          </w:tcPr>
          <w:p w14:paraId="4ACE4908" w14:textId="77777777" w:rsidR="006F587A" w:rsidRDefault="006F587A">
            <w:pPr>
              <w:textAlignment w:val="bottom"/>
              <w:rPr>
                <w:rFonts w:ascii="Times New Roman" w:hAnsi="Times New Roman"/>
                <w:sz w:val="20"/>
                <w:szCs w:val="20"/>
              </w:rPr>
            </w:pPr>
          </w:p>
        </w:tc>
      </w:tr>
      <w:tr w:rsidR="006F587A" w14:paraId="4ACE4911" w14:textId="77777777">
        <w:tc>
          <w:tcPr>
            <w:tcW w:w="0" w:type="auto"/>
            <w:shd w:val="clear" w:color="auto" w:fill="auto"/>
            <w:tcMar>
              <w:top w:w="40" w:type="dxa"/>
              <w:left w:w="40" w:type="dxa"/>
              <w:bottom w:w="40" w:type="dxa"/>
              <w:right w:w="40" w:type="dxa"/>
            </w:tcMar>
            <w:vAlign w:val="bottom"/>
          </w:tcPr>
          <w:p w14:paraId="4ACE490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Machinery and equipment</w:t>
            </w:r>
          </w:p>
        </w:tc>
        <w:tc>
          <w:tcPr>
            <w:tcW w:w="0" w:type="auto"/>
            <w:shd w:val="clear" w:color="auto" w:fill="auto"/>
            <w:tcMar>
              <w:top w:w="40" w:type="dxa"/>
              <w:left w:w="40" w:type="dxa"/>
              <w:bottom w:w="40" w:type="dxa"/>
              <w:right w:w="40" w:type="dxa"/>
            </w:tcMar>
            <w:vAlign w:val="bottom"/>
          </w:tcPr>
          <w:p w14:paraId="4ACE490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90C"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74,901</w:t>
            </w:r>
          </w:p>
        </w:tc>
        <w:tc>
          <w:tcPr>
            <w:tcW w:w="0" w:type="auto"/>
            <w:shd w:val="clear" w:color="auto" w:fill="auto"/>
            <w:vAlign w:val="bottom"/>
          </w:tcPr>
          <w:p w14:paraId="4ACE490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90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90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66,721</w:t>
            </w:r>
          </w:p>
        </w:tc>
        <w:tc>
          <w:tcPr>
            <w:tcW w:w="0" w:type="auto"/>
            <w:shd w:val="clear" w:color="auto" w:fill="auto"/>
            <w:vAlign w:val="bottom"/>
          </w:tcPr>
          <w:p w14:paraId="4ACE4910" w14:textId="77777777" w:rsidR="006F587A" w:rsidRDefault="006F587A">
            <w:pPr>
              <w:textAlignment w:val="bottom"/>
              <w:rPr>
                <w:rFonts w:ascii="Times New Roman" w:hAnsi="Times New Roman"/>
                <w:sz w:val="20"/>
                <w:szCs w:val="20"/>
              </w:rPr>
            </w:pPr>
          </w:p>
        </w:tc>
      </w:tr>
      <w:tr w:rsidR="006F587A" w14:paraId="4ACE4919" w14:textId="77777777">
        <w:tc>
          <w:tcPr>
            <w:tcW w:w="0" w:type="auto"/>
            <w:shd w:val="clear" w:color="auto" w:fill="auto"/>
            <w:tcMar>
              <w:top w:w="40" w:type="dxa"/>
              <w:left w:w="40" w:type="dxa"/>
              <w:bottom w:w="40" w:type="dxa"/>
              <w:right w:w="40" w:type="dxa"/>
            </w:tcMar>
            <w:vAlign w:val="bottom"/>
          </w:tcPr>
          <w:p w14:paraId="4ACE491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Construction in progress</w:t>
            </w:r>
          </w:p>
        </w:tc>
        <w:tc>
          <w:tcPr>
            <w:tcW w:w="0" w:type="auto"/>
            <w:shd w:val="clear" w:color="auto" w:fill="auto"/>
            <w:tcMar>
              <w:top w:w="40" w:type="dxa"/>
              <w:left w:w="40" w:type="dxa"/>
              <w:bottom w:w="40" w:type="dxa"/>
              <w:right w:w="40" w:type="dxa"/>
            </w:tcMar>
            <w:vAlign w:val="bottom"/>
          </w:tcPr>
          <w:p w14:paraId="4ACE491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4914"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16,063</w:t>
            </w:r>
          </w:p>
        </w:tc>
        <w:tc>
          <w:tcPr>
            <w:tcW w:w="0" w:type="auto"/>
            <w:tcBorders>
              <w:bottom w:val="single" w:sz="8" w:space="0" w:color="333333"/>
            </w:tcBorders>
            <w:shd w:val="clear" w:color="auto" w:fill="auto"/>
            <w:vAlign w:val="bottom"/>
          </w:tcPr>
          <w:p w14:paraId="4ACE491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91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491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16,643</w:t>
            </w:r>
          </w:p>
        </w:tc>
        <w:tc>
          <w:tcPr>
            <w:tcW w:w="0" w:type="auto"/>
            <w:tcBorders>
              <w:bottom w:val="single" w:sz="8" w:space="0" w:color="333333"/>
            </w:tcBorders>
            <w:shd w:val="clear" w:color="auto" w:fill="auto"/>
            <w:vAlign w:val="bottom"/>
          </w:tcPr>
          <w:p w14:paraId="4ACE4918" w14:textId="77777777" w:rsidR="006F587A" w:rsidRDefault="006F587A">
            <w:pPr>
              <w:textAlignment w:val="bottom"/>
              <w:rPr>
                <w:rFonts w:ascii="Times New Roman" w:hAnsi="Times New Roman"/>
                <w:sz w:val="20"/>
                <w:szCs w:val="20"/>
              </w:rPr>
            </w:pPr>
          </w:p>
        </w:tc>
      </w:tr>
      <w:tr w:rsidR="006F587A" w14:paraId="4ACE4921" w14:textId="77777777">
        <w:tc>
          <w:tcPr>
            <w:tcW w:w="0" w:type="auto"/>
            <w:shd w:val="clear" w:color="auto" w:fill="auto"/>
            <w:tcMar>
              <w:top w:w="40" w:type="dxa"/>
              <w:left w:w="40" w:type="dxa"/>
              <w:bottom w:w="40" w:type="dxa"/>
              <w:right w:w="40" w:type="dxa"/>
            </w:tcMar>
            <w:vAlign w:val="bottom"/>
          </w:tcPr>
          <w:p w14:paraId="4ACE491A" w14:textId="77777777" w:rsidR="006F587A" w:rsidRDefault="007B2B61">
            <w:pPr>
              <w:ind w:hanging="240"/>
              <w:textAlignment w:val="bottom"/>
              <w:rPr>
                <w:rFonts w:ascii="Times New Roman" w:hAnsi="Times New Roman"/>
                <w:sz w:val="18"/>
                <w:szCs w:val="18"/>
              </w:rPr>
            </w:pPr>
            <w:r>
              <w:rPr>
                <w:rFonts w:ascii="Arial" w:eastAsia="宋体" w:hAnsi="Arial" w:cs="Arial"/>
                <w:b/>
                <w:bCs/>
                <w:color w:val="333333"/>
                <w:sz w:val="18"/>
                <w:szCs w:val="18"/>
              </w:rPr>
              <w:t>Total property, plant and equipment, gross</w:t>
            </w:r>
          </w:p>
        </w:tc>
        <w:tc>
          <w:tcPr>
            <w:tcW w:w="0" w:type="auto"/>
            <w:shd w:val="clear" w:color="auto" w:fill="auto"/>
            <w:tcMar>
              <w:top w:w="40" w:type="dxa"/>
              <w:left w:w="40" w:type="dxa"/>
              <w:bottom w:w="40" w:type="dxa"/>
              <w:right w:w="40" w:type="dxa"/>
            </w:tcMar>
            <w:vAlign w:val="bottom"/>
          </w:tcPr>
          <w:p w14:paraId="4ACE491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91C"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128,707</w:t>
            </w:r>
          </w:p>
        </w:tc>
        <w:tc>
          <w:tcPr>
            <w:tcW w:w="0" w:type="auto"/>
            <w:shd w:val="clear" w:color="auto" w:fill="auto"/>
            <w:vAlign w:val="bottom"/>
          </w:tcPr>
          <w:p w14:paraId="4ACE491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91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91F"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114,318</w:t>
            </w:r>
          </w:p>
        </w:tc>
        <w:tc>
          <w:tcPr>
            <w:tcW w:w="0" w:type="auto"/>
            <w:shd w:val="clear" w:color="auto" w:fill="auto"/>
            <w:vAlign w:val="bottom"/>
          </w:tcPr>
          <w:p w14:paraId="4ACE4920" w14:textId="77777777" w:rsidR="006F587A" w:rsidRDefault="006F587A">
            <w:pPr>
              <w:textAlignment w:val="bottom"/>
              <w:rPr>
                <w:rFonts w:ascii="Times New Roman" w:hAnsi="Times New Roman"/>
                <w:sz w:val="20"/>
                <w:szCs w:val="20"/>
              </w:rPr>
            </w:pPr>
          </w:p>
        </w:tc>
      </w:tr>
      <w:tr w:rsidR="006F587A" w14:paraId="4ACE4929" w14:textId="77777777">
        <w:tc>
          <w:tcPr>
            <w:tcW w:w="0" w:type="auto"/>
            <w:shd w:val="clear" w:color="auto" w:fill="auto"/>
            <w:tcMar>
              <w:top w:w="40" w:type="dxa"/>
              <w:left w:w="40" w:type="dxa"/>
              <w:bottom w:w="40" w:type="dxa"/>
              <w:right w:w="40" w:type="dxa"/>
            </w:tcMar>
            <w:vAlign w:val="bottom"/>
          </w:tcPr>
          <w:p w14:paraId="4ACE4922" w14:textId="77777777" w:rsidR="006F587A" w:rsidRDefault="007B2B61">
            <w:pPr>
              <w:ind w:hanging="240"/>
              <w:textAlignment w:val="bottom"/>
              <w:rPr>
                <w:rFonts w:ascii="Times New Roman" w:hAnsi="Times New Roman"/>
                <w:sz w:val="18"/>
                <w:szCs w:val="18"/>
              </w:rPr>
            </w:pPr>
            <w:r>
              <w:rPr>
                <w:rFonts w:ascii="Arial" w:eastAsia="宋体" w:hAnsi="Arial" w:cs="Arial"/>
                <w:i/>
                <w:iCs/>
                <w:color w:val="333333"/>
                <w:sz w:val="18"/>
                <w:szCs w:val="18"/>
              </w:rPr>
              <w:t>Less:</w:t>
            </w:r>
            <w:r>
              <w:rPr>
                <w:rFonts w:ascii="Arial" w:eastAsia="宋体" w:hAnsi="Arial" w:cs="Arial"/>
                <w:color w:val="333333"/>
                <w:sz w:val="18"/>
                <w:szCs w:val="18"/>
              </w:rPr>
              <w:t> accumulated depreciation</w:t>
            </w:r>
          </w:p>
        </w:tc>
        <w:tc>
          <w:tcPr>
            <w:tcW w:w="0" w:type="auto"/>
            <w:shd w:val="clear" w:color="auto" w:fill="auto"/>
            <w:tcMar>
              <w:top w:w="40" w:type="dxa"/>
              <w:left w:w="40" w:type="dxa"/>
              <w:bottom w:w="40" w:type="dxa"/>
              <w:right w:w="40" w:type="dxa"/>
            </w:tcMar>
            <w:vAlign w:val="bottom"/>
          </w:tcPr>
          <w:p w14:paraId="4ACE492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924"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(73,321</w:t>
            </w:r>
          </w:p>
        </w:tc>
        <w:tc>
          <w:tcPr>
            <w:tcW w:w="0" w:type="auto"/>
            <w:shd w:val="clear" w:color="auto" w:fill="auto"/>
            <w:tcMar>
              <w:top w:w="40" w:type="dxa"/>
              <w:bottom w:w="40" w:type="dxa"/>
              <w:right w:w="40" w:type="dxa"/>
            </w:tcMar>
            <w:vAlign w:val="bottom"/>
          </w:tcPr>
          <w:p w14:paraId="4ACE4925"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492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92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(65,342</w:t>
            </w:r>
          </w:p>
        </w:tc>
        <w:tc>
          <w:tcPr>
            <w:tcW w:w="0" w:type="auto"/>
            <w:shd w:val="clear" w:color="auto" w:fill="auto"/>
            <w:tcMar>
              <w:top w:w="40" w:type="dxa"/>
              <w:bottom w:w="40" w:type="dxa"/>
              <w:right w:w="40" w:type="dxa"/>
            </w:tcMar>
            <w:vAlign w:val="bottom"/>
          </w:tcPr>
          <w:p w14:paraId="4ACE492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4933" w14:textId="77777777">
        <w:tc>
          <w:tcPr>
            <w:tcW w:w="0" w:type="auto"/>
            <w:shd w:val="clear" w:color="auto" w:fill="auto"/>
            <w:tcMar>
              <w:top w:w="40" w:type="dxa"/>
              <w:left w:w="40" w:type="dxa"/>
              <w:bottom w:w="40" w:type="dxa"/>
              <w:right w:w="40" w:type="dxa"/>
            </w:tcMar>
            <w:vAlign w:val="bottom"/>
          </w:tcPr>
          <w:p w14:paraId="4ACE492A" w14:textId="77777777" w:rsidR="006F587A" w:rsidRDefault="007B2B61">
            <w:pPr>
              <w:ind w:hanging="240"/>
              <w:textAlignment w:val="bottom"/>
              <w:rPr>
                <w:rFonts w:ascii="Times New Roman" w:hAnsi="Times New Roman"/>
                <w:sz w:val="18"/>
                <w:szCs w:val="18"/>
              </w:rPr>
            </w:pPr>
            <w:r>
              <w:rPr>
                <w:rFonts w:ascii="Arial" w:eastAsia="宋体" w:hAnsi="Arial" w:cs="Arial"/>
                <w:b/>
                <w:bCs/>
                <w:color w:val="333333"/>
                <w:sz w:val="18"/>
                <w:szCs w:val="18"/>
              </w:rPr>
              <w:t>Total property, plant and equipment, net</w:t>
            </w:r>
          </w:p>
        </w:tc>
        <w:tc>
          <w:tcPr>
            <w:tcW w:w="0" w:type="auto"/>
            <w:shd w:val="clear" w:color="auto" w:fill="auto"/>
            <w:tcMar>
              <w:top w:w="40" w:type="dxa"/>
              <w:left w:w="40" w:type="dxa"/>
              <w:bottom w:w="40" w:type="dxa"/>
              <w:right w:w="40" w:type="dxa"/>
            </w:tcMar>
            <w:vAlign w:val="bottom"/>
          </w:tcPr>
          <w:p w14:paraId="4ACE492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92C"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92D"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55,386</w:t>
            </w:r>
          </w:p>
        </w:tc>
        <w:tc>
          <w:tcPr>
            <w:tcW w:w="0" w:type="auto"/>
            <w:tcBorders>
              <w:top w:val="single" w:sz="8" w:space="0" w:color="333333"/>
              <w:bottom w:val="double" w:sz="6" w:space="0" w:color="333333"/>
            </w:tcBorders>
            <w:shd w:val="clear" w:color="auto" w:fill="auto"/>
            <w:vAlign w:val="bottom"/>
          </w:tcPr>
          <w:p w14:paraId="4ACE492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92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930"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931"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48,976</w:t>
            </w:r>
          </w:p>
        </w:tc>
        <w:tc>
          <w:tcPr>
            <w:tcW w:w="0" w:type="auto"/>
            <w:tcBorders>
              <w:top w:val="single" w:sz="8" w:space="0" w:color="333333"/>
              <w:bottom w:val="double" w:sz="6" w:space="0" w:color="333333"/>
            </w:tcBorders>
            <w:shd w:val="clear" w:color="auto" w:fill="auto"/>
            <w:vAlign w:val="bottom"/>
          </w:tcPr>
          <w:p w14:paraId="4ACE4932" w14:textId="77777777" w:rsidR="006F587A" w:rsidRDefault="006F587A">
            <w:pPr>
              <w:textAlignment w:val="bottom"/>
              <w:rPr>
                <w:rFonts w:ascii="Times New Roman" w:hAnsi="Times New Roman"/>
                <w:sz w:val="20"/>
                <w:szCs w:val="20"/>
              </w:rPr>
            </w:pPr>
          </w:p>
        </w:tc>
      </w:tr>
    </w:tbl>
    <w:p w14:paraId="4ACE4934" w14:textId="77777777" w:rsidR="006F587A" w:rsidRDefault="006F587A">
      <w:pPr>
        <w:spacing w:line="288" w:lineRule="auto"/>
        <w:rPr>
          <w:rFonts w:ascii="Times New Roman" w:hAnsi="Times New Roman"/>
          <w:sz w:val="20"/>
          <w:szCs w:val="20"/>
        </w:rPr>
      </w:pPr>
    </w:p>
    <w:p w14:paraId="4ACE4935"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Substantially all of our depreciable property, plant </w:t>
      </w:r>
      <w:r>
        <w:rPr>
          <w:rFonts w:ascii="Arial" w:eastAsia="宋体" w:hAnsi="Arial" w:cs="Arial"/>
          <w:color w:val="333333"/>
          <w:sz w:val="18"/>
          <w:szCs w:val="18"/>
        </w:rPr>
        <w:t>and equipment assets are depreciated over the following estimated useful lives: machinery and equipment, 2 to 5 years, and buildings, 10 to 30 years.</w:t>
      </w:r>
    </w:p>
    <w:p w14:paraId="4ACE4936"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4938" w14:textId="77777777">
        <w:tc>
          <w:tcPr>
            <w:tcW w:w="0" w:type="auto"/>
            <w:gridSpan w:val="3"/>
            <w:shd w:val="clear" w:color="auto" w:fill="auto"/>
            <w:vAlign w:val="center"/>
          </w:tcPr>
          <w:p w14:paraId="4ACE4937" w14:textId="77777777" w:rsidR="006F587A" w:rsidRDefault="006F587A">
            <w:pPr>
              <w:rPr>
                <w:rFonts w:ascii="Times New Roman" w:hAnsi="Times New Roman"/>
                <w:sz w:val="20"/>
                <w:szCs w:val="20"/>
              </w:rPr>
            </w:pPr>
          </w:p>
        </w:tc>
      </w:tr>
      <w:tr w:rsidR="006F587A" w14:paraId="4ACE493C" w14:textId="77777777">
        <w:tc>
          <w:tcPr>
            <w:tcW w:w="1300" w:type="pct"/>
            <w:shd w:val="clear" w:color="auto" w:fill="auto"/>
            <w:vAlign w:val="center"/>
          </w:tcPr>
          <w:p w14:paraId="4ACE4939" w14:textId="77777777" w:rsidR="006F587A" w:rsidRDefault="006F587A">
            <w:pPr>
              <w:rPr>
                <w:rFonts w:ascii="Times New Roman" w:hAnsi="Times New Roman"/>
                <w:sz w:val="20"/>
                <w:szCs w:val="20"/>
              </w:rPr>
            </w:pPr>
          </w:p>
        </w:tc>
        <w:tc>
          <w:tcPr>
            <w:tcW w:w="1600" w:type="pct"/>
            <w:shd w:val="clear" w:color="auto" w:fill="auto"/>
            <w:vAlign w:val="center"/>
          </w:tcPr>
          <w:p w14:paraId="4ACE493A" w14:textId="77777777" w:rsidR="006F587A" w:rsidRDefault="006F587A">
            <w:pPr>
              <w:rPr>
                <w:rFonts w:ascii="Times New Roman" w:hAnsi="Times New Roman"/>
                <w:sz w:val="20"/>
                <w:szCs w:val="20"/>
              </w:rPr>
            </w:pPr>
          </w:p>
        </w:tc>
        <w:tc>
          <w:tcPr>
            <w:tcW w:w="2100" w:type="pct"/>
            <w:shd w:val="clear" w:color="auto" w:fill="auto"/>
            <w:vAlign w:val="center"/>
          </w:tcPr>
          <w:p w14:paraId="4ACE493B" w14:textId="77777777" w:rsidR="006F587A" w:rsidRDefault="006F587A">
            <w:pPr>
              <w:rPr>
                <w:rFonts w:ascii="Times New Roman" w:hAnsi="Times New Roman"/>
                <w:sz w:val="20"/>
                <w:szCs w:val="20"/>
              </w:rPr>
            </w:pPr>
          </w:p>
        </w:tc>
      </w:tr>
      <w:tr w:rsidR="006F587A" w14:paraId="4ACE4940" w14:textId="77777777">
        <w:tc>
          <w:tcPr>
            <w:tcW w:w="0" w:type="auto"/>
            <w:tcBorders>
              <w:top w:val="single" w:sz="8" w:space="0" w:color="0071C5"/>
            </w:tcBorders>
            <w:shd w:val="clear" w:color="auto" w:fill="auto"/>
            <w:tcMar>
              <w:top w:w="40" w:type="dxa"/>
              <w:left w:w="40" w:type="dxa"/>
              <w:bottom w:w="40" w:type="dxa"/>
              <w:right w:w="40" w:type="dxa"/>
            </w:tcMar>
            <w:vAlign w:val="bottom"/>
          </w:tcPr>
          <w:p w14:paraId="4ACE493D" w14:textId="77777777" w:rsidR="006F587A" w:rsidRDefault="007B2B61">
            <w:pPr>
              <w:textAlignment w:val="bottom"/>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E4" wp14:editId="4ACE6DE5">
                  <wp:extent cx="304800" cy="304800"/>
                  <wp:effectExtent l="0" t="0" r="0" b="0"/>
                  <wp:docPr id="179" name="图片 306"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306"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left w:val="single" w:sz="36" w:space="0" w:color="0071C5"/>
            </w:tcBorders>
            <w:shd w:val="clear" w:color="auto" w:fill="auto"/>
            <w:tcMar>
              <w:top w:w="40" w:type="dxa"/>
              <w:left w:w="40" w:type="dxa"/>
              <w:bottom w:w="40" w:type="dxa"/>
              <w:right w:w="40" w:type="dxa"/>
            </w:tcMar>
            <w:vAlign w:val="bottom"/>
          </w:tcPr>
          <w:p w14:paraId="4ACE493E" w14:textId="77777777" w:rsidR="006F587A" w:rsidRDefault="007B2B61">
            <w:pPr>
              <w:textAlignment w:val="bottom"/>
              <w:rPr>
                <w:rFonts w:ascii="Times New Roman" w:hAnsi="Times New Roman"/>
                <w:sz w:val="16"/>
                <w:szCs w:val="16"/>
              </w:rPr>
            </w:pPr>
            <w:r>
              <w:rPr>
                <w:rFonts w:ascii="Arial" w:eastAsia="宋体" w:hAnsi="Arial" w:cs="Arial"/>
                <w:color w:val="333333"/>
                <w:sz w:val="16"/>
                <w:szCs w:val="16"/>
              </w:rPr>
              <w:t> Notes to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493F"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84</w:t>
            </w:r>
          </w:p>
        </w:tc>
      </w:tr>
    </w:tbl>
    <w:p w14:paraId="4ACE4941" w14:textId="77777777" w:rsidR="006F587A" w:rsidRDefault="007B2B61">
      <w:r>
        <w:pict w14:anchorId="4ACE6DE6">
          <v:rect id="_x0000_i1110" style="width:415.3pt;height:1.5pt" o:hralign="center" o:hrstd="t" o:hr="t" fillcolor="#a0a0a0" stroked="f"/>
        </w:pict>
      </w:r>
    </w:p>
    <w:p w14:paraId="4ACE4942" w14:textId="77777777" w:rsidR="006F587A" w:rsidRDefault="007B2B61">
      <w:pPr>
        <w:spacing w:line="288" w:lineRule="auto"/>
        <w:jc w:val="right"/>
        <w:rPr>
          <w:rFonts w:ascii="Times New Roman" w:hAnsi="Times New Roman"/>
          <w:sz w:val="16"/>
          <w:szCs w:val="16"/>
        </w:rPr>
      </w:pPr>
      <w:hyperlink r:id="rId149" w:anchor="s9DB683E2CF52561EB8A73BE37F5BF9BE" w:history="1">
        <w:r>
          <w:rPr>
            <w:rStyle w:val="a5"/>
            <w:rFonts w:ascii="Arial" w:eastAsia="宋体" w:hAnsi="Arial" w:cs="Arial"/>
            <w:b/>
            <w:bCs/>
            <w:sz w:val="16"/>
            <w:szCs w:val="16"/>
          </w:rPr>
          <w:t>Table of Contents</w:t>
        </w:r>
      </w:hyperlink>
    </w:p>
    <w:p w14:paraId="4ACE4943" w14:textId="77777777" w:rsidR="006F587A" w:rsidRDefault="006F587A">
      <w:pPr>
        <w:spacing w:line="288" w:lineRule="auto"/>
        <w:jc w:val="right"/>
        <w:rPr>
          <w:rFonts w:ascii="Times New Roman" w:hAnsi="Times New Roman"/>
          <w:sz w:val="16"/>
          <w:szCs w:val="16"/>
        </w:rPr>
      </w:pPr>
    </w:p>
    <w:p w14:paraId="4ACE4944" w14:textId="77777777" w:rsidR="006F587A" w:rsidRDefault="006F587A">
      <w:pPr>
        <w:rPr>
          <w:rFonts w:ascii="Times New Roman" w:hAnsi="Times New Roman"/>
          <w:sz w:val="20"/>
          <w:szCs w:val="20"/>
        </w:rPr>
      </w:pPr>
    </w:p>
    <w:p w14:paraId="4ACE4945"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Net property, plant and equipment by country at the end of each </w:t>
      </w:r>
      <w:r>
        <w:rPr>
          <w:rFonts w:ascii="Arial" w:eastAsia="宋体" w:hAnsi="Arial" w:cs="Arial"/>
          <w:color w:val="333333"/>
          <w:sz w:val="18"/>
          <w:szCs w:val="18"/>
        </w:rPr>
        <w:t>period was as follows:</w:t>
      </w:r>
    </w:p>
    <w:tbl>
      <w:tblPr>
        <w:tblW w:w="5000" w:type="pct"/>
        <w:jc w:val="center"/>
        <w:tblCellMar>
          <w:left w:w="0" w:type="dxa"/>
          <w:right w:w="0" w:type="dxa"/>
        </w:tblCellMar>
        <w:tblLook w:val="04A0" w:firstRow="1" w:lastRow="0" w:firstColumn="1" w:lastColumn="0" w:noHBand="0" w:noVBand="1"/>
      </w:tblPr>
      <w:tblGrid>
        <w:gridCol w:w="6097"/>
        <w:gridCol w:w="130"/>
        <w:gridCol w:w="142"/>
        <w:gridCol w:w="782"/>
        <w:gridCol w:w="59"/>
        <w:gridCol w:w="130"/>
        <w:gridCol w:w="142"/>
        <w:gridCol w:w="765"/>
        <w:gridCol w:w="59"/>
      </w:tblGrid>
      <w:tr w:rsidR="006F587A" w14:paraId="4ACE4947" w14:textId="77777777">
        <w:trPr>
          <w:jc w:val="center"/>
        </w:trPr>
        <w:tc>
          <w:tcPr>
            <w:tcW w:w="0" w:type="auto"/>
            <w:gridSpan w:val="9"/>
            <w:shd w:val="clear" w:color="auto" w:fill="auto"/>
            <w:vAlign w:val="center"/>
          </w:tcPr>
          <w:p w14:paraId="4ACE4946" w14:textId="77777777" w:rsidR="006F587A" w:rsidRDefault="006F587A">
            <w:pPr>
              <w:rPr>
                <w:rFonts w:ascii="Times New Roman" w:hAnsi="Times New Roman"/>
                <w:sz w:val="20"/>
                <w:szCs w:val="20"/>
              </w:rPr>
            </w:pPr>
          </w:p>
        </w:tc>
      </w:tr>
      <w:tr w:rsidR="006F587A" w14:paraId="4ACE4951" w14:textId="77777777">
        <w:trPr>
          <w:jc w:val="center"/>
        </w:trPr>
        <w:tc>
          <w:tcPr>
            <w:tcW w:w="3700" w:type="pct"/>
            <w:shd w:val="clear" w:color="auto" w:fill="auto"/>
            <w:vAlign w:val="center"/>
          </w:tcPr>
          <w:p w14:paraId="4ACE4948" w14:textId="77777777" w:rsidR="006F587A" w:rsidRDefault="006F587A">
            <w:pPr>
              <w:rPr>
                <w:rFonts w:ascii="Times New Roman" w:hAnsi="Times New Roman"/>
                <w:sz w:val="20"/>
                <w:szCs w:val="20"/>
              </w:rPr>
            </w:pPr>
          </w:p>
        </w:tc>
        <w:tc>
          <w:tcPr>
            <w:tcW w:w="50" w:type="pct"/>
            <w:shd w:val="clear" w:color="auto" w:fill="auto"/>
            <w:vAlign w:val="center"/>
          </w:tcPr>
          <w:p w14:paraId="4ACE4949" w14:textId="77777777" w:rsidR="006F587A" w:rsidRDefault="006F587A">
            <w:pPr>
              <w:rPr>
                <w:rFonts w:ascii="Times New Roman" w:hAnsi="Times New Roman"/>
                <w:sz w:val="20"/>
                <w:szCs w:val="20"/>
              </w:rPr>
            </w:pPr>
          </w:p>
        </w:tc>
        <w:tc>
          <w:tcPr>
            <w:tcW w:w="50" w:type="pct"/>
            <w:shd w:val="clear" w:color="auto" w:fill="auto"/>
            <w:vAlign w:val="center"/>
          </w:tcPr>
          <w:p w14:paraId="4ACE494A" w14:textId="77777777" w:rsidR="006F587A" w:rsidRDefault="006F587A">
            <w:pPr>
              <w:rPr>
                <w:rFonts w:ascii="Times New Roman" w:hAnsi="Times New Roman"/>
                <w:sz w:val="20"/>
                <w:szCs w:val="20"/>
              </w:rPr>
            </w:pPr>
          </w:p>
        </w:tc>
        <w:tc>
          <w:tcPr>
            <w:tcW w:w="500" w:type="pct"/>
            <w:shd w:val="clear" w:color="auto" w:fill="auto"/>
            <w:vAlign w:val="center"/>
          </w:tcPr>
          <w:p w14:paraId="4ACE494B" w14:textId="77777777" w:rsidR="006F587A" w:rsidRDefault="006F587A">
            <w:pPr>
              <w:rPr>
                <w:rFonts w:ascii="Times New Roman" w:hAnsi="Times New Roman"/>
                <w:sz w:val="20"/>
                <w:szCs w:val="20"/>
              </w:rPr>
            </w:pPr>
          </w:p>
        </w:tc>
        <w:tc>
          <w:tcPr>
            <w:tcW w:w="50" w:type="pct"/>
            <w:shd w:val="clear" w:color="auto" w:fill="auto"/>
            <w:vAlign w:val="center"/>
          </w:tcPr>
          <w:p w14:paraId="4ACE494C" w14:textId="77777777" w:rsidR="006F587A" w:rsidRDefault="006F587A">
            <w:pPr>
              <w:rPr>
                <w:rFonts w:ascii="Times New Roman" w:hAnsi="Times New Roman"/>
                <w:sz w:val="20"/>
                <w:szCs w:val="20"/>
              </w:rPr>
            </w:pPr>
          </w:p>
        </w:tc>
        <w:tc>
          <w:tcPr>
            <w:tcW w:w="50" w:type="pct"/>
            <w:shd w:val="clear" w:color="auto" w:fill="auto"/>
            <w:vAlign w:val="center"/>
          </w:tcPr>
          <w:p w14:paraId="4ACE494D" w14:textId="77777777" w:rsidR="006F587A" w:rsidRDefault="006F587A">
            <w:pPr>
              <w:rPr>
                <w:rFonts w:ascii="Times New Roman" w:hAnsi="Times New Roman"/>
                <w:sz w:val="20"/>
                <w:szCs w:val="20"/>
              </w:rPr>
            </w:pPr>
          </w:p>
        </w:tc>
        <w:tc>
          <w:tcPr>
            <w:tcW w:w="50" w:type="pct"/>
            <w:shd w:val="clear" w:color="auto" w:fill="auto"/>
            <w:vAlign w:val="center"/>
          </w:tcPr>
          <w:p w14:paraId="4ACE494E" w14:textId="77777777" w:rsidR="006F587A" w:rsidRDefault="006F587A">
            <w:pPr>
              <w:rPr>
                <w:rFonts w:ascii="Times New Roman" w:hAnsi="Times New Roman"/>
                <w:sz w:val="20"/>
                <w:szCs w:val="20"/>
              </w:rPr>
            </w:pPr>
          </w:p>
        </w:tc>
        <w:tc>
          <w:tcPr>
            <w:tcW w:w="500" w:type="pct"/>
            <w:shd w:val="clear" w:color="auto" w:fill="auto"/>
            <w:vAlign w:val="center"/>
          </w:tcPr>
          <w:p w14:paraId="4ACE494F" w14:textId="77777777" w:rsidR="006F587A" w:rsidRDefault="006F587A">
            <w:pPr>
              <w:rPr>
                <w:rFonts w:ascii="Times New Roman" w:hAnsi="Times New Roman"/>
                <w:sz w:val="20"/>
                <w:szCs w:val="20"/>
              </w:rPr>
            </w:pPr>
          </w:p>
        </w:tc>
        <w:tc>
          <w:tcPr>
            <w:tcW w:w="50" w:type="pct"/>
            <w:shd w:val="clear" w:color="auto" w:fill="auto"/>
            <w:vAlign w:val="center"/>
          </w:tcPr>
          <w:p w14:paraId="4ACE4950" w14:textId="77777777" w:rsidR="006F587A" w:rsidRDefault="006F587A">
            <w:pPr>
              <w:rPr>
                <w:rFonts w:ascii="Times New Roman" w:hAnsi="Times New Roman"/>
                <w:sz w:val="20"/>
                <w:szCs w:val="20"/>
              </w:rPr>
            </w:pPr>
          </w:p>
        </w:tc>
      </w:tr>
      <w:tr w:rsidR="006F587A" w14:paraId="4ACE4957" w14:textId="77777777">
        <w:trPr>
          <w:jc w:val="center"/>
        </w:trPr>
        <w:tc>
          <w:tcPr>
            <w:tcW w:w="0" w:type="auto"/>
            <w:tcBorders>
              <w:bottom w:val="single" w:sz="8" w:space="0" w:color="0071C5"/>
            </w:tcBorders>
            <w:shd w:val="clear" w:color="auto" w:fill="auto"/>
            <w:tcMar>
              <w:top w:w="40" w:type="dxa"/>
              <w:left w:w="40" w:type="dxa"/>
              <w:bottom w:w="40" w:type="dxa"/>
              <w:right w:w="40" w:type="dxa"/>
            </w:tcMar>
            <w:vAlign w:val="bottom"/>
          </w:tcPr>
          <w:p w14:paraId="4ACE4952"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4ACE495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954"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28, </w:t>
            </w:r>
            <w:r>
              <w:rPr>
                <w:rFonts w:ascii="Arial" w:eastAsia="宋体" w:hAnsi="Arial" w:cs="Arial"/>
                <w:b/>
                <w:bCs/>
                <w:color w:val="333333"/>
                <w:sz w:val="18"/>
                <w:szCs w:val="18"/>
              </w:rPr>
              <w:br/>
              <w:t>2019</w:t>
            </w:r>
          </w:p>
        </w:tc>
        <w:tc>
          <w:tcPr>
            <w:tcW w:w="0" w:type="auto"/>
            <w:shd w:val="clear" w:color="auto" w:fill="auto"/>
            <w:tcMar>
              <w:top w:w="40" w:type="dxa"/>
              <w:left w:w="40" w:type="dxa"/>
              <w:bottom w:w="40" w:type="dxa"/>
              <w:right w:w="40" w:type="dxa"/>
            </w:tcMar>
            <w:vAlign w:val="bottom"/>
          </w:tcPr>
          <w:p w14:paraId="4ACE495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956"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29, </w:t>
            </w:r>
            <w:r>
              <w:rPr>
                <w:rFonts w:ascii="Arial" w:eastAsia="宋体" w:hAnsi="Arial" w:cs="Arial"/>
                <w:b/>
                <w:bCs/>
                <w:color w:val="333333"/>
                <w:sz w:val="18"/>
                <w:szCs w:val="18"/>
              </w:rPr>
              <w:br/>
              <w:t>2018</w:t>
            </w:r>
          </w:p>
        </w:tc>
      </w:tr>
      <w:tr w:rsidR="006F587A" w14:paraId="4ACE4961" w14:textId="77777777">
        <w:trPr>
          <w:jc w:val="center"/>
        </w:trPr>
        <w:tc>
          <w:tcPr>
            <w:tcW w:w="0" w:type="auto"/>
            <w:shd w:val="clear" w:color="auto" w:fill="auto"/>
            <w:tcMar>
              <w:top w:w="40" w:type="dxa"/>
              <w:left w:w="40" w:type="dxa"/>
              <w:bottom w:w="40" w:type="dxa"/>
              <w:right w:w="40" w:type="dxa"/>
            </w:tcMar>
            <w:vAlign w:val="bottom"/>
          </w:tcPr>
          <w:p w14:paraId="4ACE495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United States</w:t>
            </w:r>
          </w:p>
        </w:tc>
        <w:tc>
          <w:tcPr>
            <w:tcW w:w="0" w:type="auto"/>
            <w:shd w:val="clear" w:color="auto" w:fill="auto"/>
            <w:tcMar>
              <w:top w:w="40" w:type="dxa"/>
              <w:left w:w="40" w:type="dxa"/>
              <w:bottom w:w="40" w:type="dxa"/>
              <w:right w:w="40" w:type="dxa"/>
            </w:tcMar>
            <w:vAlign w:val="bottom"/>
          </w:tcPr>
          <w:p w14:paraId="4ACE495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95A"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495B"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35,262</w:t>
            </w:r>
          </w:p>
        </w:tc>
        <w:tc>
          <w:tcPr>
            <w:tcW w:w="0" w:type="auto"/>
            <w:shd w:val="clear" w:color="auto" w:fill="auto"/>
            <w:vAlign w:val="bottom"/>
          </w:tcPr>
          <w:p w14:paraId="4ACE495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95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95E"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495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27,512</w:t>
            </w:r>
          </w:p>
        </w:tc>
        <w:tc>
          <w:tcPr>
            <w:tcW w:w="0" w:type="auto"/>
            <w:shd w:val="clear" w:color="auto" w:fill="auto"/>
            <w:vAlign w:val="bottom"/>
          </w:tcPr>
          <w:p w14:paraId="4ACE4960" w14:textId="77777777" w:rsidR="006F587A" w:rsidRDefault="006F587A">
            <w:pPr>
              <w:textAlignment w:val="bottom"/>
              <w:rPr>
                <w:rFonts w:ascii="Times New Roman" w:hAnsi="Times New Roman"/>
                <w:sz w:val="20"/>
                <w:szCs w:val="20"/>
              </w:rPr>
            </w:pPr>
          </w:p>
        </w:tc>
      </w:tr>
      <w:tr w:rsidR="006F587A" w14:paraId="4ACE4969" w14:textId="77777777">
        <w:trPr>
          <w:jc w:val="center"/>
        </w:trPr>
        <w:tc>
          <w:tcPr>
            <w:tcW w:w="0" w:type="auto"/>
            <w:shd w:val="clear" w:color="auto" w:fill="auto"/>
            <w:tcMar>
              <w:top w:w="40" w:type="dxa"/>
              <w:left w:w="40" w:type="dxa"/>
              <w:bottom w:w="40" w:type="dxa"/>
              <w:right w:w="40" w:type="dxa"/>
            </w:tcMar>
            <w:vAlign w:val="bottom"/>
          </w:tcPr>
          <w:p w14:paraId="4ACE496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Israel</w:t>
            </w:r>
          </w:p>
        </w:tc>
        <w:tc>
          <w:tcPr>
            <w:tcW w:w="0" w:type="auto"/>
            <w:shd w:val="clear" w:color="auto" w:fill="auto"/>
            <w:tcMar>
              <w:top w:w="40" w:type="dxa"/>
              <w:left w:w="40" w:type="dxa"/>
              <w:bottom w:w="40" w:type="dxa"/>
              <w:right w:w="40" w:type="dxa"/>
            </w:tcMar>
            <w:vAlign w:val="bottom"/>
          </w:tcPr>
          <w:p w14:paraId="4ACE496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964"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8,463</w:t>
            </w:r>
          </w:p>
        </w:tc>
        <w:tc>
          <w:tcPr>
            <w:tcW w:w="0" w:type="auto"/>
            <w:shd w:val="clear" w:color="auto" w:fill="auto"/>
            <w:vAlign w:val="bottom"/>
          </w:tcPr>
          <w:p w14:paraId="4ACE496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96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96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8,861</w:t>
            </w:r>
          </w:p>
        </w:tc>
        <w:tc>
          <w:tcPr>
            <w:tcW w:w="0" w:type="auto"/>
            <w:shd w:val="clear" w:color="auto" w:fill="auto"/>
            <w:vAlign w:val="bottom"/>
          </w:tcPr>
          <w:p w14:paraId="4ACE4968" w14:textId="77777777" w:rsidR="006F587A" w:rsidRDefault="006F587A">
            <w:pPr>
              <w:textAlignment w:val="bottom"/>
              <w:rPr>
                <w:rFonts w:ascii="Times New Roman" w:hAnsi="Times New Roman"/>
                <w:sz w:val="20"/>
                <w:szCs w:val="20"/>
              </w:rPr>
            </w:pPr>
          </w:p>
        </w:tc>
      </w:tr>
      <w:tr w:rsidR="006F587A" w14:paraId="4ACE4971" w14:textId="77777777">
        <w:trPr>
          <w:jc w:val="center"/>
        </w:trPr>
        <w:tc>
          <w:tcPr>
            <w:tcW w:w="0" w:type="auto"/>
            <w:shd w:val="clear" w:color="auto" w:fill="auto"/>
            <w:tcMar>
              <w:top w:w="40" w:type="dxa"/>
              <w:left w:w="40" w:type="dxa"/>
              <w:bottom w:w="40" w:type="dxa"/>
              <w:right w:w="40" w:type="dxa"/>
            </w:tcMar>
            <w:vAlign w:val="bottom"/>
          </w:tcPr>
          <w:p w14:paraId="4ACE496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China</w:t>
            </w:r>
          </w:p>
        </w:tc>
        <w:tc>
          <w:tcPr>
            <w:tcW w:w="0" w:type="auto"/>
            <w:shd w:val="clear" w:color="auto" w:fill="auto"/>
            <w:tcMar>
              <w:top w:w="40" w:type="dxa"/>
              <w:left w:w="40" w:type="dxa"/>
              <w:bottom w:w="40" w:type="dxa"/>
              <w:right w:w="40" w:type="dxa"/>
            </w:tcMar>
            <w:vAlign w:val="bottom"/>
          </w:tcPr>
          <w:p w14:paraId="4ACE496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96C"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5,315</w:t>
            </w:r>
          </w:p>
        </w:tc>
        <w:tc>
          <w:tcPr>
            <w:tcW w:w="0" w:type="auto"/>
            <w:shd w:val="clear" w:color="auto" w:fill="auto"/>
            <w:vAlign w:val="bottom"/>
          </w:tcPr>
          <w:p w14:paraId="4ACE496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96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96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6,417</w:t>
            </w:r>
          </w:p>
        </w:tc>
        <w:tc>
          <w:tcPr>
            <w:tcW w:w="0" w:type="auto"/>
            <w:shd w:val="clear" w:color="auto" w:fill="auto"/>
            <w:vAlign w:val="bottom"/>
          </w:tcPr>
          <w:p w14:paraId="4ACE4970" w14:textId="77777777" w:rsidR="006F587A" w:rsidRDefault="006F587A">
            <w:pPr>
              <w:textAlignment w:val="bottom"/>
              <w:rPr>
                <w:rFonts w:ascii="Times New Roman" w:hAnsi="Times New Roman"/>
                <w:sz w:val="20"/>
                <w:szCs w:val="20"/>
              </w:rPr>
            </w:pPr>
          </w:p>
        </w:tc>
      </w:tr>
      <w:tr w:rsidR="006F587A" w14:paraId="4ACE4979" w14:textId="77777777">
        <w:trPr>
          <w:jc w:val="center"/>
        </w:trPr>
        <w:tc>
          <w:tcPr>
            <w:tcW w:w="0" w:type="auto"/>
            <w:shd w:val="clear" w:color="auto" w:fill="auto"/>
            <w:tcMar>
              <w:top w:w="40" w:type="dxa"/>
              <w:left w:w="40" w:type="dxa"/>
              <w:bottom w:w="40" w:type="dxa"/>
              <w:right w:w="40" w:type="dxa"/>
            </w:tcMar>
            <w:vAlign w:val="bottom"/>
          </w:tcPr>
          <w:p w14:paraId="4ACE497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Ireland</w:t>
            </w:r>
          </w:p>
        </w:tc>
        <w:tc>
          <w:tcPr>
            <w:tcW w:w="0" w:type="auto"/>
            <w:shd w:val="clear" w:color="auto" w:fill="auto"/>
            <w:tcMar>
              <w:top w:w="40" w:type="dxa"/>
              <w:left w:w="40" w:type="dxa"/>
              <w:bottom w:w="40" w:type="dxa"/>
              <w:right w:w="40" w:type="dxa"/>
            </w:tcMar>
            <w:vAlign w:val="bottom"/>
          </w:tcPr>
          <w:p w14:paraId="4ACE497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974"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3,854</w:t>
            </w:r>
          </w:p>
        </w:tc>
        <w:tc>
          <w:tcPr>
            <w:tcW w:w="0" w:type="auto"/>
            <w:shd w:val="clear" w:color="auto" w:fill="auto"/>
            <w:vAlign w:val="bottom"/>
          </w:tcPr>
          <w:p w14:paraId="4ACE497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97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97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3,947</w:t>
            </w:r>
          </w:p>
        </w:tc>
        <w:tc>
          <w:tcPr>
            <w:tcW w:w="0" w:type="auto"/>
            <w:shd w:val="clear" w:color="auto" w:fill="auto"/>
            <w:vAlign w:val="bottom"/>
          </w:tcPr>
          <w:p w14:paraId="4ACE4978" w14:textId="77777777" w:rsidR="006F587A" w:rsidRDefault="006F587A">
            <w:pPr>
              <w:textAlignment w:val="bottom"/>
              <w:rPr>
                <w:rFonts w:ascii="Times New Roman" w:hAnsi="Times New Roman"/>
                <w:sz w:val="20"/>
                <w:szCs w:val="20"/>
              </w:rPr>
            </w:pPr>
          </w:p>
        </w:tc>
      </w:tr>
      <w:tr w:rsidR="006F587A" w14:paraId="4ACE4981" w14:textId="77777777">
        <w:trPr>
          <w:jc w:val="center"/>
        </w:trPr>
        <w:tc>
          <w:tcPr>
            <w:tcW w:w="0" w:type="auto"/>
            <w:shd w:val="clear" w:color="auto" w:fill="auto"/>
            <w:tcMar>
              <w:top w:w="40" w:type="dxa"/>
              <w:left w:w="40" w:type="dxa"/>
              <w:bottom w:w="40" w:type="dxa"/>
              <w:right w:w="40" w:type="dxa"/>
            </w:tcMar>
            <w:vAlign w:val="bottom"/>
          </w:tcPr>
          <w:p w14:paraId="4ACE497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Other countries</w:t>
            </w:r>
          </w:p>
        </w:tc>
        <w:tc>
          <w:tcPr>
            <w:tcW w:w="0" w:type="auto"/>
            <w:shd w:val="clear" w:color="auto" w:fill="auto"/>
            <w:tcMar>
              <w:top w:w="40" w:type="dxa"/>
              <w:left w:w="40" w:type="dxa"/>
              <w:bottom w:w="40" w:type="dxa"/>
              <w:right w:w="40" w:type="dxa"/>
            </w:tcMar>
            <w:vAlign w:val="bottom"/>
          </w:tcPr>
          <w:p w14:paraId="4ACE497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97C"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2,492</w:t>
            </w:r>
          </w:p>
        </w:tc>
        <w:tc>
          <w:tcPr>
            <w:tcW w:w="0" w:type="auto"/>
            <w:shd w:val="clear" w:color="auto" w:fill="auto"/>
            <w:vAlign w:val="bottom"/>
          </w:tcPr>
          <w:p w14:paraId="4ACE497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97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97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2,239</w:t>
            </w:r>
          </w:p>
        </w:tc>
        <w:tc>
          <w:tcPr>
            <w:tcW w:w="0" w:type="auto"/>
            <w:shd w:val="clear" w:color="auto" w:fill="auto"/>
            <w:vAlign w:val="bottom"/>
          </w:tcPr>
          <w:p w14:paraId="4ACE4980" w14:textId="77777777" w:rsidR="006F587A" w:rsidRDefault="006F587A">
            <w:pPr>
              <w:textAlignment w:val="bottom"/>
              <w:rPr>
                <w:rFonts w:ascii="Times New Roman" w:hAnsi="Times New Roman"/>
                <w:sz w:val="20"/>
                <w:szCs w:val="20"/>
              </w:rPr>
            </w:pPr>
          </w:p>
        </w:tc>
      </w:tr>
      <w:tr w:rsidR="006F587A" w14:paraId="4ACE498B" w14:textId="77777777">
        <w:trPr>
          <w:jc w:val="center"/>
        </w:trPr>
        <w:tc>
          <w:tcPr>
            <w:tcW w:w="0" w:type="auto"/>
            <w:shd w:val="clear" w:color="auto" w:fill="auto"/>
            <w:tcMar>
              <w:top w:w="40" w:type="dxa"/>
              <w:left w:w="40" w:type="dxa"/>
              <w:bottom w:w="40" w:type="dxa"/>
              <w:right w:w="40" w:type="dxa"/>
            </w:tcMar>
            <w:vAlign w:val="bottom"/>
          </w:tcPr>
          <w:p w14:paraId="4ACE4982"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 xml:space="preserve">Total </w:t>
            </w:r>
            <w:r>
              <w:rPr>
                <w:rFonts w:ascii="Arial" w:eastAsia="宋体" w:hAnsi="Arial" w:cs="Arial"/>
                <w:b/>
                <w:bCs/>
                <w:color w:val="333333"/>
                <w:sz w:val="18"/>
                <w:szCs w:val="18"/>
              </w:rPr>
              <w:t>property, plant and equipment, net</w:t>
            </w:r>
          </w:p>
        </w:tc>
        <w:tc>
          <w:tcPr>
            <w:tcW w:w="0" w:type="auto"/>
            <w:shd w:val="clear" w:color="auto" w:fill="auto"/>
            <w:tcMar>
              <w:top w:w="40" w:type="dxa"/>
              <w:left w:w="40" w:type="dxa"/>
              <w:bottom w:w="40" w:type="dxa"/>
              <w:right w:w="40" w:type="dxa"/>
            </w:tcMar>
            <w:vAlign w:val="bottom"/>
          </w:tcPr>
          <w:p w14:paraId="4ACE498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984"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985"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55,386</w:t>
            </w:r>
          </w:p>
        </w:tc>
        <w:tc>
          <w:tcPr>
            <w:tcW w:w="0" w:type="auto"/>
            <w:tcBorders>
              <w:top w:val="single" w:sz="8" w:space="0" w:color="333333"/>
              <w:bottom w:val="double" w:sz="6" w:space="0" w:color="333333"/>
            </w:tcBorders>
            <w:shd w:val="clear" w:color="auto" w:fill="auto"/>
            <w:vAlign w:val="bottom"/>
          </w:tcPr>
          <w:p w14:paraId="4ACE498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98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988"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989"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48,976</w:t>
            </w:r>
          </w:p>
        </w:tc>
        <w:tc>
          <w:tcPr>
            <w:tcW w:w="0" w:type="auto"/>
            <w:tcBorders>
              <w:top w:val="single" w:sz="8" w:space="0" w:color="333333"/>
              <w:bottom w:val="double" w:sz="6" w:space="0" w:color="333333"/>
            </w:tcBorders>
            <w:shd w:val="clear" w:color="auto" w:fill="auto"/>
            <w:vAlign w:val="bottom"/>
          </w:tcPr>
          <w:p w14:paraId="4ACE498A" w14:textId="77777777" w:rsidR="006F587A" w:rsidRDefault="006F587A">
            <w:pPr>
              <w:textAlignment w:val="bottom"/>
              <w:rPr>
                <w:rFonts w:ascii="Times New Roman" w:hAnsi="Times New Roman"/>
                <w:sz w:val="20"/>
                <w:szCs w:val="20"/>
              </w:rPr>
            </w:pPr>
          </w:p>
        </w:tc>
      </w:tr>
    </w:tbl>
    <w:p w14:paraId="4ACE498C" w14:textId="77777777" w:rsidR="006F587A" w:rsidRDefault="006F587A">
      <w:pPr>
        <w:spacing w:line="288" w:lineRule="auto"/>
        <w:jc w:val="center"/>
        <w:rPr>
          <w:rFonts w:ascii="Times New Roman" w:hAnsi="Times New Roman"/>
          <w:sz w:val="20"/>
          <w:szCs w:val="20"/>
        </w:rPr>
      </w:pPr>
    </w:p>
    <w:p w14:paraId="4ACE498D" w14:textId="77777777" w:rsidR="006F587A" w:rsidRDefault="007B2B61">
      <w:pPr>
        <w:spacing w:line="288" w:lineRule="auto"/>
        <w:rPr>
          <w:rFonts w:ascii="Times New Roman" w:hAnsi="Times New Roman"/>
        </w:rPr>
      </w:pPr>
      <w:r>
        <w:rPr>
          <w:rFonts w:ascii="Arial" w:eastAsia="宋体" w:hAnsi="Arial" w:cs="Arial"/>
          <w:b/>
          <w:bCs/>
          <w:color w:val="0071C5"/>
        </w:rPr>
        <w:t>OTHER LONG-TERM ASSETS</w:t>
      </w:r>
    </w:p>
    <w:tbl>
      <w:tblPr>
        <w:tblW w:w="5000" w:type="pct"/>
        <w:tblCellMar>
          <w:left w:w="0" w:type="dxa"/>
          <w:right w:w="0" w:type="dxa"/>
        </w:tblCellMar>
        <w:tblLook w:val="04A0" w:firstRow="1" w:lastRow="0" w:firstColumn="1" w:lastColumn="0" w:noHBand="0" w:noVBand="1"/>
      </w:tblPr>
      <w:tblGrid>
        <w:gridCol w:w="6097"/>
        <w:gridCol w:w="130"/>
        <w:gridCol w:w="142"/>
        <w:gridCol w:w="782"/>
        <w:gridCol w:w="59"/>
        <w:gridCol w:w="130"/>
        <w:gridCol w:w="142"/>
        <w:gridCol w:w="765"/>
        <w:gridCol w:w="59"/>
      </w:tblGrid>
      <w:tr w:rsidR="006F587A" w14:paraId="4ACE498F" w14:textId="77777777">
        <w:tc>
          <w:tcPr>
            <w:tcW w:w="0" w:type="auto"/>
            <w:gridSpan w:val="9"/>
            <w:shd w:val="clear" w:color="auto" w:fill="auto"/>
            <w:vAlign w:val="center"/>
          </w:tcPr>
          <w:p w14:paraId="4ACE498E" w14:textId="77777777" w:rsidR="006F587A" w:rsidRDefault="006F587A">
            <w:pPr>
              <w:rPr>
                <w:rFonts w:ascii="Times New Roman" w:hAnsi="Times New Roman"/>
                <w:sz w:val="20"/>
                <w:szCs w:val="20"/>
              </w:rPr>
            </w:pPr>
          </w:p>
        </w:tc>
      </w:tr>
      <w:tr w:rsidR="006F587A" w14:paraId="4ACE4999" w14:textId="77777777">
        <w:tc>
          <w:tcPr>
            <w:tcW w:w="3700" w:type="pct"/>
            <w:shd w:val="clear" w:color="auto" w:fill="auto"/>
            <w:vAlign w:val="center"/>
          </w:tcPr>
          <w:p w14:paraId="4ACE4990" w14:textId="77777777" w:rsidR="006F587A" w:rsidRDefault="006F587A">
            <w:pPr>
              <w:rPr>
                <w:rFonts w:ascii="Times New Roman" w:hAnsi="Times New Roman"/>
                <w:sz w:val="20"/>
                <w:szCs w:val="20"/>
              </w:rPr>
            </w:pPr>
          </w:p>
        </w:tc>
        <w:tc>
          <w:tcPr>
            <w:tcW w:w="50" w:type="pct"/>
            <w:shd w:val="clear" w:color="auto" w:fill="auto"/>
            <w:vAlign w:val="center"/>
          </w:tcPr>
          <w:p w14:paraId="4ACE4991" w14:textId="77777777" w:rsidR="006F587A" w:rsidRDefault="006F587A">
            <w:pPr>
              <w:rPr>
                <w:rFonts w:ascii="Times New Roman" w:hAnsi="Times New Roman"/>
                <w:sz w:val="20"/>
                <w:szCs w:val="20"/>
              </w:rPr>
            </w:pPr>
          </w:p>
        </w:tc>
        <w:tc>
          <w:tcPr>
            <w:tcW w:w="50" w:type="pct"/>
            <w:shd w:val="clear" w:color="auto" w:fill="auto"/>
            <w:vAlign w:val="center"/>
          </w:tcPr>
          <w:p w14:paraId="4ACE4992" w14:textId="77777777" w:rsidR="006F587A" w:rsidRDefault="006F587A">
            <w:pPr>
              <w:rPr>
                <w:rFonts w:ascii="Times New Roman" w:hAnsi="Times New Roman"/>
                <w:sz w:val="20"/>
                <w:szCs w:val="20"/>
              </w:rPr>
            </w:pPr>
          </w:p>
        </w:tc>
        <w:tc>
          <w:tcPr>
            <w:tcW w:w="500" w:type="pct"/>
            <w:shd w:val="clear" w:color="auto" w:fill="auto"/>
            <w:vAlign w:val="center"/>
          </w:tcPr>
          <w:p w14:paraId="4ACE4993" w14:textId="77777777" w:rsidR="006F587A" w:rsidRDefault="006F587A">
            <w:pPr>
              <w:rPr>
                <w:rFonts w:ascii="Times New Roman" w:hAnsi="Times New Roman"/>
                <w:sz w:val="20"/>
                <w:szCs w:val="20"/>
              </w:rPr>
            </w:pPr>
          </w:p>
        </w:tc>
        <w:tc>
          <w:tcPr>
            <w:tcW w:w="50" w:type="pct"/>
            <w:shd w:val="clear" w:color="auto" w:fill="auto"/>
            <w:vAlign w:val="center"/>
          </w:tcPr>
          <w:p w14:paraId="4ACE4994" w14:textId="77777777" w:rsidR="006F587A" w:rsidRDefault="006F587A">
            <w:pPr>
              <w:rPr>
                <w:rFonts w:ascii="Times New Roman" w:hAnsi="Times New Roman"/>
                <w:sz w:val="20"/>
                <w:szCs w:val="20"/>
              </w:rPr>
            </w:pPr>
          </w:p>
        </w:tc>
        <w:tc>
          <w:tcPr>
            <w:tcW w:w="50" w:type="pct"/>
            <w:shd w:val="clear" w:color="auto" w:fill="auto"/>
            <w:vAlign w:val="center"/>
          </w:tcPr>
          <w:p w14:paraId="4ACE4995" w14:textId="77777777" w:rsidR="006F587A" w:rsidRDefault="006F587A">
            <w:pPr>
              <w:rPr>
                <w:rFonts w:ascii="Times New Roman" w:hAnsi="Times New Roman"/>
                <w:sz w:val="20"/>
                <w:szCs w:val="20"/>
              </w:rPr>
            </w:pPr>
          </w:p>
        </w:tc>
        <w:tc>
          <w:tcPr>
            <w:tcW w:w="50" w:type="pct"/>
            <w:shd w:val="clear" w:color="auto" w:fill="auto"/>
            <w:vAlign w:val="center"/>
          </w:tcPr>
          <w:p w14:paraId="4ACE4996" w14:textId="77777777" w:rsidR="006F587A" w:rsidRDefault="006F587A">
            <w:pPr>
              <w:rPr>
                <w:rFonts w:ascii="Times New Roman" w:hAnsi="Times New Roman"/>
                <w:sz w:val="20"/>
                <w:szCs w:val="20"/>
              </w:rPr>
            </w:pPr>
          </w:p>
        </w:tc>
        <w:tc>
          <w:tcPr>
            <w:tcW w:w="500" w:type="pct"/>
            <w:shd w:val="clear" w:color="auto" w:fill="auto"/>
            <w:vAlign w:val="center"/>
          </w:tcPr>
          <w:p w14:paraId="4ACE4997" w14:textId="77777777" w:rsidR="006F587A" w:rsidRDefault="006F587A">
            <w:pPr>
              <w:rPr>
                <w:rFonts w:ascii="Times New Roman" w:hAnsi="Times New Roman"/>
                <w:sz w:val="20"/>
                <w:szCs w:val="20"/>
              </w:rPr>
            </w:pPr>
          </w:p>
        </w:tc>
        <w:tc>
          <w:tcPr>
            <w:tcW w:w="50" w:type="pct"/>
            <w:shd w:val="clear" w:color="auto" w:fill="auto"/>
            <w:vAlign w:val="center"/>
          </w:tcPr>
          <w:p w14:paraId="4ACE4998" w14:textId="77777777" w:rsidR="006F587A" w:rsidRDefault="006F587A">
            <w:pPr>
              <w:rPr>
                <w:rFonts w:ascii="Times New Roman" w:hAnsi="Times New Roman"/>
                <w:sz w:val="20"/>
                <w:szCs w:val="20"/>
              </w:rPr>
            </w:pPr>
          </w:p>
        </w:tc>
      </w:tr>
      <w:tr w:rsidR="006F587A" w14:paraId="4ACE499F"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499A"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4ACE499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99C"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28, </w:t>
            </w:r>
            <w:r>
              <w:rPr>
                <w:rFonts w:ascii="Arial" w:eastAsia="宋体" w:hAnsi="Arial" w:cs="Arial"/>
                <w:b/>
                <w:bCs/>
                <w:color w:val="333333"/>
                <w:sz w:val="18"/>
                <w:szCs w:val="18"/>
              </w:rPr>
              <w:br/>
              <w:t>2019</w:t>
            </w:r>
          </w:p>
        </w:tc>
        <w:tc>
          <w:tcPr>
            <w:tcW w:w="0" w:type="auto"/>
            <w:shd w:val="clear" w:color="auto" w:fill="auto"/>
            <w:tcMar>
              <w:top w:w="40" w:type="dxa"/>
              <w:left w:w="40" w:type="dxa"/>
              <w:bottom w:w="40" w:type="dxa"/>
              <w:right w:w="40" w:type="dxa"/>
            </w:tcMar>
            <w:vAlign w:val="bottom"/>
          </w:tcPr>
          <w:p w14:paraId="4ACE499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99E"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29, </w:t>
            </w:r>
            <w:r>
              <w:rPr>
                <w:rFonts w:ascii="Arial" w:eastAsia="宋体" w:hAnsi="Arial" w:cs="Arial"/>
                <w:b/>
                <w:bCs/>
                <w:color w:val="333333"/>
                <w:sz w:val="18"/>
                <w:szCs w:val="18"/>
              </w:rPr>
              <w:br/>
              <w:t>2018</w:t>
            </w:r>
          </w:p>
        </w:tc>
      </w:tr>
      <w:tr w:rsidR="006F587A" w14:paraId="4ACE49A9" w14:textId="77777777">
        <w:tc>
          <w:tcPr>
            <w:tcW w:w="0" w:type="auto"/>
            <w:shd w:val="clear" w:color="auto" w:fill="auto"/>
            <w:tcMar>
              <w:top w:w="40" w:type="dxa"/>
              <w:left w:w="40" w:type="dxa"/>
              <w:bottom w:w="40" w:type="dxa"/>
              <w:right w:w="40" w:type="dxa"/>
            </w:tcMar>
            <w:vAlign w:val="bottom"/>
          </w:tcPr>
          <w:p w14:paraId="4ACE49A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Non-current deferred tax assets</w:t>
            </w:r>
          </w:p>
        </w:tc>
        <w:tc>
          <w:tcPr>
            <w:tcW w:w="0" w:type="auto"/>
            <w:shd w:val="clear" w:color="auto" w:fill="auto"/>
            <w:tcMar>
              <w:top w:w="40" w:type="dxa"/>
              <w:left w:w="40" w:type="dxa"/>
              <w:bottom w:w="40" w:type="dxa"/>
              <w:right w:w="40" w:type="dxa"/>
            </w:tcMar>
            <w:vAlign w:val="bottom"/>
          </w:tcPr>
          <w:p w14:paraId="4ACE49A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9A2"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49A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1,209</w:t>
            </w:r>
          </w:p>
        </w:tc>
        <w:tc>
          <w:tcPr>
            <w:tcW w:w="0" w:type="auto"/>
            <w:shd w:val="clear" w:color="auto" w:fill="auto"/>
            <w:vAlign w:val="bottom"/>
          </w:tcPr>
          <w:p w14:paraId="4ACE49A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9A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9A6" w14:textId="77777777" w:rsidR="006F587A" w:rsidRDefault="007B2B61">
            <w:pPr>
              <w:textAlignment w:val="bottom"/>
              <w:rPr>
                <w:rFonts w:ascii="Times New Roman" w:hAnsi="Times New Roman"/>
                <w:sz w:val="18"/>
                <w:szCs w:val="18"/>
              </w:rPr>
            </w:pPr>
            <w:r>
              <w:rPr>
                <w:rFonts w:ascii="Arial" w:eastAsia="宋体" w:hAnsi="Arial" w:cs="Arial"/>
                <w:color w:val="000000"/>
                <w:sz w:val="18"/>
                <w:szCs w:val="18"/>
              </w:rPr>
              <w:t>$</w:t>
            </w:r>
          </w:p>
        </w:tc>
        <w:tc>
          <w:tcPr>
            <w:tcW w:w="0" w:type="auto"/>
            <w:shd w:val="clear" w:color="auto" w:fill="auto"/>
            <w:tcMar>
              <w:top w:w="40" w:type="dxa"/>
              <w:bottom w:w="40" w:type="dxa"/>
            </w:tcMar>
            <w:vAlign w:val="bottom"/>
          </w:tcPr>
          <w:p w14:paraId="4ACE49A7" w14:textId="77777777" w:rsidR="006F587A" w:rsidRDefault="007B2B61">
            <w:pPr>
              <w:jc w:val="right"/>
              <w:textAlignment w:val="bottom"/>
              <w:rPr>
                <w:rFonts w:ascii="Times New Roman" w:hAnsi="Times New Roman"/>
                <w:sz w:val="18"/>
                <w:szCs w:val="18"/>
              </w:rPr>
            </w:pPr>
            <w:r>
              <w:rPr>
                <w:rFonts w:ascii="Arial" w:eastAsia="宋体" w:hAnsi="Arial" w:cs="Arial"/>
                <w:color w:val="000000"/>
                <w:sz w:val="18"/>
                <w:szCs w:val="18"/>
              </w:rPr>
              <w:t>1,122</w:t>
            </w:r>
          </w:p>
        </w:tc>
        <w:tc>
          <w:tcPr>
            <w:tcW w:w="0" w:type="auto"/>
            <w:shd w:val="clear" w:color="auto" w:fill="auto"/>
            <w:vAlign w:val="bottom"/>
          </w:tcPr>
          <w:p w14:paraId="4ACE49A8" w14:textId="77777777" w:rsidR="006F587A" w:rsidRDefault="006F587A">
            <w:pPr>
              <w:textAlignment w:val="bottom"/>
              <w:rPr>
                <w:rFonts w:ascii="Times New Roman" w:hAnsi="Times New Roman"/>
                <w:sz w:val="20"/>
                <w:szCs w:val="20"/>
              </w:rPr>
            </w:pPr>
          </w:p>
        </w:tc>
      </w:tr>
      <w:tr w:rsidR="006F587A" w14:paraId="4ACE49B1" w14:textId="77777777">
        <w:tc>
          <w:tcPr>
            <w:tcW w:w="0" w:type="auto"/>
            <w:shd w:val="clear" w:color="auto" w:fill="auto"/>
            <w:tcMar>
              <w:top w:w="40" w:type="dxa"/>
              <w:left w:w="40" w:type="dxa"/>
              <w:bottom w:w="40" w:type="dxa"/>
              <w:right w:w="40" w:type="dxa"/>
            </w:tcMar>
            <w:vAlign w:val="bottom"/>
          </w:tcPr>
          <w:p w14:paraId="4ACE49A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Pre-payments for property, plant and equipment</w:t>
            </w:r>
          </w:p>
        </w:tc>
        <w:tc>
          <w:tcPr>
            <w:tcW w:w="0" w:type="auto"/>
            <w:shd w:val="clear" w:color="auto" w:fill="auto"/>
            <w:tcMar>
              <w:top w:w="40" w:type="dxa"/>
              <w:left w:w="40" w:type="dxa"/>
              <w:bottom w:w="40" w:type="dxa"/>
              <w:right w:w="40" w:type="dxa"/>
            </w:tcMar>
            <w:vAlign w:val="bottom"/>
          </w:tcPr>
          <w:p w14:paraId="4ACE49A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9AC"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1,641</w:t>
            </w:r>
          </w:p>
        </w:tc>
        <w:tc>
          <w:tcPr>
            <w:tcW w:w="0" w:type="auto"/>
            <w:shd w:val="clear" w:color="auto" w:fill="auto"/>
            <w:vAlign w:val="bottom"/>
          </w:tcPr>
          <w:p w14:paraId="4ACE49A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9A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9AF" w14:textId="77777777" w:rsidR="006F587A" w:rsidRDefault="007B2B61">
            <w:pPr>
              <w:jc w:val="right"/>
              <w:textAlignment w:val="bottom"/>
              <w:rPr>
                <w:rFonts w:ascii="Times New Roman" w:hAnsi="Times New Roman"/>
                <w:sz w:val="18"/>
                <w:szCs w:val="18"/>
              </w:rPr>
            </w:pPr>
            <w:r>
              <w:rPr>
                <w:rFonts w:ascii="Arial" w:eastAsia="宋体" w:hAnsi="Arial" w:cs="Arial"/>
                <w:color w:val="000000"/>
                <w:sz w:val="18"/>
                <w:szCs w:val="18"/>
              </w:rPr>
              <w:t>1,507</w:t>
            </w:r>
          </w:p>
        </w:tc>
        <w:tc>
          <w:tcPr>
            <w:tcW w:w="0" w:type="auto"/>
            <w:shd w:val="clear" w:color="auto" w:fill="auto"/>
            <w:vAlign w:val="bottom"/>
          </w:tcPr>
          <w:p w14:paraId="4ACE49B0" w14:textId="77777777" w:rsidR="006F587A" w:rsidRDefault="006F587A">
            <w:pPr>
              <w:textAlignment w:val="bottom"/>
              <w:rPr>
                <w:rFonts w:ascii="Times New Roman" w:hAnsi="Times New Roman"/>
                <w:sz w:val="20"/>
                <w:szCs w:val="20"/>
              </w:rPr>
            </w:pPr>
          </w:p>
        </w:tc>
      </w:tr>
      <w:tr w:rsidR="006F587A" w14:paraId="4ACE49B9" w14:textId="77777777">
        <w:tc>
          <w:tcPr>
            <w:tcW w:w="0" w:type="auto"/>
            <w:shd w:val="clear" w:color="auto" w:fill="auto"/>
            <w:tcMar>
              <w:top w:w="40" w:type="dxa"/>
              <w:left w:w="40" w:type="dxa"/>
              <w:bottom w:w="40" w:type="dxa"/>
              <w:right w:w="40" w:type="dxa"/>
            </w:tcMar>
            <w:vAlign w:val="bottom"/>
          </w:tcPr>
          <w:p w14:paraId="4ACE49B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Loans receivable</w:t>
            </w:r>
          </w:p>
        </w:tc>
        <w:tc>
          <w:tcPr>
            <w:tcW w:w="0" w:type="auto"/>
            <w:shd w:val="clear" w:color="auto" w:fill="auto"/>
            <w:tcMar>
              <w:top w:w="40" w:type="dxa"/>
              <w:left w:w="40" w:type="dxa"/>
              <w:bottom w:w="40" w:type="dxa"/>
              <w:right w:w="40" w:type="dxa"/>
            </w:tcMar>
            <w:vAlign w:val="bottom"/>
          </w:tcPr>
          <w:p w14:paraId="4ACE49B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9B4"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554</w:t>
            </w:r>
          </w:p>
        </w:tc>
        <w:tc>
          <w:tcPr>
            <w:tcW w:w="0" w:type="auto"/>
            <w:shd w:val="clear" w:color="auto" w:fill="auto"/>
            <w:vAlign w:val="bottom"/>
          </w:tcPr>
          <w:p w14:paraId="4ACE49B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9B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9B7" w14:textId="77777777" w:rsidR="006F587A" w:rsidRDefault="007B2B61">
            <w:pPr>
              <w:jc w:val="right"/>
              <w:textAlignment w:val="bottom"/>
              <w:rPr>
                <w:rFonts w:ascii="Times New Roman" w:hAnsi="Times New Roman"/>
                <w:sz w:val="18"/>
                <w:szCs w:val="18"/>
              </w:rPr>
            </w:pPr>
            <w:r>
              <w:rPr>
                <w:rFonts w:ascii="Arial" w:eastAsia="宋体" w:hAnsi="Arial" w:cs="Arial"/>
                <w:color w:val="000000"/>
                <w:sz w:val="18"/>
                <w:szCs w:val="18"/>
              </w:rPr>
              <w:t>479</w:t>
            </w:r>
          </w:p>
        </w:tc>
        <w:tc>
          <w:tcPr>
            <w:tcW w:w="0" w:type="auto"/>
            <w:shd w:val="clear" w:color="auto" w:fill="auto"/>
            <w:vAlign w:val="bottom"/>
          </w:tcPr>
          <w:p w14:paraId="4ACE49B8" w14:textId="77777777" w:rsidR="006F587A" w:rsidRDefault="006F587A">
            <w:pPr>
              <w:textAlignment w:val="bottom"/>
              <w:rPr>
                <w:rFonts w:ascii="Times New Roman" w:hAnsi="Times New Roman"/>
                <w:sz w:val="20"/>
                <w:szCs w:val="20"/>
              </w:rPr>
            </w:pPr>
          </w:p>
        </w:tc>
      </w:tr>
      <w:tr w:rsidR="006F587A" w14:paraId="4ACE49C1" w14:textId="77777777">
        <w:tc>
          <w:tcPr>
            <w:tcW w:w="0" w:type="auto"/>
            <w:shd w:val="clear" w:color="auto" w:fill="auto"/>
            <w:tcMar>
              <w:top w:w="40" w:type="dxa"/>
              <w:left w:w="40" w:type="dxa"/>
              <w:bottom w:w="40" w:type="dxa"/>
              <w:right w:w="40" w:type="dxa"/>
            </w:tcMar>
            <w:vAlign w:val="bottom"/>
          </w:tcPr>
          <w:p w14:paraId="4ACE49B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Other</w:t>
            </w:r>
          </w:p>
        </w:tc>
        <w:tc>
          <w:tcPr>
            <w:tcW w:w="0" w:type="auto"/>
            <w:shd w:val="clear" w:color="auto" w:fill="auto"/>
            <w:tcMar>
              <w:top w:w="40" w:type="dxa"/>
              <w:left w:w="40" w:type="dxa"/>
              <w:bottom w:w="40" w:type="dxa"/>
              <w:right w:w="40" w:type="dxa"/>
            </w:tcMar>
            <w:vAlign w:val="bottom"/>
          </w:tcPr>
          <w:p w14:paraId="4ACE49B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49BC"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2,149</w:t>
            </w:r>
          </w:p>
        </w:tc>
        <w:tc>
          <w:tcPr>
            <w:tcW w:w="0" w:type="auto"/>
            <w:tcBorders>
              <w:bottom w:val="single" w:sz="8" w:space="0" w:color="333333"/>
            </w:tcBorders>
            <w:shd w:val="clear" w:color="auto" w:fill="auto"/>
            <w:vAlign w:val="bottom"/>
          </w:tcPr>
          <w:p w14:paraId="4ACE49B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9B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49BF" w14:textId="77777777" w:rsidR="006F587A" w:rsidRDefault="007B2B61">
            <w:pPr>
              <w:jc w:val="right"/>
              <w:textAlignment w:val="bottom"/>
              <w:rPr>
                <w:rFonts w:ascii="Times New Roman" w:hAnsi="Times New Roman"/>
                <w:sz w:val="18"/>
                <w:szCs w:val="18"/>
              </w:rPr>
            </w:pPr>
            <w:r>
              <w:rPr>
                <w:rFonts w:ascii="Arial" w:eastAsia="宋体" w:hAnsi="Arial" w:cs="Arial"/>
                <w:color w:val="000000"/>
                <w:sz w:val="18"/>
                <w:szCs w:val="18"/>
              </w:rPr>
              <w:t>1,313</w:t>
            </w:r>
          </w:p>
        </w:tc>
        <w:tc>
          <w:tcPr>
            <w:tcW w:w="0" w:type="auto"/>
            <w:tcBorders>
              <w:bottom w:val="single" w:sz="8" w:space="0" w:color="333333"/>
            </w:tcBorders>
            <w:shd w:val="clear" w:color="auto" w:fill="auto"/>
            <w:vAlign w:val="bottom"/>
          </w:tcPr>
          <w:p w14:paraId="4ACE49C0" w14:textId="77777777" w:rsidR="006F587A" w:rsidRDefault="006F587A">
            <w:pPr>
              <w:textAlignment w:val="bottom"/>
              <w:rPr>
                <w:rFonts w:ascii="Times New Roman" w:hAnsi="Times New Roman"/>
                <w:sz w:val="20"/>
                <w:szCs w:val="20"/>
              </w:rPr>
            </w:pPr>
          </w:p>
        </w:tc>
      </w:tr>
      <w:tr w:rsidR="006F587A" w14:paraId="4ACE49CB" w14:textId="77777777">
        <w:tc>
          <w:tcPr>
            <w:tcW w:w="0" w:type="auto"/>
            <w:shd w:val="clear" w:color="auto" w:fill="auto"/>
            <w:tcMar>
              <w:top w:w="40" w:type="dxa"/>
              <w:left w:w="40" w:type="dxa"/>
              <w:bottom w:w="40" w:type="dxa"/>
              <w:right w:w="40" w:type="dxa"/>
            </w:tcMar>
            <w:vAlign w:val="bottom"/>
          </w:tcPr>
          <w:p w14:paraId="4ACE49C2"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Total other long-term assets</w:t>
            </w:r>
          </w:p>
        </w:tc>
        <w:tc>
          <w:tcPr>
            <w:tcW w:w="0" w:type="auto"/>
            <w:shd w:val="clear" w:color="auto" w:fill="auto"/>
            <w:tcMar>
              <w:top w:w="40" w:type="dxa"/>
              <w:left w:w="40" w:type="dxa"/>
              <w:bottom w:w="40" w:type="dxa"/>
              <w:right w:w="40" w:type="dxa"/>
            </w:tcMar>
            <w:vAlign w:val="bottom"/>
          </w:tcPr>
          <w:p w14:paraId="4ACE49C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333333"/>
            </w:tcBorders>
            <w:shd w:val="clear" w:color="auto" w:fill="auto"/>
            <w:tcMar>
              <w:top w:w="40" w:type="dxa"/>
              <w:left w:w="40" w:type="dxa"/>
              <w:bottom w:w="40" w:type="dxa"/>
            </w:tcMar>
            <w:vAlign w:val="bottom"/>
          </w:tcPr>
          <w:p w14:paraId="4ACE49C4"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bottom w:val="double" w:sz="6" w:space="0" w:color="333333"/>
            </w:tcBorders>
            <w:shd w:val="clear" w:color="auto" w:fill="auto"/>
            <w:tcMar>
              <w:top w:w="40" w:type="dxa"/>
              <w:bottom w:w="40" w:type="dxa"/>
            </w:tcMar>
            <w:vAlign w:val="bottom"/>
          </w:tcPr>
          <w:p w14:paraId="4ACE49C5"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5,553</w:t>
            </w:r>
          </w:p>
        </w:tc>
        <w:tc>
          <w:tcPr>
            <w:tcW w:w="0" w:type="auto"/>
            <w:tcBorders>
              <w:bottom w:val="double" w:sz="6" w:space="0" w:color="333333"/>
            </w:tcBorders>
            <w:shd w:val="clear" w:color="auto" w:fill="auto"/>
            <w:vAlign w:val="bottom"/>
          </w:tcPr>
          <w:p w14:paraId="4ACE49C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9C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333333"/>
            </w:tcBorders>
            <w:shd w:val="clear" w:color="auto" w:fill="auto"/>
            <w:tcMar>
              <w:top w:w="40" w:type="dxa"/>
              <w:left w:w="40" w:type="dxa"/>
              <w:bottom w:w="40" w:type="dxa"/>
            </w:tcMar>
            <w:vAlign w:val="bottom"/>
          </w:tcPr>
          <w:p w14:paraId="4ACE49C8"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bottom w:val="double" w:sz="6" w:space="0" w:color="333333"/>
            </w:tcBorders>
            <w:shd w:val="clear" w:color="auto" w:fill="auto"/>
            <w:tcMar>
              <w:top w:w="40" w:type="dxa"/>
              <w:bottom w:w="40" w:type="dxa"/>
            </w:tcMar>
            <w:vAlign w:val="bottom"/>
          </w:tcPr>
          <w:p w14:paraId="4ACE49C9"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4,421</w:t>
            </w:r>
          </w:p>
        </w:tc>
        <w:tc>
          <w:tcPr>
            <w:tcW w:w="0" w:type="auto"/>
            <w:tcBorders>
              <w:bottom w:val="double" w:sz="6" w:space="0" w:color="333333"/>
            </w:tcBorders>
            <w:shd w:val="clear" w:color="auto" w:fill="auto"/>
            <w:vAlign w:val="bottom"/>
          </w:tcPr>
          <w:p w14:paraId="4ACE49CA" w14:textId="77777777" w:rsidR="006F587A" w:rsidRDefault="006F587A">
            <w:pPr>
              <w:textAlignment w:val="bottom"/>
              <w:rPr>
                <w:rFonts w:ascii="Times New Roman" w:hAnsi="Times New Roman"/>
                <w:sz w:val="20"/>
                <w:szCs w:val="20"/>
              </w:rPr>
            </w:pPr>
          </w:p>
        </w:tc>
      </w:tr>
    </w:tbl>
    <w:p w14:paraId="4ACE49CC" w14:textId="77777777" w:rsidR="006F587A" w:rsidRDefault="006F587A"/>
    <w:p w14:paraId="4ACE49CD" w14:textId="77777777" w:rsidR="006F587A" w:rsidRDefault="007B2B61">
      <w:pPr>
        <w:spacing w:line="288" w:lineRule="auto"/>
        <w:rPr>
          <w:rFonts w:ascii="Times New Roman" w:hAnsi="Times New Roman"/>
        </w:rPr>
      </w:pPr>
      <w:r>
        <w:rPr>
          <w:rFonts w:ascii="Arial" w:eastAsia="宋体" w:hAnsi="Arial" w:cs="Arial"/>
          <w:b/>
          <w:bCs/>
          <w:color w:val="0071C5"/>
        </w:rPr>
        <w:t>OTHER ACCRUED LIABILITIES</w:t>
      </w:r>
    </w:p>
    <w:p w14:paraId="4ACE49CE"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Other accrued liabilities include deferred compensation of $2.1 billion as of December 28, 2019 </w:t>
      </w:r>
      <w:r>
        <w:rPr>
          <w:rFonts w:ascii="Arial" w:eastAsia="宋体" w:hAnsi="Arial" w:cs="Arial"/>
          <w:color w:val="333333"/>
          <w:sz w:val="18"/>
          <w:szCs w:val="18"/>
        </w:rPr>
        <w:t>($1.7 billion as of December 29, 2018).</w:t>
      </w:r>
    </w:p>
    <w:p w14:paraId="4ACE49CF" w14:textId="77777777" w:rsidR="006F587A" w:rsidRDefault="007B2B61">
      <w:pPr>
        <w:spacing w:line="288" w:lineRule="auto"/>
        <w:rPr>
          <w:rFonts w:ascii="Times New Roman" w:hAnsi="Times New Roman"/>
        </w:rPr>
      </w:pPr>
      <w:r>
        <w:rPr>
          <w:rFonts w:ascii="Arial" w:eastAsia="宋体" w:hAnsi="Arial" w:cs="Arial"/>
          <w:b/>
          <w:bCs/>
          <w:color w:val="0071C5"/>
        </w:rPr>
        <w:lastRenderedPageBreak/>
        <w:t>ADVERTISING</w:t>
      </w:r>
    </w:p>
    <w:p w14:paraId="4ACE49D0"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Advertising costs, including direct marketing, recorded within MG&amp;A expenses were $832 million in 2019 ($1.2 billion in 2018 and $1.4 billion in 2017). </w:t>
      </w:r>
    </w:p>
    <w:p w14:paraId="4ACE49D1" w14:textId="77777777" w:rsidR="006F587A" w:rsidRDefault="007B2B61">
      <w:pPr>
        <w:spacing w:line="288" w:lineRule="auto"/>
        <w:rPr>
          <w:rFonts w:ascii="Times New Roman" w:hAnsi="Times New Roman"/>
        </w:rPr>
      </w:pPr>
      <w:r>
        <w:rPr>
          <w:rFonts w:ascii="Arial" w:eastAsia="宋体" w:hAnsi="Arial" w:cs="Arial"/>
          <w:b/>
          <w:bCs/>
          <w:color w:val="0071C5"/>
        </w:rPr>
        <w:t>INTEREST AND OTHER, NET</w:t>
      </w:r>
    </w:p>
    <w:p w14:paraId="4ACE49D2" w14:textId="77777777" w:rsidR="006F587A" w:rsidRDefault="007B2B61">
      <w:pPr>
        <w:spacing w:line="288" w:lineRule="auto"/>
        <w:rPr>
          <w:rFonts w:ascii="Times New Roman" w:hAnsi="Times New Roman"/>
          <w:sz w:val="20"/>
          <w:szCs w:val="20"/>
        </w:rPr>
      </w:pPr>
      <w:r>
        <w:rPr>
          <w:rFonts w:ascii="Arial" w:eastAsia="宋体" w:hAnsi="Arial" w:cs="Arial"/>
          <w:color w:val="333333"/>
          <w:sz w:val="18"/>
          <w:szCs w:val="18"/>
        </w:rPr>
        <w:t xml:space="preserve">The components of interest </w:t>
      </w:r>
      <w:r>
        <w:rPr>
          <w:rFonts w:ascii="Arial" w:eastAsia="宋体" w:hAnsi="Arial" w:cs="Arial"/>
          <w:color w:val="333333"/>
          <w:sz w:val="18"/>
          <w:szCs w:val="18"/>
        </w:rPr>
        <w:t>and other, net for each period were as follows:</w:t>
      </w:r>
    </w:p>
    <w:tbl>
      <w:tblPr>
        <w:tblW w:w="5000" w:type="pct"/>
        <w:tblCellMar>
          <w:left w:w="0" w:type="dxa"/>
          <w:right w:w="0" w:type="dxa"/>
        </w:tblCellMar>
        <w:tblLook w:val="04A0" w:firstRow="1" w:lastRow="0" w:firstColumn="1" w:lastColumn="0" w:noHBand="0" w:noVBand="1"/>
      </w:tblPr>
      <w:tblGrid>
        <w:gridCol w:w="4974"/>
        <w:gridCol w:w="130"/>
        <w:gridCol w:w="142"/>
        <w:gridCol w:w="738"/>
        <w:gridCol w:w="100"/>
        <w:gridCol w:w="130"/>
        <w:gridCol w:w="142"/>
        <w:gridCol w:w="739"/>
        <w:gridCol w:w="100"/>
        <w:gridCol w:w="130"/>
        <w:gridCol w:w="142"/>
        <w:gridCol w:w="739"/>
        <w:gridCol w:w="100"/>
      </w:tblGrid>
      <w:tr w:rsidR="006F587A" w14:paraId="4ACE49D4" w14:textId="77777777">
        <w:tc>
          <w:tcPr>
            <w:tcW w:w="0" w:type="auto"/>
            <w:gridSpan w:val="13"/>
            <w:shd w:val="clear" w:color="auto" w:fill="auto"/>
            <w:vAlign w:val="center"/>
          </w:tcPr>
          <w:p w14:paraId="4ACE49D3" w14:textId="77777777" w:rsidR="006F587A" w:rsidRDefault="006F587A">
            <w:pPr>
              <w:rPr>
                <w:rFonts w:ascii="Times New Roman" w:hAnsi="Times New Roman"/>
                <w:sz w:val="20"/>
                <w:szCs w:val="20"/>
              </w:rPr>
            </w:pPr>
          </w:p>
        </w:tc>
      </w:tr>
      <w:tr w:rsidR="006F587A" w14:paraId="4ACE49E2" w14:textId="77777777">
        <w:tc>
          <w:tcPr>
            <w:tcW w:w="3050" w:type="pct"/>
            <w:shd w:val="clear" w:color="auto" w:fill="auto"/>
            <w:vAlign w:val="center"/>
          </w:tcPr>
          <w:p w14:paraId="4ACE49D5" w14:textId="77777777" w:rsidR="006F587A" w:rsidRDefault="006F587A">
            <w:pPr>
              <w:rPr>
                <w:rFonts w:ascii="Times New Roman" w:hAnsi="Times New Roman"/>
                <w:sz w:val="20"/>
                <w:szCs w:val="20"/>
              </w:rPr>
            </w:pPr>
          </w:p>
        </w:tc>
        <w:tc>
          <w:tcPr>
            <w:tcW w:w="50" w:type="pct"/>
            <w:shd w:val="clear" w:color="auto" w:fill="auto"/>
            <w:vAlign w:val="center"/>
          </w:tcPr>
          <w:p w14:paraId="4ACE49D6" w14:textId="77777777" w:rsidR="006F587A" w:rsidRDefault="006F587A">
            <w:pPr>
              <w:rPr>
                <w:rFonts w:ascii="Times New Roman" w:hAnsi="Times New Roman"/>
                <w:sz w:val="20"/>
                <w:szCs w:val="20"/>
              </w:rPr>
            </w:pPr>
          </w:p>
        </w:tc>
        <w:tc>
          <w:tcPr>
            <w:tcW w:w="50" w:type="pct"/>
            <w:shd w:val="clear" w:color="auto" w:fill="auto"/>
            <w:vAlign w:val="center"/>
          </w:tcPr>
          <w:p w14:paraId="4ACE49D7" w14:textId="77777777" w:rsidR="006F587A" w:rsidRDefault="006F587A">
            <w:pPr>
              <w:rPr>
                <w:rFonts w:ascii="Times New Roman" w:hAnsi="Times New Roman"/>
                <w:sz w:val="20"/>
                <w:szCs w:val="20"/>
              </w:rPr>
            </w:pPr>
          </w:p>
        </w:tc>
        <w:tc>
          <w:tcPr>
            <w:tcW w:w="500" w:type="pct"/>
            <w:shd w:val="clear" w:color="auto" w:fill="auto"/>
            <w:vAlign w:val="center"/>
          </w:tcPr>
          <w:p w14:paraId="4ACE49D8" w14:textId="77777777" w:rsidR="006F587A" w:rsidRDefault="006F587A">
            <w:pPr>
              <w:rPr>
                <w:rFonts w:ascii="Times New Roman" w:hAnsi="Times New Roman"/>
                <w:sz w:val="20"/>
                <w:szCs w:val="20"/>
              </w:rPr>
            </w:pPr>
          </w:p>
        </w:tc>
        <w:tc>
          <w:tcPr>
            <w:tcW w:w="50" w:type="pct"/>
            <w:shd w:val="clear" w:color="auto" w:fill="auto"/>
            <w:vAlign w:val="center"/>
          </w:tcPr>
          <w:p w14:paraId="4ACE49D9" w14:textId="77777777" w:rsidR="006F587A" w:rsidRDefault="006F587A">
            <w:pPr>
              <w:rPr>
                <w:rFonts w:ascii="Times New Roman" w:hAnsi="Times New Roman"/>
                <w:sz w:val="20"/>
                <w:szCs w:val="20"/>
              </w:rPr>
            </w:pPr>
          </w:p>
        </w:tc>
        <w:tc>
          <w:tcPr>
            <w:tcW w:w="50" w:type="pct"/>
            <w:shd w:val="clear" w:color="auto" w:fill="auto"/>
            <w:vAlign w:val="center"/>
          </w:tcPr>
          <w:p w14:paraId="4ACE49DA" w14:textId="77777777" w:rsidR="006F587A" w:rsidRDefault="006F587A">
            <w:pPr>
              <w:rPr>
                <w:rFonts w:ascii="Times New Roman" w:hAnsi="Times New Roman"/>
                <w:sz w:val="20"/>
                <w:szCs w:val="20"/>
              </w:rPr>
            </w:pPr>
          </w:p>
        </w:tc>
        <w:tc>
          <w:tcPr>
            <w:tcW w:w="50" w:type="pct"/>
            <w:shd w:val="clear" w:color="auto" w:fill="auto"/>
            <w:vAlign w:val="center"/>
          </w:tcPr>
          <w:p w14:paraId="4ACE49DB" w14:textId="77777777" w:rsidR="006F587A" w:rsidRDefault="006F587A">
            <w:pPr>
              <w:rPr>
                <w:rFonts w:ascii="Times New Roman" w:hAnsi="Times New Roman"/>
                <w:sz w:val="20"/>
                <w:szCs w:val="20"/>
              </w:rPr>
            </w:pPr>
          </w:p>
        </w:tc>
        <w:tc>
          <w:tcPr>
            <w:tcW w:w="500" w:type="pct"/>
            <w:shd w:val="clear" w:color="auto" w:fill="auto"/>
            <w:vAlign w:val="center"/>
          </w:tcPr>
          <w:p w14:paraId="4ACE49DC" w14:textId="77777777" w:rsidR="006F587A" w:rsidRDefault="006F587A">
            <w:pPr>
              <w:rPr>
                <w:rFonts w:ascii="Times New Roman" w:hAnsi="Times New Roman"/>
                <w:sz w:val="20"/>
                <w:szCs w:val="20"/>
              </w:rPr>
            </w:pPr>
          </w:p>
        </w:tc>
        <w:tc>
          <w:tcPr>
            <w:tcW w:w="50" w:type="pct"/>
            <w:shd w:val="clear" w:color="auto" w:fill="auto"/>
            <w:vAlign w:val="center"/>
          </w:tcPr>
          <w:p w14:paraId="4ACE49DD" w14:textId="77777777" w:rsidR="006F587A" w:rsidRDefault="006F587A">
            <w:pPr>
              <w:rPr>
                <w:rFonts w:ascii="Times New Roman" w:hAnsi="Times New Roman"/>
                <w:sz w:val="20"/>
                <w:szCs w:val="20"/>
              </w:rPr>
            </w:pPr>
          </w:p>
        </w:tc>
        <w:tc>
          <w:tcPr>
            <w:tcW w:w="50" w:type="pct"/>
            <w:shd w:val="clear" w:color="auto" w:fill="auto"/>
            <w:vAlign w:val="center"/>
          </w:tcPr>
          <w:p w14:paraId="4ACE49DE" w14:textId="77777777" w:rsidR="006F587A" w:rsidRDefault="006F587A">
            <w:pPr>
              <w:rPr>
                <w:rFonts w:ascii="Times New Roman" w:hAnsi="Times New Roman"/>
                <w:sz w:val="20"/>
                <w:szCs w:val="20"/>
              </w:rPr>
            </w:pPr>
          </w:p>
        </w:tc>
        <w:tc>
          <w:tcPr>
            <w:tcW w:w="50" w:type="pct"/>
            <w:shd w:val="clear" w:color="auto" w:fill="auto"/>
            <w:vAlign w:val="center"/>
          </w:tcPr>
          <w:p w14:paraId="4ACE49DF" w14:textId="77777777" w:rsidR="006F587A" w:rsidRDefault="006F587A">
            <w:pPr>
              <w:rPr>
                <w:rFonts w:ascii="Times New Roman" w:hAnsi="Times New Roman"/>
                <w:sz w:val="20"/>
                <w:szCs w:val="20"/>
              </w:rPr>
            </w:pPr>
          </w:p>
        </w:tc>
        <w:tc>
          <w:tcPr>
            <w:tcW w:w="500" w:type="pct"/>
            <w:shd w:val="clear" w:color="auto" w:fill="auto"/>
            <w:vAlign w:val="center"/>
          </w:tcPr>
          <w:p w14:paraId="4ACE49E0" w14:textId="77777777" w:rsidR="006F587A" w:rsidRDefault="006F587A">
            <w:pPr>
              <w:rPr>
                <w:rFonts w:ascii="Times New Roman" w:hAnsi="Times New Roman"/>
                <w:sz w:val="20"/>
                <w:szCs w:val="20"/>
              </w:rPr>
            </w:pPr>
          </w:p>
        </w:tc>
        <w:tc>
          <w:tcPr>
            <w:tcW w:w="50" w:type="pct"/>
            <w:shd w:val="clear" w:color="auto" w:fill="auto"/>
            <w:vAlign w:val="center"/>
          </w:tcPr>
          <w:p w14:paraId="4ACE49E1" w14:textId="77777777" w:rsidR="006F587A" w:rsidRDefault="006F587A">
            <w:pPr>
              <w:rPr>
                <w:rFonts w:ascii="Times New Roman" w:hAnsi="Times New Roman"/>
                <w:sz w:val="20"/>
                <w:szCs w:val="20"/>
              </w:rPr>
            </w:pPr>
          </w:p>
        </w:tc>
      </w:tr>
      <w:tr w:rsidR="006F587A" w14:paraId="4ACE49EA"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49E3"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Years Ended (In Millions)</w:t>
            </w:r>
          </w:p>
        </w:tc>
        <w:tc>
          <w:tcPr>
            <w:tcW w:w="0" w:type="auto"/>
            <w:shd w:val="clear" w:color="auto" w:fill="auto"/>
            <w:tcMar>
              <w:top w:w="40" w:type="dxa"/>
              <w:left w:w="40" w:type="dxa"/>
              <w:bottom w:w="40" w:type="dxa"/>
              <w:right w:w="40" w:type="dxa"/>
            </w:tcMar>
            <w:vAlign w:val="bottom"/>
          </w:tcPr>
          <w:p w14:paraId="4ACE49E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9E5"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28, </w:t>
            </w:r>
            <w:r>
              <w:rPr>
                <w:rFonts w:ascii="Arial" w:eastAsia="宋体" w:hAnsi="Arial" w:cs="Arial"/>
                <w:b/>
                <w:bCs/>
                <w:color w:val="333333"/>
                <w:sz w:val="18"/>
                <w:szCs w:val="18"/>
              </w:rPr>
              <w:br/>
              <w:t>2019</w:t>
            </w:r>
          </w:p>
        </w:tc>
        <w:tc>
          <w:tcPr>
            <w:tcW w:w="0" w:type="auto"/>
            <w:shd w:val="clear" w:color="auto" w:fill="auto"/>
            <w:tcMar>
              <w:top w:w="40" w:type="dxa"/>
              <w:left w:w="40" w:type="dxa"/>
              <w:bottom w:w="40" w:type="dxa"/>
              <w:right w:w="40" w:type="dxa"/>
            </w:tcMar>
            <w:vAlign w:val="bottom"/>
          </w:tcPr>
          <w:p w14:paraId="4ACE49E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9E7"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29, </w:t>
            </w:r>
            <w:r>
              <w:rPr>
                <w:rFonts w:ascii="Arial" w:eastAsia="宋体" w:hAnsi="Arial" w:cs="Arial"/>
                <w:b/>
                <w:bCs/>
                <w:color w:val="333333"/>
                <w:sz w:val="18"/>
                <w:szCs w:val="18"/>
              </w:rPr>
              <w:br/>
              <w:t>2018</w:t>
            </w:r>
          </w:p>
        </w:tc>
        <w:tc>
          <w:tcPr>
            <w:tcW w:w="0" w:type="auto"/>
            <w:shd w:val="clear" w:color="auto" w:fill="auto"/>
            <w:tcMar>
              <w:top w:w="40" w:type="dxa"/>
              <w:left w:w="40" w:type="dxa"/>
              <w:bottom w:w="40" w:type="dxa"/>
              <w:right w:w="40" w:type="dxa"/>
            </w:tcMar>
            <w:vAlign w:val="bottom"/>
          </w:tcPr>
          <w:p w14:paraId="4ACE49E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9E9"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30, </w:t>
            </w:r>
            <w:r>
              <w:rPr>
                <w:rFonts w:ascii="Arial" w:eastAsia="宋体" w:hAnsi="Arial" w:cs="Arial"/>
                <w:b/>
                <w:bCs/>
                <w:color w:val="333333"/>
                <w:sz w:val="18"/>
                <w:szCs w:val="18"/>
              </w:rPr>
              <w:br/>
              <w:t>2017</w:t>
            </w:r>
          </w:p>
        </w:tc>
      </w:tr>
      <w:tr w:rsidR="006F587A" w14:paraId="4ACE49F8" w14:textId="77777777">
        <w:tc>
          <w:tcPr>
            <w:tcW w:w="0" w:type="auto"/>
            <w:shd w:val="clear" w:color="auto" w:fill="auto"/>
            <w:tcMar>
              <w:top w:w="40" w:type="dxa"/>
              <w:left w:w="40" w:type="dxa"/>
              <w:bottom w:w="40" w:type="dxa"/>
              <w:right w:w="40" w:type="dxa"/>
            </w:tcMar>
            <w:vAlign w:val="bottom"/>
          </w:tcPr>
          <w:p w14:paraId="4ACE49E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Interest income</w:t>
            </w:r>
          </w:p>
        </w:tc>
        <w:tc>
          <w:tcPr>
            <w:tcW w:w="0" w:type="auto"/>
            <w:shd w:val="clear" w:color="auto" w:fill="auto"/>
            <w:tcMar>
              <w:top w:w="40" w:type="dxa"/>
              <w:left w:w="40" w:type="dxa"/>
              <w:bottom w:w="40" w:type="dxa"/>
              <w:right w:w="40" w:type="dxa"/>
            </w:tcMar>
            <w:vAlign w:val="bottom"/>
          </w:tcPr>
          <w:p w14:paraId="4ACE49E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9ED"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49EE"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483</w:t>
            </w:r>
          </w:p>
        </w:tc>
        <w:tc>
          <w:tcPr>
            <w:tcW w:w="0" w:type="auto"/>
            <w:shd w:val="clear" w:color="auto" w:fill="auto"/>
            <w:vAlign w:val="bottom"/>
          </w:tcPr>
          <w:p w14:paraId="4ACE49E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9F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9F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49F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438</w:t>
            </w:r>
          </w:p>
        </w:tc>
        <w:tc>
          <w:tcPr>
            <w:tcW w:w="0" w:type="auto"/>
            <w:shd w:val="clear" w:color="auto" w:fill="auto"/>
            <w:vAlign w:val="bottom"/>
          </w:tcPr>
          <w:p w14:paraId="4ACE49F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9F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9F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49F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441</w:t>
            </w:r>
          </w:p>
        </w:tc>
        <w:tc>
          <w:tcPr>
            <w:tcW w:w="0" w:type="auto"/>
            <w:shd w:val="clear" w:color="auto" w:fill="auto"/>
            <w:vAlign w:val="bottom"/>
          </w:tcPr>
          <w:p w14:paraId="4ACE49F7" w14:textId="77777777" w:rsidR="006F587A" w:rsidRDefault="006F587A">
            <w:pPr>
              <w:textAlignment w:val="bottom"/>
              <w:rPr>
                <w:rFonts w:ascii="Times New Roman" w:hAnsi="Times New Roman"/>
                <w:sz w:val="20"/>
                <w:szCs w:val="20"/>
              </w:rPr>
            </w:pPr>
          </w:p>
        </w:tc>
      </w:tr>
      <w:tr w:rsidR="006F587A" w14:paraId="4ACE4A03" w14:textId="77777777">
        <w:tc>
          <w:tcPr>
            <w:tcW w:w="0" w:type="auto"/>
            <w:shd w:val="clear" w:color="auto" w:fill="auto"/>
            <w:tcMar>
              <w:top w:w="40" w:type="dxa"/>
              <w:left w:w="40" w:type="dxa"/>
              <w:bottom w:w="40" w:type="dxa"/>
              <w:right w:w="40" w:type="dxa"/>
            </w:tcMar>
            <w:vAlign w:val="bottom"/>
          </w:tcPr>
          <w:p w14:paraId="4ACE49F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Interest expense</w:t>
            </w:r>
          </w:p>
        </w:tc>
        <w:tc>
          <w:tcPr>
            <w:tcW w:w="0" w:type="auto"/>
            <w:shd w:val="clear" w:color="auto" w:fill="auto"/>
            <w:tcMar>
              <w:top w:w="40" w:type="dxa"/>
              <w:left w:w="40" w:type="dxa"/>
              <w:bottom w:w="40" w:type="dxa"/>
              <w:right w:w="40" w:type="dxa"/>
            </w:tcMar>
            <w:vAlign w:val="bottom"/>
          </w:tcPr>
          <w:p w14:paraId="4ACE49F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9FB"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(489</w:t>
            </w:r>
          </w:p>
        </w:tc>
        <w:tc>
          <w:tcPr>
            <w:tcW w:w="0" w:type="auto"/>
            <w:shd w:val="clear" w:color="auto" w:fill="auto"/>
            <w:tcMar>
              <w:top w:w="40" w:type="dxa"/>
              <w:bottom w:w="40" w:type="dxa"/>
              <w:right w:w="40" w:type="dxa"/>
            </w:tcMar>
            <w:vAlign w:val="bottom"/>
          </w:tcPr>
          <w:p w14:paraId="4ACE49FC"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49F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9F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(468</w:t>
            </w:r>
          </w:p>
        </w:tc>
        <w:tc>
          <w:tcPr>
            <w:tcW w:w="0" w:type="auto"/>
            <w:shd w:val="clear" w:color="auto" w:fill="auto"/>
            <w:tcMar>
              <w:top w:w="40" w:type="dxa"/>
              <w:bottom w:w="40" w:type="dxa"/>
              <w:right w:w="40" w:type="dxa"/>
            </w:tcMar>
            <w:vAlign w:val="bottom"/>
          </w:tcPr>
          <w:p w14:paraId="4ACE49F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4A0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A01"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(646</w:t>
            </w:r>
          </w:p>
        </w:tc>
        <w:tc>
          <w:tcPr>
            <w:tcW w:w="0" w:type="auto"/>
            <w:shd w:val="clear" w:color="auto" w:fill="auto"/>
            <w:tcMar>
              <w:top w:w="40" w:type="dxa"/>
              <w:bottom w:w="40" w:type="dxa"/>
              <w:right w:w="40" w:type="dxa"/>
            </w:tcMar>
            <w:vAlign w:val="bottom"/>
          </w:tcPr>
          <w:p w14:paraId="4ACE4A0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4A0E" w14:textId="77777777">
        <w:tc>
          <w:tcPr>
            <w:tcW w:w="0" w:type="auto"/>
            <w:shd w:val="clear" w:color="auto" w:fill="auto"/>
            <w:tcMar>
              <w:top w:w="40" w:type="dxa"/>
              <w:left w:w="40" w:type="dxa"/>
              <w:bottom w:w="40" w:type="dxa"/>
              <w:right w:w="40" w:type="dxa"/>
            </w:tcMar>
            <w:vAlign w:val="bottom"/>
          </w:tcPr>
          <w:p w14:paraId="4ACE4A0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Other, net</w:t>
            </w:r>
          </w:p>
        </w:tc>
        <w:tc>
          <w:tcPr>
            <w:tcW w:w="0" w:type="auto"/>
            <w:shd w:val="clear" w:color="auto" w:fill="auto"/>
            <w:tcMar>
              <w:top w:w="40" w:type="dxa"/>
              <w:left w:w="40" w:type="dxa"/>
              <w:bottom w:w="40" w:type="dxa"/>
              <w:right w:w="40" w:type="dxa"/>
            </w:tcMar>
            <w:vAlign w:val="bottom"/>
          </w:tcPr>
          <w:p w14:paraId="4ACE4A0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A06"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490</w:t>
            </w:r>
          </w:p>
        </w:tc>
        <w:tc>
          <w:tcPr>
            <w:tcW w:w="0" w:type="auto"/>
            <w:shd w:val="clear" w:color="auto" w:fill="auto"/>
            <w:vAlign w:val="bottom"/>
          </w:tcPr>
          <w:p w14:paraId="4ACE4A0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A0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A0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156</w:t>
            </w:r>
          </w:p>
        </w:tc>
        <w:tc>
          <w:tcPr>
            <w:tcW w:w="0" w:type="auto"/>
            <w:shd w:val="clear" w:color="auto" w:fill="auto"/>
            <w:vAlign w:val="bottom"/>
          </w:tcPr>
          <w:p w14:paraId="4ACE4A0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A0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A0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(144</w:t>
            </w:r>
          </w:p>
        </w:tc>
        <w:tc>
          <w:tcPr>
            <w:tcW w:w="0" w:type="auto"/>
            <w:shd w:val="clear" w:color="auto" w:fill="auto"/>
            <w:tcMar>
              <w:top w:w="40" w:type="dxa"/>
              <w:bottom w:w="40" w:type="dxa"/>
              <w:right w:w="40" w:type="dxa"/>
            </w:tcMar>
            <w:vAlign w:val="bottom"/>
          </w:tcPr>
          <w:p w14:paraId="4ACE4A0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4A1C" w14:textId="77777777">
        <w:tc>
          <w:tcPr>
            <w:tcW w:w="0" w:type="auto"/>
            <w:shd w:val="clear" w:color="auto" w:fill="auto"/>
            <w:tcMar>
              <w:top w:w="40" w:type="dxa"/>
              <w:left w:w="40" w:type="dxa"/>
              <w:bottom w:w="40" w:type="dxa"/>
              <w:right w:w="40" w:type="dxa"/>
            </w:tcMar>
            <w:vAlign w:val="bottom"/>
          </w:tcPr>
          <w:p w14:paraId="4ACE4A0F" w14:textId="77777777" w:rsidR="006F587A" w:rsidRDefault="007B2B61">
            <w:pPr>
              <w:ind w:hanging="240"/>
              <w:textAlignment w:val="bottom"/>
              <w:rPr>
                <w:rFonts w:ascii="Times New Roman" w:hAnsi="Times New Roman"/>
                <w:sz w:val="18"/>
                <w:szCs w:val="18"/>
              </w:rPr>
            </w:pPr>
            <w:r>
              <w:rPr>
                <w:rFonts w:ascii="Arial" w:eastAsia="宋体" w:hAnsi="Arial" w:cs="Arial"/>
                <w:b/>
                <w:bCs/>
                <w:color w:val="333333"/>
                <w:sz w:val="18"/>
                <w:szCs w:val="18"/>
              </w:rPr>
              <w:t>Total interest and other, net</w:t>
            </w:r>
          </w:p>
        </w:tc>
        <w:tc>
          <w:tcPr>
            <w:tcW w:w="0" w:type="auto"/>
            <w:shd w:val="clear" w:color="auto" w:fill="auto"/>
            <w:tcMar>
              <w:top w:w="40" w:type="dxa"/>
              <w:left w:w="40" w:type="dxa"/>
              <w:bottom w:w="40" w:type="dxa"/>
              <w:right w:w="40" w:type="dxa"/>
            </w:tcMar>
            <w:vAlign w:val="bottom"/>
          </w:tcPr>
          <w:p w14:paraId="4ACE4A1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A11"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A12"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484</w:t>
            </w:r>
          </w:p>
        </w:tc>
        <w:tc>
          <w:tcPr>
            <w:tcW w:w="0" w:type="auto"/>
            <w:tcBorders>
              <w:top w:val="single" w:sz="8" w:space="0" w:color="333333"/>
              <w:bottom w:val="double" w:sz="6" w:space="0" w:color="333333"/>
            </w:tcBorders>
            <w:shd w:val="clear" w:color="auto" w:fill="auto"/>
            <w:vAlign w:val="bottom"/>
          </w:tcPr>
          <w:p w14:paraId="4ACE4A1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A14" w14:textId="77777777" w:rsidR="006F587A" w:rsidRDefault="006F587A">
            <w:pPr>
              <w:jc w:val="right"/>
              <w:textAlignment w:val="bottom"/>
              <w:rPr>
                <w:rFonts w:ascii="Times New Roman" w:hAnsi="Times New Roman"/>
                <w:sz w:val="18"/>
                <w:szCs w:val="18"/>
              </w:rPr>
            </w:pP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A15"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A16"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126</w:t>
            </w:r>
          </w:p>
        </w:tc>
        <w:tc>
          <w:tcPr>
            <w:tcW w:w="0" w:type="auto"/>
            <w:tcBorders>
              <w:top w:val="single" w:sz="8" w:space="0" w:color="333333"/>
              <w:bottom w:val="double" w:sz="6" w:space="0" w:color="333333"/>
            </w:tcBorders>
            <w:shd w:val="clear" w:color="auto" w:fill="auto"/>
            <w:vAlign w:val="bottom"/>
          </w:tcPr>
          <w:p w14:paraId="4ACE4A1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A18" w14:textId="77777777" w:rsidR="006F587A" w:rsidRDefault="006F587A">
            <w:pPr>
              <w:jc w:val="right"/>
              <w:textAlignment w:val="bottom"/>
              <w:rPr>
                <w:rFonts w:ascii="Times New Roman" w:hAnsi="Times New Roman"/>
                <w:sz w:val="18"/>
                <w:szCs w:val="18"/>
              </w:rPr>
            </w:pP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A19"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A1A"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(349</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4ACE4A1B"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r>
    </w:tbl>
    <w:p w14:paraId="4ACE4A1D" w14:textId="77777777" w:rsidR="006F587A" w:rsidRDefault="006F587A"/>
    <w:p w14:paraId="4ACE4A1E"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Interest expense in the preceding table is net of</w:t>
      </w:r>
      <w:r>
        <w:rPr>
          <w:rFonts w:ascii="Arial" w:eastAsia="宋体" w:hAnsi="Arial" w:cs="Arial"/>
          <w:b/>
          <w:bCs/>
          <w:color w:val="333333"/>
          <w:sz w:val="18"/>
          <w:szCs w:val="18"/>
        </w:rPr>
        <w:t xml:space="preserve"> </w:t>
      </w:r>
      <w:r>
        <w:rPr>
          <w:rFonts w:ascii="Arial" w:eastAsia="宋体" w:hAnsi="Arial" w:cs="Arial"/>
          <w:color w:val="333333"/>
          <w:sz w:val="18"/>
          <w:szCs w:val="18"/>
        </w:rPr>
        <w:t xml:space="preserve">$472 million of interest capitalized in 2019 ($496 million in 2018 and $313 million in 2017). </w:t>
      </w:r>
    </w:p>
    <w:p w14:paraId="4ACE4A1F"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4A21" w14:textId="77777777">
        <w:tc>
          <w:tcPr>
            <w:tcW w:w="0" w:type="auto"/>
            <w:gridSpan w:val="3"/>
            <w:shd w:val="clear" w:color="auto" w:fill="auto"/>
            <w:vAlign w:val="center"/>
          </w:tcPr>
          <w:p w14:paraId="4ACE4A20" w14:textId="77777777" w:rsidR="006F587A" w:rsidRDefault="006F587A">
            <w:pPr>
              <w:rPr>
                <w:rFonts w:ascii="Times New Roman" w:hAnsi="Times New Roman"/>
                <w:sz w:val="20"/>
                <w:szCs w:val="20"/>
              </w:rPr>
            </w:pPr>
          </w:p>
        </w:tc>
      </w:tr>
      <w:tr w:rsidR="006F587A" w14:paraId="4ACE4A25" w14:textId="77777777">
        <w:tc>
          <w:tcPr>
            <w:tcW w:w="1300" w:type="pct"/>
            <w:shd w:val="clear" w:color="auto" w:fill="auto"/>
            <w:vAlign w:val="center"/>
          </w:tcPr>
          <w:p w14:paraId="4ACE4A22" w14:textId="77777777" w:rsidR="006F587A" w:rsidRDefault="006F587A">
            <w:pPr>
              <w:rPr>
                <w:rFonts w:ascii="Times New Roman" w:hAnsi="Times New Roman"/>
                <w:sz w:val="20"/>
                <w:szCs w:val="20"/>
              </w:rPr>
            </w:pPr>
          </w:p>
        </w:tc>
        <w:tc>
          <w:tcPr>
            <w:tcW w:w="1600" w:type="pct"/>
            <w:shd w:val="clear" w:color="auto" w:fill="auto"/>
            <w:vAlign w:val="center"/>
          </w:tcPr>
          <w:p w14:paraId="4ACE4A23" w14:textId="77777777" w:rsidR="006F587A" w:rsidRDefault="006F587A">
            <w:pPr>
              <w:rPr>
                <w:rFonts w:ascii="Times New Roman" w:hAnsi="Times New Roman"/>
                <w:sz w:val="20"/>
                <w:szCs w:val="20"/>
              </w:rPr>
            </w:pPr>
          </w:p>
        </w:tc>
        <w:tc>
          <w:tcPr>
            <w:tcW w:w="2100" w:type="pct"/>
            <w:shd w:val="clear" w:color="auto" w:fill="auto"/>
            <w:vAlign w:val="center"/>
          </w:tcPr>
          <w:p w14:paraId="4ACE4A24" w14:textId="77777777" w:rsidR="006F587A" w:rsidRDefault="006F587A">
            <w:pPr>
              <w:rPr>
                <w:rFonts w:ascii="Times New Roman" w:hAnsi="Times New Roman"/>
                <w:sz w:val="20"/>
                <w:szCs w:val="20"/>
              </w:rPr>
            </w:pPr>
          </w:p>
        </w:tc>
      </w:tr>
      <w:tr w:rsidR="006F587A" w14:paraId="4ACE4A29" w14:textId="77777777">
        <w:tc>
          <w:tcPr>
            <w:tcW w:w="0" w:type="auto"/>
            <w:tcBorders>
              <w:top w:val="single" w:sz="8" w:space="0" w:color="0071C5"/>
            </w:tcBorders>
            <w:shd w:val="clear" w:color="auto" w:fill="auto"/>
            <w:tcMar>
              <w:top w:w="40" w:type="dxa"/>
              <w:left w:w="40" w:type="dxa"/>
              <w:bottom w:w="40" w:type="dxa"/>
              <w:right w:w="40" w:type="dxa"/>
            </w:tcMar>
            <w:vAlign w:val="bottom"/>
          </w:tcPr>
          <w:p w14:paraId="4ACE4A26" w14:textId="77777777" w:rsidR="006F587A" w:rsidRDefault="007B2B61">
            <w:pPr>
              <w:textAlignment w:val="bottom"/>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E7" wp14:editId="4ACE6DE8">
                  <wp:extent cx="304800" cy="304800"/>
                  <wp:effectExtent l="0" t="0" r="0" b="0"/>
                  <wp:docPr id="158" name="图片 308"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308"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left w:val="single" w:sz="36" w:space="0" w:color="0071C5"/>
            </w:tcBorders>
            <w:shd w:val="clear" w:color="auto" w:fill="auto"/>
            <w:tcMar>
              <w:top w:w="40" w:type="dxa"/>
              <w:left w:w="40" w:type="dxa"/>
              <w:bottom w:w="40" w:type="dxa"/>
              <w:right w:w="40" w:type="dxa"/>
            </w:tcMar>
            <w:vAlign w:val="bottom"/>
          </w:tcPr>
          <w:p w14:paraId="4ACE4A27" w14:textId="77777777" w:rsidR="006F587A" w:rsidRDefault="007B2B61">
            <w:pPr>
              <w:textAlignment w:val="bottom"/>
              <w:rPr>
                <w:rFonts w:ascii="Times New Roman" w:hAnsi="Times New Roman"/>
                <w:sz w:val="16"/>
                <w:szCs w:val="16"/>
              </w:rPr>
            </w:pPr>
            <w:r>
              <w:rPr>
                <w:rFonts w:ascii="Arial" w:eastAsia="宋体" w:hAnsi="Arial" w:cs="Arial"/>
                <w:color w:val="333333"/>
                <w:sz w:val="16"/>
                <w:szCs w:val="16"/>
              </w:rPr>
              <w:t> Notes to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4A28"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85</w:t>
            </w:r>
          </w:p>
        </w:tc>
      </w:tr>
    </w:tbl>
    <w:p w14:paraId="4ACE4A2A" w14:textId="77777777" w:rsidR="006F587A" w:rsidRDefault="007B2B61">
      <w:r>
        <w:pict w14:anchorId="4ACE6DE9">
          <v:rect id="_x0000_i1111" style="width:415.3pt;height:1.5pt" o:hralign="center" o:hrstd="t" o:hr="t" fillcolor="#a0a0a0" stroked="f"/>
        </w:pict>
      </w:r>
    </w:p>
    <w:p w14:paraId="4ACE4A2B" w14:textId="77777777" w:rsidR="006F587A" w:rsidRDefault="007B2B61">
      <w:pPr>
        <w:spacing w:line="288" w:lineRule="auto"/>
        <w:jc w:val="right"/>
        <w:rPr>
          <w:rFonts w:ascii="Times New Roman" w:hAnsi="Times New Roman"/>
          <w:sz w:val="16"/>
          <w:szCs w:val="16"/>
        </w:rPr>
      </w:pPr>
      <w:hyperlink r:id="rId150" w:anchor="s9DB683E2CF52561EB8A73BE37F5BF9BE" w:history="1">
        <w:r>
          <w:rPr>
            <w:rStyle w:val="a5"/>
            <w:rFonts w:ascii="Arial" w:eastAsia="宋体" w:hAnsi="Arial" w:cs="Arial"/>
            <w:b/>
            <w:bCs/>
            <w:sz w:val="16"/>
            <w:szCs w:val="16"/>
          </w:rPr>
          <w:t>Table of Contents</w:t>
        </w:r>
      </w:hyperlink>
    </w:p>
    <w:p w14:paraId="4ACE4A2C" w14:textId="77777777" w:rsidR="006F587A" w:rsidRDefault="006F587A">
      <w:pPr>
        <w:spacing w:line="288" w:lineRule="auto"/>
        <w:jc w:val="right"/>
        <w:rPr>
          <w:rFonts w:ascii="Times New Roman" w:hAnsi="Times New Roman"/>
          <w:sz w:val="16"/>
          <w:szCs w:val="16"/>
        </w:rPr>
      </w:pPr>
    </w:p>
    <w:p w14:paraId="4ACE4A2D"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997"/>
        <w:gridCol w:w="7309"/>
      </w:tblGrid>
      <w:tr w:rsidR="006F587A" w14:paraId="4ACE4A2F" w14:textId="77777777">
        <w:tc>
          <w:tcPr>
            <w:tcW w:w="0" w:type="auto"/>
            <w:gridSpan w:val="2"/>
            <w:shd w:val="clear" w:color="auto" w:fill="auto"/>
            <w:vAlign w:val="center"/>
          </w:tcPr>
          <w:p w14:paraId="4ACE4A2E" w14:textId="77777777" w:rsidR="006F587A" w:rsidRDefault="006F587A">
            <w:pPr>
              <w:rPr>
                <w:rFonts w:ascii="Times New Roman" w:hAnsi="Times New Roman"/>
                <w:sz w:val="20"/>
                <w:szCs w:val="20"/>
              </w:rPr>
            </w:pPr>
          </w:p>
        </w:tc>
      </w:tr>
      <w:tr w:rsidR="006F587A" w14:paraId="4ACE4A32" w14:textId="77777777">
        <w:tc>
          <w:tcPr>
            <w:tcW w:w="600" w:type="pct"/>
            <w:shd w:val="clear" w:color="auto" w:fill="auto"/>
            <w:vAlign w:val="center"/>
          </w:tcPr>
          <w:p w14:paraId="4ACE4A30" w14:textId="77777777" w:rsidR="006F587A" w:rsidRDefault="006F587A">
            <w:pPr>
              <w:rPr>
                <w:rFonts w:ascii="Times New Roman" w:hAnsi="Times New Roman"/>
                <w:sz w:val="20"/>
                <w:szCs w:val="20"/>
              </w:rPr>
            </w:pPr>
          </w:p>
        </w:tc>
        <w:tc>
          <w:tcPr>
            <w:tcW w:w="4400" w:type="pct"/>
            <w:shd w:val="clear" w:color="auto" w:fill="auto"/>
            <w:vAlign w:val="center"/>
          </w:tcPr>
          <w:p w14:paraId="4ACE4A31" w14:textId="77777777" w:rsidR="006F587A" w:rsidRDefault="006F587A">
            <w:pPr>
              <w:rPr>
                <w:rFonts w:ascii="Times New Roman" w:hAnsi="Times New Roman"/>
                <w:sz w:val="20"/>
                <w:szCs w:val="20"/>
              </w:rPr>
            </w:pPr>
          </w:p>
        </w:tc>
      </w:tr>
      <w:tr w:rsidR="006F587A" w14:paraId="4ACE4A35" w14:textId="77777777">
        <w:tc>
          <w:tcPr>
            <w:tcW w:w="0" w:type="auto"/>
            <w:tcBorders>
              <w:bottom w:val="single" w:sz="8" w:space="0" w:color="0071C5"/>
            </w:tcBorders>
            <w:shd w:val="clear" w:color="auto" w:fill="0071C5"/>
            <w:tcMar>
              <w:top w:w="40" w:type="dxa"/>
              <w:left w:w="40" w:type="dxa"/>
              <w:bottom w:w="40" w:type="dxa"/>
              <w:right w:w="40" w:type="dxa"/>
            </w:tcMar>
            <w:vAlign w:val="bottom"/>
          </w:tcPr>
          <w:p w14:paraId="4ACE4A33" w14:textId="77777777" w:rsidR="006F587A" w:rsidRDefault="007B2B61">
            <w:pPr>
              <w:textAlignment w:val="bottom"/>
              <w:rPr>
                <w:rFonts w:ascii="Times New Roman" w:hAnsi="Times New Roman"/>
                <w:sz w:val="28"/>
                <w:szCs w:val="28"/>
              </w:rPr>
            </w:pPr>
            <w:r>
              <w:rPr>
                <w:rFonts w:ascii="Arial" w:eastAsia="宋体" w:hAnsi="Arial" w:cs="Arial"/>
                <w:b/>
                <w:bCs/>
                <w:color w:val="FFFFFF"/>
                <w:sz w:val="28"/>
                <w:szCs w:val="28"/>
                <w:shd w:val="clear" w:color="auto" w:fill="0071C5"/>
              </w:rPr>
              <w:t xml:space="preserve">NOTE 8 : </w:t>
            </w:r>
          </w:p>
        </w:tc>
        <w:tc>
          <w:tcPr>
            <w:tcW w:w="0" w:type="auto"/>
            <w:tcBorders>
              <w:bottom w:val="single" w:sz="8" w:space="0" w:color="0071C5"/>
            </w:tcBorders>
            <w:shd w:val="clear" w:color="auto" w:fill="auto"/>
            <w:tcMar>
              <w:top w:w="40" w:type="dxa"/>
              <w:left w:w="40" w:type="dxa"/>
              <w:bottom w:w="40" w:type="dxa"/>
              <w:right w:w="40" w:type="dxa"/>
            </w:tcMar>
            <w:vAlign w:val="bottom"/>
          </w:tcPr>
          <w:p w14:paraId="4ACE4A34" w14:textId="77777777" w:rsidR="006F587A" w:rsidRDefault="007B2B61">
            <w:pPr>
              <w:textAlignment w:val="bottom"/>
              <w:rPr>
                <w:rFonts w:ascii="Times New Roman" w:hAnsi="Times New Roman"/>
                <w:sz w:val="28"/>
                <w:szCs w:val="28"/>
              </w:rPr>
            </w:pPr>
            <w:r>
              <w:rPr>
                <w:rFonts w:ascii="Arial" w:eastAsia="宋体" w:hAnsi="Arial" w:cs="Arial"/>
                <w:b/>
                <w:bCs/>
                <w:color w:val="0071C5"/>
                <w:sz w:val="28"/>
                <w:szCs w:val="28"/>
              </w:rPr>
              <w:t>RESTRUCTURING AND OTHER CHARGES</w:t>
            </w:r>
          </w:p>
        </w:tc>
      </w:tr>
    </w:tbl>
    <w:p w14:paraId="4ACE4A36" w14:textId="77777777" w:rsidR="006F587A" w:rsidRDefault="006F587A">
      <w:pPr>
        <w:rPr>
          <w:vanish/>
        </w:rPr>
      </w:pPr>
    </w:p>
    <w:tbl>
      <w:tblPr>
        <w:tblW w:w="4991" w:type="pct"/>
        <w:tblCellMar>
          <w:left w:w="0" w:type="dxa"/>
          <w:right w:w="0" w:type="dxa"/>
        </w:tblCellMar>
        <w:tblLook w:val="04A0" w:firstRow="1" w:lastRow="0" w:firstColumn="1" w:lastColumn="0" w:noHBand="0" w:noVBand="1"/>
      </w:tblPr>
      <w:tblGrid>
        <w:gridCol w:w="4994"/>
        <w:gridCol w:w="130"/>
        <w:gridCol w:w="142"/>
        <w:gridCol w:w="765"/>
        <w:gridCol w:w="59"/>
        <w:gridCol w:w="130"/>
        <w:gridCol w:w="142"/>
        <w:gridCol w:w="733"/>
        <w:gridCol w:w="100"/>
        <w:gridCol w:w="130"/>
        <w:gridCol w:w="142"/>
        <w:gridCol w:w="765"/>
        <w:gridCol w:w="59"/>
      </w:tblGrid>
      <w:tr w:rsidR="006F587A" w14:paraId="4ACE4A38" w14:textId="77777777">
        <w:tc>
          <w:tcPr>
            <w:tcW w:w="0" w:type="auto"/>
            <w:gridSpan w:val="13"/>
            <w:shd w:val="clear" w:color="auto" w:fill="auto"/>
            <w:vAlign w:val="center"/>
          </w:tcPr>
          <w:p w14:paraId="4ACE4A37" w14:textId="77777777" w:rsidR="006F587A" w:rsidRDefault="006F587A">
            <w:pPr>
              <w:rPr>
                <w:rFonts w:ascii="Times New Roman" w:hAnsi="Times New Roman"/>
                <w:sz w:val="20"/>
                <w:szCs w:val="20"/>
              </w:rPr>
            </w:pPr>
          </w:p>
        </w:tc>
      </w:tr>
      <w:tr w:rsidR="006F587A" w14:paraId="4ACE4A46" w14:textId="77777777">
        <w:tc>
          <w:tcPr>
            <w:tcW w:w="3050" w:type="pct"/>
            <w:shd w:val="clear" w:color="auto" w:fill="auto"/>
            <w:vAlign w:val="center"/>
          </w:tcPr>
          <w:p w14:paraId="4ACE4A39" w14:textId="77777777" w:rsidR="006F587A" w:rsidRDefault="006F587A">
            <w:pPr>
              <w:rPr>
                <w:rFonts w:ascii="Times New Roman" w:hAnsi="Times New Roman"/>
                <w:sz w:val="20"/>
                <w:szCs w:val="20"/>
              </w:rPr>
            </w:pPr>
          </w:p>
        </w:tc>
        <w:tc>
          <w:tcPr>
            <w:tcW w:w="50" w:type="pct"/>
            <w:shd w:val="clear" w:color="auto" w:fill="auto"/>
            <w:vAlign w:val="center"/>
          </w:tcPr>
          <w:p w14:paraId="4ACE4A3A" w14:textId="77777777" w:rsidR="006F587A" w:rsidRDefault="006F587A">
            <w:pPr>
              <w:rPr>
                <w:rFonts w:ascii="Times New Roman" w:hAnsi="Times New Roman"/>
                <w:sz w:val="20"/>
                <w:szCs w:val="20"/>
              </w:rPr>
            </w:pPr>
          </w:p>
        </w:tc>
        <w:tc>
          <w:tcPr>
            <w:tcW w:w="50" w:type="pct"/>
            <w:shd w:val="clear" w:color="auto" w:fill="auto"/>
            <w:vAlign w:val="center"/>
          </w:tcPr>
          <w:p w14:paraId="4ACE4A3B" w14:textId="77777777" w:rsidR="006F587A" w:rsidRDefault="006F587A">
            <w:pPr>
              <w:rPr>
                <w:rFonts w:ascii="Times New Roman" w:hAnsi="Times New Roman"/>
                <w:sz w:val="20"/>
                <w:szCs w:val="20"/>
              </w:rPr>
            </w:pPr>
          </w:p>
        </w:tc>
        <w:tc>
          <w:tcPr>
            <w:tcW w:w="500" w:type="pct"/>
            <w:shd w:val="clear" w:color="auto" w:fill="auto"/>
            <w:vAlign w:val="center"/>
          </w:tcPr>
          <w:p w14:paraId="4ACE4A3C" w14:textId="77777777" w:rsidR="006F587A" w:rsidRDefault="006F587A">
            <w:pPr>
              <w:rPr>
                <w:rFonts w:ascii="Times New Roman" w:hAnsi="Times New Roman"/>
                <w:sz w:val="20"/>
                <w:szCs w:val="20"/>
              </w:rPr>
            </w:pPr>
          </w:p>
        </w:tc>
        <w:tc>
          <w:tcPr>
            <w:tcW w:w="50" w:type="pct"/>
            <w:shd w:val="clear" w:color="auto" w:fill="auto"/>
            <w:vAlign w:val="center"/>
          </w:tcPr>
          <w:p w14:paraId="4ACE4A3D" w14:textId="77777777" w:rsidR="006F587A" w:rsidRDefault="006F587A">
            <w:pPr>
              <w:rPr>
                <w:rFonts w:ascii="Times New Roman" w:hAnsi="Times New Roman"/>
                <w:sz w:val="20"/>
                <w:szCs w:val="20"/>
              </w:rPr>
            </w:pPr>
          </w:p>
        </w:tc>
        <w:tc>
          <w:tcPr>
            <w:tcW w:w="50" w:type="pct"/>
            <w:shd w:val="clear" w:color="auto" w:fill="auto"/>
            <w:vAlign w:val="center"/>
          </w:tcPr>
          <w:p w14:paraId="4ACE4A3E" w14:textId="77777777" w:rsidR="006F587A" w:rsidRDefault="006F587A">
            <w:pPr>
              <w:rPr>
                <w:rFonts w:ascii="Times New Roman" w:hAnsi="Times New Roman"/>
                <w:sz w:val="20"/>
                <w:szCs w:val="20"/>
              </w:rPr>
            </w:pPr>
          </w:p>
        </w:tc>
        <w:tc>
          <w:tcPr>
            <w:tcW w:w="50" w:type="pct"/>
            <w:shd w:val="clear" w:color="auto" w:fill="auto"/>
            <w:vAlign w:val="center"/>
          </w:tcPr>
          <w:p w14:paraId="4ACE4A3F" w14:textId="77777777" w:rsidR="006F587A" w:rsidRDefault="006F587A">
            <w:pPr>
              <w:rPr>
                <w:rFonts w:ascii="Times New Roman" w:hAnsi="Times New Roman"/>
                <w:sz w:val="20"/>
                <w:szCs w:val="20"/>
              </w:rPr>
            </w:pPr>
          </w:p>
        </w:tc>
        <w:tc>
          <w:tcPr>
            <w:tcW w:w="500" w:type="pct"/>
            <w:shd w:val="clear" w:color="auto" w:fill="auto"/>
            <w:vAlign w:val="center"/>
          </w:tcPr>
          <w:p w14:paraId="4ACE4A40" w14:textId="77777777" w:rsidR="006F587A" w:rsidRDefault="006F587A">
            <w:pPr>
              <w:rPr>
                <w:rFonts w:ascii="Times New Roman" w:hAnsi="Times New Roman"/>
                <w:sz w:val="20"/>
                <w:szCs w:val="20"/>
              </w:rPr>
            </w:pPr>
          </w:p>
        </w:tc>
        <w:tc>
          <w:tcPr>
            <w:tcW w:w="50" w:type="pct"/>
            <w:shd w:val="clear" w:color="auto" w:fill="auto"/>
            <w:vAlign w:val="center"/>
          </w:tcPr>
          <w:p w14:paraId="4ACE4A41" w14:textId="77777777" w:rsidR="006F587A" w:rsidRDefault="006F587A">
            <w:pPr>
              <w:rPr>
                <w:rFonts w:ascii="Times New Roman" w:hAnsi="Times New Roman"/>
                <w:sz w:val="20"/>
                <w:szCs w:val="20"/>
              </w:rPr>
            </w:pPr>
          </w:p>
        </w:tc>
        <w:tc>
          <w:tcPr>
            <w:tcW w:w="50" w:type="pct"/>
            <w:shd w:val="clear" w:color="auto" w:fill="auto"/>
            <w:vAlign w:val="center"/>
          </w:tcPr>
          <w:p w14:paraId="4ACE4A42" w14:textId="77777777" w:rsidR="006F587A" w:rsidRDefault="006F587A">
            <w:pPr>
              <w:rPr>
                <w:rFonts w:ascii="Times New Roman" w:hAnsi="Times New Roman"/>
                <w:sz w:val="20"/>
                <w:szCs w:val="20"/>
              </w:rPr>
            </w:pPr>
          </w:p>
        </w:tc>
        <w:tc>
          <w:tcPr>
            <w:tcW w:w="50" w:type="pct"/>
            <w:shd w:val="clear" w:color="auto" w:fill="auto"/>
            <w:vAlign w:val="center"/>
          </w:tcPr>
          <w:p w14:paraId="4ACE4A43" w14:textId="77777777" w:rsidR="006F587A" w:rsidRDefault="006F587A">
            <w:pPr>
              <w:rPr>
                <w:rFonts w:ascii="Times New Roman" w:hAnsi="Times New Roman"/>
                <w:sz w:val="20"/>
                <w:szCs w:val="20"/>
              </w:rPr>
            </w:pPr>
          </w:p>
        </w:tc>
        <w:tc>
          <w:tcPr>
            <w:tcW w:w="500" w:type="pct"/>
            <w:shd w:val="clear" w:color="auto" w:fill="auto"/>
            <w:vAlign w:val="center"/>
          </w:tcPr>
          <w:p w14:paraId="4ACE4A44" w14:textId="77777777" w:rsidR="006F587A" w:rsidRDefault="006F587A">
            <w:pPr>
              <w:rPr>
                <w:rFonts w:ascii="Times New Roman" w:hAnsi="Times New Roman"/>
                <w:sz w:val="20"/>
                <w:szCs w:val="20"/>
              </w:rPr>
            </w:pPr>
          </w:p>
        </w:tc>
        <w:tc>
          <w:tcPr>
            <w:tcW w:w="50" w:type="pct"/>
            <w:shd w:val="clear" w:color="auto" w:fill="auto"/>
            <w:vAlign w:val="center"/>
          </w:tcPr>
          <w:p w14:paraId="4ACE4A45" w14:textId="77777777" w:rsidR="006F587A" w:rsidRDefault="006F587A">
            <w:pPr>
              <w:rPr>
                <w:rFonts w:ascii="Times New Roman" w:hAnsi="Times New Roman"/>
                <w:sz w:val="20"/>
                <w:szCs w:val="20"/>
              </w:rPr>
            </w:pPr>
          </w:p>
        </w:tc>
      </w:tr>
      <w:tr w:rsidR="006F587A" w14:paraId="4ACE4A4E"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4A47"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 xml:space="preserve">Years </w:t>
            </w:r>
            <w:r>
              <w:rPr>
                <w:rFonts w:ascii="Arial" w:eastAsia="宋体" w:hAnsi="Arial" w:cs="Arial"/>
                <w:b/>
                <w:bCs/>
                <w:color w:val="333333"/>
                <w:sz w:val="18"/>
                <w:szCs w:val="18"/>
              </w:rPr>
              <w:t>Ended (In Millions)</w:t>
            </w:r>
          </w:p>
        </w:tc>
        <w:tc>
          <w:tcPr>
            <w:tcW w:w="0" w:type="auto"/>
            <w:shd w:val="clear" w:color="auto" w:fill="auto"/>
            <w:tcMar>
              <w:top w:w="40" w:type="dxa"/>
              <w:left w:w="40" w:type="dxa"/>
              <w:bottom w:w="40" w:type="dxa"/>
              <w:right w:w="40" w:type="dxa"/>
            </w:tcMar>
            <w:vAlign w:val="bottom"/>
          </w:tcPr>
          <w:p w14:paraId="4ACE4A4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A49"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28, </w:t>
            </w:r>
            <w:r>
              <w:rPr>
                <w:rFonts w:ascii="Arial" w:eastAsia="宋体" w:hAnsi="Arial" w:cs="Arial"/>
                <w:b/>
                <w:bCs/>
                <w:color w:val="333333"/>
                <w:sz w:val="18"/>
                <w:szCs w:val="18"/>
              </w:rPr>
              <w:br/>
              <w:t>2019</w:t>
            </w:r>
          </w:p>
        </w:tc>
        <w:tc>
          <w:tcPr>
            <w:tcW w:w="0" w:type="auto"/>
            <w:shd w:val="clear" w:color="auto" w:fill="auto"/>
            <w:tcMar>
              <w:top w:w="40" w:type="dxa"/>
              <w:left w:w="40" w:type="dxa"/>
              <w:bottom w:w="40" w:type="dxa"/>
              <w:right w:w="40" w:type="dxa"/>
            </w:tcMar>
            <w:vAlign w:val="bottom"/>
          </w:tcPr>
          <w:p w14:paraId="4ACE4A4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A4B"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29, </w:t>
            </w:r>
            <w:r>
              <w:rPr>
                <w:rFonts w:ascii="Arial" w:eastAsia="宋体" w:hAnsi="Arial" w:cs="Arial"/>
                <w:b/>
                <w:bCs/>
                <w:color w:val="333333"/>
                <w:sz w:val="18"/>
                <w:szCs w:val="18"/>
              </w:rPr>
              <w:br/>
              <w:t>2018</w:t>
            </w:r>
          </w:p>
        </w:tc>
        <w:tc>
          <w:tcPr>
            <w:tcW w:w="0" w:type="auto"/>
            <w:shd w:val="clear" w:color="auto" w:fill="auto"/>
            <w:tcMar>
              <w:top w:w="40" w:type="dxa"/>
              <w:left w:w="40" w:type="dxa"/>
              <w:bottom w:w="40" w:type="dxa"/>
              <w:right w:w="40" w:type="dxa"/>
            </w:tcMar>
            <w:vAlign w:val="bottom"/>
          </w:tcPr>
          <w:p w14:paraId="4ACE4A4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A4D"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30, </w:t>
            </w:r>
            <w:r>
              <w:rPr>
                <w:rFonts w:ascii="Arial" w:eastAsia="宋体" w:hAnsi="Arial" w:cs="Arial"/>
                <w:b/>
                <w:bCs/>
                <w:color w:val="333333"/>
                <w:sz w:val="18"/>
                <w:szCs w:val="18"/>
              </w:rPr>
              <w:br/>
              <w:t>2017</w:t>
            </w:r>
          </w:p>
        </w:tc>
      </w:tr>
      <w:tr w:rsidR="006F587A" w14:paraId="4ACE4A5C" w14:textId="77777777">
        <w:tc>
          <w:tcPr>
            <w:tcW w:w="0" w:type="auto"/>
            <w:shd w:val="clear" w:color="auto" w:fill="auto"/>
            <w:tcMar>
              <w:top w:w="40" w:type="dxa"/>
              <w:left w:w="40" w:type="dxa"/>
              <w:bottom w:w="40" w:type="dxa"/>
              <w:right w:w="40" w:type="dxa"/>
            </w:tcMar>
            <w:vAlign w:val="bottom"/>
          </w:tcPr>
          <w:p w14:paraId="4ACE4A4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2019 Restructuring Program</w:t>
            </w:r>
          </w:p>
        </w:tc>
        <w:tc>
          <w:tcPr>
            <w:tcW w:w="0" w:type="auto"/>
            <w:shd w:val="clear" w:color="auto" w:fill="auto"/>
            <w:tcMar>
              <w:top w:w="40" w:type="dxa"/>
              <w:left w:w="40" w:type="dxa"/>
              <w:bottom w:w="40" w:type="dxa"/>
              <w:right w:w="40" w:type="dxa"/>
            </w:tcMar>
            <w:vAlign w:val="bottom"/>
          </w:tcPr>
          <w:p w14:paraId="4ACE4A5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A51"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4A52"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393</w:t>
            </w:r>
          </w:p>
        </w:tc>
        <w:tc>
          <w:tcPr>
            <w:tcW w:w="0" w:type="auto"/>
            <w:shd w:val="clear" w:color="auto" w:fill="auto"/>
            <w:vAlign w:val="bottom"/>
          </w:tcPr>
          <w:p w14:paraId="4ACE4A5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A5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A5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4A5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4A5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A5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A5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4A5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4A5B" w14:textId="77777777" w:rsidR="006F587A" w:rsidRDefault="006F587A">
            <w:pPr>
              <w:textAlignment w:val="bottom"/>
              <w:rPr>
                <w:rFonts w:ascii="Times New Roman" w:hAnsi="Times New Roman"/>
                <w:sz w:val="20"/>
                <w:szCs w:val="20"/>
              </w:rPr>
            </w:pPr>
          </w:p>
        </w:tc>
      </w:tr>
      <w:tr w:rsidR="006F587A" w14:paraId="4ACE4A67" w14:textId="77777777">
        <w:tc>
          <w:tcPr>
            <w:tcW w:w="0" w:type="auto"/>
            <w:shd w:val="clear" w:color="auto" w:fill="auto"/>
            <w:tcMar>
              <w:top w:w="40" w:type="dxa"/>
              <w:left w:w="40" w:type="dxa"/>
              <w:bottom w:w="40" w:type="dxa"/>
              <w:right w:w="40" w:type="dxa"/>
            </w:tcMar>
            <w:vAlign w:val="bottom"/>
          </w:tcPr>
          <w:p w14:paraId="4ACE4A5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2016 Restructuring Program</w:t>
            </w:r>
          </w:p>
        </w:tc>
        <w:tc>
          <w:tcPr>
            <w:tcW w:w="0" w:type="auto"/>
            <w:shd w:val="clear" w:color="auto" w:fill="auto"/>
            <w:tcMar>
              <w:top w:w="40" w:type="dxa"/>
              <w:left w:w="40" w:type="dxa"/>
              <w:bottom w:w="40" w:type="dxa"/>
              <w:right w:w="40" w:type="dxa"/>
            </w:tcMar>
            <w:vAlign w:val="bottom"/>
          </w:tcPr>
          <w:p w14:paraId="4ACE4A5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A5F"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4A6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A6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A6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(72</w:t>
            </w:r>
          </w:p>
        </w:tc>
        <w:tc>
          <w:tcPr>
            <w:tcW w:w="0" w:type="auto"/>
            <w:shd w:val="clear" w:color="auto" w:fill="auto"/>
            <w:tcMar>
              <w:top w:w="40" w:type="dxa"/>
              <w:bottom w:w="40" w:type="dxa"/>
              <w:right w:w="40" w:type="dxa"/>
            </w:tcMar>
            <w:vAlign w:val="bottom"/>
          </w:tcPr>
          <w:p w14:paraId="4ACE4A6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4A6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A65"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135</w:t>
            </w:r>
          </w:p>
        </w:tc>
        <w:tc>
          <w:tcPr>
            <w:tcW w:w="0" w:type="auto"/>
            <w:shd w:val="clear" w:color="auto" w:fill="auto"/>
            <w:vAlign w:val="bottom"/>
          </w:tcPr>
          <w:p w14:paraId="4ACE4A66" w14:textId="77777777" w:rsidR="006F587A" w:rsidRDefault="006F587A">
            <w:pPr>
              <w:textAlignment w:val="bottom"/>
              <w:rPr>
                <w:rFonts w:ascii="Times New Roman" w:hAnsi="Times New Roman"/>
                <w:sz w:val="20"/>
                <w:szCs w:val="20"/>
              </w:rPr>
            </w:pPr>
          </w:p>
        </w:tc>
      </w:tr>
      <w:tr w:rsidR="006F587A" w14:paraId="4ACE4A72" w14:textId="77777777">
        <w:tc>
          <w:tcPr>
            <w:tcW w:w="0" w:type="auto"/>
            <w:shd w:val="clear" w:color="auto" w:fill="auto"/>
            <w:tcMar>
              <w:top w:w="40" w:type="dxa"/>
              <w:left w:w="40" w:type="dxa"/>
              <w:bottom w:w="40" w:type="dxa"/>
              <w:right w:w="40" w:type="dxa"/>
            </w:tcMar>
            <w:vAlign w:val="bottom"/>
          </w:tcPr>
          <w:p w14:paraId="4ACE4A6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ISecG separation costs and other charges</w:t>
            </w:r>
          </w:p>
        </w:tc>
        <w:tc>
          <w:tcPr>
            <w:tcW w:w="0" w:type="auto"/>
            <w:shd w:val="clear" w:color="auto" w:fill="auto"/>
            <w:tcMar>
              <w:top w:w="40" w:type="dxa"/>
              <w:left w:w="40" w:type="dxa"/>
              <w:bottom w:w="40" w:type="dxa"/>
              <w:right w:w="40" w:type="dxa"/>
            </w:tcMar>
            <w:vAlign w:val="bottom"/>
          </w:tcPr>
          <w:p w14:paraId="4ACE4A6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A6A"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4A6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A6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A6D"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4A6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A6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A70"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249</w:t>
            </w:r>
          </w:p>
        </w:tc>
        <w:tc>
          <w:tcPr>
            <w:tcW w:w="0" w:type="auto"/>
            <w:shd w:val="clear" w:color="auto" w:fill="auto"/>
            <w:vAlign w:val="bottom"/>
          </w:tcPr>
          <w:p w14:paraId="4ACE4A71" w14:textId="77777777" w:rsidR="006F587A" w:rsidRDefault="006F587A">
            <w:pPr>
              <w:textAlignment w:val="bottom"/>
              <w:rPr>
                <w:rFonts w:ascii="Times New Roman" w:hAnsi="Times New Roman"/>
                <w:sz w:val="20"/>
                <w:szCs w:val="20"/>
              </w:rPr>
            </w:pPr>
          </w:p>
        </w:tc>
      </w:tr>
      <w:tr w:rsidR="006F587A" w14:paraId="4ACE4A80" w14:textId="77777777">
        <w:tc>
          <w:tcPr>
            <w:tcW w:w="0" w:type="auto"/>
            <w:shd w:val="clear" w:color="auto" w:fill="auto"/>
            <w:tcMar>
              <w:top w:w="40" w:type="dxa"/>
              <w:left w:w="40" w:type="dxa"/>
              <w:bottom w:w="40" w:type="dxa"/>
              <w:right w:w="40" w:type="dxa"/>
            </w:tcMar>
            <w:vAlign w:val="bottom"/>
          </w:tcPr>
          <w:p w14:paraId="4ACE4A73"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 xml:space="preserve">Total </w:t>
            </w:r>
            <w:r>
              <w:rPr>
                <w:rFonts w:ascii="Arial" w:eastAsia="宋体" w:hAnsi="Arial" w:cs="Arial"/>
                <w:b/>
                <w:bCs/>
                <w:color w:val="333333"/>
                <w:sz w:val="18"/>
                <w:szCs w:val="18"/>
              </w:rPr>
              <w:t>restructuring and other charges</w:t>
            </w:r>
          </w:p>
        </w:tc>
        <w:tc>
          <w:tcPr>
            <w:tcW w:w="0" w:type="auto"/>
            <w:shd w:val="clear" w:color="auto" w:fill="auto"/>
            <w:tcMar>
              <w:top w:w="40" w:type="dxa"/>
              <w:left w:w="40" w:type="dxa"/>
              <w:bottom w:w="40" w:type="dxa"/>
              <w:right w:w="40" w:type="dxa"/>
            </w:tcMar>
            <w:vAlign w:val="bottom"/>
          </w:tcPr>
          <w:p w14:paraId="4ACE4A7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A75"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A76"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393</w:t>
            </w:r>
          </w:p>
        </w:tc>
        <w:tc>
          <w:tcPr>
            <w:tcW w:w="0" w:type="auto"/>
            <w:tcBorders>
              <w:top w:val="single" w:sz="8" w:space="0" w:color="333333"/>
              <w:bottom w:val="double" w:sz="6" w:space="0" w:color="333333"/>
            </w:tcBorders>
            <w:shd w:val="clear" w:color="auto" w:fill="auto"/>
            <w:vAlign w:val="bottom"/>
          </w:tcPr>
          <w:p w14:paraId="4ACE4A7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A7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A79"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A7A"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(72</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4ACE4A7B"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4ACE4A7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A7D"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A7E"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384</w:t>
            </w:r>
          </w:p>
        </w:tc>
        <w:tc>
          <w:tcPr>
            <w:tcW w:w="0" w:type="auto"/>
            <w:tcBorders>
              <w:top w:val="single" w:sz="8" w:space="0" w:color="333333"/>
              <w:bottom w:val="double" w:sz="6" w:space="0" w:color="333333"/>
            </w:tcBorders>
            <w:shd w:val="clear" w:color="auto" w:fill="auto"/>
            <w:vAlign w:val="bottom"/>
          </w:tcPr>
          <w:p w14:paraId="4ACE4A7F" w14:textId="77777777" w:rsidR="006F587A" w:rsidRDefault="006F587A">
            <w:pPr>
              <w:textAlignment w:val="bottom"/>
              <w:rPr>
                <w:rFonts w:ascii="Times New Roman" w:hAnsi="Times New Roman"/>
                <w:sz w:val="20"/>
                <w:szCs w:val="20"/>
              </w:rPr>
            </w:pPr>
          </w:p>
        </w:tc>
      </w:tr>
    </w:tbl>
    <w:p w14:paraId="4ACE4A81" w14:textId="77777777" w:rsidR="006F587A" w:rsidRDefault="006F587A">
      <w:pPr>
        <w:spacing w:line="288" w:lineRule="auto"/>
        <w:rPr>
          <w:rFonts w:ascii="Times New Roman" w:hAnsi="Times New Roman"/>
          <w:sz w:val="20"/>
          <w:szCs w:val="20"/>
        </w:rPr>
      </w:pPr>
    </w:p>
    <w:p w14:paraId="4ACE4A82" w14:textId="77777777" w:rsidR="006F587A" w:rsidRDefault="007B2B61">
      <w:pPr>
        <w:spacing w:line="288" w:lineRule="auto"/>
        <w:rPr>
          <w:rFonts w:ascii="Times New Roman" w:hAnsi="Times New Roman"/>
        </w:rPr>
      </w:pPr>
      <w:r>
        <w:rPr>
          <w:rFonts w:ascii="Arial" w:eastAsia="宋体" w:hAnsi="Arial" w:cs="Arial"/>
          <w:b/>
          <w:bCs/>
          <w:color w:val="0071C5"/>
        </w:rPr>
        <w:t>2019 RESTRUCTURING PROGRAM</w:t>
      </w:r>
    </w:p>
    <w:p w14:paraId="4ACE4A83"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A restructuring program was approved in the second quarter of 2019 to align our workforce with the planned exit of the smartphone modem business. We expect these </w:t>
      </w:r>
      <w:r>
        <w:rPr>
          <w:rFonts w:ascii="Arial" w:eastAsia="宋体" w:hAnsi="Arial" w:cs="Arial"/>
          <w:color w:val="333333"/>
          <w:sz w:val="18"/>
          <w:szCs w:val="18"/>
        </w:rPr>
        <w:t>actions to be substantially complete in the second quarter of 2020.     </w:t>
      </w:r>
    </w:p>
    <w:p w14:paraId="4ACE4A84"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Restructuring and other charges (benefits) by type for the 2019 Restructuring Program were as follows:</w:t>
      </w:r>
    </w:p>
    <w:tbl>
      <w:tblPr>
        <w:tblW w:w="5000" w:type="pct"/>
        <w:tblCellMar>
          <w:left w:w="0" w:type="dxa"/>
          <w:right w:w="0" w:type="dxa"/>
        </w:tblCellMar>
        <w:tblLook w:val="04A0" w:firstRow="1" w:lastRow="0" w:firstColumn="1" w:lastColumn="0" w:noHBand="0" w:noVBand="1"/>
      </w:tblPr>
      <w:tblGrid>
        <w:gridCol w:w="7184"/>
        <w:gridCol w:w="130"/>
        <w:gridCol w:w="142"/>
        <w:gridCol w:w="791"/>
        <w:gridCol w:w="59"/>
      </w:tblGrid>
      <w:tr w:rsidR="006F587A" w14:paraId="4ACE4A86" w14:textId="77777777">
        <w:tc>
          <w:tcPr>
            <w:tcW w:w="0" w:type="auto"/>
            <w:gridSpan w:val="5"/>
            <w:shd w:val="clear" w:color="auto" w:fill="auto"/>
            <w:vAlign w:val="center"/>
          </w:tcPr>
          <w:p w14:paraId="4ACE4A85" w14:textId="77777777" w:rsidR="006F587A" w:rsidRDefault="006F587A">
            <w:pPr>
              <w:rPr>
                <w:rFonts w:ascii="Times New Roman" w:hAnsi="Times New Roman"/>
                <w:sz w:val="20"/>
                <w:szCs w:val="20"/>
              </w:rPr>
            </w:pPr>
          </w:p>
        </w:tc>
      </w:tr>
      <w:tr w:rsidR="006F587A" w14:paraId="4ACE4A8C" w14:textId="77777777">
        <w:tc>
          <w:tcPr>
            <w:tcW w:w="4350" w:type="pct"/>
            <w:shd w:val="clear" w:color="auto" w:fill="auto"/>
            <w:vAlign w:val="center"/>
          </w:tcPr>
          <w:p w14:paraId="4ACE4A87" w14:textId="77777777" w:rsidR="006F587A" w:rsidRDefault="006F587A">
            <w:pPr>
              <w:rPr>
                <w:rFonts w:ascii="Times New Roman" w:hAnsi="Times New Roman"/>
                <w:sz w:val="20"/>
                <w:szCs w:val="20"/>
              </w:rPr>
            </w:pPr>
          </w:p>
        </w:tc>
        <w:tc>
          <w:tcPr>
            <w:tcW w:w="50" w:type="pct"/>
            <w:shd w:val="clear" w:color="auto" w:fill="auto"/>
            <w:vAlign w:val="center"/>
          </w:tcPr>
          <w:p w14:paraId="4ACE4A88" w14:textId="77777777" w:rsidR="006F587A" w:rsidRDefault="006F587A">
            <w:pPr>
              <w:rPr>
                <w:rFonts w:ascii="Times New Roman" w:hAnsi="Times New Roman"/>
                <w:sz w:val="20"/>
                <w:szCs w:val="20"/>
              </w:rPr>
            </w:pPr>
          </w:p>
        </w:tc>
        <w:tc>
          <w:tcPr>
            <w:tcW w:w="50" w:type="pct"/>
            <w:shd w:val="clear" w:color="auto" w:fill="auto"/>
            <w:vAlign w:val="center"/>
          </w:tcPr>
          <w:p w14:paraId="4ACE4A89" w14:textId="77777777" w:rsidR="006F587A" w:rsidRDefault="006F587A">
            <w:pPr>
              <w:rPr>
                <w:rFonts w:ascii="Times New Roman" w:hAnsi="Times New Roman"/>
                <w:sz w:val="20"/>
                <w:szCs w:val="20"/>
              </w:rPr>
            </w:pPr>
          </w:p>
        </w:tc>
        <w:tc>
          <w:tcPr>
            <w:tcW w:w="500" w:type="pct"/>
            <w:shd w:val="clear" w:color="auto" w:fill="auto"/>
            <w:vAlign w:val="center"/>
          </w:tcPr>
          <w:p w14:paraId="4ACE4A8A" w14:textId="77777777" w:rsidR="006F587A" w:rsidRDefault="006F587A">
            <w:pPr>
              <w:rPr>
                <w:rFonts w:ascii="Times New Roman" w:hAnsi="Times New Roman"/>
                <w:sz w:val="20"/>
                <w:szCs w:val="20"/>
              </w:rPr>
            </w:pPr>
          </w:p>
        </w:tc>
        <w:tc>
          <w:tcPr>
            <w:tcW w:w="50" w:type="pct"/>
            <w:shd w:val="clear" w:color="auto" w:fill="auto"/>
            <w:vAlign w:val="center"/>
          </w:tcPr>
          <w:p w14:paraId="4ACE4A8B" w14:textId="77777777" w:rsidR="006F587A" w:rsidRDefault="006F587A">
            <w:pPr>
              <w:rPr>
                <w:rFonts w:ascii="Times New Roman" w:hAnsi="Times New Roman"/>
                <w:sz w:val="20"/>
                <w:szCs w:val="20"/>
              </w:rPr>
            </w:pPr>
          </w:p>
        </w:tc>
      </w:tr>
      <w:tr w:rsidR="006F587A" w14:paraId="4ACE4A90"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4A8D"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Years Ended (In Millions)</w:t>
            </w:r>
          </w:p>
        </w:tc>
        <w:tc>
          <w:tcPr>
            <w:tcW w:w="0" w:type="auto"/>
            <w:shd w:val="clear" w:color="auto" w:fill="auto"/>
            <w:tcMar>
              <w:top w:w="40" w:type="dxa"/>
              <w:left w:w="40" w:type="dxa"/>
              <w:bottom w:w="40" w:type="dxa"/>
              <w:right w:w="40" w:type="dxa"/>
            </w:tcMar>
            <w:vAlign w:val="bottom"/>
          </w:tcPr>
          <w:p w14:paraId="4ACE4A8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A8F"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28, </w:t>
            </w:r>
            <w:r>
              <w:rPr>
                <w:rFonts w:ascii="Arial" w:eastAsia="宋体" w:hAnsi="Arial" w:cs="Arial"/>
                <w:b/>
                <w:bCs/>
                <w:color w:val="333333"/>
                <w:sz w:val="18"/>
                <w:szCs w:val="18"/>
              </w:rPr>
              <w:br/>
              <w:t>2019</w:t>
            </w:r>
          </w:p>
        </w:tc>
      </w:tr>
      <w:tr w:rsidR="006F587A" w14:paraId="4ACE4A96" w14:textId="77777777">
        <w:tc>
          <w:tcPr>
            <w:tcW w:w="0" w:type="auto"/>
            <w:shd w:val="clear" w:color="auto" w:fill="auto"/>
            <w:tcMar>
              <w:top w:w="40" w:type="dxa"/>
              <w:left w:w="40" w:type="dxa"/>
              <w:bottom w:w="40" w:type="dxa"/>
              <w:right w:w="40" w:type="dxa"/>
            </w:tcMar>
            <w:vAlign w:val="bottom"/>
          </w:tcPr>
          <w:p w14:paraId="4ACE4A9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Employee severance and </w:t>
            </w:r>
            <w:r>
              <w:rPr>
                <w:rFonts w:ascii="Arial" w:eastAsia="宋体" w:hAnsi="Arial" w:cs="Arial"/>
                <w:color w:val="333333"/>
                <w:sz w:val="18"/>
                <w:szCs w:val="18"/>
              </w:rPr>
              <w:t>benefit arrangements</w:t>
            </w:r>
          </w:p>
        </w:tc>
        <w:tc>
          <w:tcPr>
            <w:tcW w:w="0" w:type="auto"/>
            <w:shd w:val="clear" w:color="auto" w:fill="auto"/>
            <w:tcMar>
              <w:top w:w="40" w:type="dxa"/>
              <w:left w:w="40" w:type="dxa"/>
              <w:bottom w:w="40" w:type="dxa"/>
              <w:right w:w="40" w:type="dxa"/>
            </w:tcMar>
            <w:vAlign w:val="bottom"/>
          </w:tcPr>
          <w:p w14:paraId="4ACE4A9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A93"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4A94"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280</w:t>
            </w:r>
          </w:p>
        </w:tc>
        <w:tc>
          <w:tcPr>
            <w:tcW w:w="0" w:type="auto"/>
            <w:shd w:val="clear" w:color="auto" w:fill="auto"/>
            <w:vAlign w:val="bottom"/>
          </w:tcPr>
          <w:p w14:paraId="4ACE4A95" w14:textId="77777777" w:rsidR="006F587A" w:rsidRDefault="006F587A">
            <w:pPr>
              <w:textAlignment w:val="bottom"/>
              <w:rPr>
                <w:rFonts w:ascii="Times New Roman" w:hAnsi="Times New Roman"/>
                <w:sz w:val="20"/>
                <w:szCs w:val="20"/>
              </w:rPr>
            </w:pPr>
          </w:p>
        </w:tc>
      </w:tr>
      <w:tr w:rsidR="006F587A" w14:paraId="4ACE4A9B" w14:textId="77777777">
        <w:tc>
          <w:tcPr>
            <w:tcW w:w="0" w:type="auto"/>
            <w:shd w:val="clear" w:color="auto" w:fill="auto"/>
            <w:tcMar>
              <w:top w:w="40" w:type="dxa"/>
              <w:left w:w="40" w:type="dxa"/>
              <w:bottom w:w="40" w:type="dxa"/>
              <w:right w:w="40" w:type="dxa"/>
            </w:tcMar>
            <w:vAlign w:val="bottom"/>
          </w:tcPr>
          <w:p w14:paraId="4ACE4A9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Asset impairment and other charges</w:t>
            </w:r>
          </w:p>
        </w:tc>
        <w:tc>
          <w:tcPr>
            <w:tcW w:w="0" w:type="auto"/>
            <w:shd w:val="clear" w:color="auto" w:fill="auto"/>
            <w:tcMar>
              <w:top w:w="40" w:type="dxa"/>
              <w:left w:w="40" w:type="dxa"/>
              <w:bottom w:w="40" w:type="dxa"/>
              <w:right w:w="40" w:type="dxa"/>
            </w:tcMar>
            <w:vAlign w:val="bottom"/>
          </w:tcPr>
          <w:p w14:paraId="4ACE4A9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A99"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113</w:t>
            </w:r>
          </w:p>
        </w:tc>
        <w:tc>
          <w:tcPr>
            <w:tcW w:w="0" w:type="auto"/>
            <w:shd w:val="clear" w:color="auto" w:fill="auto"/>
            <w:vAlign w:val="bottom"/>
          </w:tcPr>
          <w:p w14:paraId="4ACE4A9A" w14:textId="77777777" w:rsidR="006F587A" w:rsidRDefault="006F587A">
            <w:pPr>
              <w:textAlignment w:val="bottom"/>
              <w:rPr>
                <w:rFonts w:ascii="Times New Roman" w:hAnsi="Times New Roman"/>
                <w:sz w:val="20"/>
                <w:szCs w:val="20"/>
              </w:rPr>
            </w:pPr>
          </w:p>
        </w:tc>
      </w:tr>
      <w:tr w:rsidR="006F587A" w14:paraId="4ACE4AA1" w14:textId="77777777">
        <w:tc>
          <w:tcPr>
            <w:tcW w:w="0" w:type="auto"/>
            <w:shd w:val="clear" w:color="auto" w:fill="auto"/>
            <w:tcMar>
              <w:top w:w="40" w:type="dxa"/>
              <w:left w:w="40" w:type="dxa"/>
              <w:bottom w:w="40" w:type="dxa"/>
              <w:right w:w="40" w:type="dxa"/>
            </w:tcMar>
            <w:vAlign w:val="bottom"/>
          </w:tcPr>
          <w:p w14:paraId="4ACE4A9C"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Total restructuring and other charges</w:t>
            </w:r>
          </w:p>
        </w:tc>
        <w:tc>
          <w:tcPr>
            <w:tcW w:w="0" w:type="auto"/>
            <w:shd w:val="clear" w:color="auto" w:fill="auto"/>
            <w:tcMar>
              <w:top w:w="40" w:type="dxa"/>
              <w:left w:w="40" w:type="dxa"/>
              <w:bottom w:w="40" w:type="dxa"/>
              <w:right w:w="40" w:type="dxa"/>
            </w:tcMar>
            <w:vAlign w:val="bottom"/>
          </w:tcPr>
          <w:p w14:paraId="4ACE4A9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A9E"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A9F"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393</w:t>
            </w:r>
          </w:p>
        </w:tc>
        <w:tc>
          <w:tcPr>
            <w:tcW w:w="0" w:type="auto"/>
            <w:tcBorders>
              <w:top w:val="single" w:sz="8" w:space="0" w:color="333333"/>
              <w:bottom w:val="double" w:sz="6" w:space="0" w:color="333333"/>
            </w:tcBorders>
            <w:shd w:val="clear" w:color="auto" w:fill="auto"/>
            <w:vAlign w:val="bottom"/>
          </w:tcPr>
          <w:p w14:paraId="4ACE4AA0" w14:textId="77777777" w:rsidR="006F587A" w:rsidRDefault="006F587A">
            <w:pPr>
              <w:textAlignment w:val="bottom"/>
              <w:rPr>
                <w:rFonts w:ascii="Times New Roman" w:hAnsi="Times New Roman"/>
                <w:sz w:val="20"/>
                <w:szCs w:val="20"/>
              </w:rPr>
            </w:pPr>
          </w:p>
        </w:tc>
      </w:tr>
    </w:tbl>
    <w:p w14:paraId="4ACE4AA2" w14:textId="77777777" w:rsidR="006F587A" w:rsidRDefault="006F587A">
      <w:pPr>
        <w:spacing w:line="288" w:lineRule="auto"/>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997"/>
        <w:gridCol w:w="7309"/>
      </w:tblGrid>
      <w:tr w:rsidR="006F587A" w14:paraId="4ACE4AA4" w14:textId="77777777">
        <w:tc>
          <w:tcPr>
            <w:tcW w:w="0" w:type="auto"/>
            <w:gridSpan w:val="2"/>
            <w:shd w:val="clear" w:color="auto" w:fill="auto"/>
            <w:vAlign w:val="center"/>
          </w:tcPr>
          <w:p w14:paraId="4ACE4AA3" w14:textId="77777777" w:rsidR="006F587A" w:rsidRDefault="006F587A">
            <w:pPr>
              <w:rPr>
                <w:rFonts w:ascii="Times New Roman" w:hAnsi="Times New Roman"/>
                <w:sz w:val="20"/>
                <w:szCs w:val="20"/>
              </w:rPr>
            </w:pPr>
          </w:p>
        </w:tc>
      </w:tr>
      <w:tr w:rsidR="006F587A" w14:paraId="4ACE4AA7" w14:textId="77777777">
        <w:tc>
          <w:tcPr>
            <w:tcW w:w="600" w:type="pct"/>
            <w:shd w:val="clear" w:color="auto" w:fill="auto"/>
            <w:vAlign w:val="center"/>
          </w:tcPr>
          <w:p w14:paraId="4ACE4AA5" w14:textId="77777777" w:rsidR="006F587A" w:rsidRDefault="006F587A">
            <w:pPr>
              <w:rPr>
                <w:rFonts w:ascii="Times New Roman" w:hAnsi="Times New Roman"/>
                <w:sz w:val="20"/>
                <w:szCs w:val="20"/>
              </w:rPr>
            </w:pPr>
          </w:p>
        </w:tc>
        <w:tc>
          <w:tcPr>
            <w:tcW w:w="4400" w:type="pct"/>
            <w:shd w:val="clear" w:color="auto" w:fill="auto"/>
            <w:vAlign w:val="center"/>
          </w:tcPr>
          <w:p w14:paraId="4ACE4AA6" w14:textId="77777777" w:rsidR="006F587A" w:rsidRDefault="006F587A">
            <w:pPr>
              <w:rPr>
                <w:rFonts w:ascii="Times New Roman" w:hAnsi="Times New Roman"/>
                <w:sz w:val="20"/>
                <w:szCs w:val="20"/>
              </w:rPr>
            </w:pPr>
          </w:p>
        </w:tc>
      </w:tr>
      <w:tr w:rsidR="006F587A" w14:paraId="4ACE4AAA" w14:textId="77777777">
        <w:tc>
          <w:tcPr>
            <w:tcW w:w="0" w:type="auto"/>
            <w:tcBorders>
              <w:bottom w:val="single" w:sz="8" w:space="0" w:color="0071C5"/>
            </w:tcBorders>
            <w:shd w:val="clear" w:color="auto" w:fill="0071C5"/>
            <w:tcMar>
              <w:top w:w="40" w:type="dxa"/>
              <w:left w:w="40" w:type="dxa"/>
              <w:bottom w:w="40" w:type="dxa"/>
              <w:right w:w="40" w:type="dxa"/>
            </w:tcMar>
            <w:vAlign w:val="bottom"/>
          </w:tcPr>
          <w:p w14:paraId="4ACE4AA8" w14:textId="77777777" w:rsidR="006F587A" w:rsidRDefault="007B2B61">
            <w:pPr>
              <w:textAlignment w:val="bottom"/>
              <w:rPr>
                <w:rFonts w:ascii="Times New Roman" w:hAnsi="Times New Roman"/>
                <w:sz w:val="28"/>
                <w:szCs w:val="28"/>
              </w:rPr>
            </w:pPr>
            <w:r>
              <w:rPr>
                <w:rFonts w:ascii="Arial" w:eastAsia="宋体" w:hAnsi="Arial" w:cs="Arial"/>
                <w:b/>
                <w:bCs/>
                <w:color w:val="FFFFFF"/>
                <w:sz w:val="28"/>
                <w:szCs w:val="28"/>
                <w:shd w:val="clear" w:color="auto" w:fill="0071C5"/>
              </w:rPr>
              <w:t xml:space="preserve">NOTE 9 : </w:t>
            </w:r>
          </w:p>
        </w:tc>
        <w:tc>
          <w:tcPr>
            <w:tcW w:w="0" w:type="auto"/>
            <w:tcBorders>
              <w:bottom w:val="single" w:sz="8" w:space="0" w:color="0071C5"/>
            </w:tcBorders>
            <w:shd w:val="clear" w:color="auto" w:fill="auto"/>
            <w:tcMar>
              <w:top w:w="40" w:type="dxa"/>
              <w:left w:w="40" w:type="dxa"/>
              <w:bottom w:w="40" w:type="dxa"/>
              <w:right w:w="40" w:type="dxa"/>
            </w:tcMar>
            <w:vAlign w:val="bottom"/>
          </w:tcPr>
          <w:p w14:paraId="4ACE4AA9" w14:textId="77777777" w:rsidR="006F587A" w:rsidRDefault="007B2B61">
            <w:pPr>
              <w:textAlignment w:val="bottom"/>
              <w:rPr>
                <w:rFonts w:ascii="Times New Roman" w:hAnsi="Times New Roman"/>
                <w:sz w:val="28"/>
                <w:szCs w:val="28"/>
              </w:rPr>
            </w:pPr>
            <w:r>
              <w:rPr>
                <w:rFonts w:ascii="Arial" w:eastAsia="宋体" w:hAnsi="Arial" w:cs="Arial"/>
                <w:b/>
                <w:bCs/>
                <w:color w:val="0071C5"/>
                <w:sz w:val="28"/>
                <w:szCs w:val="28"/>
              </w:rPr>
              <w:t>INCOME TAXES</w:t>
            </w:r>
          </w:p>
        </w:tc>
      </w:tr>
    </w:tbl>
    <w:p w14:paraId="4ACE4AAB" w14:textId="77777777" w:rsidR="006F587A" w:rsidRDefault="007B2B61">
      <w:pPr>
        <w:spacing w:line="288" w:lineRule="auto"/>
        <w:rPr>
          <w:rFonts w:ascii="Times New Roman" w:hAnsi="Times New Roman"/>
        </w:rPr>
      </w:pPr>
      <w:r>
        <w:rPr>
          <w:rFonts w:ascii="Arial" w:eastAsia="宋体" w:hAnsi="Arial" w:cs="Arial"/>
          <w:b/>
          <w:bCs/>
          <w:color w:val="0071C5"/>
        </w:rPr>
        <w:t>INCOME TAX PROVISION</w:t>
      </w:r>
    </w:p>
    <w:p w14:paraId="4ACE4AAC" w14:textId="77777777" w:rsidR="006F587A" w:rsidRDefault="007B2B61">
      <w:pPr>
        <w:spacing w:line="288" w:lineRule="auto"/>
        <w:rPr>
          <w:rFonts w:ascii="Times New Roman" w:hAnsi="Times New Roman"/>
          <w:sz w:val="20"/>
          <w:szCs w:val="20"/>
        </w:rPr>
      </w:pPr>
      <w:r>
        <w:rPr>
          <w:rFonts w:ascii="Arial" w:eastAsia="宋体" w:hAnsi="Arial" w:cs="Arial"/>
          <w:color w:val="333333"/>
          <w:sz w:val="18"/>
          <w:szCs w:val="18"/>
        </w:rPr>
        <w:t xml:space="preserve">Income before taxes and the provision for taxes consisted of the </w:t>
      </w:r>
      <w:r>
        <w:rPr>
          <w:rFonts w:ascii="Arial" w:eastAsia="宋体" w:hAnsi="Arial" w:cs="Arial"/>
          <w:color w:val="333333"/>
          <w:sz w:val="18"/>
          <w:szCs w:val="18"/>
        </w:rPr>
        <w:t>following:</w:t>
      </w:r>
    </w:p>
    <w:tbl>
      <w:tblPr>
        <w:tblW w:w="5000" w:type="pct"/>
        <w:tblCellMar>
          <w:left w:w="0" w:type="dxa"/>
          <w:right w:w="0" w:type="dxa"/>
        </w:tblCellMar>
        <w:tblLook w:val="04A0" w:firstRow="1" w:lastRow="0" w:firstColumn="1" w:lastColumn="0" w:noHBand="0" w:noVBand="1"/>
      </w:tblPr>
      <w:tblGrid>
        <w:gridCol w:w="4899"/>
        <w:gridCol w:w="130"/>
        <w:gridCol w:w="141"/>
        <w:gridCol w:w="663"/>
        <w:gridCol w:w="201"/>
        <w:gridCol w:w="130"/>
        <w:gridCol w:w="141"/>
        <w:gridCol w:w="664"/>
        <w:gridCol w:w="201"/>
        <w:gridCol w:w="130"/>
        <w:gridCol w:w="141"/>
        <w:gridCol w:w="664"/>
        <w:gridCol w:w="201"/>
      </w:tblGrid>
      <w:tr w:rsidR="006F587A" w14:paraId="4ACE4AAE" w14:textId="77777777">
        <w:tc>
          <w:tcPr>
            <w:tcW w:w="0" w:type="auto"/>
            <w:gridSpan w:val="13"/>
            <w:shd w:val="clear" w:color="auto" w:fill="auto"/>
            <w:vAlign w:val="center"/>
          </w:tcPr>
          <w:p w14:paraId="4ACE4AAD" w14:textId="77777777" w:rsidR="006F587A" w:rsidRDefault="006F587A">
            <w:pPr>
              <w:rPr>
                <w:rFonts w:ascii="Times New Roman" w:hAnsi="Times New Roman"/>
                <w:sz w:val="20"/>
                <w:szCs w:val="20"/>
              </w:rPr>
            </w:pPr>
          </w:p>
        </w:tc>
      </w:tr>
      <w:tr w:rsidR="006F587A" w14:paraId="4ACE4ABC" w14:textId="77777777">
        <w:tc>
          <w:tcPr>
            <w:tcW w:w="3050" w:type="pct"/>
            <w:shd w:val="clear" w:color="auto" w:fill="auto"/>
            <w:vAlign w:val="center"/>
          </w:tcPr>
          <w:p w14:paraId="4ACE4AAF" w14:textId="77777777" w:rsidR="006F587A" w:rsidRDefault="006F587A">
            <w:pPr>
              <w:rPr>
                <w:rFonts w:ascii="Times New Roman" w:hAnsi="Times New Roman"/>
                <w:sz w:val="20"/>
                <w:szCs w:val="20"/>
              </w:rPr>
            </w:pPr>
          </w:p>
        </w:tc>
        <w:tc>
          <w:tcPr>
            <w:tcW w:w="50" w:type="pct"/>
            <w:shd w:val="clear" w:color="auto" w:fill="auto"/>
            <w:vAlign w:val="center"/>
          </w:tcPr>
          <w:p w14:paraId="4ACE4AB0" w14:textId="77777777" w:rsidR="006F587A" w:rsidRDefault="006F587A">
            <w:pPr>
              <w:rPr>
                <w:rFonts w:ascii="Times New Roman" w:hAnsi="Times New Roman"/>
                <w:sz w:val="20"/>
                <w:szCs w:val="20"/>
              </w:rPr>
            </w:pPr>
          </w:p>
        </w:tc>
        <w:tc>
          <w:tcPr>
            <w:tcW w:w="50" w:type="pct"/>
            <w:shd w:val="clear" w:color="auto" w:fill="auto"/>
            <w:vAlign w:val="center"/>
          </w:tcPr>
          <w:p w14:paraId="4ACE4AB1" w14:textId="77777777" w:rsidR="006F587A" w:rsidRDefault="006F587A">
            <w:pPr>
              <w:rPr>
                <w:rFonts w:ascii="Times New Roman" w:hAnsi="Times New Roman"/>
                <w:sz w:val="20"/>
                <w:szCs w:val="20"/>
              </w:rPr>
            </w:pPr>
          </w:p>
        </w:tc>
        <w:tc>
          <w:tcPr>
            <w:tcW w:w="500" w:type="pct"/>
            <w:shd w:val="clear" w:color="auto" w:fill="auto"/>
            <w:vAlign w:val="center"/>
          </w:tcPr>
          <w:p w14:paraId="4ACE4AB2" w14:textId="77777777" w:rsidR="006F587A" w:rsidRDefault="006F587A">
            <w:pPr>
              <w:rPr>
                <w:rFonts w:ascii="Times New Roman" w:hAnsi="Times New Roman"/>
                <w:sz w:val="20"/>
                <w:szCs w:val="20"/>
              </w:rPr>
            </w:pPr>
          </w:p>
        </w:tc>
        <w:tc>
          <w:tcPr>
            <w:tcW w:w="50" w:type="pct"/>
            <w:shd w:val="clear" w:color="auto" w:fill="auto"/>
            <w:vAlign w:val="center"/>
          </w:tcPr>
          <w:p w14:paraId="4ACE4AB3" w14:textId="77777777" w:rsidR="006F587A" w:rsidRDefault="006F587A">
            <w:pPr>
              <w:rPr>
                <w:rFonts w:ascii="Times New Roman" w:hAnsi="Times New Roman"/>
                <w:sz w:val="20"/>
                <w:szCs w:val="20"/>
              </w:rPr>
            </w:pPr>
          </w:p>
        </w:tc>
        <w:tc>
          <w:tcPr>
            <w:tcW w:w="50" w:type="pct"/>
            <w:shd w:val="clear" w:color="auto" w:fill="auto"/>
            <w:vAlign w:val="center"/>
          </w:tcPr>
          <w:p w14:paraId="4ACE4AB4" w14:textId="77777777" w:rsidR="006F587A" w:rsidRDefault="006F587A">
            <w:pPr>
              <w:rPr>
                <w:rFonts w:ascii="Times New Roman" w:hAnsi="Times New Roman"/>
                <w:sz w:val="20"/>
                <w:szCs w:val="20"/>
              </w:rPr>
            </w:pPr>
          </w:p>
        </w:tc>
        <w:tc>
          <w:tcPr>
            <w:tcW w:w="50" w:type="pct"/>
            <w:shd w:val="clear" w:color="auto" w:fill="auto"/>
            <w:vAlign w:val="center"/>
          </w:tcPr>
          <w:p w14:paraId="4ACE4AB5" w14:textId="77777777" w:rsidR="006F587A" w:rsidRDefault="006F587A">
            <w:pPr>
              <w:rPr>
                <w:rFonts w:ascii="Times New Roman" w:hAnsi="Times New Roman"/>
                <w:sz w:val="20"/>
                <w:szCs w:val="20"/>
              </w:rPr>
            </w:pPr>
          </w:p>
        </w:tc>
        <w:tc>
          <w:tcPr>
            <w:tcW w:w="500" w:type="pct"/>
            <w:shd w:val="clear" w:color="auto" w:fill="auto"/>
            <w:vAlign w:val="center"/>
          </w:tcPr>
          <w:p w14:paraId="4ACE4AB6" w14:textId="77777777" w:rsidR="006F587A" w:rsidRDefault="006F587A">
            <w:pPr>
              <w:rPr>
                <w:rFonts w:ascii="Times New Roman" w:hAnsi="Times New Roman"/>
                <w:sz w:val="20"/>
                <w:szCs w:val="20"/>
              </w:rPr>
            </w:pPr>
          </w:p>
        </w:tc>
        <w:tc>
          <w:tcPr>
            <w:tcW w:w="50" w:type="pct"/>
            <w:shd w:val="clear" w:color="auto" w:fill="auto"/>
            <w:vAlign w:val="center"/>
          </w:tcPr>
          <w:p w14:paraId="4ACE4AB7" w14:textId="77777777" w:rsidR="006F587A" w:rsidRDefault="006F587A">
            <w:pPr>
              <w:rPr>
                <w:rFonts w:ascii="Times New Roman" w:hAnsi="Times New Roman"/>
                <w:sz w:val="20"/>
                <w:szCs w:val="20"/>
              </w:rPr>
            </w:pPr>
          </w:p>
        </w:tc>
        <w:tc>
          <w:tcPr>
            <w:tcW w:w="50" w:type="pct"/>
            <w:shd w:val="clear" w:color="auto" w:fill="auto"/>
            <w:vAlign w:val="center"/>
          </w:tcPr>
          <w:p w14:paraId="4ACE4AB8" w14:textId="77777777" w:rsidR="006F587A" w:rsidRDefault="006F587A">
            <w:pPr>
              <w:rPr>
                <w:rFonts w:ascii="Times New Roman" w:hAnsi="Times New Roman"/>
                <w:sz w:val="20"/>
                <w:szCs w:val="20"/>
              </w:rPr>
            </w:pPr>
          </w:p>
        </w:tc>
        <w:tc>
          <w:tcPr>
            <w:tcW w:w="50" w:type="pct"/>
            <w:shd w:val="clear" w:color="auto" w:fill="auto"/>
            <w:vAlign w:val="center"/>
          </w:tcPr>
          <w:p w14:paraId="4ACE4AB9" w14:textId="77777777" w:rsidR="006F587A" w:rsidRDefault="006F587A">
            <w:pPr>
              <w:rPr>
                <w:rFonts w:ascii="Times New Roman" w:hAnsi="Times New Roman"/>
                <w:sz w:val="20"/>
                <w:szCs w:val="20"/>
              </w:rPr>
            </w:pPr>
          </w:p>
        </w:tc>
        <w:tc>
          <w:tcPr>
            <w:tcW w:w="500" w:type="pct"/>
            <w:shd w:val="clear" w:color="auto" w:fill="auto"/>
            <w:vAlign w:val="center"/>
          </w:tcPr>
          <w:p w14:paraId="4ACE4ABA" w14:textId="77777777" w:rsidR="006F587A" w:rsidRDefault="006F587A">
            <w:pPr>
              <w:rPr>
                <w:rFonts w:ascii="Times New Roman" w:hAnsi="Times New Roman"/>
                <w:sz w:val="20"/>
                <w:szCs w:val="20"/>
              </w:rPr>
            </w:pPr>
          </w:p>
        </w:tc>
        <w:tc>
          <w:tcPr>
            <w:tcW w:w="50" w:type="pct"/>
            <w:shd w:val="clear" w:color="auto" w:fill="auto"/>
            <w:vAlign w:val="center"/>
          </w:tcPr>
          <w:p w14:paraId="4ACE4ABB" w14:textId="77777777" w:rsidR="006F587A" w:rsidRDefault="006F587A">
            <w:pPr>
              <w:rPr>
                <w:rFonts w:ascii="Times New Roman" w:hAnsi="Times New Roman"/>
                <w:sz w:val="20"/>
                <w:szCs w:val="20"/>
              </w:rPr>
            </w:pPr>
          </w:p>
        </w:tc>
      </w:tr>
      <w:tr w:rsidR="006F587A" w14:paraId="4ACE4AC4"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4ABD"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Years Ended (In Millions)</w:t>
            </w:r>
          </w:p>
        </w:tc>
        <w:tc>
          <w:tcPr>
            <w:tcW w:w="0" w:type="auto"/>
            <w:shd w:val="clear" w:color="auto" w:fill="auto"/>
            <w:tcMar>
              <w:top w:w="40" w:type="dxa"/>
              <w:left w:w="40" w:type="dxa"/>
              <w:bottom w:w="40" w:type="dxa"/>
              <w:right w:w="40" w:type="dxa"/>
            </w:tcMar>
            <w:vAlign w:val="bottom"/>
          </w:tcPr>
          <w:p w14:paraId="4ACE4AB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ABF"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28, </w:t>
            </w:r>
            <w:r>
              <w:rPr>
                <w:rFonts w:ascii="Arial" w:eastAsia="宋体" w:hAnsi="Arial" w:cs="Arial"/>
                <w:b/>
                <w:bCs/>
                <w:color w:val="333333"/>
                <w:sz w:val="18"/>
                <w:szCs w:val="18"/>
              </w:rPr>
              <w:br/>
              <w:t>2019</w:t>
            </w:r>
          </w:p>
        </w:tc>
        <w:tc>
          <w:tcPr>
            <w:tcW w:w="0" w:type="auto"/>
            <w:shd w:val="clear" w:color="auto" w:fill="auto"/>
            <w:tcMar>
              <w:top w:w="40" w:type="dxa"/>
              <w:left w:w="40" w:type="dxa"/>
              <w:bottom w:w="40" w:type="dxa"/>
              <w:right w:w="40" w:type="dxa"/>
            </w:tcMar>
            <w:vAlign w:val="bottom"/>
          </w:tcPr>
          <w:p w14:paraId="4ACE4AC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AC1"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29, </w:t>
            </w:r>
            <w:r>
              <w:rPr>
                <w:rFonts w:ascii="Arial" w:eastAsia="宋体" w:hAnsi="Arial" w:cs="Arial"/>
                <w:b/>
                <w:bCs/>
                <w:color w:val="333333"/>
                <w:sz w:val="18"/>
                <w:szCs w:val="18"/>
              </w:rPr>
              <w:br/>
              <w:t>2018</w:t>
            </w:r>
          </w:p>
        </w:tc>
        <w:tc>
          <w:tcPr>
            <w:tcW w:w="0" w:type="auto"/>
            <w:shd w:val="clear" w:color="auto" w:fill="auto"/>
            <w:tcMar>
              <w:top w:w="40" w:type="dxa"/>
              <w:left w:w="40" w:type="dxa"/>
              <w:bottom w:w="40" w:type="dxa"/>
              <w:right w:w="40" w:type="dxa"/>
            </w:tcMar>
            <w:vAlign w:val="bottom"/>
          </w:tcPr>
          <w:p w14:paraId="4ACE4AC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AC3"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30, </w:t>
            </w:r>
            <w:r>
              <w:rPr>
                <w:rFonts w:ascii="Arial" w:eastAsia="宋体" w:hAnsi="Arial" w:cs="Arial"/>
                <w:b/>
                <w:bCs/>
                <w:color w:val="333333"/>
                <w:sz w:val="18"/>
                <w:szCs w:val="18"/>
              </w:rPr>
              <w:br/>
              <w:t>2017</w:t>
            </w:r>
          </w:p>
        </w:tc>
      </w:tr>
      <w:tr w:rsidR="006F587A" w14:paraId="4ACE4ACC" w14:textId="77777777">
        <w:tc>
          <w:tcPr>
            <w:tcW w:w="0" w:type="auto"/>
            <w:shd w:val="clear" w:color="auto" w:fill="auto"/>
            <w:tcMar>
              <w:top w:w="40" w:type="dxa"/>
              <w:left w:w="40" w:type="dxa"/>
              <w:bottom w:w="40" w:type="dxa"/>
              <w:right w:w="40" w:type="dxa"/>
            </w:tcMar>
            <w:vAlign w:val="bottom"/>
          </w:tcPr>
          <w:p w14:paraId="4ACE4AC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Income before taxes:</w:t>
            </w:r>
          </w:p>
        </w:tc>
        <w:tc>
          <w:tcPr>
            <w:tcW w:w="0" w:type="auto"/>
            <w:shd w:val="clear" w:color="auto" w:fill="auto"/>
            <w:tcMar>
              <w:top w:w="40" w:type="dxa"/>
              <w:left w:w="40" w:type="dxa"/>
              <w:bottom w:w="40" w:type="dxa"/>
              <w:right w:w="40" w:type="dxa"/>
            </w:tcMar>
            <w:vAlign w:val="bottom"/>
          </w:tcPr>
          <w:p w14:paraId="4ACE4AC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AC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AC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AC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AC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AC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4ADA" w14:textId="77777777">
        <w:tc>
          <w:tcPr>
            <w:tcW w:w="0" w:type="auto"/>
            <w:shd w:val="clear" w:color="auto" w:fill="auto"/>
            <w:tcMar>
              <w:top w:w="40" w:type="dxa"/>
              <w:left w:w="240" w:type="dxa"/>
              <w:bottom w:w="40" w:type="dxa"/>
              <w:right w:w="40" w:type="dxa"/>
            </w:tcMar>
            <w:vAlign w:val="bottom"/>
          </w:tcPr>
          <w:p w14:paraId="4ACE4AC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U.S.</w:t>
            </w:r>
          </w:p>
        </w:tc>
        <w:tc>
          <w:tcPr>
            <w:tcW w:w="0" w:type="auto"/>
            <w:shd w:val="clear" w:color="auto" w:fill="auto"/>
            <w:tcMar>
              <w:top w:w="40" w:type="dxa"/>
              <w:left w:w="40" w:type="dxa"/>
              <w:bottom w:w="40" w:type="dxa"/>
              <w:right w:w="40" w:type="dxa"/>
            </w:tcMar>
            <w:vAlign w:val="bottom"/>
          </w:tcPr>
          <w:p w14:paraId="4ACE4AC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ACF"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4AD0"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13,729</w:t>
            </w:r>
          </w:p>
        </w:tc>
        <w:tc>
          <w:tcPr>
            <w:tcW w:w="0" w:type="auto"/>
            <w:shd w:val="clear" w:color="auto" w:fill="auto"/>
            <w:vAlign w:val="bottom"/>
          </w:tcPr>
          <w:p w14:paraId="4ACE4AD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AD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AD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4AD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14,753</w:t>
            </w:r>
          </w:p>
        </w:tc>
        <w:tc>
          <w:tcPr>
            <w:tcW w:w="0" w:type="auto"/>
            <w:shd w:val="clear" w:color="auto" w:fill="auto"/>
            <w:vAlign w:val="bottom"/>
          </w:tcPr>
          <w:p w14:paraId="4ACE4AD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AD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AD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4AD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11,141</w:t>
            </w:r>
          </w:p>
        </w:tc>
        <w:tc>
          <w:tcPr>
            <w:tcW w:w="0" w:type="auto"/>
            <w:shd w:val="clear" w:color="auto" w:fill="auto"/>
            <w:vAlign w:val="bottom"/>
          </w:tcPr>
          <w:p w14:paraId="4ACE4AD9" w14:textId="77777777" w:rsidR="006F587A" w:rsidRDefault="006F587A">
            <w:pPr>
              <w:textAlignment w:val="bottom"/>
              <w:rPr>
                <w:rFonts w:ascii="Times New Roman" w:hAnsi="Times New Roman"/>
                <w:sz w:val="20"/>
                <w:szCs w:val="20"/>
              </w:rPr>
            </w:pPr>
          </w:p>
        </w:tc>
      </w:tr>
      <w:tr w:rsidR="006F587A" w14:paraId="4ACE4AE5" w14:textId="77777777">
        <w:tc>
          <w:tcPr>
            <w:tcW w:w="0" w:type="auto"/>
            <w:shd w:val="clear" w:color="auto" w:fill="auto"/>
            <w:tcMar>
              <w:top w:w="40" w:type="dxa"/>
              <w:left w:w="240" w:type="dxa"/>
              <w:bottom w:w="40" w:type="dxa"/>
              <w:right w:w="40" w:type="dxa"/>
            </w:tcMar>
            <w:vAlign w:val="bottom"/>
          </w:tcPr>
          <w:p w14:paraId="4ACE4AD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Non-U.S.</w:t>
            </w:r>
          </w:p>
        </w:tc>
        <w:tc>
          <w:tcPr>
            <w:tcW w:w="0" w:type="auto"/>
            <w:shd w:val="clear" w:color="auto" w:fill="auto"/>
            <w:tcMar>
              <w:top w:w="40" w:type="dxa"/>
              <w:left w:w="40" w:type="dxa"/>
              <w:bottom w:w="40" w:type="dxa"/>
              <w:right w:w="40" w:type="dxa"/>
            </w:tcMar>
            <w:vAlign w:val="bottom"/>
          </w:tcPr>
          <w:p w14:paraId="4ACE4AD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ADD"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10,329</w:t>
            </w:r>
          </w:p>
        </w:tc>
        <w:tc>
          <w:tcPr>
            <w:tcW w:w="0" w:type="auto"/>
            <w:shd w:val="clear" w:color="auto" w:fill="auto"/>
            <w:vAlign w:val="bottom"/>
          </w:tcPr>
          <w:p w14:paraId="4ACE4AD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AD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AE0"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8,564</w:t>
            </w:r>
          </w:p>
        </w:tc>
        <w:tc>
          <w:tcPr>
            <w:tcW w:w="0" w:type="auto"/>
            <w:shd w:val="clear" w:color="auto" w:fill="auto"/>
            <w:vAlign w:val="bottom"/>
          </w:tcPr>
          <w:p w14:paraId="4ACE4AE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AE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AE3"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9,211</w:t>
            </w:r>
          </w:p>
        </w:tc>
        <w:tc>
          <w:tcPr>
            <w:tcW w:w="0" w:type="auto"/>
            <w:shd w:val="clear" w:color="auto" w:fill="auto"/>
            <w:vAlign w:val="bottom"/>
          </w:tcPr>
          <w:p w14:paraId="4ACE4AE4" w14:textId="77777777" w:rsidR="006F587A" w:rsidRDefault="006F587A">
            <w:pPr>
              <w:textAlignment w:val="bottom"/>
              <w:rPr>
                <w:rFonts w:ascii="Times New Roman" w:hAnsi="Times New Roman"/>
                <w:sz w:val="20"/>
                <w:szCs w:val="20"/>
              </w:rPr>
            </w:pPr>
          </w:p>
        </w:tc>
      </w:tr>
      <w:tr w:rsidR="006F587A" w14:paraId="4ACE4AF0" w14:textId="77777777">
        <w:tc>
          <w:tcPr>
            <w:tcW w:w="0" w:type="auto"/>
            <w:shd w:val="clear" w:color="auto" w:fill="auto"/>
            <w:tcMar>
              <w:top w:w="40" w:type="dxa"/>
              <w:left w:w="40" w:type="dxa"/>
              <w:bottom w:w="40" w:type="dxa"/>
              <w:right w:w="40" w:type="dxa"/>
            </w:tcMar>
            <w:vAlign w:val="bottom"/>
          </w:tcPr>
          <w:p w14:paraId="4ACE4AE6"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Total income before taxes</w:t>
            </w:r>
          </w:p>
        </w:tc>
        <w:tc>
          <w:tcPr>
            <w:tcW w:w="0" w:type="auto"/>
            <w:shd w:val="clear" w:color="auto" w:fill="auto"/>
            <w:tcMar>
              <w:top w:w="40" w:type="dxa"/>
              <w:left w:w="40" w:type="dxa"/>
              <w:bottom w:w="40" w:type="dxa"/>
              <w:right w:w="40" w:type="dxa"/>
            </w:tcMar>
            <w:vAlign w:val="bottom"/>
          </w:tcPr>
          <w:p w14:paraId="4ACE4AE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double" w:sz="6" w:space="0" w:color="333333"/>
            </w:tcBorders>
            <w:shd w:val="clear" w:color="auto" w:fill="auto"/>
            <w:tcMar>
              <w:top w:w="40" w:type="dxa"/>
              <w:left w:w="40" w:type="dxa"/>
              <w:bottom w:w="40" w:type="dxa"/>
            </w:tcMar>
            <w:vAlign w:val="bottom"/>
          </w:tcPr>
          <w:p w14:paraId="4ACE4AE8"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24,058</w:t>
            </w:r>
          </w:p>
        </w:tc>
        <w:tc>
          <w:tcPr>
            <w:tcW w:w="0" w:type="auto"/>
            <w:tcBorders>
              <w:top w:val="single" w:sz="8" w:space="0" w:color="333333"/>
              <w:bottom w:val="double" w:sz="6" w:space="0" w:color="333333"/>
            </w:tcBorders>
            <w:shd w:val="clear" w:color="auto" w:fill="auto"/>
            <w:vAlign w:val="bottom"/>
          </w:tcPr>
          <w:p w14:paraId="4ACE4AE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AE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double" w:sz="6" w:space="0" w:color="333333"/>
            </w:tcBorders>
            <w:shd w:val="clear" w:color="auto" w:fill="auto"/>
            <w:tcMar>
              <w:top w:w="40" w:type="dxa"/>
              <w:left w:w="40" w:type="dxa"/>
              <w:bottom w:w="40" w:type="dxa"/>
            </w:tcMar>
            <w:vAlign w:val="bottom"/>
          </w:tcPr>
          <w:p w14:paraId="4ACE4AEB"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23,317</w:t>
            </w:r>
          </w:p>
        </w:tc>
        <w:tc>
          <w:tcPr>
            <w:tcW w:w="0" w:type="auto"/>
            <w:tcBorders>
              <w:top w:val="single" w:sz="8" w:space="0" w:color="333333"/>
              <w:bottom w:val="double" w:sz="6" w:space="0" w:color="333333"/>
            </w:tcBorders>
            <w:shd w:val="clear" w:color="auto" w:fill="auto"/>
            <w:vAlign w:val="bottom"/>
          </w:tcPr>
          <w:p w14:paraId="4ACE4AE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AE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double" w:sz="6" w:space="0" w:color="333333"/>
            </w:tcBorders>
            <w:shd w:val="clear" w:color="auto" w:fill="auto"/>
            <w:tcMar>
              <w:top w:w="40" w:type="dxa"/>
              <w:left w:w="40" w:type="dxa"/>
              <w:bottom w:w="40" w:type="dxa"/>
            </w:tcMar>
            <w:vAlign w:val="bottom"/>
          </w:tcPr>
          <w:p w14:paraId="4ACE4AEE"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20,352</w:t>
            </w:r>
          </w:p>
        </w:tc>
        <w:tc>
          <w:tcPr>
            <w:tcW w:w="0" w:type="auto"/>
            <w:tcBorders>
              <w:top w:val="single" w:sz="8" w:space="0" w:color="333333"/>
              <w:bottom w:val="double" w:sz="6" w:space="0" w:color="333333"/>
            </w:tcBorders>
            <w:shd w:val="clear" w:color="auto" w:fill="auto"/>
            <w:vAlign w:val="bottom"/>
          </w:tcPr>
          <w:p w14:paraId="4ACE4AEF" w14:textId="77777777" w:rsidR="006F587A" w:rsidRDefault="006F587A">
            <w:pPr>
              <w:textAlignment w:val="bottom"/>
              <w:rPr>
                <w:rFonts w:ascii="Times New Roman" w:hAnsi="Times New Roman"/>
                <w:sz w:val="20"/>
                <w:szCs w:val="20"/>
              </w:rPr>
            </w:pPr>
          </w:p>
        </w:tc>
      </w:tr>
      <w:tr w:rsidR="006F587A" w14:paraId="4ACE4AF8" w14:textId="77777777">
        <w:tc>
          <w:tcPr>
            <w:tcW w:w="0" w:type="auto"/>
            <w:shd w:val="clear" w:color="auto" w:fill="auto"/>
            <w:tcMar>
              <w:top w:w="40" w:type="dxa"/>
              <w:left w:w="40" w:type="dxa"/>
              <w:bottom w:w="40" w:type="dxa"/>
              <w:right w:w="40" w:type="dxa"/>
            </w:tcMar>
            <w:vAlign w:val="bottom"/>
          </w:tcPr>
          <w:p w14:paraId="4ACE4AF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Provision for taxes:</w:t>
            </w:r>
          </w:p>
        </w:tc>
        <w:tc>
          <w:tcPr>
            <w:tcW w:w="0" w:type="auto"/>
            <w:shd w:val="clear" w:color="auto" w:fill="auto"/>
            <w:tcMar>
              <w:top w:w="40" w:type="dxa"/>
              <w:left w:w="40" w:type="dxa"/>
              <w:bottom w:w="40" w:type="dxa"/>
              <w:right w:w="40" w:type="dxa"/>
            </w:tcMar>
            <w:vAlign w:val="bottom"/>
          </w:tcPr>
          <w:p w14:paraId="4ACE4AF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AF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AF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AF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AF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AF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4B00" w14:textId="77777777">
        <w:tc>
          <w:tcPr>
            <w:tcW w:w="0" w:type="auto"/>
            <w:shd w:val="clear" w:color="auto" w:fill="auto"/>
            <w:tcMar>
              <w:top w:w="40" w:type="dxa"/>
              <w:left w:w="240" w:type="dxa"/>
              <w:bottom w:w="40" w:type="dxa"/>
              <w:right w:w="40" w:type="dxa"/>
            </w:tcMar>
            <w:vAlign w:val="bottom"/>
          </w:tcPr>
          <w:p w14:paraId="4ACE4AF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Current:</w:t>
            </w:r>
          </w:p>
        </w:tc>
        <w:tc>
          <w:tcPr>
            <w:tcW w:w="0" w:type="auto"/>
            <w:shd w:val="clear" w:color="auto" w:fill="auto"/>
            <w:tcMar>
              <w:top w:w="40" w:type="dxa"/>
              <w:left w:w="40" w:type="dxa"/>
              <w:bottom w:w="40" w:type="dxa"/>
              <w:right w:w="40" w:type="dxa"/>
            </w:tcMar>
            <w:vAlign w:val="bottom"/>
          </w:tcPr>
          <w:p w14:paraId="4ACE4AF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AF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AF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AF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AF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AF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4B0B" w14:textId="77777777">
        <w:tc>
          <w:tcPr>
            <w:tcW w:w="0" w:type="auto"/>
            <w:shd w:val="clear" w:color="auto" w:fill="auto"/>
            <w:tcMar>
              <w:top w:w="40" w:type="dxa"/>
              <w:left w:w="400" w:type="dxa"/>
              <w:bottom w:w="40" w:type="dxa"/>
              <w:right w:w="40" w:type="dxa"/>
            </w:tcMar>
            <w:vAlign w:val="bottom"/>
          </w:tcPr>
          <w:p w14:paraId="4ACE4B0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Federal</w:t>
            </w:r>
          </w:p>
        </w:tc>
        <w:tc>
          <w:tcPr>
            <w:tcW w:w="0" w:type="auto"/>
            <w:shd w:val="clear" w:color="auto" w:fill="auto"/>
            <w:tcMar>
              <w:top w:w="40" w:type="dxa"/>
              <w:left w:w="40" w:type="dxa"/>
              <w:bottom w:w="40" w:type="dxa"/>
              <w:right w:w="40" w:type="dxa"/>
            </w:tcMar>
            <w:vAlign w:val="bottom"/>
          </w:tcPr>
          <w:p w14:paraId="4ACE4B0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B0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1,391</w:t>
            </w:r>
          </w:p>
        </w:tc>
        <w:tc>
          <w:tcPr>
            <w:tcW w:w="0" w:type="auto"/>
            <w:shd w:val="clear" w:color="auto" w:fill="auto"/>
            <w:vAlign w:val="bottom"/>
          </w:tcPr>
          <w:p w14:paraId="4ACE4B0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B0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B0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2,786</w:t>
            </w:r>
          </w:p>
        </w:tc>
        <w:tc>
          <w:tcPr>
            <w:tcW w:w="0" w:type="auto"/>
            <w:shd w:val="clear" w:color="auto" w:fill="auto"/>
            <w:vAlign w:val="bottom"/>
          </w:tcPr>
          <w:p w14:paraId="4ACE4B0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B0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B0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8,307</w:t>
            </w:r>
          </w:p>
        </w:tc>
        <w:tc>
          <w:tcPr>
            <w:tcW w:w="0" w:type="auto"/>
            <w:shd w:val="clear" w:color="auto" w:fill="auto"/>
            <w:vAlign w:val="bottom"/>
          </w:tcPr>
          <w:p w14:paraId="4ACE4B0A" w14:textId="77777777" w:rsidR="006F587A" w:rsidRDefault="006F587A">
            <w:pPr>
              <w:textAlignment w:val="bottom"/>
              <w:rPr>
                <w:rFonts w:ascii="Times New Roman" w:hAnsi="Times New Roman"/>
                <w:sz w:val="20"/>
                <w:szCs w:val="20"/>
              </w:rPr>
            </w:pPr>
          </w:p>
        </w:tc>
      </w:tr>
      <w:tr w:rsidR="006F587A" w14:paraId="4ACE4B16" w14:textId="77777777">
        <w:tc>
          <w:tcPr>
            <w:tcW w:w="0" w:type="auto"/>
            <w:shd w:val="clear" w:color="auto" w:fill="auto"/>
            <w:tcMar>
              <w:top w:w="40" w:type="dxa"/>
              <w:left w:w="400" w:type="dxa"/>
              <w:bottom w:w="40" w:type="dxa"/>
              <w:right w:w="40" w:type="dxa"/>
            </w:tcMar>
            <w:vAlign w:val="bottom"/>
          </w:tcPr>
          <w:p w14:paraId="4ACE4B0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State</w:t>
            </w:r>
          </w:p>
        </w:tc>
        <w:tc>
          <w:tcPr>
            <w:tcW w:w="0" w:type="auto"/>
            <w:shd w:val="clear" w:color="auto" w:fill="auto"/>
            <w:tcMar>
              <w:top w:w="40" w:type="dxa"/>
              <w:left w:w="40" w:type="dxa"/>
              <w:bottom w:w="40" w:type="dxa"/>
              <w:right w:w="40" w:type="dxa"/>
            </w:tcMar>
            <w:vAlign w:val="bottom"/>
          </w:tcPr>
          <w:p w14:paraId="4ACE4B0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B0E"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37</w:t>
            </w:r>
          </w:p>
        </w:tc>
        <w:tc>
          <w:tcPr>
            <w:tcW w:w="0" w:type="auto"/>
            <w:shd w:val="clear" w:color="auto" w:fill="auto"/>
            <w:vAlign w:val="bottom"/>
          </w:tcPr>
          <w:p w14:paraId="4ACE4B0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B1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B11"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(11</w:t>
            </w:r>
          </w:p>
        </w:tc>
        <w:tc>
          <w:tcPr>
            <w:tcW w:w="0" w:type="auto"/>
            <w:shd w:val="clear" w:color="auto" w:fill="auto"/>
            <w:tcMar>
              <w:top w:w="40" w:type="dxa"/>
              <w:bottom w:w="40" w:type="dxa"/>
              <w:right w:w="40" w:type="dxa"/>
            </w:tcMar>
            <w:vAlign w:val="bottom"/>
          </w:tcPr>
          <w:p w14:paraId="4ACE4B1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4B1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B1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27</w:t>
            </w:r>
          </w:p>
        </w:tc>
        <w:tc>
          <w:tcPr>
            <w:tcW w:w="0" w:type="auto"/>
            <w:shd w:val="clear" w:color="auto" w:fill="auto"/>
            <w:vAlign w:val="bottom"/>
          </w:tcPr>
          <w:p w14:paraId="4ACE4B15" w14:textId="77777777" w:rsidR="006F587A" w:rsidRDefault="006F587A">
            <w:pPr>
              <w:textAlignment w:val="bottom"/>
              <w:rPr>
                <w:rFonts w:ascii="Times New Roman" w:hAnsi="Times New Roman"/>
                <w:sz w:val="20"/>
                <w:szCs w:val="20"/>
              </w:rPr>
            </w:pPr>
          </w:p>
        </w:tc>
      </w:tr>
      <w:tr w:rsidR="006F587A" w14:paraId="4ACE4B21" w14:textId="77777777">
        <w:tc>
          <w:tcPr>
            <w:tcW w:w="0" w:type="auto"/>
            <w:shd w:val="clear" w:color="auto" w:fill="auto"/>
            <w:tcMar>
              <w:top w:w="40" w:type="dxa"/>
              <w:left w:w="400" w:type="dxa"/>
              <w:bottom w:w="40" w:type="dxa"/>
              <w:right w:w="40" w:type="dxa"/>
            </w:tcMar>
            <w:vAlign w:val="bottom"/>
          </w:tcPr>
          <w:p w14:paraId="4ACE4B1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Non-U.S.</w:t>
            </w:r>
          </w:p>
        </w:tc>
        <w:tc>
          <w:tcPr>
            <w:tcW w:w="0" w:type="auto"/>
            <w:shd w:val="clear" w:color="auto" w:fill="auto"/>
            <w:tcMar>
              <w:top w:w="40" w:type="dxa"/>
              <w:left w:w="40" w:type="dxa"/>
              <w:bottom w:w="40" w:type="dxa"/>
              <w:right w:w="40" w:type="dxa"/>
            </w:tcMar>
            <w:vAlign w:val="bottom"/>
          </w:tcPr>
          <w:p w14:paraId="4ACE4B1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B19"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1,060</w:t>
            </w:r>
          </w:p>
        </w:tc>
        <w:tc>
          <w:tcPr>
            <w:tcW w:w="0" w:type="auto"/>
            <w:shd w:val="clear" w:color="auto" w:fill="auto"/>
            <w:vAlign w:val="bottom"/>
          </w:tcPr>
          <w:p w14:paraId="4ACE4B1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B1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B1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1,097</w:t>
            </w:r>
          </w:p>
        </w:tc>
        <w:tc>
          <w:tcPr>
            <w:tcW w:w="0" w:type="auto"/>
            <w:shd w:val="clear" w:color="auto" w:fill="auto"/>
            <w:vAlign w:val="bottom"/>
          </w:tcPr>
          <w:p w14:paraId="4ACE4B1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B1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B1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899</w:t>
            </w:r>
          </w:p>
        </w:tc>
        <w:tc>
          <w:tcPr>
            <w:tcW w:w="0" w:type="auto"/>
            <w:shd w:val="clear" w:color="auto" w:fill="auto"/>
            <w:vAlign w:val="bottom"/>
          </w:tcPr>
          <w:p w14:paraId="4ACE4B20" w14:textId="77777777" w:rsidR="006F587A" w:rsidRDefault="006F587A">
            <w:pPr>
              <w:textAlignment w:val="bottom"/>
              <w:rPr>
                <w:rFonts w:ascii="Times New Roman" w:hAnsi="Times New Roman"/>
                <w:sz w:val="20"/>
                <w:szCs w:val="20"/>
              </w:rPr>
            </w:pPr>
          </w:p>
        </w:tc>
      </w:tr>
      <w:tr w:rsidR="006F587A" w14:paraId="4ACE4B2C" w14:textId="77777777">
        <w:tc>
          <w:tcPr>
            <w:tcW w:w="0" w:type="auto"/>
            <w:shd w:val="clear" w:color="auto" w:fill="auto"/>
            <w:tcMar>
              <w:top w:w="40" w:type="dxa"/>
              <w:left w:w="40" w:type="dxa"/>
              <w:bottom w:w="40" w:type="dxa"/>
              <w:right w:w="40" w:type="dxa"/>
            </w:tcMar>
            <w:vAlign w:val="bottom"/>
          </w:tcPr>
          <w:p w14:paraId="4ACE4B22"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Total current provision for taxes</w:t>
            </w:r>
          </w:p>
        </w:tc>
        <w:tc>
          <w:tcPr>
            <w:tcW w:w="0" w:type="auto"/>
            <w:shd w:val="clear" w:color="auto" w:fill="auto"/>
            <w:tcMar>
              <w:top w:w="40" w:type="dxa"/>
              <w:left w:w="40" w:type="dxa"/>
              <w:bottom w:w="40" w:type="dxa"/>
              <w:right w:w="40" w:type="dxa"/>
            </w:tcMar>
            <w:vAlign w:val="bottom"/>
          </w:tcPr>
          <w:p w14:paraId="4ACE4B2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4B24"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2,488</w:t>
            </w:r>
          </w:p>
        </w:tc>
        <w:tc>
          <w:tcPr>
            <w:tcW w:w="0" w:type="auto"/>
            <w:tcBorders>
              <w:top w:val="single" w:sz="8" w:space="0" w:color="333333"/>
              <w:bottom w:val="single" w:sz="8" w:space="0" w:color="333333"/>
            </w:tcBorders>
            <w:shd w:val="clear" w:color="auto" w:fill="auto"/>
            <w:vAlign w:val="bottom"/>
          </w:tcPr>
          <w:p w14:paraId="4ACE4B2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B2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4B27"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3,872</w:t>
            </w:r>
          </w:p>
        </w:tc>
        <w:tc>
          <w:tcPr>
            <w:tcW w:w="0" w:type="auto"/>
            <w:tcBorders>
              <w:top w:val="single" w:sz="8" w:space="0" w:color="333333"/>
              <w:bottom w:val="single" w:sz="8" w:space="0" w:color="333333"/>
            </w:tcBorders>
            <w:shd w:val="clear" w:color="auto" w:fill="auto"/>
            <w:vAlign w:val="bottom"/>
          </w:tcPr>
          <w:p w14:paraId="4ACE4B2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B2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4B2A"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9,233</w:t>
            </w:r>
          </w:p>
        </w:tc>
        <w:tc>
          <w:tcPr>
            <w:tcW w:w="0" w:type="auto"/>
            <w:tcBorders>
              <w:top w:val="single" w:sz="8" w:space="0" w:color="333333"/>
              <w:bottom w:val="single" w:sz="8" w:space="0" w:color="333333"/>
            </w:tcBorders>
            <w:shd w:val="clear" w:color="auto" w:fill="auto"/>
            <w:vAlign w:val="bottom"/>
          </w:tcPr>
          <w:p w14:paraId="4ACE4B2B" w14:textId="77777777" w:rsidR="006F587A" w:rsidRDefault="006F587A">
            <w:pPr>
              <w:textAlignment w:val="bottom"/>
              <w:rPr>
                <w:rFonts w:ascii="Times New Roman" w:hAnsi="Times New Roman"/>
                <w:sz w:val="20"/>
                <w:szCs w:val="20"/>
              </w:rPr>
            </w:pPr>
          </w:p>
        </w:tc>
      </w:tr>
      <w:tr w:rsidR="006F587A" w14:paraId="4ACE4B34" w14:textId="77777777">
        <w:tc>
          <w:tcPr>
            <w:tcW w:w="0" w:type="auto"/>
            <w:shd w:val="clear" w:color="auto" w:fill="auto"/>
            <w:tcMar>
              <w:top w:w="40" w:type="dxa"/>
              <w:left w:w="240" w:type="dxa"/>
              <w:bottom w:w="40" w:type="dxa"/>
              <w:right w:w="40" w:type="dxa"/>
            </w:tcMar>
            <w:vAlign w:val="bottom"/>
          </w:tcPr>
          <w:p w14:paraId="4ACE4B2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Deferred:</w:t>
            </w:r>
          </w:p>
        </w:tc>
        <w:tc>
          <w:tcPr>
            <w:tcW w:w="0" w:type="auto"/>
            <w:shd w:val="clear" w:color="auto" w:fill="auto"/>
            <w:tcMar>
              <w:top w:w="40" w:type="dxa"/>
              <w:left w:w="40" w:type="dxa"/>
              <w:bottom w:w="40" w:type="dxa"/>
              <w:right w:w="40" w:type="dxa"/>
            </w:tcMar>
            <w:vAlign w:val="bottom"/>
          </w:tcPr>
          <w:p w14:paraId="4ACE4B2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B2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B3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B3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B3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B3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4B3F" w14:textId="77777777">
        <w:tc>
          <w:tcPr>
            <w:tcW w:w="0" w:type="auto"/>
            <w:shd w:val="clear" w:color="auto" w:fill="auto"/>
            <w:tcMar>
              <w:top w:w="40" w:type="dxa"/>
              <w:left w:w="400" w:type="dxa"/>
              <w:bottom w:w="40" w:type="dxa"/>
              <w:right w:w="40" w:type="dxa"/>
            </w:tcMar>
            <w:vAlign w:val="bottom"/>
          </w:tcPr>
          <w:p w14:paraId="4ACE4B3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Federal</w:t>
            </w:r>
          </w:p>
        </w:tc>
        <w:tc>
          <w:tcPr>
            <w:tcW w:w="0" w:type="auto"/>
            <w:shd w:val="clear" w:color="auto" w:fill="auto"/>
            <w:tcMar>
              <w:top w:w="40" w:type="dxa"/>
              <w:left w:w="40" w:type="dxa"/>
              <w:bottom w:w="40" w:type="dxa"/>
              <w:right w:w="40" w:type="dxa"/>
            </w:tcMar>
            <w:vAlign w:val="bottom"/>
          </w:tcPr>
          <w:p w14:paraId="4ACE4B3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B37"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597</w:t>
            </w:r>
          </w:p>
        </w:tc>
        <w:tc>
          <w:tcPr>
            <w:tcW w:w="0" w:type="auto"/>
            <w:shd w:val="clear" w:color="auto" w:fill="auto"/>
            <w:vAlign w:val="bottom"/>
          </w:tcPr>
          <w:p w14:paraId="4ACE4B3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B3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B3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(1,389</w:t>
            </w:r>
          </w:p>
        </w:tc>
        <w:tc>
          <w:tcPr>
            <w:tcW w:w="0" w:type="auto"/>
            <w:shd w:val="clear" w:color="auto" w:fill="auto"/>
            <w:tcMar>
              <w:top w:w="40" w:type="dxa"/>
              <w:bottom w:w="40" w:type="dxa"/>
              <w:right w:w="40" w:type="dxa"/>
            </w:tcMar>
            <w:vAlign w:val="bottom"/>
          </w:tcPr>
          <w:p w14:paraId="4ACE4B3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4B3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B3D"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1,680</w:t>
            </w:r>
          </w:p>
        </w:tc>
        <w:tc>
          <w:tcPr>
            <w:tcW w:w="0" w:type="auto"/>
            <w:shd w:val="clear" w:color="auto" w:fill="auto"/>
            <w:vAlign w:val="bottom"/>
          </w:tcPr>
          <w:p w14:paraId="4ACE4B3E" w14:textId="77777777" w:rsidR="006F587A" w:rsidRDefault="006F587A">
            <w:pPr>
              <w:textAlignment w:val="bottom"/>
              <w:rPr>
                <w:rFonts w:ascii="Times New Roman" w:hAnsi="Times New Roman"/>
                <w:sz w:val="20"/>
                <w:szCs w:val="20"/>
              </w:rPr>
            </w:pPr>
          </w:p>
        </w:tc>
      </w:tr>
      <w:tr w:rsidR="006F587A" w14:paraId="4ACE4B4A" w14:textId="77777777">
        <w:tc>
          <w:tcPr>
            <w:tcW w:w="0" w:type="auto"/>
            <w:shd w:val="clear" w:color="auto" w:fill="auto"/>
            <w:tcMar>
              <w:top w:w="40" w:type="dxa"/>
              <w:left w:w="400" w:type="dxa"/>
              <w:bottom w:w="40" w:type="dxa"/>
              <w:right w:w="40" w:type="dxa"/>
            </w:tcMar>
            <w:vAlign w:val="bottom"/>
          </w:tcPr>
          <w:p w14:paraId="4ACE4B4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Other</w:t>
            </w:r>
          </w:p>
        </w:tc>
        <w:tc>
          <w:tcPr>
            <w:tcW w:w="0" w:type="auto"/>
            <w:shd w:val="clear" w:color="auto" w:fill="auto"/>
            <w:tcMar>
              <w:top w:w="40" w:type="dxa"/>
              <w:left w:w="40" w:type="dxa"/>
              <w:bottom w:w="40" w:type="dxa"/>
              <w:right w:w="40" w:type="dxa"/>
            </w:tcMar>
            <w:vAlign w:val="bottom"/>
          </w:tcPr>
          <w:p w14:paraId="4ACE4B4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B42"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(75</w:t>
            </w:r>
          </w:p>
        </w:tc>
        <w:tc>
          <w:tcPr>
            <w:tcW w:w="0" w:type="auto"/>
            <w:shd w:val="clear" w:color="auto" w:fill="auto"/>
            <w:tcMar>
              <w:top w:w="40" w:type="dxa"/>
              <w:bottom w:w="40" w:type="dxa"/>
              <w:right w:w="40" w:type="dxa"/>
            </w:tcMar>
            <w:vAlign w:val="bottom"/>
          </w:tcPr>
          <w:p w14:paraId="4ACE4B43"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4B4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B45"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(219</w:t>
            </w:r>
          </w:p>
        </w:tc>
        <w:tc>
          <w:tcPr>
            <w:tcW w:w="0" w:type="auto"/>
            <w:shd w:val="clear" w:color="auto" w:fill="auto"/>
            <w:tcMar>
              <w:top w:w="40" w:type="dxa"/>
              <w:bottom w:w="40" w:type="dxa"/>
              <w:right w:w="40" w:type="dxa"/>
            </w:tcMar>
            <w:vAlign w:val="bottom"/>
          </w:tcPr>
          <w:p w14:paraId="4ACE4B4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4B4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B4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(162</w:t>
            </w:r>
          </w:p>
        </w:tc>
        <w:tc>
          <w:tcPr>
            <w:tcW w:w="0" w:type="auto"/>
            <w:shd w:val="clear" w:color="auto" w:fill="auto"/>
            <w:tcMar>
              <w:top w:w="40" w:type="dxa"/>
              <w:bottom w:w="40" w:type="dxa"/>
              <w:right w:w="40" w:type="dxa"/>
            </w:tcMar>
            <w:vAlign w:val="bottom"/>
          </w:tcPr>
          <w:p w14:paraId="4ACE4B4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4B55" w14:textId="77777777">
        <w:tc>
          <w:tcPr>
            <w:tcW w:w="0" w:type="auto"/>
            <w:shd w:val="clear" w:color="auto" w:fill="auto"/>
            <w:tcMar>
              <w:top w:w="40" w:type="dxa"/>
              <w:left w:w="40" w:type="dxa"/>
              <w:bottom w:w="40" w:type="dxa"/>
              <w:right w:w="40" w:type="dxa"/>
            </w:tcMar>
            <w:vAlign w:val="bottom"/>
          </w:tcPr>
          <w:p w14:paraId="4ACE4B4B"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Total deferred provision for taxes</w:t>
            </w:r>
          </w:p>
        </w:tc>
        <w:tc>
          <w:tcPr>
            <w:tcW w:w="0" w:type="auto"/>
            <w:shd w:val="clear" w:color="auto" w:fill="auto"/>
            <w:tcMar>
              <w:top w:w="40" w:type="dxa"/>
              <w:left w:w="40" w:type="dxa"/>
              <w:bottom w:w="40" w:type="dxa"/>
              <w:right w:w="40" w:type="dxa"/>
            </w:tcMar>
            <w:vAlign w:val="bottom"/>
          </w:tcPr>
          <w:p w14:paraId="4ACE4B4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tcBorders>
            <w:shd w:val="clear" w:color="auto" w:fill="auto"/>
            <w:tcMar>
              <w:top w:w="40" w:type="dxa"/>
              <w:left w:w="40" w:type="dxa"/>
              <w:bottom w:w="40" w:type="dxa"/>
            </w:tcMar>
            <w:vAlign w:val="bottom"/>
          </w:tcPr>
          <w:p w14:paraId="4ACE4B4D"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522</w:t>
            </w:r>
          </w:p>
        </w:tc>
        <w:tc>
          <w:tcPr>
            <w:tcW w:w="0" w:type="auto"/>
            <w:tcBorders>
              <w:top w:val="single" w:sz="8" w:space="0" w:color="333333"/>
            </w:tcBorders>
            <w:shd w:val="clear" w:color="auto" w:fill="auto"/>
            <w:vAlign w:val="bottom"/>
          </w:tcPr>
          <w:p w14:paraId="4ACE4B4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B4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tcBorders>
            <w:shd w:val="clear" w:color="auto" w:fill="auto"/>
            <w:tcMar>
              <w:top w:w="40" w:type="dxa"/>
              <w:left w:w="40" w:type="dxa"/>
              <w:bottom w:w="40" w:type="dxa"/>
            </w:tcMar>
            <w:vAlign w:val="bottom"/>
          </w:tcPr>
          <w:p w14:paraId="4ACE4B50"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(1,608</w:t>
            </w:r>
          </w:p>
        </w:tc>
        <w:tc>
          <w:tcPr>
            <w:tcW w:w="0" w:type="auto"/>
            <w:tcBorders>
              <w:top w:val="single" w:sz="8" w:space="0" w:color="333333"/>
            </w:tcBorders>
            <w:shd w:val="clear" w:color="auto" w:fill="auto"/>
            <w:tcMar>
              <w:top w:w="40" w:type="dxa"/>
              <w:bottom w:w="40" w:type="dxa"/>
              <w:right w:w="40" w:type="dxa"/>
            </w:tcMar>
            <w:vAlign w:val="bottom"/>
          </w:tcPr>
          <w:p w14:paraId="4ACE4B51"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4ACE4B5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tcBorders>
            <w:shd w:val="clear" w:color="auto" w:fill="auto"/>
            <w:tcMar>
              <w:top w:w="40" w:type="dxa"/>
              <w:left w:w="40" w:type="dxa"/>
              <w:bottom w:w="40" w:type="dxa"/>
            </w:tcMar>
            <w:vAlign w:val="bottom"/>
          </w:tcPr>
          <w:p w14:paraId="4ACE4B53"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1,518</w:t>
            </w:r>
          </w:p>
        </w:tc>
        <w:tc>
          <w:tcPr>
            <w:tcW w:w="0" w:type="auto"/>
            <w:tcBorders>
              <w:top w:val="single" w:sz="8" w:space="0" w:color="333333"/>
            </w:tcBorders>
            <w:shd w:val="clear" w:color="auto" w:fill="auto"/>
            <w:vAlign w:val="bottom"/>
          </w:tcPr>
          <w:p w14:paraId="4ACE4B54" w14:textId="77777777" w:rsidR="006F587A" w:rsidRDefault="006F587A">
            <w:pPr>
              <w:textAlignment w:val="bottom"/>
              <w:rPr>
                <w:rFonts w:ascii="Times New Roman" w:hAnsi="Times New Roman"/>
                <w:sz w:val="20"/>
                <w:szCs w:val="20"/>
              </w:rPr>
            </w:pPr>
          </w:p>
        </w:tc>
      </w:tr>
      <w:tr w:rsidR="006F587A" w14:paraId="4ACE4B63" w14:textId="77777777">
        <w:tc>
          <w:tcPr>
            <w:tcW w:w="0" w:type="auto"/>
            <w:shd w:val="clear" w:color="auto" w:fill="auto"/>
            <w:tcMar>
              <w:top w:w="40" w:type="dxa"/>
              <w:left w:w="40" w:type="dxa"/>
              <w:bottom w:w="40" w:type="dxa"/>
              <w:right w:w="40" w:type="dxa"/>
            </w:tcMar>
            <w:vAlign w:val="bottom"/>
          </w:tcPr>
          <w:p w14:paraId="4ACE4B56"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Total provision for taxes</w:t>
            </w:r>
          </w:p>
        </w:tc>
        <w:tc>
          <w:tcPr>
            <w:tcW w:w="0" w:type="auto"/>
            <w:shd w:val="clear" w:color="auto" w:fill="auto"/>
            <w:tcMar>
              <w:top w:w="40" w:type="dxa"/>
              <w:left w:w="40" w:type="dxa"/>
              <w:bottom w:w="40" w:type="dxa"/>
              <w:right w:w="40" w:type="dxa"/>
            </w:tcMar>
            <w:vAlign w:val="bottom"/>
          </w:tcPr>
          <w:p w14:paraId="4ACE4B5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B58"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B59"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3,010</w:t>
            </w:r>
          </w:p>
        </w:tc>
        <w:tc>
          <w:tcPr>
            <w:tcW w:w="0" w:type="auto"/>
            <w:tcBorders>
              <w:top w:val="single" w:sz="8" w:space="0" w:color="333333"/>
              <w:bottom w:val="double" w:sz="6" w:space="0" w:color="333333"/>
            </w:tcBorders>
            <w:shd w:val="clear" w:color="auto" w:fill="auto"/>
            <w:vAlign w:val="bottom"/>
          </w:tcPr>
          <w:p w14:paraId="4ACE4B5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B5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B5C"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B5D"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2,264</w:t>
            </w:r>
          </w:p>
        </w:tc>
        <w:tc>
          <w:tcPr>
            <w:tcW w:w="0" w:type="auto"/>
            <w:tcBorders>
              <w:top w:val="single" w:sz="8" w:space="0" w:color="333333"/>
              <w:bottom w:val="double" w:sz="6" w:space="0" w:color="333333"/>
            </w:tcBorders>
            <w:shd w:val="clear" w:color="auto" w:fill="auto"/>
            <w:vAlign w:val="bottom"/>
          </w:tcPr>
          <w:p w14:paraId="4ACE4B5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B5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B60"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B61"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10,751</w:t>
            </w:r>
          </w:p>
        </w:tc>
        <w:tc>
          <w:tcPr>
            <w:tcW w:w="0" w:type="auto"/>
            <w:tcBorders>
              <w:top w:val="single" w:sz="8" w:space="0" w:color="333333"/>
              <w:bottom w:val="double" w:sz="6" w:space="0" w:color="333333"/>
            </w:tcBorders>
            <w:shd w:val="clear" w:color="auto" w:fill="auto"/>
            <w:vAlign w:val="bottom"/>
          </w:tcPr>
          <w:p w14:paraId="4ACE4B62" w14:textId="77777777" w:rsidR="006F587A" w:rsidRDefault="006F587A">
            <w:pPr>
              <w:textAlignment w:val="bottom"/>
              <w:rPr>
                <w:rFonts w:ascii="Times New Roman" w:hAnsi="Times New Roman"/>
                <w:sz w:val="20"/>
                <w:szCs w:val="20"/>
              </w:rPr>
            </w:pPr>
          </w:p>
        </w:tc>
      </w:tr>
      <w:tr w:rsidR="006F587A" w14:paraId="4ACE4B6E" w14:textId="77777777">
        <w:tc>
          <w:tcPr>
            <w:tcW w:w="0" w:type="auto"/>
            <w:shd w:val="clear" w:color="auto" w:fill="auto"/>
            <w:tcMar>
              <w:top w:w="40" w:type="dxa"/>
              <w:left w:w="40" w:type="dxa"/>
              <w:bottom w:w="40" w:type="dxa"/>
              <w:right w:w="40" w:type="dxa"/>
            </w:tcMar>
            <w:vAlign w:val="bottom"/>
          </w:tcPr>
          <w:p w14:paraId="4ACE4B64"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Effective tax rate</w:t>
            </w:r>
          </w:p>
        </w:tc>
        <w:tc>
          <w:tcPr>
            <w:tcW w:w="0" w:type="auto"/>
            <w:shd w:val="clear" w:color="auto" w:fill="auto"/>
            <w:tcMar>
              <w:top w:w="40" w:type="dxa"/>
              <w:left w:w="40" w:type="dxa"/>
              <w:bottom w:w="40" w:type="dxa"/>
              <w:right w:w="40" w:type="dxa"/>
            </w:tcMar>
            <w:vAlign w:val="bottom"/>
          </w:tcPr>
          <w:p w14:paraId="4ACE4B6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333333"/>
            </w:tcBorders>
            <w:shd w:val="clear" w:color="auto" w:fill="auto"/>
            <w:tcMar>
              <w:top w:w="40" w:type="dxa"/>
              <w:left w:w="40" w:type="dxa"/>
              <w:bottom w:w="40" w:type="dxa"/>
            </w:tcMar>
            <w:vAlign w:val="bottom"/>
          </w:tcPr>
          <w:p w14:paraId="4ACE4B66"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12.5</w:t>
            </w:r>
          </w:p>
        </w:tc>
        <w:tc>
          <w:tcPr>
            <w:tcW w:w="0" w:type="auto"/>
            <w:tcBorders>
              <w:bottom w:val="double" w:sz="6" w:space="0" w:color="333333"/>
            </w:tcBorders>
            <w:shd w:val="clear" w:color="auto" w:fill="auto"/>
            <w:tcMar>
              <w:top w:w="40" w:type="dxa"/>
              <w:bottom w:w="40" w:type="dxa"/>
              <w:right w:w="40" w:type="dxa"/>
            </w:tcMar>
            <w:vAlign w:val="bottom"/>
          </w:tcPr>
          <w:p w14:paraId="4ACE4B67"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left w:w="40" w:type="dxa"/>
              <w:bottom w:w="40" w:type="dxa"/>
              <w:right w:w="40" w:type="dxa"/>
            </w:tcMar>
            <w:vAlign w:val="bottom"/>
          </w:tcPr>
          <w:p w14:paraId="4ACE4B6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333333"/>
            </w:tcBorders>
            <w:shd w:val="clear" w:color="auto" w:fill="auto"/>
            <w:tcMar>
              <w:top w:w="40" w:type="dxa"/>
              <w:left w:w="40" w:type="dxa"/>
              <w:bottom w:w="40" w:type="dxa"/>
            </w:tcMar>
            <w:vAlign w:val="bottom"/>
          </w:tcPr>
          <w:p w14:paraId="4ACE4B69"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9.7</w:t>
            </w:r>
          </w:p>
        </w:tc>
        <w:tc>
          <w:tcPr>
            <w:tcW w:w="0" w:type="auto"/>
            <w:tcBorders>
              <w:bottom w:val="double" w:sz="6" w:space="0" w:color="333333"/>
            </w:tcBorders>
            <w:shd w:val="clear" w:color="auto" w:fill="auto"/>
            <w:tcMar>
              <w:top w:w="40" w:type="dxa"/>
              <w:bottom w:w="40" w:type="dxa"/>
              <w:right w:w="40" w:type="dxa"/>
            </w:tcMar>
            <w:vAlign w:val="bottom"/>
          </w:tcPr>
          <w:p w14:paraId="4ACE4B6A"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4ACE4B6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333333"/>
            </w:tcBorders>
            <w:shd w:val="clear" w:color="auto" w:fill="auto"/>
            <w:tcMar>
              <w:top w:w="40" w:type="dxa"/>
              <w:left w:w="40" w:type="dxa"/>
              <w:bottom w:w="40" w:type="dxa"/>
            </w:tcMar>
            <w:vAlign w:val="bottom"/>
          </w:tcPr>
          <w:p w14:paraId="4ACE4B6C"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52.8</w:t>
            </w:r>
          </w:p>
        </w:tc>
        <w:tc>
          <w:tcPr>
            <w:tcW w:w="0" w:type="auto"/>
            <w:tcBorders>
              <w:bottom w:val="double" w:sz="6" w:space="0" w:color="333333"/>
            </w:tcBorders>
            <w:shd w:val="clear" w:color="auto" w:fill="auto"/>
            <w:tcMar>
              <w:top w:w="40" w:type="dxa"/>
              <w:bottom w:w="40" w:type="dxa"/>
              <w:right w:w="40" w:type="dxa"/>
            </w:tcMar>
            <w:vAlign w:val="bottom"/>
          </w:tcPr>
          <w:p w14:paraId="4ACE4B6D"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r>
    </w:tbl>
    <w:p w14:paraId="4ACE4B6F" w14:textId="77777777" w:rsidR="006F587A" w:rsidRDefault="006F587A"/>
    <w:p w14:paraId="4ACE4B70"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4B72" w14:textId="77777777">
        <w:tc>
          <w:tcPr>
            <w:tcW w:w="0" w:type="auto"/>
            <w:gridSpan w:val="3"/>
            <w:shd w:val="clear" w:color="auto" w:fill="auto"/>
            <w:vAlign w:val="center"/>
          </w:tcPr>
          <w:p w14:paraId="4ACE4B71" w14:textId="77777777" w:rsidR="006F587A" w:rsidRDefault="006F587A">
            <w:pPr>
              <w:rPr>
                <w:rFonts w:ascii="Times New Roman" w:hAnsi="Times New Roman"/>
                <w:sz w:val="20"/>
                <w:szCs w:val="20"/>
              </w:rPr>
            </w:pPr>
          </w:p>
        </w:tc>
      </w:tr>
      <w:tr w:rsidR="006F587A" w14:paraId="4ACE4B76" w14:textId="77777777">
        <w:tc>
          <w:tcPr>
            <w:tcW w:w="1300" w:type="pct"/>
            <w:shd w:val="clear" w:color="auto" w:fill="auto"/>
            <w:vAlign w:val="center"/>
          </w:tcPr>
          <w:p w14:paraId="4ACE4B73" w14:textId="77777777" w:rsidR="006F587A" w:rsidRDefault="006F587A">
            <w:pPr>
              <w:rPr>
                <w:rFonts w:ascii="Times New Roman" w:hAnsi="Times New Roman"/>
                <w:sz w:val="20"/>
                <w:szCs w:val="20"/>
              </w:rPr>
            </w:pPr>
          </w:p>
        </w:tc>
        <w:tc>
          <w:tcPr>
            <w:tcW w:w="1600" w:type="pct"/>
            <w:shd w:val="clear" w:color="auto" w:fill="auto"/>
            <w:vAlign w:val="center"/>
          </w:tcPr>
          <w:p w14:paraId="4ACE4B74" w14:textId="77777777" w:rsidR="006F587A" w:rsidRDefault="006F587A">
            <w:pPr>
              <w:rPr>
                <w:rFonts w:ascii="Times New Roman" w:hAnsi="Times New Roman"/>
                <w:sz w:val="20"/>
                <w:szCs w:val="20"/>
              </w:rPr>
            </w:pPr>
          </w:p>
        </w:tc>
        <w:tc>
          <w:tcPr>
            <w:tcW w:w="2100" w:type="pct"/>
            <w:shd w:val="clear" w:color="auto" w:fill="auto"/>
            <w:vAlign w:val="center"/>
          </w:tcPr>
          <w:p w14:paraId="4ACE4B75" w14:textId="77777777" w:rsidR="006F587A" w:rsidRDefault="006F587A">
            <w:pPr>
              <w:rPr>
                <w:rFonts w:ascii="Times New Roman" w:hAnsi="Times New Roman"/>
                <w:sz w:val="20"/>
                <w:szCs w:val="20"/>
              </w:rPr>
            </w:pPr>
          </w:p>
        </w:tc>
      </w:tr>
      <w:tr w:rsidR="006F587A" w14:paraId="4ACE4B7A" w14:textId="77777777">
        <w:tc>
          <w:tcPr>
            <w:tcW w:w="0" w:type="auto"/>
            <w:tcBorders>
              <w:top w:val="single" w:sz="8" w:space="0" w:color="0071C5"/>
            </w:tcBorders>
            <w:shd w:val="clear" w:color="auto" w:fill="auto"/>
            <w:tcMar>
              <w:top w:w="40" w:type="dxa"/>
              <w:left w:w="40" w:type="dxa"/>
              <w:bottom w:w="40" w:type="dxa"/>
              <w:right w:w="40" w:type="dxa"/>
            </w:tcMar>
            <w:vAlign w:val="bottom"/>
          </w:tcPr>
          <w:p w14:paraId="4ACE4B77" w14:textId="77777777" w:rsidR="006F587A" w:rsidRDefault="007B2B61">
            <w:pPr>
              <w:textAlignment w:val="bottom"/>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EA" wp14:editId="4ACE6DEB">
                  <wp:extent cx="304800" cy="304800"/>
                  <wp:effectExtent l="0" t="0" r="0" b="0"/>
                  <wp:docPr id="126" name="图片 310"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310"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left w:val="single" w:sz="36" w:space="0" w:color="0071C5"/>
            </w:tcBorders>
            <w:shd w:val="clear" w:color="auto" w:fill="auto"/>
            <w:tcMar>
              <w:top w:w="40" w:type="dxa"/>
              <w:left w:w="40" w:type="dxa"/>
              <w:bottom w:w="40" w:type="dxa"/>
              <w:right w:w="40" w:type="dxa"/>
            </w:tcMar>
            <w:vAlign w:val="bottom"/>
          </w:tcPr>
          <w:p w14:paraId="4ACE4B78" w14:textId="77777777" w:rsidR="006F587A" w:rsidRDefault="007B2B61">
            <w:pPr>
              <w:textAlignment w:val="bottom"/>
              <w:rPr>
                <w:rFonts w:ascii="Times New Roman" w:hAnsi="Times New Roman"/>
                <w:sz w:val="16"/>
                <w:szCs w:val="16"/>
              </w:rPr>
            </w:pPr>
            <w:r>
              <w:rPr>
                <w:rFonts w:ascii="Arial" w:eastAsia="宋体" w:hAnsi="Arial" w:cs="Arial"/>
                <w:color w:val="333333"/>
                <w:sz w:val="16"/>
                <w:szCs w:val="16"/>
              </w:rPr>
              <w:t> Notes to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4B79"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86</w:t>
            </w:r>
          </w:p>
        </w:tc>
      </w:tr>
    </w:tbl>
    <w:p w14:paraId="4ACE4B7B" w14:textId="77777777" w:rsidR="006F587A" w:rsidRDefault="007B2B61">
      <w:r>
        <w:pict w14:anchorId="4ACE6DEC">
          <v:rect id="_x0000_i1112" style="width:415.3pt;height:1.5pt" o:hralign="center" o:hrstd="t" o:hr="t" fillcolor="#a0a0a0" stroked="f"/>
        </w:pict>
      </w:r>
    </w:p>
    <w:p w14:paraId="4ACE4B7C" w14:textId="77777777" w:rsidR="006F587A" w:rsidRDefault="007B2B61">
      <w:pPr>
        <w:spacing w:line="288" w:lineRule="auto"/>
        <w:jc w:val="right"/>
        <w:rPr>
          <w:rFonts w:ascii="Times New Roman" w:hAnsi="Times New Roman"/>
          <w:sz w:val="16"/>
          <w:szCs w:val="16"/>
        </w:rPr>
      </w:pPr>
      <w:hyperlink r:id="rId151" w:anchor="s9DB683E2CF52561EB8A73BE37F5BF9BE" w:history="1">
        <w:r>
          <w:rPr>
            <w:rStyle w:val="a5"/>
            <w:rFonts w:ascii="Arial" w:eastAsia="宋体" w:hAnsi="Arial" w:cs="Arial"/>
            <w:b/>
            <w:bCs/>
            <w:sz w:val="16"/>
            <w:szCs w:val="16"/>
          </w:rPr>
          <w:t>Table of Contents</w:t>
        </w:r>
      </w:hyperlink>
    </w:p>
    <w:p w14:paraId="4ACE4B7D" w14:textId="77777777" w:rsidR="006F587A" w:rsidRDefault="006F587A">
      <w:pPr>
        <w:spacing w:line="288" w:lineRule="auto"/>
        <w:jc w:val="right"/>
        <w:rPr>
          <w:rFonts w:ascii="Times New Roman" w:hAnsi="Times New Roman"/>
          <w:sz w:val="16"/>
          <w:szCs w:val="16"/>
        </w:rPr>
      </w:pPr>
    </w:p>
    <w:p w14:paraId="4ACE4B7E" w14:textId="77777777" w:rsidR="006F587A" w:rsidRDefault="006F587A">
      <w:pPr>
        <w:rPr>
          <w:rFonts w:ascii="Times New Roman" w:hAnsi="Times New Roman"/>
          <w:sz w:val="20"/>
          <w:szCs w:val="20"/>
        </w:rPr>
      </w:pPr>
    </w:p>
    <w:p w14:paraId="4ACE4B7F" w14:textId="77777777" w:rsidR="006F587A" w:rsidRDefault="007B2B61">
      <w:pPr>
        <w:spacing w:line="288" w:lineRule="auto"/>
        <w:rPr>
          <w:rFonts w:ascii="Times New Roman" w:hAnsi="Times New Roman"/>
          <w:sz w:val="20"/>
          <w:szCs w:val="20"/>
        </w:rPr>
      </w:pPr>
      <w:r>
        <w:rPr>
          <w:rFonts w:ascii="Arial" w:eastAsia="宋体" w:hAnsi="Arial" w:cs="Arial"/>
          <w:color w:val="333333"/>
          <w:sz w:val="18"/>
          <w:szCs w:val="18"/>
        </w:rPr>
        <w:t>The difference between the tax provision at the statutory federal income ta</w:t>
      </w:r>
      <w:r>
        <w:rPr>
          <w:rFonts w:ascii="Arial" w:eastAsia="宋体" w:hAnsi="Arial" w:cs="Arial"/>
          <w:color w:val="333333"/>
          <w:sz w:val="18"/>
          <w:szCs w:val="18"/>
        </w:rPr>
        <w:t>x rate and the tax provision as a percentage of income before income taxes (effective tax rate) for each period was as follows:</w:t>
      </w:r>
    </w:p>
    <w:tbl>
      <w:tblPr>
        <w:tblW w:w="5000" w:type="pct"/>
        <w:tblCellMar>
          <w:left w:w="0" w:type="dxa"/>
          <w:right w:w="0" w:type="dxa"/>
        </w:tblCellMar>
        <w:tblLook w:val="04A0" w:firstRow="1" w:lastRow="0" w:firstColumn="1" w:lastColumn="0" w:noHBand="0" w:noVBand="1"/>
      </w:tblPr>
      <w:tblGrid>
        <w:gridCol w:w="4905"/>
        <w:gridCol w:w="130"/>
        <w:gridCol w:w="752"/>
        <w:gridCol w:w="251"/>
        <w:gridCol w:w="130"/>
        <w:gridCol w:w="753"/>
        <w:gridCol w:w="251"/>
        <w:gridCol w:w="130"/>
        <w:gridCol w:w="753"/>
        <w:gridCol w:w="251"/>
      </w:tblGrid>
      <w:tr w:rsidR="006F587A" w14:paraId="4ACE4B81" w14:textId="77777777">
        <w:tc>
          <w:tcPr>
            <w:tcW w:w="0" w:type="auto"/>
            <w:gridSpan w:val="10"/>
            <w:shd w:val="clear" w:color="auto" w:fill="auto"/>
            <w:vAlign w:val="center"/>
          </w:tcPr>
          <w:p w14:paraId="4ACE4B80" w14:textId="77777777" w:rsidR="006F587A" w:rsidRDefault="006F587A">
            <w:pPr>
              <w:rPr>
                <w:rFonts w:ascii="Times New Roman" w:hAnsi="Times New Roman"/>
                <w:sz w:val="20"/>
                <w:szCs w:val="20"/>
              </w:rPr>
            </w:pPr>
          </w:p>
        </w:tc>
      </w:tr>
      <w:tr w:rsidR="006F587A" w14:paraId="4ACE4B8C" w14:textId="77777777">
        <w:tc>
          <w:tcPr>
            <w:tcW w:w="3050" w:type="pct"/>
            <w:shd w:val="clear" w:color="auto" w:fill="auto"/>
            <w:vAlign w:val="center"/>
          </w:tcPr>
          <w:p w14:paraId="4ACE4B82" w14:textId="77777777" w:rsidR="006F587A" w:rsidRDefault="006F587A">
            <w:pPr>
              <w:rPr>
                <w:rFonts w:ascii="Times New Roman" w:hAnsi="Times New Roman"/>
                <w:sz w:val="20"/>
                <w:szCs w:val="20"/>
              </w:rPr>
            </w:pPr>
          </w:p>
        </w:tc>
        <w:tc>
          <w:tcPr>
            <w:tcW w:w="50" w:type="pct"/>
            <w:shd w:val="clear" w:color="auto" w:fill="auto"/>
            <w:vAlign w:val="center"/>
          </w:tcPr>
          <w:p w14:paraId="4ACE4B83" w14:textId="77777777" w:rsidR="006F587A" w:rsidRDefault="006F587A">
            <w:pPr>
              <w:rPr>
                <w:rFonts w:ascii="Times New Roman" w:hAnsi="Times New Roman"/>
                <w:sz w:val="20"/>
                <w:szCs w:val="20"/>
              </w:rPr>
            </w:pPr>
          </w:p>
        </w:tc>
        <w:tc>
          <w:tcPr>
            <w:tcW w:w="550" w:type="pct"/>
            <w:shd w:val="clear" w:color="auto" w:fill="auto"/>
            <w:vAlign w:val="center"/>
          </w:tcPr>
          <w:p w14:paraId="4ACE4B84" w14:textId="77777777" w:rsidR="006F587A" w:rsidRDefault="006F587A">
            <w:pPr>
              <w:rPr>
                <w:rFonts w:ascii="Times New Roman" w:hAnsi="Times New Roman"/>
                <w:sz w:val="20"/>
                <w:szCs w:val="20"/>
              </w:rPr>
            </w:pPr>
          </w:p>
        </w:tc>
        <w:tc>
          <w:tcPr>
            <w:tcW w:w="50" w:type="pct"/>
            <w:shd w:val="clear" w:color="auto" w:fill="auto"/>
            <w:vAlign w:val="center"/>
          </w:tcPr>
          <w:p w14:paraId="4ACE4B85" w14:textId="77777777" w:rsidR="006F587A" w:rsidRDefault="006F587A">
            <w:pPr>
              <w:rPr>
                <w:rFonts w:ascii="Times New Roman" w:hAnsi="Times New Roman"/>
                <w:sz w:val="20"/>
                <w:szCs w:val="20"/>
              </w:rPr>
            </w:pPr>
          </w:p>
        </w:tc>
        <w:tc>
          <w:tcPr>
            <w:tcW w:w="50" w:type="pct"/>
            <w:shd w:val="clear" w:color="auto" w:fill="auto"/>
            <w:vAlign w:val="center"/>
          </w:tcPr>
          <w:p w14:paraId="4ACE4B86" w14:textId="77777777" w:rsidR="006F587A" w:rsidRDefault="006F587A">
            <w:pPr>
              <w:rPr>
                <w:rFonts w:ascii="Times New Roman" w:hAnsi="Times New Roman"/>
                <w:sz w:val="20"/>
                <w:szCs w:val="20"/>
              </w:rPr>
            </w:pPr>
          </w:p>
        </w:tc>
        <w:tc>
          <w:tcPr>
            <w:tcW w:w="550" w:type="pct"/>
            <w:shd w:val="clear" w:color="auto" w:fill="auto"/>
            <w:vAlign w:val="center"/>
          </w:tcPr>
          <w:p w14:paraId="4ACE4B87" w14:textId="77777777" w:rsidR="006F587A" w:rsidRDefault="006F587A">
            <w:pPr>
              <w:rPr>
                <w:rFonts w:ascii="Times New Roman" w:hAnsi="Times New Roman"/>
                <w:sz w:val="20"/>
                <w:szCs w:val="20"/>
              </w:rPr>
            </w:pPr>
          </w:p>
        </w:tc>
        <w:tc>
          <w:tcPr>
            <w:tcW w:w="50" w:type="pct"/>
            <w:shd w:val="clear" w:color="auto" w:fill="auto"/>
            <w:vAlign w:val="center"/>
          </w:tcPr>
          <w:p w14:paraId="4ACE4B88" w14:textId="77777777" w:rsidR="006F587A" w:rsidRDefault="006F587A">
            <w:pPr>
              <w:rPr>
                <w:rFonts w:ascii="Times New Roman" w:hAnsi="Times New Roman"/>
                <w:sz w:val="20"/>
                <w:szCs w:val="20"/>
              </w:rPr>
            </w:pPr>
          </w:p>
        </w:tc>
        <w:tc>
          <w:tcPr>
            <w:tcW w:w="50" w:type="pct"/>
            <w:shd w:val="clear" w:color="auto" w:fill="auto"/>
            <w:vAlign w:val="center"/>
          </w:tcPr>
          <w:p w14:paraId="4ACE4B89" w14:textId="77777777" w:rsidR="006F587A" w:rsidRDefault="006F587A">
            <w:pPr>
              <w:rPr>
                <w:rFonts w:ascii="Times New Roman" w:hAnsi="Times New Roman"/>
                <w:sz w:val="20"/>
                <w:szCs w:val="20"/>
              </w:rPr>
            </w:pPr>
          </w:p>
        </w:tc>
        <w:tc>
          <w:tcPr>
            <w:tcW w:w="550" w:type="pct"/>
            <w:shd w:val="clear" w:color="auto" w:fill="auto"/>
            <w:vAlign w:val="center"/>
          </w:tcPr>
          <w:p w14:paraId="4ACE4B8A" w14:textId="77777777" w:rsidR="006F587A" w:rsidRDefault="006F587A">
            <w:pPr>
              <w:rPr>
                <w:rFonts w:ascii="Times New Roman" w:hAnsi="Times New Roman"/>
                <w:sz w:val="20"/>
                <w:szCs w:val="20"/>
              </w:rPr>
            </w:pPr>
          </w:p>
        </w:tc>
        <w:tc>
          <w:tcPr>
            <w:tcW w:w="50" w:type="pct"/>
            <w:shd w:val="clear" w:color="auto" w:fill="auto"/>
            <w:vAlign w:val="center"/>
          </w:tcPr>
          <w:p w14:paraId="4ACE4B8B" w14:textId="77777777" w:rsidR="006F587A" w:rsidRDefault="006F587A">
            <w:pPr>
              <w:rPr>
                <w:rFonts w:ascii="Times New Roman" w:hAnsi="Times New Roman"/>
                <w:sz w:val="20"/>
                <w:szCs w:val="20"/>
              </w:rPr>
            </w:pPr>
          </w:p>
        </w:tc>
      </w:tr>
      <w:tr w:rsidR="006F587A" w14:paraId="4ACE4B94"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4B8D"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Years Ended</w:t>
            </w:r>
          </w:p>
        </w:tc>
        <w:tc>
          <w:tcPr>
            <w:tcW w:w="0" w:type="auto"/>
            <w:shd w:val="clear" w:color="auto" w:fill="auto"/>
            <w:tcMar>
              <w:top w:w="40" w:type="dxa"/>
              <w:left w:w="40" w:type="dxa"/>
              <w:bottom w:w="40" w:type="dxa"/>
              <w:right w:w="40" w:type="dxa"/>
            </w:tcMar>
            <w:vAlign w:val="bottom"/>
          </w:tcPr>
          <w:p w14:paraId="4ACE4B8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71C5"/>
            </w:tcBorders>
            <w:shd w:val="clear" w:color="auto" w:fill="auto"/>
            <w:tcMar>
              <w:top w:w="40" w:type="dxa"/>
              <w:left w:w="40" w:type="dxa"/>
              <w:bottom w:w="40" w:type="dxa"/>
              <w:right w:w="40" w:type="dxa"/>
            </w:tcMar>
            <w:vAlign w:val="bottom"/>
          </w:tcPr>
          <w:p w14:paraId="4ACE4B8F"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28, </w:t>
            </w:r>
            <w:r>
              <w:rPr>
                <w:rFonts w:ascii="Arial" w:eastAsia="宋体" w:hAnsi="Arial" w:cs="Arial"/>
                <w:b/>
                <w:bCs/>
                <w:color w:val="333333"/>
                <w:sz w:val="18"/>
                <w:szCs w:val="18"/>
              </w:rPr>
              <w:br/>
              <w:t>2019</w:t>
            </w:r>
          </w:p>
        </w:tc>
        <w:tc>
          <w:tcPr>
            <w:tcW w:w="0" w:type="auto"/>
            <w:shd w:val="clear" w:color="auto" w:fill="auto"/>
            <w:tcMar>
              <w:top w:w="40" w:type="dxa"/>
              <w:left w:w="40" w:type="dxa"/>
              <w:bottom w:w="40" w:type="dxa"/>
              <w:right w:w="40" w:type="dxa"/>
            </w:tcMar>
            <w:vAlign w:val="bottom"/>
          </w:tcPr>
          <w:p w14:paraId="4ACE4B9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71C5"/>
            </w:tcBorders>
            <w:shd w:val="clear" w:color="auto" w:fill="auto"/>
            <w:tcMar>
              <w:top w:w="40" w:type="dxa"/>
              <w:left w:w="40" w:type="dxa"/>
              <w:bottom w:w="40" w:type="dxa"/>
              <w:right w:w="40" w:type="dxa"/>
            </w:tcMar>
            <w:vAlign w:val="bottom"/>
          </w:tcPr>
          <w:p w14:paraId="4ACE4B91"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29, </w:t>
            </w:r>
            <w:r>
              <w:rPr>
                <w:rFonts w:ascii="Arial" w:eastAsia="宋体" w:hAnsi="Arial" w:cs="Arial"/>
                <w:b/>
                <w:bCs/>
                <w:color w:val="333333"/>
                <w:sz w:val="18"/>
                <w:szCs w:val="18"/>
              </w:rPr>
              <w:br/>
              <w:t>2018</w:t>
            </w:r>
          </w:p>
        </w:tc>
        <w:tc>
          <w:tcPr>
            <w:tcW w:w="0" w:type="auto"/>
            <w:shd w:val="clear" w:color="auto" w:fill="auto"/>
            <w:tcMar>
              <w:top w:w="40" w:type="dxa"/>
              <w:left w:w="40" w:type="dxa"/>
              <w:bottom w:w="40" w:type="dxa"/>
              <w:right w:w="40" w:type="dxa"/>
            </w:tcMar>
            <w:vAlign w:val="bottom"/>
          </w:tcPr>
          <w:p w14:paraId="4ACE4B9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71C5"/>
            </w:tcBorders>
            <w:shd w:val="clear" w:color="auto" w:fill="auto"/>
            <w:tcMar>
              <w:top w:w="40" w:type="dxa"/>
              <w:left w:w="40" w:type="dxa"/>
              <w:bottom w:w="40" w:type="dxa"/>
              <w:right w:w="40" w:type="dxa"/>
            </w:tcMar>
            <w:vAlign w:val="bottom"/>
          </w:tcPr>
          <w:p w14:paraId="4ACE4B93"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30, </w:t>
            </w:r>
            <w:r>
              <w:rPr>
                <w:rFonts w:ascii="Arial" w:eastAsia="宋体" w:hAnsi="Arial" w:cs="Arial"/>
                <w:b/>
                <w:bCs/>
                <w:color w:val="333333"/>
                <w:sz w:val="18"/>
                <w:szCs w:val="18"/>
              </w:rPr>
              <w:br/>
              <w:t>2017</w:t>
            </w:r>
          </w:p>
        </w:tc>
      </w:tr>
      <w:tr w:rsidR="006F587A" w14:paraId="4ACE4B9F" w14:textId="77777777">
        <w:tc>
          <w:tcPr>
            <w:tcW w:w="0" w:type="auto"/>
            <w:shd w:val="clear" w:color="auto" w:fill="auto"/>
            <w:tcMar>
              <w:top w:w="40" w:type="dxa"/>
              <w:left w:w="40" w:type="dxa"/>
              <w:bottom w:w="40" w:type="dxa"/>
              <w:right w:w="40" w:type="dxa"/>
            </w:tcMar>
            <w:vAlign w:val="bottom"/>
          </w:tcPr>
          <w:p w14:paraId="4ACE4B9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Statutory federal income tax rate</w:t>
            </w:r>
          </w:p>
        </w:tc>
        <w:tc>
          <w:tcPr>
            <w:tcW w:w="0" w:type="auto"/>
            <w:shd w:val="clear" w:color="auto" w:fill="auto"/>
            <w:tcMar>
              <w:top w:w="40" w:type="dxa"/>
              <w:left w:w="40" w:type="dxa"/>
              <w:bottom w:w="40" w:type="dxa"/>
              <w:right w:w="40" w:type="dxa"/>
            </w:tcMar>
            <w:vAlign w:val="bottom"/>
          </w:tcPr>
          <w:p w14:paraId="4ACE4B9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B97"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21.0</w:t>
            </w:r>
          </w:p>
        </w:tc>
        <w:tc>
          <w:tcPr>
            <w:tcW w:w="0" w:type="auto"/>
            <w:shd w:val="clear" w:color="auto" w:fill="auto"/>
            <w:tcMar>
              <w:top w:w="40" w:type="dxa"/>
              <w:bottom w:w="40" w:type="dxa"/>
              <w:right w:w="40" w:type="dxa"/>
            </w:tcMar>
            <w:vAlign w:val="bottom"/>
          </w:tcPr>
          <w:p w14:paraId="4ACE4B98"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 %</w:t>
            </w:r>
          </w:p>
        </w:tc>
        <w:tc>
          <w:tcPr>
            <w:tcW w:w="0" w:type="auto"/>
            <w:shd w:val="clear" w:color="auto" w:fill="auto"/>
            <w:tcMar>
              <w:top w:w="40" w:type="dxa"/>
              <w:left w:w="40" w:type="dxa"/>
              <w:bottom w:w="40" w:type="dxa"/>
              <w:right w:w="40" w:type="dxa"/>
            </w:tcMar>
            <w:vAlign w:val="bottom"/>
          </w:tcPr>
          <w:p w14:paraId="4ACE4B9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B9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21.0</w:t>
            </w:r>
          </w:p>
        </w:tc>
        <w:tc>
          <w:tcPr>
            <w:tcW w:w="0" w:type="auto"/>
            <w:shd w:val="clear" w:color="auto" w:fill="auto"/>
            <w:tcMar>
              <w:top w:w="40" w:type="dxa"/>
              <w:bottom w:w="40" w:type="dxa"/>
              <w:right w:w="40" w:type="dxa"/>
            </w:tcMar>
            <w:vAlign w:val="bottom"/>
          </w:tcPr>
          <w:p w14:paraId="4ACE4B9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w:t>
            </w:r>
          </w:p>
        </w:tc>
        <w:tc>
          <w:tcPr>
            <w:tcW w:w="0" w:type="auto"/>
            <w:shd w:val="clear" w:color="auto" w:fill="auto"/>
            <w:tcMar>
              <w:top w:w="40" w:type="dxa"/>
              <w:left w:w="40" w:type="dxa"/>
              <w:bottom w:w="40" w:type="dxa"/>
              <w:right w:w="40" w:type="dxa"/>
            </w:tcMar>
            <w:vAlign w:val="bottom"/>
          </w:tcPr>
          <w:p w14:paraId="4ACE4B9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B9D"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35.0</w:t>
            </w:r>
          </w:p>
        </w:tc>
        <w:tc>
          <w:tcPr>
            <w:tcW w:w="0" w:type="auto"/>
            <w:shd w:val="clear" w:color="auto" w:fill="auto"/>
            <w:tcMar>
              <w:top w:w="40" w:type="dxa"/>
              <w:bottom w:w="40" w:type="dxa"/>
              <w:right w:w="40" w:type="dxa"/>
            </w:tcMar>
            <w:vAlign w:val="bottom"/>
          </w:tcPr>
          <w:p w14:paraId="4ACE4B9E"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w:t>
            </w:r>
          </w:p>
        </w:tc>
      </w:tr>
      <w:tr w:rsidR="006F587A" w14:paraId="4ACE4BA7" w14:textId="77777777">
        <w:tc>
          <w:tcPr>
            <w:tcW w:w="0" w:type="auto"/>
            <w:shd w:val="clear" w:color="auto" w:fill="auto"/>
            <w:tcMar>
              <w:top w:w="40" w:type="dxa"/>
              <w:left w:w="40" w:type="dxa"/>
              <w:bottom w:w="40" w:type="dxa"/>
              <w:right w:w="40" w:type="dxa"/>
            </w:tcMar>
            <w:vAlign w:val="bottom"/>
          </w:tcPr>
          <w:p w14:paraId="4ACE4BA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Increase (reduction) in rate resulting from:</w:t>
            </w:r>
          </w:p>
        </w:tc>
        <w:tc>
          <w:tcPr>
            <w:tcW w:w="0" w:type="auto"/>
            <w:shd w:val="clear" w:color="auto" w:fill="auto"/>
            <w:tcMar>
              <w:top w:w="40" w:type="dxa"/>
              <w:left w:w="40" w:type="dxa"/>
              <w:bottom w:w="40" w:type="dxa"/>
              <w:right w:w="40" w:type="dxa"/>
            </w:tcMar>
            <w:vAlign w:val="bottom"/>
          </w:tcPr>
          <w:p w14:paraId="4ACE4BA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ACE4BA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BA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ACE4BA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BA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ACE4BA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4BB2" w14:textId="77777777">
        <w:tc>
          <w:tcPr>
            <w:tcW w:w="0" w:type="auto"/>
            <w:shd w:val="clear" w:color="auto" w:fill="auto"/>
            <w:tcMar>
              <w:top w:w="40" w:type="dxa"/>
              <w:left w:w="240" w:type="dxa"/>
              <w:bottom w:w="40" w:type="dxa"/>
              <w:right w:w="40" w:type="dxa"/>
            </w:tcMar>
            <w:vAlign w:val="bottom"/>
          </w:tcPr>
          <w:p w14:paraId="4ACE4BA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Non-U.S. income taxed at different rates</w:t>
            </w:r>
          </w:p>
        </w:tc>
        <w:tc>
          <w:tcPr>
            <w:tcW w:w="0" w:type="auto"/>
            <w:shd w:val="clear" w:color="auto" w:fill="auto"/>
            <w:tcMar>
              <w:top w:w="40" w:type="dxa"/>
              <w:left w:w="40" w:type="dxa"/>
              <w:bottom w:w="40" w:type="dxa"/>
              <w:right w:w="40" w:type="dxa"/>
            </w:tcMar>
            <w:vAlign w:val="bottom"/>
          </w:tcPr>
          <w:p w14:paraId="4ACE4BA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BAA"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(3.7</w:t>
            </w:r>
          </w:p>
        </w:tc>
        <w:tc>
          <w:tcPr>
            <w:tcW w:w="0" w:type="auto"/>
            <w:shd w:val="clear" w:color="auto" w:fill="auto"/>
            <w:tcMar>
              <w:top w:w="40" w:type="dxa"/>
              <w:bottom w:w="40" w:type="dxa"/>
              <w:right w:w="40" w:type="dxa"/>
            </w:tcMar>
            <w:vAlign w:val="bottom"/>
          </w:tcPr>
          <w:p w14:paraId="4ACE4BAB"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4BA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BAD"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(3.6</w:t>
            </w:r>
          </w:p>
        </w:tc>
        <w:tc>
          <w:tcPr>
            <w:tcW w:w="0" w:type="auto"/>
            <w:shd w:val="clear" w:color="auto" w:fill="auto"/>
            <w:tcMar>
              <w:top w:w="40" w:type="dxa"/>
              <w:bottom w:w="40" w:type="dxa"/>
              <w:right w:w="40" w:type="dxa"/>
            </w:tcMar>
            <w:vAlign w:val="bottom"/>
          </w:tcPr>
          <w:p w14:paraId="4ACE4BAE"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4BA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BB0"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(7.6</w:t>
            </w:r>
          </w:p>
        </w:tc>
        <w:tc>
          <w:tcPr>
            <w:tcW w:w="0" w:type="auto"/>
            <w:shd w:val="clear" w:color="auto" w:fill="auto"/>
            <w:tcMar>
              <w:top w:w="40" w:type="dxa"/>
              <w:bottom w:w="40" w:type="dxa"/>
              <w:right w:w="40" w:type="dxa"/>
            </w:tcMar>
            <w:vAlign w:val="bottom"/>
          </w:tcPr>
          <w:p w14:paraId="4ACE4BB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4BBD" w14:textId="77777777">
        <w:tc>
          <w:tcPr>
            <w:tcW w:w="0" w:type="auto"/>
            <w:shd w:val="clear" w:color="auto" w:fill="auto"/>
            <w:tcMar>
              <w:top w:w="40" w:type="dxa"/>
              <w:left w:w="240" w:type="dxa"/>
              <w:bottom w:w="40" w:type="dxa"/>
              <w:right w:w="40" w:type="dxa"/>
            </w:tcMar>
            <w:vAlign w:val="bottom"/>
          </w:tcPr>
          <w:p w14:paraId="4ACE4BB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Research and development tax credits</w:t>
            </w:r>
          </w:p>
        </w:tc>
        <w:tc>
          <w:tcPr>
            <w:tcW w:w="0" w:type="auto"/>
            <w:shd w:val="clear" w:color="auto" w:fill="auto"/>
            <w:tcMar>
              <w:top w:w="40" w:type="dxa"/>
              <w:left w:w="40" w:type="dxa"/>
              <w:bottom w:w="40" w:type="dxa"/>
              <w:right w:w="40" w:type="dxa"/>
            </w:tcMar>
            <w:vAlign w:val="bottom"/>
          </w:tcPr>
          <w:p w14:paraId="4ACE4BB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BB5"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(2.3</w:t>
            </w:r>
          </w:p>
        </w:tc>
        <w:tc>
          <w:tcPr>
            <w:tcW w:w="0" w:type="auto"/>
            <w:shd w:val="clear" w:color="auto" w:fill="auto"/>
            <w:tcMar>
              <w:top w:w="40" w:type="dxa"/>
              <w:bottom w:w="40" w:type="dxa"/>
              <w:right w:w="40" w:type="dxa"/>
            </w:tcMar>
            <w:vAlign w:val="bottom"/>
          </w:tcPr>
          <w:p w14:paraId="4ACE4BB6"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4BB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BB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(2.7</w:t>
            </w:r>
          </w:p>
        </w:tc>
        <w:tc>
          <w:tcPr>
            <w:tcW w:w="0" w:type="auto"/>
            <w:shd w:val="clear" w:color="auto" w:fill="auto"/>
            <w:tcMar>
              <w:top w:w="40" w:type="dxa"/>
              <w:bottom w:w="40" w:type="dxa"/>
              <w:right w:w="40" w:type="dxa"/>
            </w:tcMar>
            <w:vAlign w:val="bottom"/>
          </w:tcPr>
          <w:p w14:paraId="4ACE4BB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4BB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BB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(2.3</w:t>
            </w:r>
          </w:p>
        </w:tc>
        <w:tc>
          <w:tcPr>
            <w:tcW w:w="0" w:type="auto"/>
            <w:shd w:val="clear" w:color="auto" w:fill="auto"/>
            <w:tcMar>
              <w:top w:w="40" w:type="dxa"/>
              <w:bottom w:w="40" w:type="dxa"/>
              <w:right w:w="40" w:type="dxa"/>
            </w:tcMar>
            <w:vAlign w:val="bottom"/>
          </w:tcPr>
          <w:p w14:paraId="4ACE4BB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4BC8" w14:textId="77777777">
        <w:tc>
          <w:tcPr>
            <w:tcW w:w="0" w:type="auto"/>
            <w:shd w:val="clear" w:color="auto" w:fill="auto"/>
            <w:tcMar>
              <w:top w:w="40" w:type="dxa"/>
              <w:left w:w="240" w:type="dxa"/>
              <w:bottom w:w="40" w:type="dxa"/>
              <w:right w:w="40" w:type="dxa"/>
            </w:tcMar>
            <w:vAlign w:val="bottom"/>
          </w:tcPr>
          <w:p w14:paraId="4ACE4BBE"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Domestic manufacturing deduction benefit</w:t>
            </w:r>
          </w:p>
        </w:tc>
        <w:tc>
          <w:tcPr>
            <w:tcW w:w="0" w:type="auto"/>
            <w:shd w:val="clear" w:color="auto" w:fill="auto"/>
            <w:tcMar>
              <w:top w:w="40" w:type="dxa"/>
              <w:left w:w="40" w:type="dxa"/>
              <w:bottom w:w="40" w:type="dxa"/>
              <w:right w:w="40" w:type="dxa"/>
            </w:tcMar>
            <w:vAlign w:val="bottom"/>
          </w:tcPr>
          <w:p w14:paraId="4ACE4BB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BC0"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4BC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BC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BC3"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4BC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BC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BC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(1.3</w:t>
            </w:r>
          </w:p>
        </w:tc>
        <w:tc>
          <w:tcPr>
            <w:tcW w:w="0" w:type="auto"/>
            <w:shd w:val="clear" w:color="auto" w:fill="auto"/>
            <w:tcMar>
              <w:top w:w="40" w:type="dxa"/>
              <w:bottom w:w="40" w:type="dxa"/>
              <w:right w:w="40" w:type="dxa"/>
            </w:tcMar>
            <w:vAlign w:val="bottom"/>
          </w:tcPr>
          <w:p w14:paraId="4ACE4BC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4BD3" w14:textId="77777777">
        <w:tc>
          <w:tcPr>
            <w:tcW w:w="0" w:type="auto"/>
            <w:shd w:val="clear" w:color="auto" w:fill="auto"/>
            <w:tcMar>
              <w:top w:w="40" w:type="dxa"/>
              <w:left w:w="240" w:type="dxa"/>
              <w:bottom w:w="40" w:type="dxa"/>
              <w:right w:w="40" w:type="dxa"/>
            </w:tcMar>
            <w:vAlign w:val="bottom"/>
          </w:tcPr>
          <w:p w14:paraId="4ACE4BC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lastRenderedPageBreak/>
              <w:t>Foreign derived intangible income benefit</w:t>
            </w:r>
          </w:p>
        </w:tc>
        <w:tc>
          <w:tcPr>
            <w:tcW w:w="0" w:type="auto"/>
            <w:shd w:val="clear" w:color="auto" w:fill="auto"/>
            <w:tcMar>
              <w:top w:w="40" w:type="dxa"/>
              <w:left w:w="40" w:type="dxa"/>
              <w:bottom w:w="40" w:type="dxa"/>
              <w:right w:w="40" w:type="dxa"/>
            </w:tcMar>
            <w:vAlign w:val="bottom"/>
          </w:tcPr>
          <w:p w14:paraId="4ACE4BC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BCB"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(3.2</w:t>
            </w:r>
          </w:p>
        </w:tc>
        <w:tc>
          <w:tcPr>
            <w:tcW w:w="0" w:type="auto"/>
            <w:shd w:val="clear" w:color="auto" w:fill="auto"/>
            <w:tcMar>
              <w:top w:w="40" w:type="dxa"/>
              <w:bottom w:w="40" w:type="dxa"/>
              <w:right w:w="40" w:type="dxa"/>
            </w:tcMar>
            <w:vAlign w:val="bottom"/>
          </w:tcPr>
          <w:p w14:paraId="4ACE4BCC"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4BC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BC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(3.7</w:t>
            </w:r>
          </w:p>
        </w:tc>
        <w:tc>
          <w:tcPr>
            <w:tcW w:w="0" w:type="auto"/>
            <w:shd w:val="clear" w:color="auto" w:fill="auto"/>
            <w:tcMar>
              <w:top w:w="40" w:type="dxa"/>
              <w:bottom w:w="40" w:type="dxa"/>
              <w:right w:w="40" w:type="dxa"/>
            </w:tcMar>
            <w:vAlign w:val="bottom"/>
          </w:tcPr>
          <w:p w14:paraId="4ACE4BC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4BD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BD1"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4BD2" w14:textId="77777777" w:rsidR="006F587A" w:rsidRDefault="006F587A">
            <w:pPr>
              <w:textAlignment w:val="bottom"/>
              <w:rPr>
                <w:rFonts w:ascii="Times New Roman" w:hAnsi="Times New Roman"/>
                <w:sz w:val="20"/>
                <w:szCs w:val="20"/>
              </w:rPr>
            </w:pPr>
          </w:p>
        </w:tc>
      </w:tr>
      <w:tr w:rsidR="006F587A" w14:paraId="4ACE4BDE" w14:textId="77777777">
        <w:tc>
          <w:tcPr>
            <w:tcW w:w="0" w:type="auto"/>
            <w:shd w:val="clear" w:color="auto" w:fill="auto"/>
            <w:tcMar>
              <w:top w:w="40" w:type="dxa"/>
              <w:left w:w="240" w:type="dxa"/>
              <w:bottom w:w="40" w:type="dxa"/>
              <w:right w:w="40" w:type="dxa"/>
            </w:tcMar>
            <w:vAlign w:val="bottom"/>
          </w:tcPr>
          <w:p w14:paraId="4ACE4BD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Tax Reform</w:t>
            </w:r>
          </w:p>
        </w:tc>
        <w:tc>
          <w:tcPr>
            <w:tcW w:w="0" w:type="auto"/>
            <w:shd w:val="clear" w:color="auto" w:fill="auto"/>
            <w:tcMar>
              <w:top w:w="40" w:type="dxa"/>
              <w:left w:w="40" w:type="dxa"/>
              <w:bottom w:w="40" w:type="dxa"/>
              <w:right w:w="40" w:type="dxa"/>
            </w:tcMar>
            <w:vAlign w:val="bottom"/>
          </w:tcPr>
          <w:p w14:paraId="4ACE4BD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BD6"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4BD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BD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BD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(1.3</w:t>
            </w:r>
          </w:p>
        </w:tc>
        <w:tc>
          <w:tcPr>
            <w:tcW w:w="0" w:type="auto"/>
            <w:shd w:val="clear" w:color="auto" w:fill="auto"/>
            <w:tcMar>
              <w:top w:w="40" w:type="dxa"/>
              <w:bottom w:w="40" w:type="dxa"/>
              <w:right w:w="40" w:type="dxa"/>
            </w:tcMar>
            <w:vAlign w:val="bottom"/>
          </w:tcPr>
          <w:p w14:paraId="4ACE4BD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4BD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BD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26.8</w:t>
            </w:r>
          </w:p>
        </w:tc>
        <w:tc>
          <w:tcPr>
            <w:tcW w:w="0" w:type="auto"/>
            <w:shd w:val="clear" w:color="auto" w:fill="auto"/>
            <w:vAlign w:val="bottom"/>
          </w:tcPr>
          <w:p w14:paraId="4ACE4BDD" w14:textId="77777777" w:rsidR="006F587A" w:rsidRDefault="006F587A">
            <w:pPr>
              <w:textAlignment w:val="bottom"/>
              <w:rPr>
                <w:rFonts w:ascii="Times New Roman" w:hAnsi="Times New Roman"/>
                <w:sz w:val="20"/>
                <w:szCs w:val="20"/>
              </w:rPr>
            </w:pPr>
          </w:p>
        </w:tc>
      </w:tr>
      <w:tr w:rsidR="006F587A" w14:paraId="4ACE4BE9" w14:textId="77777777">
        <w:tc>
          <w:tcPr>
            <w:tcW w:w="0" w:type="auto"/>
            <w:shd w:val="clear" w:color="auto" w:fill="auto"/>
            <w:tcMar>
              <w:top w:w="40" w:type="dxa"/>
              <w:left w:w="240" w:type="dxa"/>
              <w:bottom w:w="40" w:type="dxa"/>
              <w:right w:w="40" w:type="dxa"/>
            </w:tcMar>
            <w:vAlign w:val="bottom"/>
          </w:tcPr>
          <w:p w14:paraId="4ACE4BD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ISecG divestiture</w:t>
            </w:r>
          </w:p>
        </w:tc>
        <w:tc>
          <w:tcPr>
            <w:tcW w:w="0" w:type="auto"/>
            <w:shd w:val="clear" w:color="auto" w:fill="auto"/>
            <w:tcMar>
              <w:top w:w="40" w:type="dxa"/>
              <w:left w:w="40" w:type="dxa"/>
              <w:bottom w:w="40" w:type="dxa"/>
              <w:right w:w="40" w:type="dxa"/>
            </w:tcMar>
            <w:vAlign w:val="bottom"/>
          </w:tcPr>
          <w:p w14:paraId="4ACE4BE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BE1"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4BE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BE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BE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4BE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BE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BE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3.3</w:t>
            </w:r>
          </w:p>
        </w:tc>
        <w:tc>
          <w:tcPr>
            <w:tcW w:w="0" w:type="auto"/>
            <w:shd w:val="clear" w:color="auto" w:fill="auto"/>
            <w:vAlign w:val="bottom"/>
          </w:tcPr>
          <w:p w14:paraId="4ACE4BE8" w14:textId="77777777" w:rsidR="006F587A" w:rsidRDefault="006F587A">
            <w:pPr>
              <w:textAlignment w:val="bottom"/>
              <w:rPr>
                <w:rFonts w:ascii="Times New Roman" w:hAnsi="Times New Roman"/>
                <w:sz w:val="20"/>
                <w:szCs w:val="20"/>
              </w:rPr>
            </w:pPr>
          </w:p>
        </w:tc>
      </w:tr>
      <w:tr w:rsidR="006F587A" w14:paraId="4ACE4BF4" w14:textId="77777777">
        <w:tc>
          <w:tcPr>
            <w:tcW w:w="0" w:type="auto"/>
            <w:shd w:val="clear" w:color="auto" w:fill="auto"/>
            <w:tcMar>
              <w:top w:w="40" w:type="dxa"/>
              <w:left w:w="240" w:type="dxa"/>
              <w:bottom w:w="40" w:type="dxa"/>
              <w:right w:w="40" w:type="dxa"/>
            </w:tcMar>
            <w:vAlign w:val="bottom"/>
          </w:tcPr>
          <w:p w14:paraId="4ACE4BE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Other</w:t>
            </w:r>
          </w:p>
        </w:tc>
        <w:tc>
          <w:tcPr>
            <w:tcW w:w="0" w:type="auto"/>
            <w:shd w:val="clear" w:color="auto" w:fill="auto"/>
            <w:tcMar>
              <w:top w:w="40" w:type="dxa"/>
              <w:left w:w="40" w:type="dxa"/>
              <w:bottom w:w="40" w:type="dxa"/>
              <w:right w:w="40" w:type="dxa"/>
            </w:tcMar>
            <w:vAlign w:val="bottom"/>
          </w:tcPr>
          <w:p w14:paraId="4ACE4BE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BEC"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0.7</w:t>
            </w:r>
          </w:p>
        </w:tc>
        <w:tc>
          <w:tcPr>
            <w:tcW w:w="0" w:type="auto"/>
            <w:shd w:val="clear" w:color="auto" w:fill="auto"/>
            <w:vAlign w:val="bottom"/>
          </w:tcPr>
          <w:p w14:paraId="4ACE4BE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BE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BE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(0.1</w:t>
            </w:r>
          </w:p>
        </w:tc>
        <w:tc>
          <w:tcPr>
            <w:tcW w:w="0" w:type="auto"/>
            <w:shd w:val="clear" w:color="auto" w:fill="auto"/>
            <w:tcMar>
              <w:top w:w="40" w:type="dxa"/>
              <w:bottom w:w="40" w:type="dxa"/>
              <w:right w:w="40" w:type="dxa"/>
            </w:tcMar>
            <w:vAlign w:val="bottom"/>
          </w:tcPr>
          <w:p w14:paraId="4ACE4BF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4BF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BF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(1.1</w:t>
            </w:r>
          </w:p>
        </w:tc>
        <w:tc>
          <w:tcPr>
            <w:tcW w:w="0" w:type="auto"/>
            <w:shd w:val="clear" w:color="auto" w:fill="auto"/>
            <w:tcMar>
              <w:top w:w="40" w:type="dxa"/>
              <w:bottom w:w="40" w:type="dxa"/>
              <w:right w:w="40" w:type="dxa"/>
            </w:tcMar>
            <w:vAlign w:val="bottom"/>
          </w:tcPr>
          <w:p w14:paraId="4ACE4BF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4BFF" w14:textId="77777777">
        <w:tc>
          <w:tcPr>
            <w:tcW w:w="0" w:type="auto"/>
            <w:shd w:val="clear" w:color="auto" w:fill="auto"/>
            <w:tcMar>
              <w:top w:w="40" w:type="dxa"/>
              <w:left w:w="40" w:type="dxa"/>
              <w:bottom w:w="40" w:type="dxa"/>
              <w:right w:w="40" w:type="dxa"/>
            </w:tcMar>
            <w:vAlign w:val="bottom"/>
          </w:tcPr>
          <w:p w14:paraId="4ACE4BF5"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Effective tax rate</w:t>
            </w:r>
          </w:p>
        </w:tc>
        <w:tc>
          <w:tcPr>
            <w:tcW w:w="0" w:type="auto"/>
            <w:shd w:val="clear" w:color="auto" w:fill="auto"/>
            <w:tcMar>
              <w:top w:w="40" w:type="dxa"/>
              <w:left w:w="40" w:type="dxa"/>
              <w:bottom w:w="40" w:type="dxa"/>
              <w:right w:w="40" w:type="dxa"/>
            </w:tcMar>
            <w:vAlign w:val="bottom"/>
          </w:tcPr>
          <w:p w14:paraId="4ACE4BF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BF7"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12.5</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4ACE4BF8"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 %</w:t>
            </w:r>
          </w:p>
        </w:tc>
        <w:tc>
          <w:tcPr>
            <w:tcW w:w="0" w:type="auto"/>
            <w:shd w:val="clear" w:color="auto" w:fill="auto"/>
            <w:tcMar>
              <w:top w:w="40" w:type="dxa"/>
              <w:left w:w="40" w:type="dxa"/>
              <w:bottom w:w="40" w:type="dxa"/>
              <w:right w:w="40" w:type="dxa"/>
            </w:tcMar>
            <w:vAlign w:val="bottom"/>
          </w:tcPr>
          <w:p w14:paraId="4ACE4BF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BFA"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9.7</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4ACE4BFB"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 %</w:t>
            </w:r>
          </w:p>
        </w:tc>
        <w:tc>
          <w:tcPr>
            <w:tcW w:w="0" w:type="auto"/>
            <w:shd w:val="clear" w:color="auto" w:fill="auto"/>
            <w:tcMar>
              <w:top w:w="40" w:type="dxa"/>
              <w:left w:w="40" w:type="dxa"/>
              <w:bottom w:w="40" w:type="dxa"/>
              <w:right w:w="40" w:type="dxa"/>
            </w:tcMar>
            <w:vAlign w:val="bottom"/>
          </w:tcPr>
          <w:p w14:paraId="4ACE4BF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BFD"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52.8</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4ACE4BFE"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 %</w:t>
            </w:r>
          </w:p>
        </w:tc>
      </w:tr>
    </w:tbl>
    <w:p w14:paraId="4ACE4C00" w14:textId="77777777" w:rsidR="006F587A" w:rsidRDefault="006F587A"/>
    <w:p w14:paraId="4ACE4C01"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The majority of the increase in our effective tax rate in 2019 compared to 2018 was driven by one-time benefits that occurred in 2018. </w:t>
      </w:r>
    </w:p>
    <w:p w14:paraId="4ACE4C02"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The majority of the decrease in our effective tax rate in 2018 compared to 2017 resulted from initial tax expense from T</w:t>
      </w:r>
      <w:r>
        <w:rPr>
          <w:rFonts w:ascii="Arial" w:eastAsia="宋体" w:hAnsi="Arial" w:cs="Arial"/>
          <w:color w:val="333333"/>
          <w:sz w:val="18"/>
          <w:szCs w:val="18"/>
        </w:rPr>
        <w:t>ax Reform and the tax impacts from the ISecG divestiture that we had in 2017, but not in 2018. The reduction of the U.S. statutory rate, combined with the net impact of the enactment or repeal of specific tax law provisions through Tax Reform, drove the re</w:t>
      </w:r>
      <w:r>
        <w:rPr>
          <w:rFonts w:ascii="Arial" w:eastAsia="宋体" w:hAnsi="Arial" w:cs="Arial"/>
          <w:color w:val="333333"/>
          <w:sz w:val="18"/>
          <w:szCs w:val="18"/>
        </w:rPr>
        <w:t xml:space="preserve">maining decrease in our effective tax rate in 2018. </w:t>
      </w:r>
    </w:p>
    <w:p w14:paraId="4ACE4C03"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derive the effective tax rate benefit attributed to non-U.S. income taxed at different rates primarily from our operations in China, Hong Kong, Ireland, and Israel. The statutory tax rates in these ju</w:t>
      </w:r>
      <w:r>
        <w:rPr>
          <w:rFonts w:ascii="Arial" w:eastAsia="宋体" w:hAnsi="Arial" w:cs="Arial"/>
          <w:color w:val="333333"/>
          <w:sz w:val="18"/>
          <w:szCs w:val="18"/>
        </w:rPr>
        <w:t xml:space="preserve">risdictions range from 12.5% to 25.0%. In addition, we are subject to reduced tax rates in China and Israel as long as we conduct certain eligible activities and make certain capital investments. These conditional reduced tax rates expire at various dates </w:t>
      </w:r>
      <w:r>
        <w:rPr>
          <w:rFonts w:ascii="Arial" w:eastAsia="宋体" w:hAnsi="Arial" w:cs="Arial"/>
          <w:color w:val="333333"/>
          <w:sz w:val="18"/>
          <w:szCs w:val="18"/>
        </w:rPr>
        <w:t>through 2026 and we expect to apply for renewals upon expiration.</w:t>
      </w:r>
    </w:p>
    <w:p w14:paraId="4ACE4C04"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4C06" w14:textId="77777777">
        <w:tc>
          <w:tcPr>
            <w:tcW w:w="0" w:type="auto"/>
            <w:gridSpan w:val="3"/>
            <w:shd w:val="clear" w:color="auto" w:fill="auto"/>
            <w:vAlign w:val="center"/>
          </w:tcPr>
          <w:p w14:paraId="4ACE4C05" w14:textId="77777777" w:rsidR="006F587A" w:rsidRDefault="006F587A">
            <w:pPr>
              <w:rPr>
                <w:rFonts w:ascii="Times New Roman" w:hAnsi="Times New Roman"/>
                <w:sz w:val="20"/>
                <w:szCs w:val="20"/>
              </w:rPr>
            </w:pPr>
          </w:p>
        </w:tc>
      </w:tr>
      <w:tr w:rsidR="006F587A" w14:paraId="4ACE4C0A" w14:textId="77777777">
        <w:tc>
          <w:tcPr>
            <w:tcW w:w="1300" w:type="pct"/>
            <w:shd w:val="clear" w:color="auto" w:fill="auto"/>
            <w:vAlign w:val="center"/>
          </w:tcPr>
          <w:p w14:paraId="4ACE4C07" w14:textId="77777777" w:rsidR="006F587A" w:rsidRDefault="006F587A">
            <w:pPr>
              <w:rPr>
                <w:rFonts w:ascii="Times New Roman" w:hAnsi="Times New Roman"/>
                <w:sz w:val="20"/>
                <w:szCs w:val="20"/>
              </w:rPr>
            </w:pPr>
          </w:p>
        </w:tc>
        <w:tc>
          <w:tcPr>
            <w:tcW w:w="1600" w:type="pct"/>
            <w:shd w:val="clear" w:color="auto" w:fill="auto"/>
            <w:vAlign w:val="center"/>
          </w:tcPr>
          <w:p w14:paraId="4ACE4C08" w14:textId="77777777" w:rsidR="006F587A" w:rsidRDefault="006F587A">
            <w:pPr>
              <w:rPr>
                <w:rFonts w:ascii="Times New Roman" w:hAnsi="Times New Roman"/>
                <w:sz w:val="20"/>
                <w:szCs w:val="20"/>
              </w:rPr>
            </w:pPr>
          </w:p>
        </w:tc>
        <w:tc>
          <w:tcPr>
            <w:tcW w:w="2100" w:type="pct"/>
            <w:shd w:val="clear" w:color="auto" w:fill="auto"/>
            <w:vAlign w:val="center"/>
          </w:tcPr>
          <w:p w14:paraId="4ACE4C09" w14:textId="77777777" w:rsidR="006F587A" w:rsidRDefault="006F587A">
            <w:pPr>
              <w:rPr>
                <w:rFonts w:ascii="Times New Roman" w:hAnsi="Times New Roman"/>
                <w:sz w:val="20"/>
                <w:szCs w:val="20"/>
              </w:rPr>
            </w:pPr>
          </w:p>
        </w:tc>
      </w:tr>
      <w:tr w:rsidR="006F587A" w14:paraId="4ACE4C0E" w14:textId="77777777">
        <w:tc>
          <w:tcPr>
            <w:tcW w:w="0" w:type="auto"/>
            <w:tcBorders>
              <w:top w:val="single" w:sz="8" w:space="0" w:color="0071C5"/>
            </w:tcBorders>
            <w:shd w:val="clear" w:color="auto" w:fill="auto"/>
            <w:tcMar>
              <w:top w:w="40" w:type="dxa"/>
              <w:left w:w="40" w:type="dxa"/>
              <w:bottom w:w="40" w:type="dxa"/>
              <w:right w:w="40" w:type="dxa"/>
            </w:tcMar>
            <w:vAlign w:val="bottom"/>
          </w:tcPr>
          <w:p w14:paraId="4ACE4C0B" w14:textId="77777777" w:rsidR="006F587A" w:rsidRDefault="007B2B61">
            <w:pPr>
              <w:textAlignment w:val="bottom"/>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ED" wp14:editId="4ACE6DEE">
                  <wp:extent cx="304800" cy="304800"/>
                  <wp:effectExtent l="0" t="0" r="0" b="0"/>
                  <wp:docPr id="82" name="图片 312"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312"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left w:val="single" w:sz="36" w:space="0" w:color="0071C5"/>
            </w:tcBorders>
            <w:shd w:val="clear" w:color="auto" w:fill="auto"/>
            <w:tcMar>
              <w:top w:w="40" w:type="dxa"/>
              <w:left w:w="40" w:type="dxa"/>
              <w:bottom w:w="40" w:type="dxa"/>
              <w:right w:w="40" w:type="dxa"/>
            </w:tcMar>
            <w:vAlign w:val="bottom"/>
          </w:tcPr>
          <w:p w14:paraId="4ACE4C0C" w14:textId="77777777" w:rsidR="006F587A" w:rsidRDefault="007B2B61">
            <w:pPr>
              <w:textAlignment w:val="bottom"/>
              <w:rPr>
                <w:rFonts w:ascii="Times New Roman" w:hAnsi="Times New Roman"/>
                <w:sz w:val="16"/>
                <w:szCs w:val="16"/>
              </w:rPr>
            </w:pPr>
            <w:r>
              <w:rPr>
                <w:rFonts w:ascii="Arial" w:eastAsia="宋体" w:hAnsi="Arial" w:cs="Arial"/>
                <w:color w:val="333333"/>
                <w:sz w:val="16"/>
                <w:szCs w:val="16"/>
              </w:rPr>
              <w:t> Notes to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4C0D"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87</w:t>
            </w:r>
          </w:p>
        </w:tc>
      </w:tr>
    </w:tbl>
    <w:p w14:paraId="4ACE4C0F" w14:textId="77777777" w:rsidR="006F587A" w:rsidRDefault="007B2B61">
      <w:r>
        <w:pict w14:anchorId="4ACE6DEF">
          <v:rect id="_x0000_i1113" style="width:415.3pt;height:1.5pt" o:hralign="center" o:hrstd="t" o:hr="t" fillcolor="#a0a0a0" stroked="f"/>
        </w:pict>
      </w:r>
    </w:p>
    <w:p w14:paraId="4ACE4C10" w14:textId="77777777" w:rsidR="006F587A" w:rsidRDefault="007B2B61">
      <w:pPr>
        <w:spacing w:line="288" w:lineRule="auto"/>
        <w:jc w:val="right"/>
        <w:rPr>
          <w:rFonts w:ascii="Times New Roman" w:hAnsi="Times New Roman"/>
          <w:sz w:val="16"/>
          <w:szCs w:val="16"/>
        </w:rPr>
      </w:pPr>
      <w:hyperlink r:id="rId152" w:anchor="s9DB683E2CF52561EB8A73BE37F5BF9BE" w:history="1">
        <w:r>
          <w:rPr>
            <w:rStyle w:val="a5"/>
            <w:rFonts w:ascii="Arial" w:eastAsia="宋体" w:hAnsi="Arial" w:cs="Arial"/>
            <w:b/>
            <w:bCs/>
            <w:sz w:val="16"/>
            <w:szCs w:val="16"/>
          </w:rPr>
          <w:t>Table of Contents</w:t>
        </w:r>
      </w:hyperlink>
    </w:p>
    <w:p w14:paraId="4ACE4C11" w14:textId="77777777" w:rsidR="006F587A" w:rsidRDefault="006F587A">
      <w:pPr>
        <w:spacing w:line="288" w:lineRule="auto"/>
        <w:jc w:val="right"/>
        <w:rPr>
          <w:rFonts w:ascii="Times New Roman" w:hAnsi="Times New Roman"/>
          <w:sz w:val="16"/>
          <w:szCs w:val="16"/>
        </w:rPr>
      </w:pPr>
    </w:p>
    <w:p w14:paraId="4ACE4C12" w14:textId="77777777" w:rsidR="006F587A" w:rsidRDefault="006F587A">
      <w:pPr>
        <w:rPr>
          <w:rFonts w:ascii="Times New Roman" w:hAnsi="Times New Roman"/>
          <w:sz w:val="20"/>
          <w:szCs w:val="20"/>
        </w:rPr>
      </w:pPr>
    </w:p>
    <w:p w14:paraId="4ACE4C13" w14:textId="77777777" w:rsidR="006F587A" w:rsidRDefault="007B2B61">
      <w:pPr>
        <w:spacing w:line="288" w:lineRule="auto"/>
        <w:rPr>
          <w:rFonts w:ascii="Times New Roman" w:hAnsi="Times New Roman"/>
        </w:rPr>
      </w:pPr>
      <w:r>
        <w:rPr>
          <w:rFonts w:ascii="Arial" w:eastAsia="宋体" w:hAnsi="Arial" w:cs="Arial"/>
          <w:b/>
          <w:bCs/>
          <w:color w:val="0071C5"/>
        </w:rPr>
        <w:t>DEFERRED AND CURRENT INCOME TAXES</w:t>
      </w:r>
    </w:p>
    <w:p w14:paraId="4ACE4C14" w14:textId="77777777" w:rsidR="006F587A" w:rsidRDefault="007B2B61">
      <w:pPr>
        <w:spacing w:line="288" w:lineRule="auto"/>
        <w:rPr>
          <w:rFonts w:ascii="Times New Roman" w:hAnsi="Times New Roman"/>
          <w:sz w:val="20"/>
          <w:szCs w:val="20"/>
        </w:rPr>
      </w:pPr>
      <w:r>
        <w:rPr>
          <w:rFonts w:ascii="Arial" w:eastAsia="宋体" w:hAnsi="Arial" w:cs="Arial"/>
          <w:color w:val="333333"/>
          <w:sz w:val="18"/>
          <w:szCs w:val="18"/>
        </w:rPr>
        <w:t>Deferred income taxes reflect the net tax</w:t>
      </w:r>
      <w:r>
        <w:rPr>
          <w:rFonts w:ascii="Arial" w:eastAsia="宋体" w:hAnsi="Arial" w:cs="Arial"/>
          <w:color w:val="333333"/>
          <w:sz w:val="18"/>
          <w:szCs w:val="18"/>
        </w:rPr>
        <w:t xml:space="preserve"> effects of temporary differences between the carrying amounts of assets and liabilities for financial reporting purposes and the amounts for income tax purposes. Significant components of our deferred tax assets and liabilities at the end of each period w</w:t>
      </w:r>
      <w:r>
        <w:rPr>
          <w:rFonts w:ascii="Arial" w:eastAsia="宋体" w:hAnsi="Arial" w:cs="Arial"/>
          <w:color w:val="333333"/>
          <w:sz w:val="18"/>
          <w:szCs w:val="18"/>
        </w:rPr>
        <w:t>ere as follows:</w:t>
      </w:r>
    </w:p>
    <w:tbl>
      <w:tblPr>
        <w:tblW w:w="5000" w:type="pct"/>
        <w:tblCellMar>
          <w:left w:w="0" w:type="dxa"/>
          <w:right w:w="0" w:type="dxa"/>
        </w:tblCellMar>
        <w:tblLook w:val="04A0" w:firstRow="1" w:lastRow="0" w:firstColumn="1" w:lastColumn="0" w:noHBand="0" w:noVBand="1"/>
      </w:tblPr>
      <w:tblGrid>
        <w:gridCol w:w="6064"/>
        <w:gridCol w:w="130"/>
        <w:gridCol w:w="142"/>
        <w:gridCol w:w="749"/>
        <w:gridCol w:w="100"/>
        <w:gridCol w:w="130"/>
        <w:gridCol w:w="142"/>
        <w:gridCol w:w="749"/>
        <w:gridCol w:w="100"/>
      </w:tblGrid>
      <w:tr w:rsidR="006F587A" w14:paraId="4ACE4C16" w14:textId="77777777">
        <w:tc>
          <w:tcPr>
            <w:tcW w:w="0" w:type="auto"/>
            <w:gridSpan w:val="9"/>
            <w:shd w:val="clear" w:color="auto" w:fill="auto"/>
            <w:vAlign w:val="center"/>
          </w:tcPr>
          <w:p w14:paraId="4ACE4C15" w14:textId="77777777" w:rsidR="006F587A" w:rsidRDefault="006F587A">
            <w:pPr>
              <w:rPr>
                <w:rFonts w:ascii="Times New Roman" w:hAnsi="Times New Roman"/>
                <w:sz w:val="20"/>
                <w:szCs w:val="20"/>
              </w:rPr>
            </w:pPr>
          </w:p>
        </w:tc>
      </w:tr>
      <w:tr w:rsidR="006F587A" w14:paraId="4ACE4C20" w14:textId="77777777">
        <w:tc>
          <w:tcPr>
            <w:tcW w:w="3700" w:type="pct"/>
            <w:shd w:val="clear" w:color="auto" w:fill="auto"/>
            <w:vAlign w:val="center"/>
          </w:tcPr>
          <w:p w14:paraId="4ACE4C17" w14:textId="77777777" w:rsidR="006F587A" w:rsidRDefault="006F587A">
            <w:pPr>
              <w:rPr>
                <w:rFonts w:ascii="Times New Roman" w:hAnsi="Times New Roman"/>
                <w:sz w:val="20"/>
                <w:szCs w:val="20"/>
              </w:rPr>
            </w:pPr>
          </w:p>
        </w:tc>
        <w:tc>
          <w:tcPr>
            <w:tcW w:w="50" w:type="pct"/>
            <w:shd w:val="clear" w:color="auto" w:fill="auto"/>
            <w:vAlign w:val="center"/>
          </w:tcPr>
          <w:p w14:paraId="4ACE4C18" w14:textId="77777777" w:rsidR="006F587A" w:rsidRDefault="006F587A">
            <w:pPr>
              <w:rPr>
                <w:rFonts w:ascii="Times New Roman" w:hAnsi="Times New Roman"/>
                <w:sz w:val="20"/>
                <w:szCs w:val="20"/>
              </w:rPr>
            </w:pPr>
          </w:p>
        </w:tc>
        <w:tc>
          <w:tcPr>
            <w:tcW w:w="50" w:type="pct"/>
            <w:shd w:val="clear" w:color="auto" w:fill="auto"/>
            <w:vAlign w:val="center"/>
          </w:tcPr>
          <w:p w14:paraId="4ACE4C19" w14:textId="77777777" w:rsidR="006F587A" w:rsidRDefault="006F587A">
            <w:pPr>
              <w:rPr>
                <w:rFonts w:ascii="Times New Roman" w:hAnsi="Times New Roman"/>
                <w:sz w:val="20"/>
                <w:szCs w:val="20"/>
              </w:rPr>
            </w:pPr>
          </w:p>
        </w:tc>
        <w:tc>
          <w:tcPr>
            <w:tcW w:w="500" w:type="pct"/>
            <w:shd w:val="clear" w:color="auto" w:fill="auto"/>
            <w:vAlign w:val="center"/>
          </w:tcPr>
          <w:p w14:paraId="4ACE4C1A" w14:textId="77777777" w:rsidR="006F587A" w:rsidRDefault="006F587A">
            <w:pPr>
              <w:rPr>
                <w:rFonts w:ascii="Times New Roman" w:hAnsi="Times New Roman"/>
                <w:sz w:val="20"/>
                <w:szCs w:val="20"/>
              </w:rPr>
            </w:pPr>
          </w:p>
        </w:tc>
        <w:tc>
          <w:tcPr>
            <w:tcW w:w="50" w:type="pct"/>
            <w:shd w:val="clear" w:color="auto" w:fill="auto"/>
            <w:vAlign w:val="center"/>
          </w:tcPr>
          <w:p w14:paraId="4ACE4C1B" w14:textId="77777777" w:rsidR="006F587A" w:rsidRDefault="006F587A">
            <w:pPr>
              <w:rPr>
                <w:rFonts w:ascii="Times New Roman" w:hAnsi="Times New Roman"/>
                <w:sz w:val="20"/>
                <w:szCs w:val="20"/>
              </w:rPr>
            </w:pPr>
          </w:p>
        </w:tc>
        <w:tc>
          <w:tcPr>
            <w:tcW w:w="50" w:type="pct"/>
            <w:shd w:val="clear" w:color="auto" w:fill="auto"/>
            <w:vAlign w:val="center"/>
          </w:tcPr>
          <w:p w14:paraId="4ACE4C1C" w14:textId="77777777" w:rsidR="006F587A" w:rsidRDefault="006F587A">
            <w:pPr>
              <w:rPr>
                <w:rFonts w:ascii="Times New Roman" w:hAnsi="Times New Roman"/>
                <w:sz w:val="20"/>
                <w:szCs w:val="20"/>
              </w:rPr>
            </w:pPr>
          </w:p>
        </w:tc>
        <w:tc>
          <w:tcPr>
            <w:tcW w:w="50" w:type="pct"/>
            <w:shd w:val="clear" w:color="auto" w:fill="auto"/>
            <w:vAlign w:val="center"/>
          </w:tcPr>
          <w:p w14:paraId="4ACE4C1D" w14:textId="77777777" w:rsidR="006F587A" w:rsidRDefault="006F587A">
            <w:pPr>
              <w:rPr>
                <w:rFonts w:ascii="Times New Roman" w:hAnsi="Times New Roman"/>
                <w:sz w:val="20"/>
                <w:szCs w:val="20"/>
              </w:rPr>
            </w:pPr>
          </w:p>
        </w:tc>
        <w:tc>
          <w:tcPr>
            <w:tcW w:w="500" w:type="pct"/>
            <w:shd w:val="clear" w:color="auto" w:fill="auto"/>
            <w:vAlign w:val="center"/>
          </w:tcPr>
          <w:p w14:paraId="4ACE4C1E" w14:textId="77777777" w:rsidR="006F587A" w:rsidRDefault="006F587A">
            <w:pPr>
              <w:rPr>
                <w:rFonts w:ascii="Times New Roman" w:hAnsi="Times New Roman"/>
                <w:sz w:val="20"/>
                <w:szCs w:val="20"/>
              </w:rPr>
            </w:pPr>
          </w:p>
        </w:tc>
        <w:tc>
          <w:tcPr>
            <w:tcW w:w="50" w:type="pct"/>
            <w:shd w:val="clear" w:color="auto" w:fill="auto"/>
            <w:vAlign w:val="center"/>
          </w:tcPr>
          <w:p w14:paraId="4ACE4C1F" w14:textId="77777777" w:rsidR="006F587A" w:rsidRDefault="006F587A">
            <w:pPr>
              <w:rPr>
                <w:rFonts w:ascii="Times New Roman" w:hAnsi="Times New Roman"/>
                <w:sz w:val="20"/>
                <w:szCs w:val="20"/>
              </w:rPr>
            </w:pPr>
          </w:p>
        </w:tc>
      </w:tr>
      <w:tr w:rsidR="006F587A" w14:paraId="4ACE4C26"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4C21"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4ACE4C2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C23"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28, </w:t>
            </w:r>
            <w:r>
              <w:rPr>
                <w:rFonts w:ascii="Arial" w:eastAsia="宋体" w:hAnsi="Arial" w:cs="Arial"/>
                <w:b/>
                <w:bCs/>
                <w:color w:val="333333"/>
                <w:sz w:val="18"/>
                <w:szCs w:val="18"/>
              </w:rPr>
              <w:br/>
              <w:t>2019</w:t>
            </w:r>
          </w:p>
        </w:tc>
        <w:tc>
          <w:tcPr>
            <w:tcW w:w="0" w:type="auto"/>
            <w:shd w:val="clear" w:color="auto" w:fill="auto"/>
            <w:tcMar>
              <w:top w:w="40" w:type="dxa"/>
              <w:left w:w="40" w:type="dxa"/>
              <w:bottom w:w="40" w:type="dxa"/>
              <w:right w:w="40" w:type="dxa"/>
            </w:tcMar>
            <w:vAlign w:val="bottom"/>
          </w:tcPr>
          <w:p w14:paraId="4ACE4C2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C25"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29, </w:t>
            </w:r>
            <w:r>
              <w:rPr>
                <w:rFonts w:ascii="Arial" w:eastAsia="宋体" w:hAnsi="Arial" w:cs="Arial"/>
                <w:b/>
                <w:bCs/>
                <w:color w:val="333333"/>
                <w:sz w:val="18"/>
                <w:szCs w:val="18"/>
              </w:rPr>
              <w:br/>
              <w:t>2018</w:t>
            </w:r>
          </w:p>
        </w:tc>
      </w:tr>
      <w:tr w:rsidR="006F587A" w14:paraId="4ACE4C2C" w14:textId="77777777">
        <w:tc>
          <w:tcPr>
            <w:tcW w:w="0" w:type="auto"/>
            <w:shd w:val="clear" w:color="auto" w:fill="auto"/>
            <w:tcMar>
              <w:top w:w="40" w:type="dxa"/>
              <w:left w:w="40" w:type="dxa"/>
              <w:bottom w:w="40" w:type="dxa"/>
              <w:right w:w="40" w:type="dxa"/>
            </w:tcMar>
            <w:vAlign w:val="bottom"/>
          </w:tcPr>
          <w:p w14:paraId="4ACE4C2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Deferred tax assets:</w:t>
            </w:r>
          </w:p>
        </w:tc>
        <w:tc>
          <w:tcPr>
            <w:tcW w:w="0" w:type="auto"/>
            <w:shd w:val="clear" w:color="auto" w:fill="auto"/>
            <w:tcMar>
              <w:top w:w="40" w:type="dxa"/>
              <w:left w:w="40" w:type="dxa"/>
              <w:bottom w:w="40" w:type="dxa"/>
              <w:right w:w="40" w:type="dxa"/>
            </w:tcMar>
            <w:vAlign w:val="bottom"/>
          </w:tcPr>
          <w:p w14:paraId="4ACE4C2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C2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C2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C2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4C36" w14:textId="77777777">
        <w:tc>
          <w:tcPr>
            <w:tcW w:w="0" w:type="auto"/>
            <w:shd w:val="clear" w:color="auto" w:fill="auto"/>
            <w:tcMar>
              <w:top w:w="40" w:type="dxa"/>
              <w:left w:w="240" w:type="dxa"/>
              <w:bottom w:w="40" w:type="dxa"/>
              <w:right w:w="40" w:type="dxa"/>
            </w:tcMar>
            <w:vAlign w:val="bottom"/>
          </w:tcPr>
          <w:p w14:paraId="4ACE4C2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Accrued compensation and other benefits</w:t>
            </w:r>
          </w:p>
        </w:tc>
        <w:tc>
          <w:tcPr>
            <w:tcW w:w="0" w:type="auto"/>
            <w:shd w:val="clear" w:color="auto" w:fill="auto"/>
            <w:tcMar>
              <w:top w:w="40" w:type="dxa"/>
              <w:left w:w="40" w:type="dxa"/>
              <w:bottom w:w="40" w:type="dxa"/>
              <w:right w:w="40" w:type="dxa"/>
            </w:tcMar>
            <w:vAlign w:val="bottom"/>
          </w:tcPr>
          <w:p w14:paraId="4ACE4C2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C2F"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4C30"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740</w:t>
            </w:r>
          </w:p>
        </w:tc>
        <w:tc>
          <w:tcPr>
            <w:tcW w:w="0" w:type="auto"/>
            <w:shd w:val="clear" w:color="auto" w:fill="auto"/>
            <w:vAlign w:val="bottom"/>
          </w:tcPr>
          <w:p w14:paraId="4ACE4C3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C3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C3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4C3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570</w:t>
            </w:r>
          </w:p>
        </w:tc>
        <w:tc>
          <w:tcPr>
            <w:tcW w:w="0" w:type="auto"/>
            <w:shd w:val="clear" w:color="auto" w:fill="auto"/>
            <w:vAlign w:val="bottom"/>
          </w:tcPr>
          <w:p w14:paraId="4ACE4C35" w14:textId="77777777" w:rsidR="006F587A" w:rsidRDefault="006F587A">
            <w:pPr>
              <w:textAlignment w:val="bottom"/>
              <w:rPr>
                <w:rFonts w:ascii="Times New Roman" w:hAnsi="Times New Roman"/>
                <w:sz w:val="20"/>
                <w:szCs w:val="20"/>
              </w:rPr>
            </w:pPr>
          </w:p>
        </w:tc>
      </w:tr>
      <w:tr w:rsidR="006F587A" w14:paraId="4ACE4C3E" w14:textId="77777777">
        <w:tc>
          <w:tcPr>
            <w:tcW w:w="0" w:type="auto"/>
            <w:shd w:val="clear" w:color="auto" w:fill="auto"/>
            <w:tcMar>
              <w:top w:w="40" w:type="dxa"/>
              <w:left w:w="240" w:type="dxa"/>
              <w:bottom w:w="40" w:type="dxa"/>
              <w:right w:w="40" w:type="dxa"/>
            </w:tcMar>
            <w:vAlign w:val="bottom"/>
          </w:tcPr>
          <w:p w14:paraId="4ACE4C3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Share-based compensation</w:t>
            </w:r>
          </w:p>
        </w:tc>
        <w:tc>
          <w:tcPr>
            <w:tcW w:w="0" w:type="auto"/>
            <w:shd w:val="clear" w:color="auto" w:fill="auto"/>
            <w:tcMar>
              <w:top w:w="40" w:type="dxa"/>
              <w:left w:w="40" w:type="dxa"/>
              <w:bottom w:w="40" w:type="dxa"/>
              <w:right w:w="40" w:type="dxa"/>
            </w:tcMar>
            <w:vAlign w:val="bottom"/>
          </w:tcPr>
          <w:p w14:paraId="4ACE4C3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C39"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294</w:t>
            </w:r>
          </w:p>
        </w:tc>
        <w:tc>
          <w:tcPr>
            <w:tcW w:w="0" w:type="auto"/>
            <w:shd w:val="clear" w:color="auto" w:fill="auto"/>
            <w:vAlign w:val="bottom"/>
          </w:tcPr>
          <w:p w14:paraId="4ACE4C3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C3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C3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273</w:t>
            </w:r>
          </w:p>
        </w:tc>
        <w:tc>
          <w:tcPr>
            <w:tcW w:w="0" w:type="auto"/>
            <w:shd w:val="clear" w:color="auto" w:fill="auto"/>
            <w:vAlign w:val="bottom"/>
          </w:tcPr>
          <w:p w14:paraId="4ACE4C3D" w14:textId="77777777" w:rsidR="006F587A" w:rsidRDefault="006F587A">
            <w:pPr>
              <w:textAlignment w:val="bottom"/>
              <w:rPr>
                <w:rFonts w:ascii="Times New Roman" w:hAnsi="Times New Roman"/>
                <w:sz w:val="20"/>
                <w:szCs w:val="20"/>
              </w:rPr>
            </w:pPr>
          </w:p>
        </w:tc>
      </w:tr>
      <w:tr w:rsidR="006F587A" w14:paraId="4ACE4C46" w14:textId="77777777">
        <w:tc>
          <w:tcPr>
            <w:tcW w:w="0" w:type="auto"/>
            <w:shd w:val="clear" w:color="auto" w:fill="auto"/>
            <w:tcMar>
              <w:top w:w="40" w:type="dxa"/>
              <w:left w:w="240" w:type="dxa"/>
              <w:bottom w:w="40" w:type="dxa"/>
              <w:right w:w="40" w:type="dxa"/>
            </w:tcMar>
            <w:vAlign w:val="bottom"/>
          </w:tcPr>
          <w:p w14:paraId="4ACE4C3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Inventory</w:t>
            </w:r>
          </w:p>
        </w:tc>
        <w:tc>
          <w:tcPr>
            <w:tcW w:w="0" w:type="auto"/>
            <w:shd w:val="clear" w:color="auto" w:fill="auto"/>
            <w:tcMar>
              <w:top w:w="40" w:type="dxa"/>
              <w:left w:w="40" w:type="dxa"/>
              <w:bottom w:w="40" w:type="dxa"/>
              <w:right w:w="40" w:type="dxa"/>
            </w:tcMar>
            <w:vAlign w:val="bottom"/>
          </w:tcPr>
          <w:p w14:paraId="4ACE4C4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C41"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760</w:t>
            </w:r>
          </w:p>
        </w:tc>
        <w:tc>
          <w:tcPr>
            <w:tcW w:w="0" w:type="auto"/>
            <w:shd w:val="clear" w:color="auto" w:fill="auto"/>
            <w:vAlign w:val="bottom"/>
          </w:tcPr>
          <w:p w14:paraId="4ACE4C4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C4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C4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517</w:t>
            </w:r>
          </w:p>
        </w:tc>
        <w:tc>
          <w:tcPr>
            <w:tcW w:w="0" w:type="auto"/>
            <w:shd w:val="clear" w:color="auto" w:fill="auto"/>
            <w:vAlign w:val="bottom"/>
          </w:tcPr>
          <w:p w14:paraId="4ACE4C45" w14:textId="77777777" w:rsidR="006F587A" w:rsidRDefault="006F587A">
            <w:pPr>
              <w:textAlignment w:val="bottom"/>
              <w:rPr>
                <w:rFonts w:ascii="Times New Roman" w:hAnsi="Times New Roman"/>
                <w:sz w:val="20"/>
                <w:szCs w:val="20"/>
              </w:rPr>
            </w:pPr>
          </w:p>
        </w:tc>
      </w:tr>
      <w:tr w:rsidR="006F587A" w14:paraId="4ACE4C4E" w14:textId="77777777">
        <w:tc>
          <w:tcPr>
            <w:tcW w:w="0" w:type="auto"/>
            <w:shd w:val="clear" w:color="auto" w:fill="auto"/>
            <w:tcMar>
              <w:top w:w="40" w:type="dxa"/>
              <w:left w:w="240" w:type="dxa"/>
              <w:bottom w:w="40" w:type="dxa"/>
              <w:right w:w="40" w:type="dxa"/>
            </w:tcMar>
            <w:vAlign w:val="bottom"/>
          </w:tcPr>
          <w:p w14:paraId="4ACE4C4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State credits and net </w:t>
            </w:r>
            <w:r>
              <w:rPr>
                <w:rFonts w:ascii="Arial" w:eastAsia="宋体" w:hAnsi="Arial" w:cs="Arial"/>
                <w:color w:val="333333"/>
                <w:sz w:val="18"/>
                <w:szCs w:val="18"/>
              </w:rPr>
              <w:t>operating losses</w:t>
            </w:r>
          </w:p>
        </w:tc>
        <w:tc>
          <w:tcPr>
            <w:tcW w:w="0" w:type="auto"/>
            <w:shd w:val="clear" w:color="auto" w:fill="auto"/>
            <w:tcMar>
              <w:top w:w="40" w:type="dxa"/>
              <w:left w:w="40" w:type="dxa"/>
              <w:bottom w:w="40" w:type="dxa"/>
              <w:right w:w="40" w:type="dxa"/>
            </w:tcMar>
            <w:vAlign w:val="bottom"/>
          </w:tcPr>
          <w:p w14:paraId="4ACE4C4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C49"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1,511</w:t>
            </w:r>
          </w:p>
        </w:tc>
        <w:tc>
          <w:tcPr>
            <w:tcW w:w="0" w:type="auto"/>
            <w:shd w:val="clear" w:color="auto" w:fill="auto"/>
            <w:vAlign w:val="bottom"/>
          </w:tcPr>
          <w:p w14:paraId="4ACE4C4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C4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C4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1,297</w:t>
            </w:r>
          </w:p>
        </w:tc>
        <w:tc>
          <w:tcPr>
            <w:tcW w:w="0" w:type="auto"/>
            <w:shd w:val="clear" w:color="auto" w:fill="auto"/>
            <w:vAlign w:val="bottom"/>
          </w:tcPr>
          <w:p w14:paraId="4ACE4C4D" w14:textId="77777777" w:rsidR="006F587A" w:rsidRDefault="006F587A">
            <w:pPr>
              <w:textAlignment w:val="bottom"/>
              <w:rPr>
                <w:rFonts w:ascii="Times New Roman" w:hAnsi="Times New Roman"/>
                <w:sz w:val="20"/>
                <w:szCs w:val="20"/>
              </w:rPr>
            </w:pPr>
          </w:p>
        </w:tc>
      </w:tr>
      <w:tr w:rsidR="006F587A" w14:paraId="4ACE4C56" w14:textId="77777777">
        <w:tc>
          <w:tcPr>
            <w:tcW w:w="0" w:type="auto"/>
            <w:shd w:val="clear" w:color="auto" w:fill="auto"/>
            <w:tcMar>
              <w:top w:w="40" w:type="dxa"/>
              <w:left w:w="240" w:type="dxa"/>
              <w:bottom w:w="40" w:type="dxa"/>
              <w:right w:w="40" w:type="dxa"/>
            </w:tcMar>
            <w:vAlign w:val="bottom"/>
          </w:tcPr>
          <w:p w14:paraId="4ACE4C4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Other, net</w:t>
            </w:r>
          </w:p>
        </w:tc>
        <w:tc>
          <w:tcPr>
            <w:tcW w:w="0" w:type="auto"/>
            <w:shd w:val="clear" w:color="auto" w:fill="auto"/>
            <w:tcMar>
              <w:top w:w="40" w:type="dxa"/>
              <w:left w:w="40" w:type="dxa"/>
              <w:bottom w:w="40" w:type="dxa"/>
              <w:right w:w="40" w:type="dxa"/>
            </w:tcMar>
            <w:vAlign w:val="bottom"/>
          </w:tcPr>
          <w:p w14:paraId="4ACE4C5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4C51"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515</w:t>
            </w:r>
          </w:p>
        </w:tc>
        <w:tc>
          <w:tcPr>
            <w:tcW w:w="0" w:type="auto"/>
            <w:tcBorders>
              <w:bottom w:val="single" w:sz="8" w:space="0" w:color="333333"/>
            </w:tcBorders>
            <w:shd w:val="clear" w:color="auto" w:fill="auto"/>
            <w:vAlign w:val="bottom"/>
          </w:tcPr>
          <w:p w14:paraId="4ACE4C5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C5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4C5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512</w:t>
            </w:r>
          </w:p>
        </w:tc>
        <w:tc>
          <w:tcPr>
            <w:tcW w:w="0" w:type="auto"/>
            <w:tcBorders>
              <w:bottom w:val="single" w:sz="8" w:space="0" w:color="333333"/>
            </w:tcBorders>
            <w:shd w:val="clear" w:color="auto" w:fill="auto"/>
            <w:vAlign w:val="bottom"/>
          </w:tcPr>
          <w:p w14:paraId="4ACE4C55" w14:textId="77777777" w:rsidR="006F587A" w:rsidRDefault="006F587A">
            <w:pPr>
              <w:textAlignment w:val="bottom"/>
              <w:rPr>
                <w:rFonts w:ascii="Times New Roman" w:hAnsi="Times New Roman"/>
                <w:sz w:val="20"/>
                <w:szCs w:val="20"/>
              </w:rPr>
            </w:pPr>
          </w:p>
        </w:tc>
      </w:tr>
      <w:tr w:rsidR="006F587A" w14:paraId="4ACE4C5E" w14:textId="77777777">
        <w:tc>
          <w:tcPr>
            <w:tcW w:w="0" w:type="auto"/>
            <w:shd w:val="clear" w:color="auto" w:fill="auto"/>
            <w:tcMar>
              <w:top w:w="40" w:type="dxa"/>
              <w:left w:w="40" w:type="dxa"/>
              <w:bottom w:w="40" w:type="dxa"/>
              <w:right w:w="40" w:type="dxa"/>
            </w:tcMar>
            <w:vAlign w:val="bottom"/>
          </w:tcPr>
          <w:p w14:paraId="4ACE4C57"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Gross deferred tax assets</w:t>
            </w:r>
          </w:p>
        </w:tc>
        <w:tc>
          <w:tcPr>
            <w:tcW w:w="0" w:type="auto"/>
            <w:shd w:val="clear" w:color="auto" w:fill="auto"/>
            <w:tcMar>
              <w:top w:w="40" w:type="dxa"/>
              <w:left w:w="40" w:type="dxa"/>
              <w:bottom w:w="40" w:type="dxa"/>
              <w:right w:w="40" w:type="dxa"/>
            </w:tcMar>
            <w:vAlign w:val="bottom"/>
          </w:tcPr>
          <w:p w14:paraId="4ACE4C5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C59"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3,820</w:t>
            </w:r>
          </w:p>
        </w:tc>
        <w:tc>
          <w:tcPr>
            <w:tcW w:w="0" w:type="auto"/>
            <w:shd w:val="clear" w:color="auto" w:fill="auto"/>
            <w:vAlign w:val="bottom"/>
          </w:tcPr>
          <w:p w14:paraId="4ACE4C5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C5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C5C"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3,169</w:t>
            </w:r>
          </w:p>
        </w:tc>
        <w:tc>
          <w:tcPr>
            <w:tcW w:w="0" w:type="auto"/>
            <w:shd w:val="clear" w:color="auto" w:fill="auto"/>
            <w:vAlign w:val="bottom"/>
          </w:tcPr>
          <w:p w14:paraId="4ACE4C5D" w14:textId="77777777" w:rsidR="006F587A" w:rsidRDefault="006F587A">
            <w:pPr>
              <w:textAlignment w:val="bottom"/>
              <w:rPr>
                <w:rFonts w:ascii="Times New Roman" w:hAnsi="Times New Roman"/>
                <w:sz w:val="20"/>
                <w:szCs w:val="20"/>
              </w:rPr>
            </w:pPr>
          </w:p>
        </w:tc>
      </w:tr>
      <w:tr w:rsidR="006F587A" w14:paraId="4ACE4C66" w14:textId="77777777">
        <w:tc>
          <w:tcPr>
            <w:tcW w:w="0" w:type="auto"/>
            <w:shd w:val="clear" w:color="auto" w:fill="auto"/>
            <w:tcMar>
              <w:top w:w="40" w:type="dxa"/>
              <w:left w:w="40" w:type="dxa"/>
              <w:bottom w:w="40" w:type="dxa"/>
              <w:right w:w="40" w:type="dxa"/>
            </w:tcMar>
            <w:vAlign w:val="bottom"/>
          </w:tcPr>
          <w:p w14:paraId="4ACE4C5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Valuation allowance</w:t>
            </w:r>
          </w:p>
        </w:tc>
        <w:tc>
          <w:tcPr>
            <w:tcW w:w="0" w:type="auto"/>
            <w:shd w:val="clear" w:color="auto" w:fill="auto"/>
            <w:tcMar>
              <w:top w:w="40" w:type="dxa"/>
              <w:left w:w="40" w:type="dxa"/>
              <w:bottom w:w="40" w:type="dxa"/>
              <w:right w:w="40" w:type="dxa"/>
            </w:tcMar>
            <w:vAlign w:val="bottom"/>
          </w:tcPr>
          <w:p w14:paraId="4ACE4C6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C61"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(1,534</w:t>
            </w:r>
          </w:p>
        </w:tc>
        <w:tc>
          <w:tcPr>
            <w:tcW w:w="0" w:type="auto"/>
            <w:shd w:val="clear" w:color="auto" w:fill="auto"/>
            <w:tcMar>
              <w:top w:w="40" w:type="dxa"/>
              <w:bottom w:w="40" w:type="dxa"/>
              <w:right w:w="40" w:type="dxa"/>
            </w:tcMar>
            <w:vAlign w:val="bottom"/>
          </w:tcPr>
          <w:p w14:paraId="4ACE4C62"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4C6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C6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(1,302</w:t>
            </w:r>
          </w:p>
        </w:tc>
        <w:tc>
          <w:tcPr>
            <w:tcW w:w="0" w:type="auto"/>
            <w:shd w:val="clear" w:color="auto" w:fill="auto"/>
            <w:tcMar>
              <w:top w:w="40" w:type="dxa"/>
              <w:bottom w:w="40" w:type="dxa"/>
              <w:right w:w="40" w:type="dxa"/>
            </w:tcMar>
            <w:vAlign w:val="bottom"/>
          </w:tcPr>
          <w:p w14:paraId="4ACE4C6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4C6E" w14:textId="77777777">
        <w:tc>
          <w:tcPr>
            <w:tcW w:w="0" w:type="auto"/>
            <w:shd w:val="clear" w:color="auto" w:fill="auto"/>
            <w:tcMar>
              <w:top w:w="40" w:type="dxa"/>
              <w:left w:w="40" w:type="dxa"/>
              <w:bottom w:w="40" w:type="dxa"/>
              <w:right w:w="40" w:type="dxa"/>
            </w:tcMar>
            <w:vAlign w:val="bottom"/>
          </w:tcPr>
          <w:p w14:paraId="4ACE4C67"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Total deferred tax assets</w:t>
            </w:r>
          </w:p>
        </w:tc>
        <w:tc>
          <w:tcPr>
            <w:tcW w:w="0" w:type="auto"/>
            <w:shd w:val="clear" w:color="auto" w:fill="auto"/>
            <w:tcMar>
              <w:top w:w="40" w:type="dxa"/>
              <w:left w:w="40" w:type="dxa"/>
              <w:bottom w:w="40" w:type="dxa"/>
              <w:right w:w="40" w:type="dxa"/>
            </w:tcMar>
            <w:vAlign w:val="bottom"/>
          </w:tcPr>
          <w:p w14:paraId="4ACE4C6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4C69"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2,286</w:t>
            </w:r>
          </w:p>
        </w:tc>
        <w:tc>
          <w:tcPr>
            <w:tcW w:w="0" w:type="auto"/>
            <w:tcBorders>
              <w:top w:val="single" w:sz="8" w:space="0" w:color="333333"/>
              <w:bottom w:val="single" w:sz="8" w:space="0" w:color="333333"/>
            </w:tcBorders>
            <w:shd w:val="clear" w:color="auto" w:fill="auto"/>
            <w:vAlign w:val="bottom"/>
          </w:tcPr>
          <w:p w14:paraId="4ACE4C6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C6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4C6C"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1,867</w:t>
            </w:r>
          </w:p>
        </w:tc>
        <w:tc>
          <w:tcPr>
            <w:tcW w:w="0" w:type="auto"/>
            <w:tcBorders>
              <w:top w:val="single" w:sz="8" w:space="0" w:color="333333"/>
              <w:bottom w:val="single" w:sz="8" w:space="0" w:color="333333"/>
            </w:tcBorders>
            <w:shd w:val="clear" w:color="auto" w:fill="auto"/>
            <w:vAlign w:val="bottom"/>
          </w:tcPr>
          <w:p w14:paraId="4ACE4C6D" w14:textId="77777777" w:rsidR="006F587A" w:rsidRDefault="006F587A">
            <w:pPr>
              <w:textAlignment w:val="bottom"/>
              <w:rPr>
                <w:rFonts w:ascii="Times New Roman" w:hAnsi="Times New Roman"/>
                <w:sz w:val="20"/>
                <w:szCs w:val="20"/>
              </w:rPr>
            </w:pPr>
          </w:p>
        </w:tc>
      </w:tr>
      <w:tr w:rsidR="006F587A" w14:paraId="4ACE4C74" w14:textId="77777777">
        <w:tc>
          <w:tcPr>
            <w:tcW w:w="0" w:type="auto"/>
            <w:shd w:val="clear" w:color="auto" w:fill="auto"/>
            <w:tcMar>
              <w:top w:w="40" w:type="dxa"/>
              <w:left w:w="40" w:type="dxa"/>
              <w:bottom w:w="40" w:type="dxa"/>
              <w:right w:w="40" w:type="dxa"/>
            </w:tcMar>
            <w:vAlign w:val="bottom"/>
          </w:tcPr>
          <w:p w14:paraId="4ACE4C6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Deferred tax liabilities:</w:t>
            </w:r>
          </w:p>
        </w:tc>
        <w:tc>
          <w:tcPr>
            <w:tcW w:w="0" w:type="auto"/>
            <w:shd w:val="clear" w:color="auto" w:fill="auto"/>
            <w:tcMar>
              <w:top w:w="40" w:type="dxa"/>
              <w:left w:w="40" w:type="dxa"/>
              <w:bottom w:w="40" w:type="dxa"/>
              <w:right w:w="40" w:type="dxa"/>
            </w:tcMar>
            <w:vAlign w:val="bottom"/>
          </w:tcPr>
          <w:p w14:paraId="4ACE4C7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C7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C7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C7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4C7C" w14:textId="77777777">
        <w:tc>
          <w:tcPr>
            <w:tcW w:w="0" w:type="auto"/>
            <w:shd w:val="clear" w:color="auto" w:fill="auto"/>
            <w:tcMar>
              <w:top w:w="40" w:type="dxa"/>
              <w:left w:w="240" w:type="dxa"/>
              <w:bottom w:w="40" w:type="dxa"/>
              <w:right w:w="40" w:type="dxa"/>
            </w:tcMar>
            <w:vAlign w:val="bottom"/>
          </w:tcPr>
          <w:p w14:paraId="4ACE4C7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Property, plant and </w:t>
            </w:r>
            <w:r>
              <w:rPr>
                <w:rFonts w:ascii="Arial" w:eastAsia="宋体" w:hAnsi="Arial" w:cs="Arial"/>
                <w:color w:val="333333"/>
                <w:sz w:val="18"/>
                <w:szCs w:val="18"/>
              </w:rPr>
              <w:t>equipment</w:t>
            </w:r>
          </w:p>
        </w:tc>
        <w:tc>
          <w:tcPr>
            <w:tcW w:w="0" w:type="auto"/>
            <w:shd w:val="clear" w:color="auto" w:fill="auto"/>
            <w:tcMar>
              <w:top w:w="40" w:type="dxa"/>
              <w:left w:w="40" w:type="dxa"/>
              <w:bottom w:w="40" w:type="dxa"/>
              <w:right w:w="40" w:type="dxa"/>
            </w:tcMar>
            <w:vAlign w:val="bottom"/>
          </w:tcPr>
          <w:p w14:paraId="4ACE4C7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C77"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(1,807</w:t>
            </w:r>
          </w:p>
        </w:tc>
        <w:tc>
          <w:tcPr>
            <w:tcW w:w="0" w:type="auto"/>
            <w:shd w:val="clear" w:color="auto" w:fill="auto"/>
            <w:tcMar>
              <w:top w:w="40" w:type="dxa"/>
              <w:bottom w:w="40" w:type="dxa"/>
              <w:right w:w="40" w:type="dxa"/>
            </w:tcMar>
            <w:vAlign w:val="bottom"/>
          </w:tcPr>
          <w:p w14:paraId="4ACE4C78"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4C7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C7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(878</w:t>
            </w:r>
          </w:p>
        </w:tc>
        <w:tc>
          <w:tcPr>
            <w:tcW w:w="0" w:type="auto"/>
            <w:shd w:val="clear" w:color="auto" w:fill="auto"/>
            <w:tcMar>
              <w:top w:w="40" w:type="dxa"/>
              <w:bottom w:w="40" w:type="dxa"/>
              <w:right w:w="40" w:type="dxa"/>
            </w:tcMar>
            <w:vAlign w:val="bottom"/>
          </w:tcPr>
          <w:p w14:paraId="4ACE4C7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4C84" w14:textId="77777777">
        <w:tc>
          <w:tcPr>
            <w:tcW w:w="0" w:type="auto"/>
            <w:shd w:val="clear" w:color="auto" w:fill="auto"/>
            <w:tcMar>
              <w:top w:w="40" w:type="dxa"/>
              <w:left w:w="240" w:type="dxa"/>
              <w:bottom w:w="40" w:type="dxa"/>
              <w:right w:w="40" w:type="dxa"/>
            </w:tcMar>
            <w:vAlign w:val="bottom"/>
          </w:tcPr>
          <w:p w14:paraId="4ACE4C7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Licenses and intangibles</w:t>
            </w:r>
          </w:p>
        </w:tc>
        <w:tc>
          <w:tcPr>
            <w:tcW w:w="0" w:type="auto"/>
            <w:shd w:val="clear" w:color="auto" w:fill="auto"/>
            <w:tcMar>
              <w:top w:w="40" w:type="dxa"/>
              <w:left w:w="40" w:type="dxa"/>
              <w:bottom w:w="40" w:type="dxa"/>
              <w:right w:w="40" w:type="dxa"/>
            </w:tcMar>
            <w:vAlign w:val="bottom"/>
          </w:tcPr>
          <w:p w14:paraId="4ACE4C7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C7F"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(720</w:t>
            </w:r>
          </w:p>
        </w:tc>
        <w:tc>
          <w:tcPr>
            <w:tcW w:w="0" w:type="auto"/>
            <w:shd w:val="clear" w:color="auto" w:fill="auto"/>
            <w:tcMar>
              <w:top w:w="40" w:type="dxa"/>
              <w:bottom w:w="40" w:type="dxa"/>
              <w:right w:w="40" w:type="dxa"/>
            </w:tcMar>
            <w:vAlign w:val="bottom"/>
          </w:tcPr>
          <w:p w14:paraId="4ACE4C80"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4C8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C8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(744</w:t>
            </w:r>
          </w:p>
        </w:tc>
        <w:tc>
          <w:tcPr>
            <w:tcW w:w="0" w:type="auto"/>
            <w:shd w:val="clear" w:color="auto" w:fill="auto"/>
            <w:tcMar>
              <w:top w:w="40" w:type="dxa"/>
              <w:bottom w:w="40" w:type="dxa"/>
              <w:right w:w="40" w:type="dxa"/>
            </w:tcMar>
            <w:vAlign w:val="bottom"/>
          </w:tcPr>
          <w:p w14:paraId="4ACE4C8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4C8C" w14:textId="77777777">
        <w:tc>
          <w:tcPr>
            <w:tcW w:w="0" w:type="auto"/>
            <w:shd w:val="clear" w:color="auto" w:fill="auto"/>
            <w:tcMar>
              <w:top w:w="40" w:type="dxa"/>
              <w:left w:w="240" w:type="dxa"/>
              <w:bottom w:w="40" w:type="dxa"/>
              <w:right w:w="40" w:type="dxa"/>
            </w:tcMar>
            <w:vAlign w:val="bottom"/>
          </w:tcPr>
          <w:p w14:paraId="4ACE4C8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Convertible debt</w:t>
            </w:r>
          </w:p>
        </w:tc>
        <w:tc>
          <w:tcPr>
            <w:tcW w:w="0" w:type="auto"/>
            <w:shd w:val="clear" w:color="auto" w:fill="auto"/>
            <w:tcMar>
              <w:top w:w="40" w:type="dxa"/>
              <w:left w:w="40" w:type="dxa"/>
              <w:bottom w:w="40" w:type="dxa"/>
              <w:right w:w="40" w:type="dxa"/>
            </w:tcMar>
            <w:vAlign w:val="bottom"/>
          </w:tcPr>
          <w:p w14:paraId="4ACE4C8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C87"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(88</w:t>
            </w:r>
          </w:p>
        </w:tc>
        <w:tc>
          <w:tcPr>
            <w:tcW w:w="0" w:type="auto"/>
            <w:shd w:val="clear" w:color="auto" w:fill="auto"/>
            <w:tcMar>
              <w:top w:w="40" w:type="dxa"/>
              <w:bottom w:w="40" w:type="dxa"/>
              <w:right w:w="40" w:type="dxa"/>
            </w:tcMar>
            <w:vAlign w:val="bottom"/>
          </w:tcPr>
          <w:p w14:paraId="4ACE4C88"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4C8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C8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(204</w:t>
            </w:r>
          </w:p>
        </w:tc>
        <w:tc>
          <w:tcPr>
            <w:tcW w:w="0" w:type="auto"/>
            <w:shd w:val="clear" w:color="auto" w:fill="auto"/>
            <w:tcMar>
              <w:top w:w="40" w:type="dxa"/>
              <w:bottom w:w="40" w:type="dxa"/>
              <w:right w:w="40" w:type="dxa"/>
            </w:tcMar>
            <w:vAlign w:val="bottom"/>
          </w:tcPr>
          <w:p w14:paraId="4ACE4C8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4C94" w14:textId="77777777">
        <w:tc>
          <w:tcPr>
            <w:tcW w:w="0" w:type="auto"/>
            <w:shd w:val="clear" w:color="auto" w:fill="auto"/>
            <w:tcMar>
              <w:top w:w="40" w:type="dxa"/>
              <w:left w:w="240" w:type="dxa"/>
              <w:bottom w:w="40" w:type="dxa"/>
              <w:right w:w="40" w:type="dxa"/>
            </w:tcMar>
            <w:vAlign w:val="bottom"/>
          </w:tcPr>
          <w:p w14:paraId="4ACE4C8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lastRenderedPageBreak/>
              <w:t>Unrealized gains on investments and derivatives</w:t>
            </w:r>
          </w:p>
        </w:tc>
        <w:tc>
          <w:tcPr>
            <w:tcW w:w="0" w:type="auto"/>
            <w:shd w:val="clear" w:color="auto" w:fill="auto"/>
            <w:tcMar>
              <w:top w:w="40" w:type="dxa"/>
              <w:left w:w="40" w:type="dxa"/>
              <w:bottom w:w="40" w:type="dxa"/>
              <w:right w:w="40" w:type="dxa"/>
            </w:tcMar>
            <w:vAlign w:val="bottom"/>
          </w:tcPr>
          <w:p w14:paraId="4ACE4C8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C8F"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(292</w:t>
            </w:r>
          </w:p>
        </w:tc>
        <w:tc>
          <w:tcPr>
            <w:tcW w:w="0" w:type="auto"/>
            <w:shd w:val="clear" w:color="auto" w:fill="auto"/>
            <w:tcMar>
              <w:top w:w="40" w:type="dxa"/>
              <w:bottom w:w="40" w:type="dxa"/>
              <w:right w:w="40" w:type="dxa"/>
            </w:tcMar>
            <w:vAlign w:val="bottom"/>
          </w:tcPr>
          <w:p w14:paraId="4ACE4C90"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4C9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C9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(266</w:t>
            </w:r>
          </w:p>
        </w:tc>
        <w:tc>
          <w:tcPr>
            <w:tcW w:w="0" w:type="auto"/>
            <w:shd w:val="clear" w:color="auto" w:fill="auto"/>
            <w:tcMar>
              <w:top w:w="40" w:type="dxa"/>
              <w:bottom w:w="40" w:type="dxa"/>
              <w:right w:w="40" w:type="dxa"/>
            </w:tcMar>
            <w:vAlign w:val="bottom"/>
          </w:tcPr>
          <w:p w14:paraId="4ACE4C9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4C9C" w14:textId="77777777">
        <w:tc>
          <w:tcPr>
            <w:tcW w:w="0" w:type="auto"/>
            <w:shd w:val="clear" w:color="auto" w:fill="auto"/>
            <w:tcMar>
              <w:top w:w="40" w:type="dxa"/>
              <w:left w:w="240" w:type="dxa"/>
              <w:bottom w:w="40" w:type="dxa"/>
              <w:right w:w="40" w:type="dxa"/>
            </w:tcMar>
            <w:vAlign w:val="bottom"/>
          </w:tcPr>
          <w:p w14:paraId="4ACE4C9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Other, net</w:t>
            </w:r>
          </w:p>
        </w:tc>
        <w:tc>
          <w:tcPr>
            <w:tcW w:w="0" w:type="auto"/>
            <w:shd w:val="clear" w:color="auto" w:fill="auto"/>
            <w:tcMar>
              <w:top w:w="40" w:type="dxa"/>
              <w:left w:w="40" w:type="dxa"/>
              <w:bottom w:w="40" w:type="dxa"/>
              <w:right w:w="40" w:type="dxa"/>
            </w:tcMar>
            <w:vAlign w:val="bottom"/>
          </w:tcPr>
          <w:p w14:paraId="4ACE4C9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C97"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(214</w:t>
            </w:r>
          </w:p>
        </w:tc>
        <w:tc>
          <w:tcPr>
            <w:tcW w:w="0" w:type="auto"/>
            <w:shd w:val="clear" w:color="auto" w:fill="auto"/>
            <w:tcMar>
              <w:top w:w="40" w:type="dxa"/>
              <w:bottom w:w="40" w:type="dxa"/>
              <w:right w:w="40" w:type="dxa"/>
            </w:tcMar>
            <w:vAlign w:val="bottom"/>
          </w:tcPr>
          <w:p w14:paraId="4ACE4C98"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4C9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C9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(318</w:t>
            </w:r>
          </w:p>
        </w:tc>
        <w:tc>
          <w:tcPr>
            <w:tcW w:w="0" w:type="auto"/>
            <w:shd w:val="clear" w:color="auto" w:fill="auto"/>
            <w:tcMar>
              <w:top w:w="40" w:type="dxa"/>
              <w:bottom w:w="40" w:type="dxa"/>
              <w:right w:w="40" w:type="dxa"/>
            </w:tcMar>
            <w:vAlign w:val="bottom"/>
          </w:tcPr>
          <w:p w14:paraId="4ACE4C9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4CA4" w14:textId="77777777">
        <w:tc>
          <w:tcPr>
            <w:tcW w:w="0" w:type="auto"/>
            <w:shd w:val="clear" w:color="auto" w:fill="auto"/>
            <w:tcMar>
              <w:top w:w="40" w:type="dxa"/>
              <w:left w:w="40" w:type="dxa"/>
              <w:bottom w:w="40" w:type="dxa"/>
              <w:right w:w="40" w:type="dxa"/>
            </w:tcMar>
            <w:vAlign w:val="bottom"/>
          </w:tcPr>
          <w:p w14:paraId="4ACE4C9D"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Total deferred tax liabilities</w:t>
            </w:r>
          </w:p>
        </w:tc>
        <w:tc>
          <w:tcPr>
            <w:tcW w:w="0" w:type="auto"/>
            <w:shd w:val="clear" w:color="auto" w:fill="auto"/>
            <w:tcMar>
              <w:top w:w="40" w:type="dxa"/>
              <w:left w:w="40" w:type="dxa"/>
              <w:bottom w:w="40" w:type="dxa"/>
              <w:right w:w="40" w:type="dxa"/>
            </w:tcMar>
            <w:vAlign w:val="bottom"/>
          </w:tcPr>
          <w:p w14:paraId="4ACE4C9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4C9F"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(3,121</w:t>
            </w:r>
          </w:p>
        </w:tc>
        <w:tc>
          <w:tcPr>
            <w:tcW w:w="0" w:type="auto"/>
            <w:tcBorders>
              <w:top w:val="single" w:sz="8" w:space="0" w:color="333333"/>
              <w:bottom w:val="single" w:sz="8" w:space="0" w:color="333333"/>
            </w:tcBorders>
            <w:shd w:val="clear" w:color="auto" w:fill="auto"/>
            <w:tcMar>
              <w:top w:w="40" w:type="dxa"/>
              <w:bottom w:w="40" w:type="dxa"/>
              <w:right w:w="40" w:type="dxa"/>
            </w:tcMar>
            <w:vAlign w:val="bottom"/>
          </w:tcPr>
          <w:p w14:paraId="4ACE4CA0"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left w:w="40" w:type="dxa"/>
              <w:bottom w:w="40" w:type="dxa"/>
              <w:right w:w="40" w:type="dxa"/>
            </w:tcMar>
            <w:vAlign w:val="bottom"/>
          </w:tcPr>
          <w:p w14:paraId="4ACE4CA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4CA2"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(2,410</w:t>
            </w:r>
          </w:p>
        </w:tc>
        <w:tc>
          <w:tcPr>
            <w:tcW w:w="0" w:type="auto"/>
            <w:tcBorders>
              <w:top w:val="single" w:sz="8" w:space="0" w:color="333333"/>
              <w:bottom w:val="single" w:sz="8" w:space="0" w:color="333333"/>
            </w:tcBorders>
            <w:shd w:val="clear" w:color="auto" w:fill="auto"/>
            <w:tcMar>
              <w:top w:w="40" w:type="dxa"/>
              <w:bottom w:w="40" w:type="dxa"/>
              <w:right w:w="40" w:type="dxa"/>
            </w:tcMar>
            <w:vAlign w:val="bottom"/>
          </w:tcPr>
          <w:p w14:paraId="4ACE4CA3"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r>
      <w:tr w:rsidR="006F587A" w14:paraId="4ACE4CAE" w14:textId="77777777">
        <w:tc>
          <w:tcPr>
            <w:tcW w:w="0" w:type="auto"/>
            <w:shd w:val="clear" w:color="auto" w:fill="auto"/>
            <w:tcMar>
              <w:top w:w="40" w:type="dxa"/>
              <w:left w:w="40" w:type="dxa"/>
              <w:bottom w:w="40" w:type="dxa"/>
              <w:right w:w="40" w:type="dxa"/>
            </w:tcMar>
            <w:vAlign w:val="bottom"/>
          </w:tcPr>
          <w:p w14:paraId="4ACE4CA5"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Net deferred tax assets (liabilities)</w:t>
            </w:r>
          </w:p>
        </w:tc>
        <w:tc>
          <w:tcPr>
            <w:tcW w:w="0" w:type="auto"/>
            <w:shd w:val="clear" w:color="auto" w:fill="auto"/>
            <w:tcMar>
              <w:top w:w="40" w:type="dxa"/>
              <w:left w:w="40" w:type="dxa"/>
              <w:bottom w:w="40" w:type="dxa"/>
              <w:right w:w="40" w:type="dxa"/>
            </w:tcMar>
            <w:vAlign w:val="bottom"/>
          </w:tcPr>
          <w:p w14:paraId="4ACE4CA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333333"/>
            </w:tcBorders>
            <w:shd w:val="clear" w:color="auto" w:fill="auto"/>
            <w:tcMar>
              <w:top w:w="40" w:type="dxa"/>
              <w:left w:w="40" w:type="dxa"/>
              <w:bottom w:w="40" w:type="dxa"/>
            </w:tcMar>
            <w:vAlign w:val="bottom"/>
          </w:tcPr>
          <w:p w14:paraId="4ACE4CA7"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bottom w:val="double" w:sz="6" w:space="0" w:color="333333"/>
            </w:tcBorders>
            <w:shd w:val="clear" w:color="auto" w:fill="auto"/>
            <w:tcMar>
              <w:top w:w="40" w:type="dxa"/>
              <w:bottom w:w="40" w:type="dxa"/>
            </w:tcMar>
            <w:vAlign w:val="bottom"/>
          </w:tcPr>
          <w:p w14:paraId="4ACE4CA8"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(835</w:t>
            </w:r>
          </w:p>
        </w:tc>
        <w:tc>
          <w:tcPr>
            <w:tcW w:w="0" w:type="auto"/>
            <w:tcBorders>
              <w:bottom w:val="double" w:sz="6" w:space="0" w:color="333333"/>
            </w:tcBorders>
            <w:shd w:val="clear" w:color="auto" w:fill="auto"/>
            <w:tcMar>
              <w:top w:w="40" w:type="dxa"/>
              <w:bottom w:w="40" w:type="dxa"/>
              <w:right w:w="40" w:type="dxa"/>
            </w:tcMar>
            <w:vAlign w:val="bottom"/>
          </w:tcPr>
          <w:p w14:paraId="4ACE4CA9"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left w:w="40" w:type="dxa"/>
              <w:bottom w:w="40" w:type="dxa"/>
              <w:right w:w="40" w:type="dxa"/>
            </w:tcMar>
            <w:vAlign w:val="bottom"/>
          </w:tcPr>
          <w:p w14:paraId="4ACE4CA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333333"/>
            </w:tcBorders>
            <w:shd w:val="clear" w:color="auto" w:fill="auto"/>
            <w:tcMar>
              <w:top w:w="40" w:type="dxa"/>
              <w:left w:w="40" w:type="dxa"/>
              <w:bottom w:w="40" w:type="dxa"/>
            </w:tcMar>
            <w:vAlign w:val="bottom"/>
          </w:tcPr>
          <w:p w14:paraId="4ACE4CAB"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bottom w:val="double" w:sz="6" w:space="0" w:color="333333"/>
            </w:tcBorders>
            <w:shd w:val="clear" w:color="auto" w:fill="auto"/>
            <w:tcMar>
              <w:top w:w="40" w:type="dxa"/>
              <w:bottom w:w="40" w:type="dxa"/>
            </w:tcMar>
            <w:vAlign w:val="bottom"/>
          </w:tcPr>
          <w:p w14:paraId="4ACE4CAC"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(543</w:t>
            </w:r>
          </w:p>
        </w:tc>
        <w:tc>
          <w:tcPr>
            <w:tcW w:w="0" w:type="auto"/>
            <w:tcBorders>
              <w:bottom w:val="double" w:sz="6" w:space="0" w:color="333333"/>
            </w:tcBorders>
            <w:shd w:val="clear" w:color="auto" w:fill="auto"/>
            <w:tcMar>
              <w:top w:w="40" w:type="dxa"/>
              <w:bottom w:w="40" w:type="dxa"/>
              <w:right w:w="40" w:type="dxa"/>
            </w:tcMar>
            <w:vAlign w:val="bottom"/>
          </w:tcPr>
          <w:p w14:paraId="4ACE4CAD"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r>
      <w:tr w:rsidR="006F587A" w14:paraId="4ACE4CB4" w14:textId="77777777">
        <w:tc>
          <w:tcPr>
            <w:tcW w:w="0" w:type="auto"/>
            <w:shd w:val="clear" w:color="auto" w:fill="auto"/>
            <w:tcMar>
              <w:top w:w="40" w:type="dxa"/>
              <w:left w:w="40" w:type="dxa"/>
              <w:bottom w:w="40" w:type="dxa"/>
              <w:right w:w="40" w:type="dxa"/>
            </w:tcMar>
            <w:vAlign w:val="bottom"/>
          </w:tcPr>
          <w:p w14:paraId="4ACE4CA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CB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CB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CB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CB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4CBA" w14:textId="77777777">
        <w:tc>
          <w:tcPr>
            <w:tcW w:w="0" w:type="auto"/>
            <w:shd w:val="clear" w:color="auto" w:fill="auto"/>
            <w:tcMar>
              <w:top w:w="40" w:type="dxa"/>
              <w:left w:w="40" w:type="dxa"/>
              <w:bottom w:w="40" w:type="dxa"/>
              <w:right w:w="40" w:type="dxa"/>
            </w:tcMar>
            <w:vAlign w:val="bottom"/>
          </w:tcPr>
          <w:p w14:paraId="4ACE4CB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Reported as:</w:t>
            </w:r>
          </w:p>
        </w:tc>
        <w:tc>
          <w:tcPr>
            <w:tcW w:w="0" w:type="auto"/>
            <w:shd w:val="clear" w:color="auto" w:fill="auto"/>
            <w:tcMar>
              <w:top w:w="40" w:type="dxa"/>
              <w:left w:w="40" w:type="dxa"/>
              <w:bottom w:w="40" w:type="dxa"/>
              <w:right w:w="40" w:type="dxa"/>
            </w:tcMar>
            <w:vAlign w:val="bottom"/>
          </w:tcPr>
          <w:p w14:paraId="4ACE4CB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CB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CB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CB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4CC2" w14:textId="77777777">
        <w:tc>
          <w:tcPr>
            <w:tcW w:w="0" w:type="auto"/>
            <w:shd w:val="clear" w:color="auto" w:fill="auto"/>
            <w:tcMar>
              <w:top w:w="40" w:type="dxa"/>
              <w:left w:w="240" w:type="dxa"/>
              <w:bottom w:w="40" w:type="dxa"/>
              <w:right w:w="40" w:type="dxa"/>
            </w:tcMar>
            <w:vAlign w:val="bottom"/>
          </w:tcPr>
          <w:p w14:paraId="4ACE4CB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Deferred tax assets</w:t>
            </w:r>
          </w:p>
        </w:tc>
        <w:tc>
          <w:tcPr>
            <w:tcW w:w="0" w:type="auto"/>
            <w:shd w:val="clear" w:color="auto" w:fill="auto"/>
            <w:tcMar>
              <w:top w:w="40" w:type="dxa"/>
              <w:left w:w="40" w:type="dxa"/>
              <w:bottom w:w="40" w:type="dxa"/>
              <w:right w:w="40" w:type="dxa"/>
            </w:tcMar>
            <w:vAlign w:val="bottom"/>
          </w:tcPr>
          <w:p w14:paraId="4ACE4CB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CBD"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1,209</w:t>
            </w:r>
          </w:p>
        </w:tc>
        <w:tc>
          <w:tcPr>
            <w:tcW w:w="0" w:type="auto"/>
            <w:shd w:val="clear" w:color="auto" w:fill="auto"/>
            <w:vAlign w:val="bottom"/>
          </w:tcPr>
          <w:p w14:paraId="4ACE4CB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CB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CC0"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1,122</w:t>
            </w:r>
          </w:p>
        </w:tc>
        <w:tc>
          <w:tcPr>
            <w:tcW w:w="0" w:type="auto"/>
            <w:shd w:val="clear" w:color="auto" w:fill="auto"/>
            <w:vAlign w:val="bottom"/>
          </w:tcPr>
          <w:p w14:paraId="4ACE4CC1" w14:textId="77777777" w:rsidR="006F587A" w:rsidRDefault="006F587A">
            <w:pPr>
              <w:textAlignment w:val="bottom"/>
              <w:rPr>
                <w:rFonts w:ascii="Times New Roman" w:hAnsi="Times New Roman"/>
                <w:sz w:val="20"/>
                <w:szCs w:val="20"/>
              </w:rPr>
            </w:pPr>
          </w:p>
        </w:tc>
      </w:tr>
      <w:tr w:rsidR="006F587A" w14:paraId="4ACE4CCA" w14:textId="77777777">
        <w:tc>
          <w:tcPr>
            <w:tcW w:w="0" w:type="auto"/>
            <w:shd w:val="clear" w:color="auto" w:fill="auto"/>
            <w:tcMar>
              <w:top w:w="40" w:type="dxa"/>
              <w:left w:w="240" w:type="dxa"/>
              <w:bottom w:w="40" w:type="dxa"/>
              <w:right w:w="40" w:type="dxa"/>
            </w:tcMar>
            <w:vAlign w:val="bottom"/>
          </w:tcPr>
          <w:p w14:paraId="4ACE4CC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Deferred tax liabilities</w:t>
            </w:r>
          </w:p>
        </w:tc>
        <w:tc>
          <w:tcPr>
            <w:tcW w:w="0" w:type="auto"/>
            <w:shd w:val="clear" w:color="auto" w:fill="auto"/>
            <w:tcMar>
              <w:top w:w="40" w:type="dxa"/>
              <w:left w:w="40" w:type="dxa"/>
              <w:bottom w:w="40" w:type="dxa"/>
              <w:right w:w="40" w:type="dxa"/>
            </w:tcMar>
            <w:vAlign w:val="bottom"/>
          </w:tcPr>
          <w:p w14:paraId="4ACE4CC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CC5"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(2,044</w:t>
            </w:r>
          </w:p>
        </w:tc>
        <w:tc>
          <w:tcPr>
            <w:tcW w:w="0" w:type="auto"/>
            <w:shd w:val="clear" w:color="auto" w:fill="auto"/>
            <w:tcMar>
              <w:top w:w="40" w:type="dxa"/>
              <w:bottom w:w="40" w:type="dxa"/>
              <w:right w:w="40" w:type="dxa"/>
            </w:tcMar>
            <w:vAlign w:val="bottom"/>
          </w:tcPr>
          <w:p w14:paraId="4ACE4CC6"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4CC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CC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(1,665</w:t>
            </w:r>
          </w:p>
        </w:tc>
        <w:tc>
          <w:tcPr>
            <w:tcW w:w="0" w:type="auto"/>
            <w:shd w:val="clear" w:color="auto" w:fill="auto"/>
            <w:tcMar>
              <w:top w:w="40" w:type="dxa"/>
              <w:bottom w:w="40" w:type="dxa"/>
              <w:right w:w="40" w:type="dxa"/>
            </w:tcMar>
            <w:vAlign w:val="bottom"/>
          </w:tcPr>
          <w:p w14:paraId="4ACE4CC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4CD4" w14:textId="77777777">
        <w:tc>
          <w:tcPr>
            <w:tcW w:w="0" w:type="auto"/>
            <w:shd w:val="clear" w:color="auto" w:fill="auto"/>
            <w:tcMar>
              <w:top w:w="40" w:type="dxa"/>
              <w:left w:w="40" w:type="dxa"/>
              <w:bottom w:w="40" w:type="dxa"/>
              <w:right w:w="40" w:type="dxa"/>
            </w:tcMar>
            <w:vAlign w:val="bottom"/>
          </w:tcPr>
          <w:p w14:paraId="4ACE4CCB"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Net deferred tax assets (liabilities)</w:t>
            </w:r>
          </w:p>
        </w:tc>
        <w:tc>
          <w:tcPr>
            <w:tcW w:w="0" w:type="auto"/>
            <w:shd w:val="clear" w:color="auto" w:fill="auto"/>
            <w:tcMar>
              <w:top w:w="40" w:type="dxa"/>
              <w:left w:w="40" w:type="dxa"/>
              <w:bottom w:w="40" w:type="dxa"/>
              <w:right w:w="40" w:type="dxa"/>
            </w:tcMar>
            <w:vAlign w:val="bottom"/>
          </w:tcPr>
          <w:p w14:paraId="4ACE4CC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CCD"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CCE"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(835</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4ACE4CCF"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left w:w="40" w:type="dxa"/>
              <w:bottom w:w="40" w:type="dxa"/>
              <w:right w:w="40" w:type="dxa"/>
            </w:tcMar>
            <w:vAlign w:val="bottom"/>
          </w:tcPr>
          <w:p w14:paraId="4ACE4CD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CD1"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CD2"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(543</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4ACE4CD3"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r>
    </w:tbl>
    <w:p w14:paraId="4ACE4CD5" w14:textId="77777777" w:rsidR="006F587A" w:rsidRDefault="006F587A"/>
    <w:p w14:paraId="4ACE4CD6" w14:textId="77777777" w:rsidR="006F587A" w:rsidRDefault="007B2B61">
      <w:pPr>
        <w:spacing w:line="288" w:lineRule="auto"/>
        <w:rPr>
          <w:rFonts w:ascii="Times New Roman" w:hAnsi="Times New Roman"/>
          <w:sz w:val="20"/>
          <w:szCs w:val="20"/>
        </w:rPr>
      </w:pPr>
      <w:r>
        <w:rPr>
          <w:rFonts w:ascii="Arial" w:eastAsia="宋体" w:hAnsi="Arial" w:cs="Arial"/>
          <w:color w:val="333333"/>
          <w:sz w:val="18"/>
          <w:szCs w:val="18"/>
        </w:rPr>
        <w:t>Change in valuation allowance for deferred tax assets were as follows:</w:t>
      </w:r>
    </w:p>
    <w:tbl>
      <w:tblPr>
        <w:tblW w:w="5000" w:type="pct"/>
        <w:tblCellMar>
          <w:left w:w="0" w:type="dxa"/>
          <w:right w:w="0" w:type="dxa"/>
        </w:tblCellMar>
        <w:tblLook w:val="04A0" w:firstRow="1" w:lastRow="0" w:firstColumn="1" w:lastColumn="0" w:noHBand="0" w:noVBand="1"/>
      </w:tblPr>
      <w:tblGrid>
        <w:gridCol w:w="3423"/>
        <w:gridCol w:w="130"/>
        <w:gridCol w:w="142"/>
        <w:gridCol w:w="813"/>
        <w:gridCol w:w="73"/>
        <w:gridCol w:w="130"/>
        <w:gridCol w:w="142"/>
        <w:gridCol w:w="1008"/>
        <w:gridCol w:w="91"/>
        <w:gridCol w:w="130"/>
        <w:gridCol w:w="142"/>
        <w:gridCol w:w="999"/>
        <w:gridCol w:w="100"/>
        <w:gridCol w:w="130"/>
        <w:gridCol w:w="142"/>
        <w:gridCol w:w="652"/>
        <w:gridCol w:w="59"/>
      </w:tblGrid>
      <w:tr w:rsidR="006F587A" w14:paraId="4ACE4CD8" w14:textId="77777777">
        <w:tc>
          <w:tcPr>
            <w:tcW w:w="0" w:type="auto"/>
            <w:gridSpan w:val="17"/>
            <w:shd w:val="clear" w:color="auto" w:fill="auto"/>
            <w:vAlign w:val="center"/>
          </w:tcPr>
          <w:p w14:paraId="4ACE4CD7" w14:textId="77777777" w:rsidR="006F587A" w:rsidRDefault="006F587A">
            <w:pPr>
              <w:rPr>
                <w:rFonts w:ascii="Times New Roman" w:hAnsi="Times New Roman"/>
                <w:sz w:val="20"/>
                <w:szCs w:val="20"/>
              </w:rPr>
            </w:pPr>
          </w:p>
        </w:tc>
      </w:tr>
      <w:tr w:rsidR="006F587A" w14:paraId="4ACE4CEA" w14:textId="77777777">
        <w:tc>
          <w:tcPr>
            <w:tcW w:w="2200" w:type="pct"/>
            <w:shd w:val="clear" w:color="auto" w:fill="auto"/>
            <w:vAlign w:val="center"/>
          </w:tcPr>
          <w:p w14:paraId="4ACE4CD9" w14:textId="77777777" w:rsidR="006F587A" w:rsidRDefault="006F587A">
            <w:pPr>
              <w:rPr>
                <w:rFonts w:ascii="Times New Roman" w:hAnsi="Times New Roman"/>
                <w:sz w:val="20"/>
                <w:szCs w:val="20"/>
              </w:rPr>
            </w:pPr>
          </w:p>
        </w:tc>
        <w:tc>
          <w:tcPr>
            <w:tcW w:w="50" w:type="pct"/>
            <w:shd w:val="clear" w:color="auto" w:fill="auto"/>
            <w:vAlign w:val="center"/>
          </w:tcPr>
          <w:p w14:paraId="4ACE4CDA" w14:textId="77777777" w:rsidR="006F587A" w:rsidRDefault="006F587A">
            <w:pPr>
              <w:rPr>
                <w:rFonts w:ascii="Times New Roman" w:hAnsi="Times New Roman"/>
                <w:sz w:val="20"/>
                <w:szCs w:val="20"/>
              </w:rPr>
            </w:pPr>
          </w:p>
        </w:tc>
        <w:tc>
          <w:tcPr>
            <w:tcW w:w="50" w:type="pct"/>
            <w:shd w:val="clear" w:color="auto" w:fill="auto"/>
            <w:vAlign w:val="center"/>
          </w:tcPr>
          <w:p w14:paraId="4ACE4CDB" w14:textId="77777777" w:rsidR="006F587A" w:rsidRDefault="006F587A">
            <w:pPr>
              <w:rPr>
                <w:rFonts w:ascii="Times New Roman" w:hAnsi="Times New Roman"/>
                <w:sz w:val="20"/>
                <w:szCs w:val="20"/>
              </w:rPr>
            </w:pPr>
          </w:p>
        </w:tc>
        <w:tc>
          <w:tcPr>
            <w:tcW w:w="550" w:type="pct"/>
            <w:shd w:val="clear" w:color="auto" w:fill="auto"/>
            <w:vAlign w:val="center"/>
          </w:tcPr>
          <w:p w14:paraId="4ACE4CDC" w14:textId="77777777" w:rsidR="006F587A" w:rsidRDefault="006F587A">
            <w:pPr>
              <w:rPr>
                <w:rFonts w:ascii="Times New Roman" w:hAnsi="Times New Roman"/>
                <w:sz w:val="20"/>
                <w:szCs w:val="20"/>
              </w:rPr>
            </w:pPr>
          </w:p>
        </w:tc>
        <w:tc>
          <w:tcPr>
            <w:tcW w:w="50" w:type="pct"/>
            <w:shd w:val="clear" w:color="auto" w:fill="auto"/>
            <w:vAlign w:val="center"/>
          </w:tcPr>
          <w:p w14:paraId="4ACE4CDD" w14:textId="77777777" w:rsidR="006F587A" w:rsidRDefault="006F587A">
            <w:pPr>
              <w:rPr>
                <w:rFonts w:ascii="Times New Roman" w:hAnsi="Times New Roman"/>
                <w:sz w:val="20"/>
                <w:szCs w:val="20"/>
              </w:rPr>
            </w:pPr>
          </w:p>
        </w:tc>
        <w:tc>
          <w:tcPr>
            <w:tcW w:w="50" w:type="pct"/>
            <w:shd w:val="clear" w:color="auto" w:fill="auto"/>
            <w:vAlign w:val="center"/>
          </w:tcPr>
          <w:p w14:paraId="4ACE4CDE" w14:textId="77777777" w:rsidR="006F587A" w:rsidRDefault="006F587A">
            <w:pPr>
              <w:rPr>
                <w:rFonts w:ascii="Times New Roman" w:hAnsi="Times New Roman"/>
                <w:sz w:val="20"/>
                <w:szCs w:val="20"/>
              </w:rPr>
            </w:pPr>
          </w:p>
        </w:tc>
        <w:tc>
          <w:tcPr>
            <w:tcW w:w="50" w:type="pct"/>
            <w:shd w:val="clear" w:color="auto" w:fill="auto"/>
            <w:vAlign w:val="center"/>
          </w:tcPr>
          <w:p w14:paraId="4ACE4CDF" w14:textId="77777777" w:rsidR="006F587A" w:rsidRDefault="006F587A">
            <w:pPr>
              <w:rPr>
                <w:rFonts w:ascii="Times New Roman" w:hAnsi="Times New Roman"/>
                <w:sz w:val="20"/>
                <w:szCs w:val="20"/>
              </w:rPr>
            </w:pPr>
          </w:p>
        </w:tc>
        <w:tc>
          <w:tcPr>
            <w:tcW w:w="550" w:type="pct"/>
            <w:shd w:val="clear" w:color="auto" w:fill="auto"/>
            <w:vAlign w:val="center"/>
          </w:tcPr>
          <w:p w14:paraId="4ACE4CE0" w14:textId="77777777" w:rsidR="006F587A" w:rsidRDefault="006F587A">
            <w:pPr>
              <w:rPr>
                <w:rFonts w:ascii="Times New Roman" w:hAnsi="Times New Roman"/>
                <w:sz w:val="20"/>
                <w:szCs w:val="20"/>
              </w:rPr>
            </w:pPr>
          </w:p>
        </w:tc>
        <w:tc>
          <w:tcPr>
            <w:tcW w:w="50" w:type="pct"/>
            <w:shd w:val="clear" w:color="auto" w:fill="auto"/>
            <w:vAlign w:val="center"/>
          </w:tcPr>
          <w:p w14:paraId="4ACE4CE1" w14:textId="77777777" w:rsidR="006F587A" w:rsidRDefault="006F587A">
            <w:pPr>
              <w:rPr>
                <w:rFonts w:ascii="Times New Roman" w:hAnsi="Times New Roman"/>
                <w:sz w:val="20"/>
                <w:szCs w:val="20"/>
              </w:rPr>
            </w:pPr>
          </w:p>
        </w:tc>
        <w:tc>
          <w:tcPr>
            <w:tcW w:w="50" w:type="pct"/>
            <w:shd w:val="clear" w:color="auto" w:fill="auto"/>
            <w:vAlign w:val="center"/>
          </w:tcPr>
          <w:p w14:paraId="4ACE4CE2" w14:textId="77777777" w:rsidR="006F587A" w:rsidRDefault="006F587A">
            <w:pPr>
              <w:rPr>
                <w:rFonts w:ascii="Times New Roman" w:hAnsi="Times New Roman"/>
                <w:sz w:val="20"/>
                <w:szCs w:val="20"/>
              </w:rPr>
            </w:pPr>
          </w:p>
        </w:tc>
        <w:tc>
          <w:tcPr>
            <w:tcW w:w="50" w:type="pct"/>
            <w:shd w:val="clear" w:color="auto" w:fill="auto"/>
            <w:vAlign w:val="center"/>
          </w:tcPr>
          <w:p w14:paraId="4ACE4CE3" w14:textId="77777777" w:rsidR="006F587A" w:rsidRDefault="006F587A">
            <w:pPr>
              <w:rPr>
                <w:rFonts w:ascii="Times New Roman" w:hAnsi="Times New Roman"/>
                <w:sz w:val="20"/>
                <w:szCs w:val="20"/>
              </w:rPr>
            </w:pPr>
          </w:p>
        </w:tc>
        <w:tc>
          <w:tcPr>
            <w:tcW w:w="550" w:type="pct"/>
            <w:shd w:val="clear" w:color="auto" w:fill="auto"/>
            <w:vAlign w:val="center"/>
          </w:tcPr>
          <w:p w14:paraId="4ACE4CE4" w14:textId="77777777" w:rsidR="006F587A" w:rsidRDefault="006F587A">
            <w:pPr>
              <w:rPr>
                <w:rFonts w:ascii="Times New Roman" w:hAnsi="Times New Roman"/>
                <w:sz w:val="20"/>
                <w:szCs w:val="20"/>
              </w:rPr>
            </w:pPr>
          </w:p>
        </w:tc>
        <w:tc>
          <w:tcPr>
            <w:tcW w:w="50" w:type="pct"/>
            <w:shd w:val="clear" w:color="auto" w:fill="auto"/>
            <w:vAlign w:val="center"/>
          </w:tcPr>
          <w:p w14:paraId="4ACE4CE5" w14:textId="77777777" w:rsidR="006F587A" w:rsidRDefault="006F587A">
            <w:pPr>
              <w:rPr>
                <w:rFonts w:ascii="Times New Roman" w:hAnsi="Times New Roman"/>
                <w:sz w:val="20"/>
                <w:szCs w:val="20"/>
              </w:rPr>
            </w:pPr>
          </w:p>
        </w:tc>
        <w:tc>
          <w:tcPr>
            <w:tcW w:w="50" w:type="pct"/>
            <w:shd w:val="clear" w:color="auto" w:fill="auto"/>
            <w:vAlign w:val="center"/>
          </w:tcPr>
          <w:p w14:paraId="4ACE4CE6" w14:textId="77777777" w:rsidR="006F587A" w:rsidRDefault="006F587A">
            <w:pPr>
              <w:rPr>
                <w:rFonts w:ascii="Times New Roman" w:hAnsi="Times New Roman"/>
                <w:sz w:val="20"/>
                <w:szCs w:val="20"/>
              </w:rPr>
            </w:pPr>
          </w:p>
        </w:tc>
        <w:tc>
          <w:tcPr>
            <w:tcW w:w="50" w:type="pct"/>
            <w:shd w:val="clear" w:color="auto" w:fill="auto"/>
            <w:vAlign w:val="center"/>
          </w:tcPr>
          <w:p w14:paraId="4ACE4CE7" w14:textId="77777777" w:rsidR="006F587A" w:rsidRDefault="006F587A">
            <w:pPr>
              <w:rPr>
                <w:rFonts w:ascii="Times New Roman" w:hAnsi="Times New Roman"/>
                <w:sz w:val="20"/>
                <w:szCs w:val="20"/>
              </w:rPr>
            </w:pPr>
          </w:p>
        </w:tc>
        <w:tc>
          <w:tcPr>
            <w:tcW w:w="550" w:type="pct"/>
            <w:shd w:val="clear" w:color="auto" w:fill="auto"/>
            <w:vAlign w:val="center"/>
          </w:tcPr>
          <w:p w14:paraId="4ACE4CE8" w14:textId="77777777" w:rsidR="006F587A" w:rsidRDefault="006F587A">
            <w:pPr>
              <w:rPr>
                <w:rFonts w:ascii="Times New Roman" w:hAnsi="Times New Roman"/>
                <w:sz w:val="20"/>
                <w:szCs w:val="20"/>
              </w:rPr>
            </w:pPr>
          </w:p>
        </w:tc>
        <w:tc>
          <w:tcPr>
            <w:tcW w:w="50" w:type="pct"/>
            <w:shd w:val="clear" w:color="auto" w:fill="auto"/>
            <w:vAlign w:val="center"/>
          </w:tcPr>
          <w:p w14:paraId="4ACE4CE9" w14:textId="77777777" w:rsidR="006F587A" w:rsidRDefault="006F587A">
            <w:pPr>
              <w:rPr>
                <w:rFonts w:ascii="Times New Roman" w:hAnsi="Times New Roman"/>
                <w:sz w:val="20"/>
                <w:szCs w:val="20"/>
              </w:rPr>
            </w:pPr>
          </w:p>
        </w:tc>
      </w:tr>
      <w:tr w:rsidR="006F587A" w14:paraId="4ACE4CF8"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4CEB"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Years Ended (In Millions)</w:t>
            </w:r>
          </w:p>
        </w:tc>
        <w:tc>
          <w:tcPr>
            <w:tcW w:w="0" w:type="auto"/>
            <w:shd w:val="clear" w:color="auto" w:fill="auto"/>
            <w:tcMar>
              <w:top w:w="40" w:type="dxa"/>
              <w:left w:w="40" w:type="dxa"/>
              <w:bottom w:w="40" w:type="dxa"/>
              <w:right w:w="40" w:type="dxa"/>
            </w:tcMar>
            <w:vAlign w:val="bottom"/>
          </w:tcPr>
          <w:p w14:paraId="4ACE4CE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CED"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Balance at Beginning of Year</w:t>
            </w:r>
          </w:p>
        </w:tc>
        <w:tc>
          <w:tcPr>
            <w:tcW w:w="0" w:type="auto"/>
            <w:shd w:val="clear" w:color="auto" w:fill="auto"/>
            <w:tcMar>
              <w:top w:w="40" w:type="dxa"/>
              <w:left w:w="40" w:type="dxa"/>
              <w:bottom w:w="40" w:type="dxa"/>
              <w:right w:w="40" w:type="dxa"/>
            </w:tcMar>
            <w:vAlign w:val="bottom"/>
          </w:tcPr>
          <w:p w14:paraId="4ACE4CE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CEF"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Additions Charged to Expenses/</w:t>
            </w:r>
          </w:p>
          <w:p w14:paraId="4ACE4CF0"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Other Accounts</w:t>
            </w:r>
          </w:p>
        </w:tc>
        <w:tc>
          <w:tcPr>
            <w:tcW w:w="0" w:type="auto"/>
            <w:shd w:val="clear" w:color="auto" w:fill="auto"/>
            <w:tcMar>
              <w:top w:w="40" w:type="dxa"/>
              <w:left w:w="40" w:type="dxa"/>
              <w:bottom w:w="40" w:type="dxa"/>
              <w:right w:w="40" w:type="dxa"/>
            </w:tcMar>
            <w:vAlign w:val="bottom"/>
          </w:tcPr>
          <w:p w14:paraId="4ACE4CF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CF2"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Net</w:t>
            </w:r>
          </w:p>
          <w:p w14:paraId="4ACE4CF3"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(Deductions)</w:t>
            </w:r>
          </w:p>
          <w:p w14:paraId="4ACE4CF4"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Recoveries</w:t>
            </w:r>
          </w:p>
        </w:tc>
        <w:tc>
          <w:tcPr>
            <w:tcW w:w="0" w:type="auto"/>
            <w:shd w:val="clear" w:color="auto" w:fill="auto"/>
            <w:tcMar>
              <w:top w:w="40" w:type="dxa"/>
              <w:left w:w="40" w:type="dxa"/>
              <w:bottom w:w="40" w:type="dxa"/>
              <w:right w:w="40" w:type="dxa"/>
            </w:tcMar>
            <w:vAlign w:val="bottom"/>
          </w:tcPr>
          <w:p w14:paraId="4ACE4CF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CF6"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Balance at</w:t>
            </w:r>
          </w:p>
          <w:p w14:paraId="4ACE4CF7"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End of Year</w:t>
            </w:r>
          </w:p>
        </w:tc>
      </w:tr>
      <w:tr w:rsidR="006F587A" w14:paraId="4ACE4D02" w14:textId="77777777">
        <w:tc>
          <w:tcPr>
            <w:tcW w:w="0" w:type="auto"/>
            <w:shd w:val="clear" w:color="auto" w:fill="auto"/>
            <w:tcMar>
              <w:top w:w="40" w:type="dxa"/>
              <w:left w:w="40" w:type="dxa"/>
              <w:bottom w:w="40" w:type="dxa"/>
              <w:right w:w="40" w:type="dxa"/>
            </w:tcMar>
            <w:vAlign w:val="bottom"/>
          </w:tcPr>
          <w:p w14:paraId="4ACE4CF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Valuation allowance for deferred tax assets</w:t>
            </w:r>
          </w:p>
        </w:tc>
        <w:tc>
          <w:tcPr>
            <w:tcW w:w="0" w:type="auto"/>
            <w:shd w:val="clear" w:color="auto" w:fill="auto"/>
            <w:tcMar>
              <w:top w:w="40" w:type="dxa"/>
              <w:left w:w="40" w:type="dxa"/>
              <w:bottom w:w="40" w:type="dxa"/>
              <w:right w:w="40" w:type="dxa"/>
            </w:tcMar>
            <w:vAlign w:val="bottom"/>
          </w:tcPr>
          <w:p w14:paraId="4ACE4CF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CF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CF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CF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CF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CF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D0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4D0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4D14" w14:textId="77777777">
        <w:tc>
          <w:tcPr>
            <w:tcW w:w="0" w:type="auto"/>
            <w:shd w:val="clear" w:color="auto" w:fill="auto"/>
            <w:tcMar>
              <w:top w:w="40" w:type="dxa"/>
              <w:left w:w="40" w:type="dxa"/>
              <w:bottom w:w="40" w:type="dxa"/>
              <w:right w:w="40" w:type="dxa"/>
            </w:tcMar>
            <w:vAlign w:val="bottom"/>
          </w:tcPr>
          <w:p w14:paraId="4ACE4D0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December 28, 2019</w:t>
            </w:r>
          </w:p>
        </w:tc>
        <w:tc>
          <w:tcPr>
            <w:tcW w:w="0" w:type="auto"/>
            <w:shd w:val="clear" w:color="auto" w:fill="auto"/>
            <w:tcMar>
              <w:top w:w="40" w:type="dxa"/>
              <w:left w:w="40" w:type="dxa"/>
              <w:bottom w:w="40" w:type="dxa"/>
              <w:right w:w="40" w:type="dxa"/>
            </w:tcMar>
            <w:vAlign w:val="bottom"/>
          </w:tcPr>
          <w:p w14:paraId="4ACE4D0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D05"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4D06"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1,302</w:t>
            </w:r>
          </w:p>
        </w:tc>
        <w:tc>
          <w:tcPr>
            <w:tcW w:w="0" w:type="auto"/>
            <w:shd w:val="clear" w:color="auto" w:fill="auto"/>
            <w:vAlign w:val="bottom"/>
          </w:tcPr>
          <w:p w14:paraId="4ACE4D0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D0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D09"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4D0A"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239</w:t>
            </w:r>
          </w:p>
        </w:tc>
        <w:tc>
          <w:tcPr>
            <w:tcW w:w="0" w:type="auto"/>
            <w:shd w:val="clear" w:color="auto" w:fill="auto"/>
            <w:vAlign w:val="bottom"/>
          </w:tcPr>
          <w:p w14:paraId="4ACE4D0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D0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D0D"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4D0E"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(7</w:t>
            </w:r>
          </w:p>
        </w:tc>
        <w:tc>
          <w:tcPr>
            <w:tcW w:w="0" w:type="auto"/>
            <w:shd w:val="clear" w:color="auto" w:fill="auto"/>
            <w:tcMar>
              <w:top w:w="40" w:type="dxa"/>
              <w:bottom w:w="40" w:type="dxa"/>
              <w:right w:w="40" w:type="dxa"/>
            </w:tcMar>
            <w:vAlign w:val="bottom"/>
          </w:tcPr>
          <w:p w14:paraId="4ACE4D0F"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4D1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D11"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4D12"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1,534</w:t>
            </w:r>
          </w:p>
        </w:tc>
        <w:tc>
          <w:tcPr>
            <w:tcW w:w="0" w:type="auto"/>
            <w:shd w:val="clear" w:color="auto" w:fill="auto"/>
            <w:vAlign w:val="bottom"/>
          </w:tcPr>
          <w:p w14:paraId="4ACE4D13" w14:textId="77777777" w:rsidR="006F587A" w:rsidRDefault="006F587A">
            <w:pPr>
              <w:textAlignment w:val="bottom"/>
              <w:rPr>
                <w:rFonts w:ascii="Times New Roman" w:hAnsi="Times New Roman"/>
                <w:sz w:val="20"/>
                <w:szCs w:val="20"/>
              </w:rPr>
            </w:pPr>
          </w:p>
        </w:tc>
      </w:tr>
      <w:tr w:rsidR="006F587A" w14:paraId="4ACE4D26" w14:textId="77777777">
        <w:tc>
          <w:tcPr>
            <w:tcW w:w="0" w:type="auto"/>
            <w:shd w:val="clear" w:color="auto" w:fill="auto"/>
            <w:tcMar>
              <w:top w:w="40" w:type="dxa"/>
              <w:left w:w="40" w:type="dxa"/>
              <w:bottom w:w="40" w:type="dxa"/>
              <w:right w:w="40" w:type="dxa"/>
            </w:tcMar>
            <w:vAlign w:val="bottom"/>
          </w:tcPr>
          <w:p w14:paraId="4ACE4D1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December 29, 2018</w:t>
            </w:r>
          </w:p>
        </w:tc>
        <w:tc>
          <w:tcPr>
            <w:tcW w:w="0" w:type="auto"/>
            <w:shd w:val="clear" w:color="auto" w:fill="auto"/>
            <w:tcMar>
              <w:top w:w="40" w:type="dxa"/>
              <w:left w:w="40" w:type="dxa"/>
              <w:bottom w:w="40" w:type="dxa"/>
              <w:right w:w="40" w:type="dxa"/>
            </w:tcMar>
            <w:vAlign w:val="bottom"/>
          </w:tcPr>
          <w:p w14:paraId="4ACE4D1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D1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4D1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1,171</w:t>
            </w:r>
          </w:p>
        </w:tc>
        <w:tc>
          <w:tcPr>
            <w:tcW w:w="0" w:type="auto"/>
            <w:shd w:val="clear" w:color="auto" w:fill="auto"/>
            <w:vAlign w:val="bottom"/>
          </w:tcPr>
          <w:p w14:paraId="4ACE4D1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D1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D1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4D1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185</w:t>
            </w:r>
          </w:p>
        </w:tc>
        <w:tc>
          <w:tcPr>
            <w:tcW w:w="0" w:type="auto"/>
            <w:shd w:val="clear" w:color="auto" w:fill="auto"/>
            <w:vAlign w:val="bottom"/>
          </w:tcPr>
          <w:p w14:paraId="4ACE4D1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D1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D1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4D20"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(54</w:t>
            </w:r>
          </w:p>
        </w:tc>
        <w:tc>
          <w:tcPr>
            <w:tcW w:w="0" w:type="auto"/>
            <w:shd w:val="clear" w:color="auto" w:fill="auto"/>
            <w:tcMar>
              <w:top w:w="40" w:type="dxa"/>
              <w:bottom w:w="40" w:type="dxa"/>
              <w:right w:w="40" w:type="dxa"/>
            </w:tcMar>
            <w:vAlign w:val="bottom"/>
          </w:tcPr>
          <w:p w14:paraId="4ACE4D2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4D2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D2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4D2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1,302</w:t>
            </w:r>
          </w:p>
        </w:tc>
        <w:tc>
          <w:tcPr>
            <w:tcW w:w="0" w:type="auto"/>
            <w:shd w:val="clear" w:color="auto" w:fill="auto"/>
            <w:vAlign w:val="bottom"/>
          </w:tcPr>
          <w:p w14:paraId="4ACE4D25" w14:textId="77777777" w:rsidR="006F587A" w:rsidRDefault="006F587A">
            <w:pPr>
              <w:textAlignment w:val="bottom"/>
              <w:rPr>
                <w:rFonts w:ascii="Times New Roman" w:hAnsi="Times New Roman"/>
                <w:sz w:val="20"/>
                <w:szCs w:val="20"/>
              </w:rPr>
            </w:pPr>
          </w:p>
        </w:tc>
      </w:tr>
      <w:tr w:rsidR="006F587A" w14:paraId="4ACE4D38" w14:textId="77777777">
        <w:tc>
          <w:tcPr>
            <w:tcW w:w="0" w:type="auto"/>
            <w:shd w:val="clear" w:color="auto" w:fill="auto"/>
            <w:tcMar>
              <w:top w:w="40" w:type="dxa"/>
              <w:left w:w="40" w:type="dxa"/>
              <w:bottom w:w="40" w:type="dxa"/>
              <w:right w:w="40" w:type="dxa"/>
            </w:tcMar>
            <w:vAlign w:val="bottom"/>
          </w:tcPr>
          <w:p w14:paraId="4ACE4D2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December 30, 2017</w:t>
            </w:r>
          </w:p>
        </w:tc>
        <w:tc>
          <w:tcPr>
            <w:tcW w:w="0" w:type="auto"/>
            <w:shd w:val="clear" w:color="auto" w:fill="auto"/>
            <w:tcMar>
              <w:top w:w="40" w:type="dxa"/>
              <w:left w:w="40" w:type="dxa"/>
              <w:bottom w:w="40" w:type="dxa"/>
              <w:right w:w="40" w:type="dxa"/>
            </w:tcMar>
            <w:vAlign w:val="bottom"/>
          </w:tcPr>
          <w:p w14:paraId="4ACE4D2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D2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4D2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953</w:t>
            </w:r>
          </w:p>
        </w:tc>
        <w:tc>
          <w:tcPr>
            <w:tcW w:w="0" w:type="auto"/>
            <w:shd w:val="clear" w:color="auto" w:fill="auto"/>
            <w:vAlign w:val="bottom"/>
          </w:tcPr>
          <w:p w14:paraId="4ACE4D2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D2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D2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4D2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237</w:t>
            </w:r>
          </w:p>
        </w:tc>
        <w:tc>
          <w:tcPr>
            <w:tcW w:w="0" w:type="auto"/>
            <w:shd w:val="clear" w:color="auto" w:fill="auto"/>
            <w:vAlign w:val="bottom"/>
          </w:tcPr>
          <w:p w14:paraId="4ACE4D2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D3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D3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4D3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(19</w:t>
            </w:r>
          </w:p>
        </w:tc>
        <w:tc>
          <w:tcPr>
            <w:tcW w:w="0" w:type="auto"/>
            <w:shd w:val="clear" w:color="auto" w:fill="auto"/>
            <w:tcMar>
              <w:top w:w="40" w:type="dxa"/>
              <w:bottom w:w="40" w:type="dxa"/>
              <w:right w:w="40" w:type="dxa"/>
            </w:tcMar>
            <w:vAlign w:val="bottom"/>
          </w:tcPr>
          <w:p w14:paraId="4ACE4D3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4D3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D3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4D3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1,171</w:t>
            </w:r>
          </w:p>
        </w:tc>
        <w:tc>
          <w:tcPr>
            <w:tcW w:w="0" w:type="auto"/>
            <w:shd w:val="clear" w:color="auto" w:fill="auto"/>
            <w:vAlign w:val="bottom"/>
          </w:tcPr>
          <w:p w14:paraId="4ACE4D37" w14:textId="77777777" w:rsidR="006F587A" w:rsidRDefault="006F587A">
            <w:pPr>
              <w:textAlignment w:val="bottom"/>
              <w:rPr>
                <w:rFonts w:ascii="Times New Roman" w:hAnsi="Times New Roman"/>
                <w:sz w:val="20"/>
                <w:szCs w:val="20"/>
              </w:rPr>
            </w:pPr>
          </w:p>
        </w:tc>
      </w:tr>
    </w:tbl>
    <w:p w14:paraId="4ACE4D39" w14:textId="77777777" w:rsidR="006F587A" w:rsidRDefault="006F587A"/>
    <w:p w14:paraId="4ACE4D3A"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Deferred tax </w:t>
      </w:r>
      <w:r>
        <w:rPr>
          <w:rFonts w:ascii="Arial" w:eastAsia="宋体" w:hAnsi="Arial" w:cs="Arial"/>
          <w:color w:val="333333"/>
          <w:sz w:val="18"/>
          <w:szCs w:val="18"/>
        </w:rPr>
        <w:t>assets are included within other long-term assets on the Consolidated Balance Sheets.</w:t>
      </w:r>
    </w:p>
    <w:p w14:paraId="4ACE4D3B"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The valuation allowance as of December 28, 2019 included allowances primarily related to unrealized state credit carryforwards of $1.5 billion.</w:t>
      </w:r>
    </w:p>
    <w:p w14:paraId="4ACE4D3C"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As of December 28, 2019, o</w:t>
      </w:r>
      <w:r>
        <w:rPr>
          <w:rFonts w:ascii="Arial" w:eastAsia="宋体" w:hAnsi="Arial" w:cs="Arial"/>
          <w:color w:val="333333"/>
          <w:sz w:val="18"/>
          <w:szCs w:val="18"/>
        </w:rPr>
        <w:t xml:space="preserve">ur federal, and non-U.S. net operating loss carryforwards for income tax purposes were $427 million and $357 million, respectively. Most of the non-U.S. net operating loss carryforwards have no expiration date. The remaining non-U.S. and some U.S. federal </w:t>
      </w:r>
      <w:r>
        <w:rPr>
          <w:rFonts w:ascii="Arial" w:eastAsia="宋体" w:hAnsi="Arial" w:cs="Arial"/>
          <w:color w:val="333333"/>
          <w:sz w:val="18"/>
          <w:szCs w:val="18"/>
        </w:rPr>
        <w:t>and state net operating loss carryforwards expire at various dates through 2040. A significant amount of the net operating loss carryforwards in the U.S. relates to acquisitions and, as a result, is limited in the amount that can be recognized in any one y</w:t>
      </w:r>
      <w:r>
        <w:rPr>
          <w:rFonts w:ascii="Arial" w:eastAsia="宋体" w:hAnsi="Arial" w:cs="Arial"/>
          <w:color w:val="333333"/>
          <w:sz w:val="18"/>
          <w:szCs w:val="18"/>
        </w:rPr>
        <w:t xml:space="preserve">ear. </w:t>
      </w:r>
    </w:p>
    <w:p w14:paraId="4ACE4D3D"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At December 28, 2019, we have undistributed earnings of certain foreign subsidiaries of approximately $22.0 billion that we have indefinitely invested, and on which we have not recognized deferred taxes. Estimating the amount of potential tax is not </w:t>
      </w:r>
      <w:r>
        <w:rPr>
          <w:rFonts w:ascii="Arial" w:eastAsia="宋体" w:hAnsi="Arial" w:cs="Arial"/>
          <w:color w:val="333333"/>
          <w:sz w:val="18"/>
          <w:szCs w:val="18"/>
        </w:rPr>
        <w:t>practicable because of the complexity and variety of assumptions necessary to compute the tax.</w:t>
      </w:r>
    </w:p>
    <w:p w14:paraId="4ACE4D3E"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4D40" w14:textId="77777777">
        <w:tc>
          <w:tcPr>
            <w:tcW w:w="0" w:type="auto"/>
            <w:gridSpan w:val="3"/>
            <w:shd w:val="clear" w:color="auto" w:fill="auto"/>
            <w:vAlign w:val="center"/>
          </w:tcPr>
          <w:p w14:paraId="4ACE4D3F" w14:textId="77777777" w:rsidR="006F587A" w:rsidRDefault="006F587A">
            <w:pPr>
              <w:rPr>
                <w:rFonts w:ascii="Times New Roman" w:hAnsi="Times New Roman"/>
                <w:sz w:val="20"/>
                <w:szCs w:val="20"/>
              </w:rPr>
            </w:pPr>
          </w:p>
        </w:tc>
      </w:tr>
      <w:tr w:rsidR="006F587A" w14:paraId="4ACE4D44" w14:textId="77777777">
        <w:tc>
          <w:tcPr>
            <w:tcW w:w="1300" w:type="pct"/>
            <w:shd w:val="clear" w:color="auto" w:fill="auto"/>
            <w:vAlign w:val="center"/>
          </w:tcPr>
          <w:p w14:paraId="4ACE4D41" w14:textId="77777777" w:rsidR="006F587A" w:rsidRDefault="006F587A">
            <w:pPr>
              <w:rPr>
                <w:rFonts w:ascii="Times New Roman" w:hAnsi="Times New Roman"/>
                <w:sz w:val="20"/>
                <w:szCs w:val="20"/>
              </w:rPr>
            </w:pPr>
          </w:p>
        </w:tc>
        <w:tc>
          <w:tcPr>
            <w:tcW w:w="1600" w:type="pct"/>
            <w:shd w:val="clear" w:color="auto" w:fill="auto"/>
            <w:vAlign w:val="center"/>
          </w:tcPr>
          <w:p w14:paraId="4ACE4D42" w14:textId="77777777" w:rsidR="006F587A" w:rsidRDefault="006F587A">
            <w:pPr>
              <w:rPr>
                <w:rFonts w:ascii="Times New Roman" w:hAnsi="Times New Roman"/>
                <w:sz w:val="20"/>
                <w:szCs w:val="20"/>
              </w:rPr>
            </w:pPr>
          </w:p>
        </w:tc>
        <w:tc>
          <w:tcPr>
            <w:tcW w:w="2100" w:type="pct"/>
            <w:shd w:val="clear" w:color="auto" w:fill="auto"/>
            <w:vAlign w:val="center"/>
          </w:tcPr>
          <w:p w14:paraId="4ACE4D43" w14:textId="77777777" w:rsidR="006F587A" w:rsidRDefault="006F587A">
            <w:pPr>
              <w:rPr>
                <w:rFonts w:ascii="Times New Roman" w:hAnsi="Times New Roman"/>
                <w:sz w:val="20"/>
                <w:szCs w:val="20"/>
              </w:rPr>
            </w:pPr>
          </w:p>
        </w:tc>
      </w:tr>
      <w:tr w:rsidR="006F587A" w14:paraId="4ACE4D48" w14:textId="77777777">
        <w:tc>
          <w:tcPr>
            <w:tcW w:w="0" w:type="auto"/>
            <w:tcBorders>
              <w:top w:val="single" w:sz="8" w:space="0" w:color="0071C5"/>
            </w:tcBorders>
            <w:shd w:val="clear" w:color="auto" w:fill="auto"/>
            <w:tcMar>
              <w:top w:w="40" w:type="dxa"/>
              <w:left w:w="40" w:type="dxa"/>
              <w:bottom w:w="40" w:type="dxa"/>
              <w:right w:w="40" w:type="dxa"/>
            </w:tcMar>
            <w:vAlign w:val="bottom"/>
          </w:tcPr>
          <w:p w14:paraId="4ACE4D45" w14:textId="77777777" w:rsidR="006F587A" w:rsidRDefault="007B2B61">
            <w:pPr>
              <w:textAlignment w:val="bottom"/>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F0" wp14:editId="4ACE6DF1">
                  <wp:extent cx="304800" cy="304800"/>
                  <wp:effectExtent l="0" t="0" r="0" b="0"/>
                  <wp:docPr id="206" name="图片 314"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314"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left w:val="single" w:sz="36" w:space="0" w:color="0071C5"/>
            </w:tcBorders>
            <w:shd w:val="clear" w:color="auto" w:fill="auto"/>
            <w:tcMar>
              <w:top w:w="40" w:type="dxa"/>
              <w:left w:w="40" w:type="dxa"/>
              <w:bottom w:w="40" w:type="dxa"/>
              <w:right w:w="40" w:type="dxa"/>
            </w:tcMar>
            <w:vAlign w:val="bottom"/>
          </w:tcPr>
          <w:p w14:paraId="4ACE4D46" w14:textId="77777777" w:rsidR="006F587A" w:rsidRDefault="007B2B61">
            <w:pPr>
              <w:textAlignment w:val="bottom"/>
              <w:rPr>
                <w:rFonts w:ascii="Times New Roman" w:hAnsi="Times New Roman"/>
                <w:sz w:val="16"/>
                <w:szCs w:val="16"/>
              </w:rPr>
            </w:pPr>
            <w:r>
              <w:rPr>
                <w:rFonts w:ascii="Arial" w:eastAsia="宋体" w:hAnsi="Arial" w:cs="Arial"/>
                <w:color w:val="333333"/>
                <w:sz w:val="16"/>
                <w:szCs w:val="16"/>
              </w:rPr>
              <w:t> Notes to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4D47"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88</w:t>
            </w:r>
          </w:p>
        </w:tc>
      </w:tr>
    </w:tbl>
    <w:p w14:paraId="4ACE4D49" w14:textId="77777777" w:rsidR="006F587A" w:rsidRDefault="007B2B61">
      <w:r>
        <w:pict w14:anchorId="4ACE6DF2">
          <v:rect id="_x0000_i1114" style="width:415.3pt;height:1.5pt" o:hralign="center" o:hrstd="t" o:hr="t" fillcolor="#a0a0a0" stroked="f"/>
        </w:pict>
      </w:r>
    </w:p>
    <w:p w14:paraId="4ACE4D4A" w14:textId="77777777" w:rsidR="006F587A" w:rsidRDefault="007B2B61">
      <w:pPr>
        <w:spacing w:line="288" w:lineRule="auto"/>
        <w:jc w:val="right"/>
        <w:rPr>
          <w:rFonts w:ascii="Times New Roman" w:hAnsi="Times New Roman"/>
          <w:sz w:val="16"/>
          <w:szCs w:val="16"/>
        </w:rPr>
      </w:pPr>
      <w:hyperlink r:id="rId153" w:anchor="s9DB683E2CF52561EB8A73BE37F5BF9BE" w:history="1">
        <w:r>
          <w:rPr>
            <w:rStyle w:val="a5"/>
            <w:rFonts w:ascii="Arial" w:eastAsia="宋体" w:hAnsi="Arial" w:cs="Arial"/>
            <w:b/>
            <w:bCs/>
            <w:sz w:val="16"/>
            <w:szCs w:val="16"/>
          </w:rPr>
          <w:t>Table of Contents</w:t>
        </w:r>
      </w:hyperlink>
    </w:p>
    <w:p w14:paraId="4ACE4D4B" w14:textId="77777777" w:rsidR="006F587A" w:rsidRDefault="006F587A">
      <w:pPr>
        <w:spacing w:line="288" w:lineRule="auto"/>
        <w:jc w:val="right"/>
        <w:rPr>
          <w:rFonts w:ascii="Times New Roman" w:hAnsi="Times New Roman"/>
          <w:sz w:val="16"/>
          <w:szCs w:val="16"/>
        </w:rPr>
      </w:pPr>
    </w:p>
    <w:p w14:paraId="4ACE4D4C" w14:textId="77777777" w:rsidR="006F587A" w:rsidRDefault="006F587A">
      <w:pPr>
        <w:rPr>
          <w:rFonts w:ascii="Times New Roman" w:hAnsi="Times New Roman"/>
          <w:sz w:val="20"/>
          <w:szCs w:val="20"/>
        </w:rPr>
      </w:pPr>
    </w:p>
    <w:p w14:paraId="4ACE4D4D"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Current income taxes receivable of $76 million as of December 28, 2019 ($16</w:t>
      </w:r>
      <w:r>
        <w:rPr>
          <w:rFonts w:ascii="Arial" w:eastAsia="宋体" w:hAnsi="Arial" w:cs="Arial"/>
          <w:color w:val="333333"/>
          <w:sz w:val="18"/>
          <w:szCs w:val="18"/>
        </w:rPr>
        <w:t>2 million as of December 29, 2018) are included in other current assets. Current income taxes payable of $575 million as of December 28, 2019 ($366.0 million as of December 29, 2018) are included in other accrued liabilities.</w:t>
      </w:r>
    </w:p>
    <w:p w14:paraId="4ACE4D4E"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Long-term income taxes payable</w:t>
      </w:r>
      <w:r>
        <w:rPr>
          <w:rFonts w:ascii="Arial" w:eastAsia="宋体" w:hAnsi="Arial" w:cs="Arial"/>
          <w:color w:val="333333"/>
          <w:sz w:val="18"/>
          <w:szCs w:val="18"/>
        </w:rPr>
        <w:t xml:space="preserve"> of $4.9 billion as of December 28, 2019 ($4.9 billion as of December 29, 2018) includes uncertain tax positions, reduced by the associated federal deduction for state taxes and </w:t>
      </w:r>
      <w:r>
        <w:rPr>
          <w:rFonts w:ascii="Arial" w:eastAsia="宋体" w:hAnsi="Arial" w:cs="Arial"/>
          <w:color w:val="333333"/>
          <w:sz w:val="18"/>
          <w:szCs w:val="18"/>
        </w:rPr>
        <w:lastRenderedPageBreak/>
        <w:t>non-U.S. tax credits. Long-term income taxes payable may also include other lo</w:t>
      </w:r>
      <w:r>
        <w:rPr>
          <w:rFonts w:ascii="Arial" w:eastAsia="宋体" w:hAnsi="Arial" w:cs="Arial"/>
          <w:color w:val="333333"/>
          <w:sz w:val="18"/>
          <w:szCs w:val="18"/>
        </w:rPr>
        <w:t xml:space="preserve">ng-term tax liabilities that are not uncertain but have not yet been paid, including the substantial majority of the transition tax from Tax Reform, which is payable over eight years beginning in 2018. </w:t>
      </w:r>
    </w:p>
    <w:p w14:paraId="4ACE4D4F" w14:textId="77777777" w:rsidR="006F587A" w:rsidRDefault="007B2B61">
      <w:pPr>
        <w:spacing w:line="288" w:lineRule="auto"/>
        <w:rPr>
          <w:rFonts w:ascii="Times New Roman" w:hAnsi="Times New Roman"/>
        </w:rPr>
      </w:pPr>
      <w:r>
        <w:rPr>
          <w:rFonts w:ascii="Arial" w:eastAsia="宋体" w:hAnsi="Arial" w:cs="Arial"/>
          <w:b/>
          <w:bCs/>
          <w:color w:val="0071C5"/>
        </w:rPr>
        <w:t>UNCERTAIN TAX POSITIONS</w:t>
      </w:r>
    </w:p>
    <w:p w14:paraId="4ACE4D50"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Unrecognized tax benefits wer</w:t>
      </w:r>
      <w:r>
        <w:rPr>
          <w:rFonts w:ascii="Arial" w:eastAsia="宋体" w:hAnsi="Arial" w:cs="Arial"/>
          <w:color w:val="333333"/>
          <w:sz w:val="18"/>
          <w:szCs w:val="18"/>
        </w:rPr>
        <w:t>e $548 million as of December 28, 2019 ($283 million as of December 29, 2018 and $211 million as of December 30, 2017). If the remaining balance of unrecognized tax benefits were recognized in a future period, it would result in a tax benefit of $454 milli</w:t>
      </w:r>
      <w:r>
        <w:rPr>
          <w:rFonts w:ascii="Arial" w:eastAsia="宋体" w:hAnsi="Arial" w:cs="Arial"/>
          <w:color w:val="333333"/>
          <w:sz w:val="18"/>
          <w:szCs w:val="18"/>
        </w:rPr>
        <w:t>on as of December 28, 2019 ($178 million as of December 29, 2018) and a reduction in the effective tax rate. The tax benefit for settlements, effective settlements, and remeasurements was insignificant in all periods presented. Interest, penalties, and acc</w:t>
      </w:r>
      <w:r>
        <w:rPr>
          <w:rFonts w:ascii="Arial" w:eastAsia="宋体" w:hAnsi="Arial" w:cs="Arial"/>
          <w:color w:val="333333"/>
          <w:sz w:val="18"/>
          <w:szCs w:val="18"/>
        </w:rPr>
        <w:t>rued interest related to unrecognized tax benefits were insignificant in the periods presented.</w:t>
      </w:r>
    </w:p>
    <w:p w14:paraId="4ACE4D51"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comply with the laws, regulations, and filing requirements of all jurisdictions in which we conduct business. We regularly engage in discussions and negotiat</w:t>
      </w:r>
      <w:r>
        <w:rPr>
          <w:rFonts w:ascii="Arial" w:eastAsia="宋体" w:hAnsi="Arial" w:cs="Arial"/>
          <w:color w:val="333333"/>
          <w:sz w:val="18"/>
          <w:szCs w:val="18"/>
        </w:rPr>
        <w:t>ions with tax authorities regarding tax matters in various jurisdictions. Although the timing of the resolutions and/or closures of audits is highly uncertain, it is reasonably possible that certain U.S. federal and non-U.S. tax audits may be concluded wit</w:t>
      </w:r>
      <w:r>
        <w:rPr>
          <w:rFonts w:ascii="Arial" w:eastAsia="宋体" w:hAnsi="Arial" w:cs="Arial"/>
          <w:color w:val="333333"/>
          <w:sz w:val="18"/>
          <w:szCs w:val="18"/>
        </w:rPr>
        <w:t xml:space="preserve">hin the next 12 months, which could increase or decrease the balance of our gross unrecognized tax benefits. We estimate that the unrecognized tax benefits as of December 28, 2019 could decrease by as much as $300 million in the next 12 months. </w:t>
      </w:r>
    </w:p>
    <w:p w14:paraId="4ACE4D52"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file federal, state, and non-U.S. tax returns. Excluding pre-acquisition Altera tax years, we are no longer subject to U.S. federal and non-U.S. tax examinations for years prior to 2012. For U.S. state tax returns, we are no longer subject to tax examin</w:t>
      </w:r>
      <w:r>
        <w:rPr>
          <w:rFonts w:ascii="Arial" w:eastAsia="宋体" w:hAnsi="Arial" w:cs="Arial"/>
          <w:color w:val="333333"/>
          <w:sz w:val="18"/>
          <w:szCs w:val="18"/>
        </w:rPr>
        <w:t>ation for years prior to 2012. We are subject to U.S. federal examination for pre-acquisition Altera tax years back to 2004. We have filed petitions before the U.S. Tax Court relating to the treatment of stock-based compensation expense in an inter-company</w:t>
      </w:r>
      <w:r>
        <w:rPr>
          <w:rFonts w:ascii="Arial" w:eastAsia="宋体" w:hAnsi="Arial" w:cs="Arial"/>
          <w:color w:val="333333"/>
          <w:sz w:val="18"/>
          <w:szCs w:val="18"/>
        </w:rPr>
        <w:t xml:space="preserve"> cost-sharing transaction for certain pre-acquisition Altera tax years. The U.S. Tax Court ruled in favor of Altera and the U.S. Internal Revenue Service appealed the ruling to the U.S. Court of Appeals for the Ninth Circuit. During 2019, the Ninth Circuit</w:t>
      </w:r>
      <w:r>
        <w:rPr>
          <w:rFonts w:ascii="Arial" w:eastAsia="宋体" w:hAnsi="Arial" w:cs="Arial"/>
          <w:color w:val="333333"/>
          <w:sz w:val="18"/>
          <w:szCs w:val="18"/>
        </w:rPr>
        <w:t xml:space="preserve"> Court of Appeals issued its opinion on the Altera litigation in favor of the government. We filed a petition for rehearing to the Ninth Circuit Court of Appeals, which was declined in the fourth quarter of 2019. We are currently assessing next steps. </w:t>
      </w:r>
    </w:p>
    <w:tbl>
      <w:tblPr>
        <w:tblW w:w="5000" w:type="pct"/>
        <w:tblCellMar>
          <w:left w:w="0" w:type="dxa"/>
          <w:right w:w="0" w:type="dxa"/>
        </w:tblCellMar>
        <w:tblLook w:val="04A0" w:firstRow="1" w:lastRow="0" w:firstColumn="1" w:lastColumn="0" w:noHBand="0" w:noVBand="1"/>
      </w:tblPr>
      <w:tblGrid>
        <w:gridCol w:w="1080"/>
        <w:gridCol w:w="7226"/>
      </w:tblGrid>
      <w:tr w:rsidR="006F587A" w14:paraId="4ACE4D54" w14:textId="77777777">
        <w:tc>
          <w:tcPr>
            <w:tcW w:w="0" w:type="auto"/>
            <w:gridSpan w:val="2"/>
            <w:shd w:val="clear" w:color="auto" w:fill="auto"/>
            <w:vAlign w:val="center"/>
          </w:tcPr>
          <w:p w14:paraId="4ACE4D53" w14:textId="77777777" w:rsidR="006F587A" w:rsidRDefault="006F587A">
            <w:pPr>
              <w:rPr>
                <w:rFonts w:ascii="Times New Roman" w:hAnsi="Times New Roman"/>
                <w:sz w:val="20"/>
                <w:szCs w:val="20"/>
              </w:rPr>
            </w:pPr>
          </w:p>
        </w:tc>
      </w:tr>
      <w:tr w:rsidR="006F587A" w14:paraId="4ACE4D57" w14:textId="77777777">
        <w:tc>
          <w:tcPr>
            <w:tcW w:w="650" w:type="pct"/>
            <w:shd w:val="clear" w:color="auto" w:fill="auto"/>
            <w:vAlign w:val="center"/>
          </w:tcPr>
          <w:p w14:paraId="4ACE4D55" w14:textId="77777777" w:rsidR="006F587A" w:rsidRDefault="006F587A">
            <w:pPr>
              <w:rPr>
                <w:rFonts w:ascii="Times New Roman" w:hAnsi="Times New Roman"/>
                <w:sz w:val="20"/>
                <w:szCs w:val="20"/>
              </w:rPr>
            </w:pPr>
          </w:p>
        </w:tc>
        <w:tc>
          <w:tcPr>
            <w:tcW w:w="4350" w:type="pct"/>
            <w:shd w:val="clear" w:color="auto" w:fill="auto"/>
            <w:vAlign w:val="center"/>
          </w:tcPr>
          <w:p w14:paraId="4ACE4D56" w14:textId="77777777" w:rsidR="006F587A" w:rsidRDefault="006F587A">
            <w:pPr>
              <w:rPr>
                <w:rFonts w:ascii="Times New Roman" w:hAnsi="Times New Roman"/>
                <w:sz w:val="20"/>
                <w:szCs w:val="20"/>
              </w:rPr>
            </w:pPr>
          </w:p>
        </w:tc>
      </w:tr>
      <w:tr w:rsidR="006F587A" w14:paraId="4ACE4D5A" w14:textId="77777777">
        <w:tc>
          <w:tcPr>
            <w:tcW w:w="0" w:type="auto"/>
            <w:tcBorders>
              <w:bottom w:val="single" w:sz="8" w:space="0" w:color="0071C5"/>
            </w:tcBorders>
            <w:shd w:val="clear" w:color="auto" w:fill="0071C5"/>
            <w:tcMar>
              <w:top w:w="40" w:type="dxa"/>
              <w:left w:w="40" w:type="dxa"/>
              <w:bottom w:w="40" w:type="dxa"/>
              <w:right w:w="40" w:type="dxa"/>
            </w:tcMar>
            <w:vAlign w:val="bottom"/>
          </w:tcPr>
          <w:p w14:paraId="4ACE4D58" w14:textId="77777777" w:rsidR="006F587A" w:rsidRDefault="007B2B61">
            <w:pPr>
              <w:textAlignment w:val="bottom"/>
              <w:rPr>
                <w:rFonts w:ascii="Times New Roman" w:hAnsi="Times New Roman"/>
                <w:sz w:val="28"/>
                <w:szCs w:val="28"/>
              </w:rPr>
            </w:pPr>
            <w:r>
              <w:rPr>
                <w:rFonts w:ascii="Arial" w:eastAsia="宋体" w:hAnsi="Arial" w:cs="Arial"/>
                <w:b/>
                <w:bCs/>
                <w:color w:val="FFFFFF"/>
                <w:sz w:val="28"/>
                <w:szCs w:val="28"/>
                <w:shd w:val="clear" w:color="auto" w:fill="0071C5"/>
              </w:rPr>
              <w:t xml:space="preserve">NOTE 10 : </w:t>
            </w:r>
          </w:p>
        </w:tc>
        <w:tc>
          <w:tcPr>
            <w:tcW w:w="0" w:type="auto"/>
            <w:tcBorders>
              <w:bottom w:val="single" w:sz="8" w:space="0" w:color="0071C5"/>
            </w:tcBorders>
            <w:shd w:val="clear" w:color="auto" w:fill="auto"/>
            <w:tcMar>
              <w:top w:w="40" w:type="dxa"/>
              <w:left w:w="40" w:type="dxa"/>
              <w:bottom w:w="40" w:type="dxa"/>
              <w:right w:w="40" w:type="dxa"/>
            </w:tcMar>
            <w:vAlign w:val="bottom"/>
          </w:tcPr>
          <w:p w14:paraId="4ACE4D59" w14:textId="77777777" w:rsidR="006F587A" w:rsidRDefault="007B2B61">
            <w:pPr>
              <w:textAlignment w:val="bottom"/>
              <w:rPr>
                <w:rFonts w:ascii="Times New Roman" w:hAnsi="Times New Roman"/>
                <w:sz w:val="28"/>
                <w:szCs w:val="28"/>
              </w:rPr>
            </w:pPr>
            <w:r>
              <w:rPr>
                <w:rFonts w:ascii="Arial" w:eastAsia="宋体" w:hAnsi="Arial" w:cs="Arial"/>
                <w:b/>
                <w:bCs/>
                <w:color w:val="0071C5"/>
                <w:sz w:val="28"/>
                <w:szCs w:val="28"/>
              </w:rPr>
              <w:t>INVESTMENTS</w:t>
            </w:r>
          </w:p>
        </w:tc>
      </w:tr>
    </w:tbl>
    <w:p w14:paraId="4ACE4D5B" w14:textId="77777777" w:rsidR="006F587A" w:rsidRDefault="006F587A">
      <w:pPr>
        <w:spacing w:line="288" w:lineRule="auto"/>
        <w:rPr>
          <w:rFonts w:ascii="Times New Roman" w:hAnsi="Times New Roman"/>
          <w:sz w:val="28"/>
          <w:szCs w:val="28"/>
        </w:rPr>
      </w:pPr>
    </w:p>
    <w:p w14:paraId="4ACE4D5C" w14:textId="77777777" w:rsidR="006F587A" w:rsidRDefault="007B2B61">
      <w:pPr>
        <w:spacing w:line="288" w:lineRule="auto"/>
        <w:rPr>
          <w:rFonts w:ascii="Times New Roman" w:hAnsi="Times New Roman"/>
        </w:rPr>
      </w:pPr>
      <w:r>
        <w:rPr>
          <w:rFonts w:ascii="Arial" w:eastAsia="宋体" w:hAnsi="Arial" w:cs="Arial"/>
          <w:b/>
          <w:bCs/>
          <w:color w:val="0071C5"/>
        </w:rPr>
        <w:t xml:space="preserve">DEBT INVESTMENTS </w:t>
      </w:r>
    </w:p>
    <w:p w14:paraId="4ACE4D5D" w14:textId="77777777" w:rsidR="006F587A" w:rsidRDefault="007B2B61">
      <w:pPr>
        <w:spacing w:line="288" w:lineRule="auto"/>
        <w:rPr>
          <w:rFonts w:ascii="Times New Roman" w:hAnsi="Times New Roman"/>
          <w:sz w:val="20"/>
          <w:szCs w:val="20"/>
        </w:rPr>
      </w:pPr>
      <w:r>
        <w:rPr>
          <w:rFonts w:ascii="Arial" w:eastAsia="宋体" w:hAnsi="Arial" w:cs="Arial"/>
          <w:b/>
          <w:bCs/>
          <w:color w:val="333333"/>
          <w:sz w:val="20"/>
          <w:szCs w:val="20"/>
        </w:rPr>
        <w:t>Trading Assets</w:t>
      </w:r>
    </w:p>
    <w:p w14:paraId="4ACE4D5E"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Net gains related to trading assets still held at the reporting date were $26 million in 2019 (net losses of $188 million in 2018 and net gains of $414 million in 2017). Net gains on the </w:t>
      </w:r>
      <w:r>
        <w:rPr>
          <w:rFonts w:ascii="Arial" w:eastAsia="宋体" w:hAnsi="Arial" w:cs="Arial"/>
          <w:color w:val="333333"/>
          <w:sz w:val="18"/>
          <w:szCs w:val="18"/>
        </w:rPr>
        <w:t>related derivatives were $22 million in 2019 (net gains of $163 million in 2018 and net losses of $422 million in 2017).</w:t>
      </w:r>
    </w:p>
    <w:p w14:paraId="4ACE4D5F" w14:textId="77777777" w:rsidR="006F587A" w:rsidRDefault="007B2B61">
      <w:pPr>
        <w:spacing w:line="288" w:lineRule="auto"/>
        <w:rPr>
          <w:rFonts w:ascii="Times New Roman" w:hAnsi="Times New Roman"/>
          <w:sz w:val="20"/>
          <w:szCs w:val="20"/>
        </w:rPr>
      </w:pPr>
      <w:r>
        <w:rPr>
          <w:rFonts w:ascii="Arial" w:eastAsia="宋体" w:hAnsi="Arial" w:cs="Arial"/>
          <w:b/>
          <w:bCs/>
          <w:color w:val="333333"/>
          <w:sz w:val="20"/>
          <w:szCs w:val="20"/>
        </w:rPr>
        <w:t>Available-for-Sale Debt Investments</w:t>
      </w:r>
    </w:p>
    <w:tbl>
      <w:tblPr>
        <w:tblW w:w="4991" w:type="pct"/>
        <w:tblCellMar>
          <w:left w:w="0" w:type="dxa"/>
          <w:right w:w="0" w:type="dxa"/>
        </w:tblCellMar>
        <w:tblLook w:val="04A0" w:firstRow="1" w:lastRow="0" w:firstColumn="1" w:lastColumn="0" w:noHBand="0" w:noVBand="1"/>
      </w:tblPr>
      <w:tblGrid>
        <w:gridCol w:w="1131"/>
        <w:gridCol w:w="122"/>
        <w:gridCol w:w="132"/>
        <w:gridCol w:w="565"/>
        <w:gridCol w:w="80"/>
        <w:gridCol w:w="123"/>
        <w:gridCol w:w="133"/>
        <w:gridCol w:w="677"/>
        <w:gridCol w:w="85"/>
        <w:gridCol w:w="123"/>
        <w:gridCol w:w="133"/>
        <w:gridCol w:w="677"/>
        <w:gridCol w:w="91"/>
        <w:gridCol w:w="123"/>
        <w:gridCol w:w="132"/>
        <w:gridCol w:w="385"/>
        <w:gridCol w:w="5"/>
        <w:gridCol w:w="123"/>
        <w:gridCol w:w="133"/>
        <w:gridCol w:w="566"/>
        <w:gridCol w:w="80"/>
        <w:gridCol w:w="123"/>
        <w:gridCol w:w="133"/>
        <w:gridCol w:w="677"/>
        <w:gridCol w:w="85"/>
        <w:gridCol w:w="123"/>
        <w:gridCol w:w="133"/>
        <w:gridCol w:w="677"/>
        <w:gridCol w:w="91"/>
        <w:gridCol w:w="123"/>
        <w:gridCol w:w="132"/>
        <w:gridCol w:w="385"/>
        <w:gridCol w:w="5"/>
      </w:tblGrid>
      <w:tr w:rsidR="006F587A" w14:paraId="4ACE4D61" w14:textId="77777777">
        <w:tc>
          <w:tcPr>
            <w:tcW w:w="0" w:type="auto"/>
            <w:gridSpan w:val="33"/>
            <w:shd w:val="clear" w:color="auto" w:fill="auto"/>
            <w:vAlign w:val="center"/>
          </w:tcPr>
          <w:p w14:paraId="4ACE4D60" w14:textId="77777777" w:rsidR="006F587A" w:rsidRDefault="006F587A">
            <w:pPr>
              <w:rPr>
                <w:rFonts w:ascii="Times New Roman" w:hAnsi="Times New Roman"/>
                <w:sz w:val="20"/>
                <w:szCs w:val="20"/>
              </w:rPr>
            </w:pPr>
          </w:p>
        </w:tc>
      </w:tr>
      <w:tr w:rsidR="006F587A" w14:paraId="4ACE4D83" w14:textId="77777777">
        <w:tc>
          <w:tcPr>
            <w:tcW w:w="800" w:type="pct"/>
            <w:shd w:val="clear" w:color="auto" w:fill="auto"/>
            <w:vAlign w:val="center"/>
          </w:tcPr>
          <w:p w14:paraId="4ACE4D62" w14:textId="77777777" w:rsidR="006F587A" w:rsidRDefault="006F587A">
            <w:pPr>
              <w:rPr>
                <w:rFonts w:ascii="Times New Roman" w:hAnsi="Times New Roman"/>
                <w:sz w:val="20"/>
                <w:szCs w:val="20"/>
              </w:rPr>
            </w:pPr>
          </w:p>
        </w:tc>
        <w:tc>
          <w:tcPr>
            <w:tcW w:w="50" w:type="pct"/>
            <w:shd w:val="clear" w:color="auto" w:fill="auto"/>
            <w:vAlign w:val="center"/>
          </w:tcPr>
          <w:p w14:paraId="4ACE4D63" w14:textId="77777777" w:rsidR="006F587A" w:rsidRDefault="006F587A">
            <w:pPr>
              <w:rPr>
                <w:rFonts w:ascii="Times New Roman" w:hAnsi="Times New Roman"/>
                <w:sz w:val="20"/>
                <w:szCs w:val="20"/>
              </w:rPr>
            </w:pPr>
          </w:p>
        </w:tc>
        <w:tc>
          <w:tcPr>
            <w:tcW w:w="50" w:type="pct"/>
            <w:shd w:val="clear" w:color="auto" w:fill="auto"/>
            <w:vAlign w:val="center"/>
          </w:tcPr>
          <w:p w14:paraId="4ACE4D64" w14:textId="77777777" w:rsidR="006F587A" w:rsidRDefault="006F587A">
            <w:pPr>
              <w:rPr>
                <w:rFonts w:ascii="Times New Roman" w:hAnsi="Times New Roman"/>
                <w:sz w:val="20"/>
                <w:szCs w:val="20"/>
              </w:rPr>
            </w:pPr>
          </w:p>
        </w:tc>
        <w:tc>
          <w:tcPr>
            <w:tcW w:w="350" w:type="pct"/>
            <w:shd w:val="clear" w:color="auto" w:fill="auto"/>
            <w:vAlign w:val="center"/>
          </w:tcPr>
          <w:p w14:paraId="4ACE4D65" w14:textId="77777777" w:rsidR="006F587A" w:rsidRDefault="006F587A">
            <w:pPr>
              <w:rPr>
                <w:rFonts w:ascii="Times New Roman" w:hAnsi="Times New Roman"/>
                <w:sz w:val="20"/>
                <w:szCs w:val="20"/>
              </w:rPr>
            </w:pPr>
          </w:p>
        </w:tc>
        <w:tc>
          <w:tcPr>
            <w:tcW w:w="50" w:type="pct"/>
            <w:shd w:val="clear" w:color="auto" w:fill="auto"/>
            <w:vAlign w:val="center"/>
          </w:tcPr>
          <w:p w14:paraId="4ACE4D66" w14:textId="77777777" w:rsidR="006F587A" w:rsidRDefault="006F587A">
            <w:pPr>
              <w:rPr>
                <w:rFonts w:ascii="Times New Roman" w:hAnsi="Times New Roman"/>
                <w:sz w:val="20"/>
                <w:szCs w:val="20"/>
              </w:rPr>
            </w:pPr>
          </w:p>
        </w:tc>
        <w:tc>
          <w:tcPr>
            <w:tcW w:w="50" w:type="pct"/>
            <w:shd w:val="clear" w:color="auto" w:fill="auto"/>
            <w:vAlign w:val="center"/>
          </w:tcPr>
          <w:p w14:paraId="4ACE4D67" w14:textId="77777777" w:rsidR="006F587A" w:rsidRDefault="006F587A">
            <w:pPr>
              <w:rPr>
                <w:rFonts w:ascii="Times New Roman" w:hAnsi="Times New Roman"/>
                <w:sz w:val="20"/>
                <w:szCs w:val="20"/>
              </w:rPr>
            </w:pPr>
          </w:p>
        </w:tc>
        <w:tc>
          <w:tcPr>
            <w:tcW w:w="50" w:type="pct"/>
            <w:shd w:val="clear" w:color="auto" w:fill="auto"/>
            <w:vAlign w:val="center"/>
          </w:tcPr>
          <w:p w14:paraId="4ACE4D68" w14:textId="77777777" w:rsidR="006F587A" w:rsidRDefault="006F587A">
            <w:pPr>
              <w:rPr>
                <w:rFonts w:ascii="Times New Roman" w:hAnsi="Times New Roman"/>
                <w:sz w:val="20"/>
                <w:szCs w:val="20"/>
              </w:rPr>
            </w:pPr>
          </w:p>
        </w:tc>
        <w:tc>
          <w:tcPr>
            <w:tcW w:w="400" w:type="pct"/>
            <w:shd w:val="clear" w:color="auto" w:fill="auto"/>
            <w:vAlign w:val="center"/>
          </w:tcPr>
          <w:p w14:paraId="4ACE4D69" w14:textId="77777777" w:rsidR="006F587A" w:rsidRDefault="006F587A">
            <w:pPr>
              <w:rPr>
                <w:rFonts w:ascii="Times New Roman" w:hAnsi="Times New Roman"/>
                <w:sz w:val="20"/>
                <w:szCs w:val="20"/>
              </w:rPr>
            </w:pPr>
          </w:p>
        </w:tc>
        <w:tc>
          <w:tcPr>
            <w:tcW w:w="50" w:type="pct"/>
            <w:shd w:val="clear" w:color="auto" w:fill="auto"/>
            <w:vAlign w:val="center"/>
          </w:tcPr>
          <w:p w14:paraId="4ACE4D6A" w14:textId="77777777" w:rsidR="006F587A" w:rsidRDefault="006F587A">
            <w:pPr>
              <w:rPr>
                <w:rFonts w:ascii="Times New Roman" w:hAnsi="Times New Roman"/>
                <w:sz w:val="20"/>
                <w:szCs w:val="20"/>
              </w:rPr>
            </w:pPr>
          </w:p>
        </w:tc>
        <w:tc>
          <w:tcPr>
            <w:tcW w:w="50" w:type="pct"/>
            <w:shd w:val="clear" w:color="auto" w:fill="auto"/>
            <w:vAlign w:val="center"/>
          </w:tcPr>
          <w:p w14:paraId="4ACE4D6B" w14:textId="77777777" w:rsidR="006F587A" w:rsidRDefault="006F587A">
            <w:pPr>
              <w:rPr>
                <w:rFonts w:ascii="Times New Roman" w:hAnsi="Times New Roman"/>
                <w:sz w:val="20"/>
                <w:szCs w:val="20"/>
              </w:rPr>
            </w:pPr>
          </w:p>
        </w:tc>
        <w:tc>
          <w:tcPr>
            <w:tcW w:w="50" w:type="pct"/>
            <w:shd w:val="clear" w:color="auto" w:fill="auto"/>
            <w:vAlign w:val="center"/>
          </w:tcPr>
          <w:p w14:paraId="4ACE4D6C" w14:textId="77777777" w:rsidR="006F587A" w:rsidRDefault="006F587A">
            <w:pPr>
              <w:rPr>
                <w:rFonts w:ascii="Times New Roman" w:hAnsi="Times New Roman"/>
                <w:sz w:val="20"/>
                <w:szCs w:val="20"/>
              </w:rPr>
            </w:pPr>
          </w:p>
        </w:tc>
        <w:tc>
          <w:tcPr>
            <w:tcW w:w="400" w:type="pct"/>
            <w:shd w:val="clear" w:color="auto" w:fill="auto"/>
            <w:vAlign w:val="center"/>
          </w:tcPr>
          <w:p w14:paraId="4ACE4D6D" w14:textId="77777777" w:rsidR="006F587A" w:rsidRDefault="006F587A">
            <w:pPr>
              <w:rPr>
                <w:rFonts w:ascii="Times New Roman" w:hAnsi="Times New Roman"/>
                <w:sz w:val="20"/>
                <w:szCs w:val="20"/>
              </w:rPr>
            </w:pPr>
          </w:p>
        </w:tc>
        <w:tc>
          <w:tcPr>
            <w:tcW w:w="50" w:type="pct"/>
            <w:shd w:val="clear" w:color="auto" w:fill="auto"/>
            <w:vAlign w:val="center"/>
          </w:tcPr>
          <w:p w14:paraId="4ACE4D6E" w14:textId="77777777" w:rsidR="006F587A" w:rsidRDefault="006F587A">
            <w:pPr>
              <w:rPr>
                <w:rFonts w:ascii="Times New Roman" w:hAnsi="Times New Roman"/>
                <w:sz w:val="20"/>
                <w:szCs w:val="20"/>
              </w:rPr>
            </w:pPr>
          </w:p>
        </w:tc>
        <w:tc>
          <w:tcPr>
            <w:tcW w:w="50" w:type="pct"/>
            <w:shd w:val="clear" w:color="auto" w:fill="auto"/>
            <w:vAlign w:val="center"/>
          </w:tcPr>
          <w:p w14:paraId="4ACE4D6F" w14:textId="77777777" w:rsidR="006F587A" w:rsidRDefault="006F587A">
            <w:pPr>
              <w:rPr>
                <w:rFonts w:ascii="Times New Roman" w:hAnsi="Times New Roman"/>
                <w:sz w:val="20"/>
                <w:szCs w:val="20"/>
              </w:rPr>
            </w:pPr>
          </w:p>
        </w:tc>
        <w:tc>
          <w:tcPr>
            <w:tcW w:w="50" w:type="pct"/>
            <w:shd w:val="clear" w:color="auto" w:fill="auto"/>
            <w:vAlign w:val="center"/>
          </w:tcPr>
          <w:p w14:paraId="4ACE4D70" w14:textId="77777777" w:rsidR="006F587A" w:rsidRDefault="006F587A">
            <w:pPr>
              <w:rPr>
                <w:rFonts w:ascii="Times New Roman" w:hAnsi="Times New Roman"/>
                <w:sz w:val="20"/>
                <w:szCs w:val="20"/>
              </w:rPr>
            </w:pPr>
          </w:p>
        </w:tc>
        <w:tc>
          <w:tcPr>
            <w:tcW w:w="350" w:type="pct"/>
            <w:shd w:val="clear" w:color="auto" w:fill="auto"/>
            <w:vAlign w:val="center"/>
          </w:tcPr>
          <w:p w14:paraId="4ACE4D71" w14:textId="77777777" w:rsidR="006F587A" w:rsidRDefault="006F587A">
            <w:pPr>
              <w:rPr>
                <w:rFonts w:ascii="Times New Roman" w:hAnsi="Times New Roman"/>
                <w:sz w:val="20"/>
                <w:szCs w:val="20"/>
              </w:rPr>
            </w:pPr>
          </w:p>
        </w:tc>
        <w:tc>
          <w:tcPr>
            <w:tcW w:w="50" w:type="pct"/>
            <w:shd w:val="clear" w:color="auto" w:fill="auto"/>
            <w:vAlign w:val="center"/>
          </w:tcPr>
          <w:p w14:paraId="4ACE4D72" w14:textId="77777777" w:rsidR="006F587A" w:rsidRDefault="006F587A">
            <w:pPr>
              <w:rPr>
                <w:rFonts w:ascii="Times New Roman" w:hAnsi="Times New Roman"/>
                <w:sz w:val="20"/>
                <w:szCs w:val="20"/>
              </w:rPr>
            </w:pPr>
          </w:p>
        </w:tc>
        <w:tc>
          <w:tcPr>
            <w:tcW w:w="50" w:type="pct"/>
            <w:shd w:val="clear" w:color="auto" w:fill="auto"/>
            <w:vAlign w:val="center"/>
          </w:tcPr>
          <w:p w14:paraId="4ACE4D73" w14:textId="77777777" w:rsidR="006F587A" w:rsidRDefault="006F587A">
            <w:pPr>
              <w:rPr>
                <w:rFonts w:ascii="Times New Roman" w:hAnsi="Times New Roman"/>
                <w:sz w:val="20"/>
                <w:szCs w:val="20"/>
              </w:rPr>
            </w:pPr>
          </w:p>
        </w:tc>
        <w:tc>
          <w:tcPr>
            <w:tcW w:w="50" w:type="pct"/>
            <w:shd w:val="clear" w:color="auto" w:fill="auto"/>
            <w:vAlign w:val="center"/>
          </w:tcPr>
          <w:p w14:paraId="4ACE4D74" w14:textId="77777777" w:rsidR="006F587A" w:rsidRDefault="006F587A">
            <w:pPr>
              <w:rPr>
                <w:rFonts w:ascii="Times New Roman" w:hAnsi="Times New Roman"/>
                <w:sz w:val="20"/>
                <w:szCs w:val="20"/>
              </w:rPr>
            </w:pPr>
          </w:p>
        </w:tc>
        <w:tc>
          <w:tcPr>
            <w:tcW w:w="350" w:type="pct"/>
            <w:shd w:val="clear" w:color="auto" w:fill="auto"/>
            <w:vAlign w:val="center"/>
          </w:tcPr>
          <w:p w14:paraId="4ACE4D75" w14:textId="77777777" w:rsidR="006F587A" w:rsidRDefault="006F587A">
            <w:pPr>
              <w:rPr>
                <w:rFonts w:ascii="Times New Roman" w:hAnsi="Times New Roman"/>
                <w:sz w:val="20"/>
                <w:szCs w:val="20"/>
              </w:rPr>
            </w:pPr>
          </w:p>
        </w:tc>
        <w:tc>
          <w:tcPr>
            <w:tcW w:w="50" w:type="pct"/>
            <w:shd w:val="clear" w:color="auto" w:fill="auto"/>
            <w:vAlign w:val="center"/>
          </w:tcPr>
          <w:p w14:paraId="4ACE4D76" w14:textId="77777777" w:rsidR="006F587A" w:rsidRDefault="006F587A">
            <w:pPr>
              <w:rPr>
                <w:rFonts w:ascii="Times New Roman" w:hAnsi="Times New Roman"/>
                <w:sz w:val="20"/>
                <w:szCs w:val="20"/>
              </w:rPr>
            </w:pPr>
          </w:p>
        </w:tc>
        <w:tc>
          <w:tcPr>
            <w:tcW w:w="50" w:type="pct"/>
            <w:shd w:val="clear" w:color="auto" w:fill="auto"/>
            <w:vAlign w:val="center"/>
          </w:tcPr>
          <w:p w14:paraId="4ACE4D77" w14:textId="77777777" w:rsidR="006F587A" w:rsidRDefault="006F587A">
            <w:pPr>
              <w:rPr>
                <w:rFonts w:ascii="Times New Roman" w:hAnsi="Times New Roman"/>
                <w:sz w:val="20"/>
                <w:szCs w:val="20"/>
              </w:rPr>
            </w:pPr>
          </w:p>
        </w:tc>
        <w:tc>
          <w:tcPr>
            <w:tcW w:w="50" w:type="pct"/>
            <w:shd w:val="clear" w:color="auto" w:fill="auto"/>
            <w:vAlign w:val="center"/>
          </w:tcPr>
          <w:p w14:paraId="4ACE4D78" w14:textId="77777777" w:rsidR="006F587A" w:rsidRDefault="006F587A">
            <w:pPr>
              <w:rPr>
                <w:rFonts w:ascii="Times New Roman" w:hAnsi="Times New Roman"/>
                <w:sz w:val="20"/>
                <w:szCs w:val="20"/>
              </w:rPr>
            </w:pPr>
          </w:p>
        </w:tc>
        <w:tc>
          <w:tcPr>
            <w:tcW w:w="400" w:type="pct"/>
            <w:shd w:val="clear" w:color="auto" w:fill="auto"/>
            <w:vAlign w:val="center"/>
          </w:tcPr>
          <w:p w14:paraId="4ACE4D79" w14:textId="77777777" w:rsidR="006F587A" w:rsidRDefault="006F587A">
            <w:pPr>
              <w:rPr>
                <w:rFonts w:ascii="Times New Roman" w:hAnsi="Times New Roman"/>
                <w:sz w:val="20"/>
                <w:szCs w:val="20"/>
              </w:rPr>
            </w:pPr>
          </w:p>
        </w:tc>
        <w:tc>
          <w:tcPr>
            <w:tcW w:w="50" w:type="pct"/>
            <w:shd w:val="clear" w:color="auto" w:fill="auto"/>
            <w:vAlign w:val="center"/>
          </w:tcPr>
          <w:p w14:paraId="4ACE4D7A" w14:textId="77777777" w:rsidR="006F587A" w:rsidRDefault="006F587A">
            <w:pPr>
              <w:rPr>
                <w:rFonts w:ascii="Times New Roman" w:hAnsi="Times New Roman"/>
                <w:sz w:val="20"/>
                <w:szCs w:val="20"/>
              </w:rPr>
            </w:pPr>
          </w:p>
        </w:tc>
        <w:tc>
          <w:tcPr>
            <w:tcW w:w="50" w:type="pct"/>
            <w:shd w:val="clear" w:color="auto" w:fill="auto"/>
            <w:vAlign w:val="center"/>
          </w:tcPr>
          <w:p w14:paraId="4ACE4D7B" w14:textId="77777777" w:rsidR="006F587A" w:rsidRDefault="006F587A">
            <w:pPr>
              <w:rPr>
                <w:rFonts w:ascii="Times New Roman" w:hAnsi="Times New Roman"/>
                <w:sz w:val="20"/>
                <w:szCs w:val="20"/>
              </w:rPr>
            </w:pPr>
          </w:p>
        </w:tc>
        <w:tc>
          <w:tcPr>
            <w:tcW w:w="50" w:type="pct"/>
            <w:shd w:val="clear" w:color="auto" w:fill="auto"/>
            <w:vAlign w:val="center"/>
          </w:tcPr>
          <w:p w14:paraId="4ACE4D7C" w14:textId="77777777" w:rsidR="006F587A" w:rsidRDefault="006F587A">
            <w:pPr>
              <w:rPr>
                <w:rFonts w:ascii="Times New Roman" w:hAnsi="Times New Roman"/>
                <w:sz w:val="20"/>
                <w:szCs w:val="20"/>
              </w:rPr>
            </w:pPr>
          </w:p>
        </w:tc>
        <w:tc>
          <w:tcPr>
            <w:tcW w:w="400" w:type="pct"/>
            <w:shd w:val="clear" w:color="auto" w:fill="auto"/>
            <w:vAlign w:val="center"/>
          </w:tcPr>
          <w:p w14:paraId="4ACE4D7D" w14:textId="77777777" w:rsidR="006F587A" w:rsidRDefault="006F587A">
            <w:pPr>
              <w:rPr>
                <w:rFonts w:ascii="Times New Roman" w:hAnsi="Times New Roman"/>
                <w:sz w:val="20"/>
                <w:szCs w:val="20"/>
              </w:rPr>
            </w:pPr>
          </w:p>
        </w:tc>
        <w:tc>
          <w:tcPr>
            <w:tcW w:w="50" w:type="pct"/>
            <w:shd w:val="clear" w:color="auto" w:fill="auto"/>
            <w:vAlign w:val="center"/>
          </w:tcPr>
          <w:p w14:paraId="4ACE4D7E" w14:textId="77777777" w:rsidR="006F587A" w:rsidRDefault="006F587A">
            <w:pPr>
              <w:rPr>
                <w:rFonts w:ascii="Times New Roman" w:hAnsi="Times New Roman"/>
                <w:sz w:val="20"/>
                <w:szCs w:val="20"/>
              </w:rPr>
            </w:pPr>
          </w:p>
        </w:tc>
        <w:tc>
          <w:tcPr>
            <w:tcW w:w="50" w:type="pct"/>
            <w:shd w:val="clear" w:color="auto" w:fill="auto"/>
            <w:vAlign w:val="center"/>
          </w:tcPr>
          <w:p w14:paraId="4ACE4D7F" w14:textId="77777777" w:rsidR="006F587A" w:rsidRDefault="006F587A">
            <w:pPr>
              <w:rPr>
                <w:rFonts w:ascii="Times New Roman" w:hAnsi="Times New Roman"/>
                <w:sz w:val="20"/>
                <w:szCs w:val="20"/>
              </w:rPr>
            </w:pPr>
          </w:p>
        </w:tc>
        <w:tc>
          <w:tcPr>
            <w:tcW w:w="50" w:type="pct"/>
            <w:shd w:val="clear" w:color="auto" w:fill="auto"/>
            <w:vAlign w:val="center"/>
          </w:tcPr>
          <w:p w14:paraId="4ACE4D80" w14:textId="77777777" w:rsidR="006F587A" w:rsidRDefault="006F587A">
            <w:pPr>
              <w:rPr>
                <w:rFonts w:ascii="Times New Roman" w:hAnsi="Times New Roman"/>
                <w:sz w:val="20"/>
                <w:szCs w:val="20"/>
              </w:rPr>
            </w:pPr>
          </w:p>
        </w:tc>
        <w:tc>
          <w:tcPr>
            <w:tcW w:w="350" w:type="pct"/>
            <w:shd w:val="clear" w:color="auto" w:fill="auto"/>
            <w:vAlign w:val="center"/>
          </w:tcPr>
          <w:p w14:paraId="4ACE4D81" w14:textId="77777777" w:rsidR="006F587A" w:rsidRDefault="006F587A">
            <w:pPr>
              <w:rPr>
                <w:rFonts w:ascii="Times New Roman" w:hAnsi="Times New Roman"/>
                <w:sz w:val="20"/>
                <w:szCs w:val="20"/>
              </w:rPr>
            </w:pPr>
          </w:p>
        </w:tc>
        <w:tc>
          <w:tcPr>
            <w:tcW w:w="50" w:type="pct"/>
            <w:shd w:val="clear" w:color="auto" w:fill="auto"/>
            <w:vAlign w:val="center"/>
          </w:tcPr>
          <w:p w14:paraId="4ACE4D82" w14:textId="77777777" w:rsidR="006F587A" w:rsidRDefault="006F587A">
            <w:pPr>
              <w:rPr>
                <w:rFonts w:ascii="Times New Roman" w:hAnsi="Times New Roman"/>
                <w:sz w:val="20"/>
                <w:szCs w:val="20"/>
              </w:rPr>
            </w:pPr>
          </w:p>
        </w:tc>
      </w:tr>
      <w:tr w:rsidR="006F587A" w14:paraId="4ACE4D89" w14:textId="77777777">
        <w:tc>
          <w:tcPr>
            <w:tcW w:w="0" w:type="auto"/>
            <w:shd w:val="clear" w:color="auto" w:fill="auto"/>
            <w:tcMar>
              <w:top w:w="40" w:type="dxa"/>
              <w:left w:w="40" w:type="dxa"/>
              <w:bottom w:w="40" w:type="dxa"/>
              <w:right w:w="40" w:type="dxa"/>
            </w:tcMar>
            <w:vAlign w:val="bottom"/>
          </w:tcPr>
          <w:p w14:paraId="4ACE4D8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4D8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71C5"/>
            </w:tcBorders>
            <w:shd w:val="clear" w:color="auto" w:fill="auto"/>
            <w:tcMar>
              <w:top w:w="40" w:type="dxa"/>
              <w:left w:w="40" w:type="dxa"/>
              <w:bottom w:w="40" w:type="dxa"/>
            </w:tcMar>
            <w:vAlign w:val="bottom"/>
          </w:tcPr>
          <w:p w14:paraId="4ACE4D86"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December 28, 2019</w:t>
            </w:r>
          </w:p>
        </w:tc>
        <w:tc>
          <w:tcPr>
            <w:tcW w:w="0" w:type="auto"/>
            <w:shd w:val="clear" w:color="auto" w:fill="auto"/>
            <w:tcMar>
              <w:top w:w="40" w:type="dxa"/>
              <w:left w:w="40" w:type="dxa"/>
              <w:bottom w:w="40" w:type="dxa"/>
              <w:right w:w="40" w:type="dxa"/>
            </w:tcMar>
            <w:vAlign w:val="bottom"/>
          </w:tcPr>
          <w:p w14:paraId="4ACE4D8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71C5"/>
            </w:tcBorders>
            <w:shd w:val="clear" w:color="auto" w:fill="auto"/>
            <w:tcMar>
              <w:top w:w="40" w:type="dxa"/>
              <w:left w:w="40" w:type="dxa"/>
              <w:bottom w:w="40" w:type="dxa"/>
            </w:tcMar>
            <w:vAlign w:val="bottom"/>
          </w:tcPr>
          <w:p w14:paraId="4ACE4D88"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December 29, 2018</w:t>
            </w:r>
          </w:p>
        </w:tc>
      </w:tr>
      <w:tr w:rsidR="006F587A" w14:paraId="4ACE4DA7"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4D8A"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4ACE4D8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D8C"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Adjusted</w:t>
            </w:r>
          </w:p>
          <w:p w14:paraId="4ACE4D8D"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Cost</w:t>
            </w:r>
          </w:p>
        </w:tc>
        <w:tc>
          <w:tcPr>
            <w:tcW w:w="0" w:type="auto"/>
            <w:shd w:val="clear" w:color="auto" w:fill="auto"/>
            <w:tcMar>
              <w:top w:w="40" w:type="dxa"/>
              <w:left w:w="40" w:type="dxa"/>
              <w:bottom w:w="40" w:type="dxa"/>
              <w:right w:w="40" w:type="dxa"/>
            </w:tcMar>
            <w:vAlign w:val="bottom"/>
          </w:tcPr>
          <w:p w14:paraId="4ACE4D8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D8F"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Gross</w:t>
            </w:r>
          </w:p>
          <w:p w14:paraId="4ACE4D90"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Unrealized</w:t>
            </w:r>
          </w:p>
          <w:p w14:paraId="4ACE4D91"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Gains</w:t>
            </w:r>
          </w:p>
        </w:tc>
        <w:tc>
          <w:tcPr>
            <w:tcW w:w="0" w:type="auto"/>
            <w:shd w:val="clear" w:color="auto" w:fill="auto"/>
            <w:tcMar>
              <w:top w:w="40" w:type="dxa"/>
              <w:left w:w="40" w:type="dxa"/>
              <w:bottom w:w="40" w:type="dxa"/>
              <w:right w:w="40" w:type="dxa"/>
            </w:tcMar>
            <w:vAlign w:val="bottom"/>
          </w:tcPr>
          <w:p w14:paraId="4ACE4D9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D93"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Gross</w:t>
            </w:r>
          </w:p>
          <w:p w14:paraId="4ACE4D94"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Unrealized</w:t>
            </w:r>
          </w:p>
          <w:p w14:paraId="4ACE4D95"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Losses</w:t>
            </w:r>
          </w:p>
        </w:tc>
        <w:tc>
          <w:tcPr>
            <w:tcW w:w="0" w:type="auto"/>
            <w:shd w:val="clear" w:color="auto" w:fill="auto"/>
            <w:tcMar>
              <w:top w:w="40" w:type="dxa"/>
              <w:left w:w="40" w:type="dxa"/>
              <w:bottom w:w="40" w:type="dxa"/>
              <w:right w:w="40" w:type="dxa"/>
            </w:tcMar>
            <w:vAlign w:val="bottom"/>
          </w:tcPr>
          <w:p w14:paraId="4ACE4D9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D97"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Fair</w:t>
            </w:r>
          </w:p>
          <w:p w14:paraId="4ACE4D98"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Value</w:t>
            </w:r>
          </w:p>
        </w:tc>
        <w:tc>
          <w:tcPr>
            <w:tcW w:w="0" w:type="auto"/>
            <w:shd w:val="clear" w:color="auto" w:fill="auto"/>
            <w:tcMar>
              <w:top w:w="40" w:type="dxa"/>
              <w:left w:w="40" w:type="dxa"/>
              <w:bottom w:w="40" w:type="dxa"/>
              <w:right w:w="40" w:type="dxa"/>
            </w:tcMar>
            <w:vAlign w:val="bottom"/>
          </w:tcPr>
          <w:p w14:paraId="4ACE4D9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D9A"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Adjusted</w:t>
            </w:r>
          </w:p>
          <w:p w14:paraId="4ACE4D9B"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Cost</w:t>
            </w:r>
          </w:p>
        </w:tc>
        <w:tc>
          <w:tcPr>
            <w:tcW w:w="0" w:type="auto"/>
            <w:shd w:val="clear" w:color="auto" w:fill="auto"/>
            <w:tcMar>
              <w:top w:w="40" w:type="dxa"/>
              <w:left w:w="40" w:type="dxa"/>
              <w:bottom w:w="40" w:type="dxa"/>
              <w:right w:w="40" w:type="dxa"/>
            </w:tcMar>
            <w:vAlign w:val="bottom"/>
          </w:tcPr>
          <w:p w14:paraId="4ACE4D9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D9D"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Gross</w:t>
            </w:r>
          </w:p>
          <w:p w14:paraId="4ACE4D9E"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Unrealized</w:t>
            </w:r>
          </w:p>
          <w:p w14:paraId="4ACE4D9F"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Gains</w:t>
            </w:r>
          </w:p>
        </w:tc>
        <w:tc>
          <w:tcPr>
            <w:tcW w:w="0" w:type="auto"/>
            <w:shd w:val="clear" w:color="auto" w:fill="auto"/>
            <w:tcMar>
              <w:top w:w="40" w:type="dxa"/>
              <w:left w:w="40" w:type="dxa"/>
              <w:bottom w:w="40" w:type="dxa"/>
              <w:right w:w="40" w:type="dxa"/>
            </w:tcMar>
            <w:vAlign w:val="bottom"/>
          </w:tcPr>
          <w:p w14:paraId="4ACE4DA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DA1"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Gross</w:t>
            </w:r>
          </w:p>
          <w:p w14:paraId="4ACE4DA2"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Unrealized</w:t>
            </w:r>
          </w:p>
          <w:p w14:paraId="4ACE4DA3"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Losses</w:t>
            </w:r>
          </w:p>
        </w:tc>
        <w:tc>
          <w:tcPr>
            <w:tcW w:w="0" w:type="auto"/>
            <w:shd w:val="clear" w:color="auto" w:fill="auto"/>
            <w:tcMar>
              <w:top w:w="40" w:type="dxa"/>
              <w:left w:w="40" w:type="dxa"/>
              <w:bottom w:w="40" w:type="dxa"/>
              <w:right w:w="40" w:type="dxa"/>
            </w:tcMar>
            <w:vAlign w:val="bottom"/>
          </w:tcPr>
          <w:p w14:paraId="4ACE4DA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DA5"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Fair</w:t>
            </w:r>
          </w:p>
          <w:p w14:paraId="4ACE4DA6"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Value</w:t>
            </w:r>
          </w:p>
        </w:tc>
      </w:tr>
      <w:tr w:rsidR="006F587A" w14:paraId="4ACE4DC9" w14:textId="77777777">
        <w:tc>
          <w:tcPr>
            <w:tcW w:w="0" w:type="auto"/>
            <w:shd w:val="clear" w:color="auto" w:fill="auto"/>
            <w:tcMar>
              <w:top w:w="40" w:type="dxa"/>
              <w:left w:w="40" w:type="dxa"/>
              <w:bottom w:w="40" w:type="dxa"/>
              <w:right w:w="40" w:type="dxa"/>
            </w:tcMar>
            <w:vAlign w:val="bottom"/>
          </w:tcPr>
          <w:p w14:paraId="4ACE4DA8"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Corporate debt</w:t>
            </w:r>
          </w:p>
        </w:tc>
        <w:tc>
          <w:tcPr>
            <w:tcW w:w="0" w:type="auto"/>
            <w:shd w:val="clear" w:color="auto" w:fill="auto"/>
            <w:tcMar>
              <w:top w:w="40" w:type="dxa"/>
              <w:left w:w="40" w:type="dxa"/>
              <w:bottom w:w="40" w:type="dxa"/>
              <w:right w:w="40" w:type="dxa"/>
            </w:tcMar>
            <w:vAlign w:val="bottom"/>
          </w:tcPr>
          <w:p w14:paraId="4ACE4DA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DAA"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4DAB"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2,914</w:t>
            </w:r>
          </w:p>
        </w:tc>
        <w:tc>
          <w:tcPr>
            <w:tcW w:w="0" w:type="auto"/>
            <w:shd w:val="clear" w:color="auto" w:fill="auto"/>
            <w:vAlign w:val="bottom"/>
          </w:tcPr>
          <w:p w14:paraId="4ACE4DA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DA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DAE"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4DAF"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44</w:t>
            </w:r>
          </w:p>
        </w:tc>
        <w:tc>
          <w:tcPr>
            <w:tcW w:w="0" w:type="auto"/>
            <w:shd w:val="clear" w:color="auto" w:fill="auto"/>
            <w:vAlign w:val="bottom"/>
          </w:tcPr>
          <w:p w14:paraId="4ACE4DB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DB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DB2"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4DB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4DB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DB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DB6"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4DB7"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2,958</w:t>
            </w:r>
          </w:p>
        </w:tc>
        <w:tc>
          <w:tcPr>
            <w:tcW w:w="0" w:type="auto"/>
            <w:shd w:val="clear" w:color="auto" w:fill="auto"/>
            <w:vAlign w:val="bottom"/>
          </w:tcPr>
          <w:p w14:paraId="4ACE4DB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DB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DB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4DB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3,068</w:t>
            </w:r>
          </w:p>
        </w:tc>
        <w:tc>
          <w:tcPr>
            <w:tcW w:w="0" w:type="auto"/>
            <w:shd w:val="clear" w:color="auto" w:fill="auto"/>
            <w:vAlign w:val="bottom"/>
          </w:tcPr>
          <w:p w14:paraId="4ACE4DB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DB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DBE"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4DB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w:t>
            </w:r>
          </w:p>
        </w:tc>
        <w:tc>
          <w:tcPr>
            <w:tcW w:w="0" w:type="auto"/>
            <w:shd w:val="clear" w:color="auto" w:fill="auto"/>
            <w:vAlign w:val="bottom"/>
          </w:tcPr>
          <w:p w14:paraId="4ACE4DC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DC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DC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4DC3"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(28</w:t>
            </w:r>
          </w:p>
        </w:tc>
        <w:tc>
          <w:tcPr>
            <w:tcW w:w="0" w:type="auto"/>
            <w:shd w:val="clear" w:color="auto" w:fill="auto"/>
            <w:tcMar>
              <w:top w:w="40" w:type="dxa"/>
              <w:bottom w:w="40" w:type="dxa"/>
              <w:right w:w="40" w:type="dxa"/>
            </w:tcMar>
            <w:vAlign w:val="bottom"/>
          </w:tcPr>
          <w:p w14:paraId="4ACE4DC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4DC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DC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4DC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3,042</w:t>
            </w:r>
          </w:p>
        </w:tc>
        <w:tc>
          <w:tcPr>
            <w:tcW w:w="0" w:type="auto"/>
            <w:shd w:val="clear" w:color="auto" w:fill="auto"/>
            <w:vAlign w:val="bottom"/>
          </w:tcPr>
          <w:p w14:paraId="4ACE4DC8" w14:textId="77777777" w:rsidR="006F587A" w:rsidRDefault="006F587A">
            <w:pPr>
              <w:textAlignment w:val="bottom"/>
              <w:rPr>
                <w:rFonts w:ascii="Times New Roman" w:hAnsi="Times New Roman"/>
                <w:sz w:val="20"/>
                <w:szCs w:val="20"/>
              </w:rPr>
            </w:pPr>
          </w:p>
        </w:tc>
      </w:tr>
      <w:tr w:rsidR="006F587A" w14:paraId="4ACE4DE3" w14:textId="77777777">
        <w:tc>
          <w:tcPr>
            <w:tcW w:w="0" w:type="auto"/>
            <w:shd w:val="clear" w:color="auto" w:fill="auto"/>
            <w:tcMar>
              <w:top w:w="40" w:type="dxa"/>
              <w:left w:w="40" w:type="dxa"/>
              <w:bottom w:w="40" w:type="dxa"/>
              <w:right w:w="40" w:type="dxa"/>
            </w:tcMar>
            <w:vAlign w:val="bottom"/>
          </w:tcPr>
          <w:p w14:paraId="4ACE4DCA"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Financial institution instruments</w:t>
            </w:r>
          </w:p>
        </w:tc>
        <w:tc>
          <w:tcPr>
            <w:tcW w:w="0" w:type="auto"/>
            <w:shd w:val="clear" w:color="auto" w:fill="auto"/>
            <w:tcMar>
              <w:top w:w="40" w:type="dxa"/>
              <w:left w:w="40" w:type="dxa"/>
              <w:bottom w:w="40" w:type="dxa"/>
              <w:right w:w="40" w:type="dxa"/>
            </w:tcMar>
            <w:vAlign w:val="bottom"/>
          </w:tcPr>
          <w:p w14:paraId="4ACE4DC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DCC"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3,007</w:t>
            </w:r>
          </w:p>
        </w:tc>
        <w:tc>
          <w:tcPr>
            <w:tcW w:w="0" w:type="auto"/>
            <w:shd w:val="clear" w:color="auto" w:fill="auto"/>
            <w:vAlign w:val="bottom"/>
          </w:tcPr>
          <w:p w14:paraId="4ACE4DC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DC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DCF"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15</w:t>
            </w:r>
          </w:p>
        </w:tc>
        <w:tc>
          <w:tcPr>
            <w:tcW w:w="0" w:type="auto"/>
            <w:shd w:val="clear" w:color="auto" w:fill="auto"/>
            <w:vAlign w:val="bottom"/>
          </w:tcPr>
          <w:p w14:paraId="4ACE4DD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DD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DD2"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w:t>
            </w:r>
          </w:p>
        </w:tc>
        <w:tc>
          <w:tcPr>
            <w:tcW w:w="0" w:type="auto"/>
            <w:shd w:val="clear" w:color="auto" w:fill="auto"/>
            <w:tcMar>
              <w:top w:w="40" w:type="dxa"/>
              <w:bottom w:w="40" w:type="dxa"/>
              <w:right w:w="40" w:type="dxa"/>
            </w:tcMar>
            <w:vAlign w:val="bottom"/>
          </w:tcPr>
          <w:p w14:paraId="4ACE4DD3"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4DD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DD5"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3,021</w:t>
            </w:r>
          </w:p>
        </w:tc>
        <w:tc>
          <w:tcPr>
            <w:tcW w:w="0" w:type="auto"/>
            <w:shd w:val="clear" w:color="auto" w:fill="auto"/>
            <w:vAlign w:val="bottom"/>
          </w:tcPr>
          <w:p w14:paraId="4ACE4DD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DD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DD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3,076</w:t>
            </w:r>
          </w:p>
        </w:tc>
        <w:tc>
          <w:tcPr>
            <w:tcW w:w="0" w:type="auto"/>
            <w:shd w:val="clear" w:color="auto" w:fill="auto"/>
            <w:vAlign w:val="bottom"/>
          </w:tcPr>
          <w:p w14:paraId="4ACE4DD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DD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DD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w:t>
            </w:r>
          </w:p>
        </w:tc>
        <w:tc>
          <w:tcPr>
            <w:tcW w:w="0" w:type="auto"/>
            <w:shd w:val="clear" w:color="auto" w:fill="auto"/>
            <w:vAlign w:val="bottom"/>
          </w:tcPr>
          <w:p w14:paraId="4ACE4DD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DD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DD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(11</w:t>
            </w:r>
          </w:p>
        </w:tc>
        <w:tc>
          <w:tcPr>
            <w:tcW w:w="0" w:type="auto"/>
            <w:shd w:val="clear" w:color="auto" w:fill="auto"/>
            <w:tcMar>
              <w:top w:w="40" w:type="dxa"/>
              <w:bottom w:w="40" w:type="dxa"/>
              <w:right w:w="40" w:type="dxa"/>
            </w:tcMar>
            <w:vAlign w:val="bottom"/>
          </w:tcPr>
          <w:p w14:paraId="4ACE4DD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4DE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DE1"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3,068</w:t>
            </w:r>
          </w:p>
        </w:tc>
        <w:tc>
          <w:tcPr>
            <w:tcW w:w="0" w:type="auto"/>
            <w:shd w:val="clear" w:color="auto" w:fill="auto"/>
            <w:vAlign w:val="bottom"/>
          </w:tcPr>
          <w:p w14:paraId="4ACE4DE2" w14:textId="77777777" w:rsidR="006F587A" w:rsidRDefault="006F587A">
            <w:pPr>
              <w:textAlignment w:val="bottom"/>
              <w:rPr>
                <w:rFonts w:ascii="Times New Roman" w:hAnsi="Times New Roman"/>
                <w:sz w:val="20"/>
                <w:szCs w:val="20"/>
              </w:rPr>
            </w:pPr>
          </w:p>
        </w:tc>
      </w:tr>
      <w:tr w:rsidR="006F587A" w14:paraId="4ACE4DFD" w14:textId="77777777">
        <w:tc>
          <w:tcPr>
            <w:tcW w:w="0" w:type="auto"/>
            <w:shd w:val="clear" w:color="auto" w:fill="auto"/>
            <w:tcMar>
              <w:top w:w="40" w:type="dxa"/>
              <w:left w:w="40" w:type="dxa"/>
              <w:bottom w:w="40" w:type="dxa"/>
              <w:right w:w="40" w:type="dxa"/>
            </w:tcMar>
            <w:vAlign w:val="bottom"/>
          </w:tcPr>
          <w:p w14:paraId="4ACE4DE4"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Government debt</w:t>
            </w:r>
          </w:p>
        </w:tc>
        <w:tc>
          <w:tcPr>
            <w:tcW w:w="0" w:type="auto"/>
            <w:shd w:val="clear" w:color="auto" w:fill="auto"/>
            <w:tcMar>
              <w:top w:w="40" w:type="dxa"/>
              <w:left w:w="40" w:type="dxa"/>
              <w:bottom w:w="40" w:type="dxa"/>
              <w:right w:w="40" w:type="dxa"/>
            </w:tcMar>
            <w:vAlign w:val="bottom"/>
          </w:tcPr>
          <w:p w14:paraId="4ACE4DE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DE6"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560</w:t>
            </w:r>
          </w:p>
        </w:tc>
        <w:tc>
          <w:tcPr>
            <w:tcW w:w="0" w:type="auto"/>
            <w:shd w:val="clear" w:color="auto" w:fill="auto"/>
            <w:vAlign w:val="bottom"/>
          </w:tcPr>
          <w:p w14:paraId="4ACE4DE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DE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DE9"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4</w:t>
            </w:r>
          </w:p>
        </w:tc>
        <w:tc>
          <w:tcPr>
            <w:tcW w:w="0" w:type="auto"/>
            <w:shd w:val="clear" w:color="auto" w:fill="auto"/>
            <w:vAlign w:val="bottom"/>
          </w:tcPr>
          <w:p w14:paraId="4ACE4DE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DE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DEC"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4DE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DE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DEF"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564</w:t>
            </w:r>
          </w:p>
        </w:tc>
        <w:tc>
          <w:tcPr>
            <w:tcW w:w="0" w:type="auto"/>
            <w:shd w:val="clear" w:color="auto" w:fill="auto"/>
            <w:vAlign w:val="bottom"/>
          </w:tcPr>
          <w:p w14:paraId="4ACE4DF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DF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DF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1,069</w:t>
            </w:r>
          </w:p>
        </w:tc>
        <w:tc>
          <w:tcPr>
            <w:tcW w:w="0" w:type="auto"/>
            <w:shd w:val="clear" w:color="auto" w:fill="auto"/>
            <w:vAlign w:val="bottom"/>
          </w:tcPr>
          <w:p w14:paraId="4ACE4DF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DF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DF5"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w:t>
            </w:r>
          </w:p>
        </w:tc>
        <w:tc>
          <w:tcPr>
            <w:tcW w:w="0" w:type="auto"/>
            <w:shd w:val="clear" w:color="auto" w:fill="auto"/>
            <w:vAlign w:val="bottom"/>
          </w:tcPr>
          <w:p w14:paraId="4ACE4DF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DF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DF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(9</w:t>
            </w:r>
          </w:p>
        </w:tc>
        <w:tc>
          <w:tcPr>
            <w:tcW w:w="0" w:type="auto"/>
            <w:shd w:val="clear" w:color="auto" w:fill="auto"/>
            <w:tcMar>
              <w:top w:w="40" w:type="dxa"/>
              <w:bottom w:w="40" w:type="dxa"/>
              <w:right w:w="40" w:type="dxa"/>
            </w:tcMar>
            <w:vAlign w:val="bottom"/>
          </w:tcPr>
          <w:p w14:paraId="4ACE4DF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4DF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DF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1,061</w:t>
            </w:r>
          </w:p>
        </w:tc>
        <w:tc>
          <w:tcPr>
            <w:tcW w:w="0" w:type="auto"/>
            <w:shd w:val="clear" w:color="auto" w:fill="auto"/>
            <w:vAlign w:val="bottom"/>
          </w:tcPr>
          <w:p w14:paraId="4ACE4DFC" w14:textId="77777777" w:rsidR="006F587A" w:rsidRDefault="006F587A">
            <w:pPr>
              <w:textAlignment w:val="bottom"/>
              <w:rPr>
                <w:rFonts w:ascii="Times New Roman" w:hAnsi="Times New Roman"/>
                <w:sz w:val="20"/>
                <w:szCs w:val="20"/>
              </w:rPr>
            </w:pPr>
          </w:p>
        </w:tc>
      </w:tr>
      <w:tr w:rsidR="006F587A" w14:paraId="4ACE4E1F" w14:textId="77777777">
        <w:tc>
          <w:tcPr>
            <w:tcW w:w="0" w:type="auto"/>
            <w:shd w:val="clear" w:color="auto" w:fill="auto"/>
            <w:tcMar>
              <w:top w:w="40" w:type="dxa"/>
              <w:left w:w="40" w:type="dxa"/>
              <w:bottom w:w="40" w:type="dxa"/>
              <w:right w:w="40" w:type="dxa"/>
            </w:tcMar>
            <w:vAlign w:val="bottom"/>
          </w:tcPr>
          <w:p w14:paraId="4ACE4DFE" w14:textId="77777777" w:rsidR="006F587A" w:rsidRDefault="007B2B61">
            <w:pPr>
              <w:ind w:hanging="240"/>
              <w:textAlignment w:val="bottom"/>
              <w:rPr>
                <w:rFonts w:ascii="Times New Roman" w:hAnsi="Times New Roman"/>
                <w:sz w:val="18"/>
                <w:szCs w:val="18"/>
              </w:rPr>
            </w:pPr>
            <w:r>
              <w:rPr>
                <w:rFonts w:ascii="Arial" w:eastAsia="宋体" w:hAnsi="Arial" w:cs="Arial"/>
                <w:b/>
                <w:bCs/>
                <w:color w:val="333333"/>
                <w:sz w:val="18"/>
                <w:szCs w:val="18"/>
              </w:rPr>
              <w:lastRenderedPageBreak/>
              <w:t>Total available-for-sale debt investments</w:t>
            </w:r>
          </w:p>
        </w:tc>
        <w:tc>
          <w:tcPr>
            <w:tcW w:w="0" w:type="auto"/>
            <w:shd w:val="clear" w:color="auto" w:fill="auto"/>
            <w:tcMar>
              <w:top w:w="40" w:type="dxa"/>
              <w:left w:w="40" w:type="dxa"/>
              <w:bottom w:w="40" w:type="dxa"/>
              <w:right w:w="40" w:type="dxa"/>
            </w:tcMar>
            <w:vAlign w:val="bottom"/>
          </w:tcPr>
          <w:p w14:paraId="4ACE4DF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E00"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E01"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6,481</w:t>
            </w:r>
          </w:p>
        </w:tc>
        <w:tc>
          <w:tcPr>
            <w:tcW w:w="0" w:type="auto"/>
            <w:tcBorders>
              <w:top w:val="single" w:sz="8" w:space="0" w:color="333333"/>
              <w:bottom w:val="double" w:sz="6" w:space="0" w:color="333333"/>
            </w:tcBorders>
            <w:shd w:val="clear" w:color="auto" w:fill="auto"/>
            <w:vAlign w:val="bottom"/>
          </w:tcPr>
          <w:p w14:paraId="4ACE4E0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E0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E04"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E05"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63</w:t>
            </w:r>
          </w:p>
        </w:tc>
        <w:tc>
          <w:tcPr>
            <w:tcW w:w="0" w:type="auto"/>
            <w:tcBorders>
              <w:top w:val="single" w:sz="8" w:space="0" w:color="333333"/>
              <w:bottom w:val="double" w:sz="6" w:space="0" w:color="333333"/>
            </w:tcBorders>
            <w:shd w:val="clear" w:color="auto" w:fill="auto"/>
            <w:vAlign w:val="bottom"/>
          </w:tcPr>
          <w:p w14:paraId="4ACE4E0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E0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E08"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E09"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(1</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4ACE4E0A"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left w:w="40" w:type="dxa"/>
              <w:bottom w:w="40" w:type="dxa"/>
              <w:right w:w="40" w:type="dxa"/>
            </w:tcMar>
            <w:vAlign w:val="bottom"/>
          </w:tcPr>
          <w:p w14:paraId="4ACE4E0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E0C"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E0D"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6,543</w:t>
            </w:r>
          </w:p>
        </w:tc>
        <w:tc>
          <w:tcPr>
            <w:tcW w:w="0" w:type="auto"/>
            <w:tcBorders>
              <w:top w:val="single" w:sz="8" w:space="0" w:color="333333"/>
              <w:bottom w:val="double" w:sz="6" w:space="0" w:color="333333"/>
            </w:tcBorders>
            <w:shd w:val="clear" w:color="auto" w:fill="auto"/>
            <w:vAlign w:val="bottom"/>
          </w:tcPr>
          <w:p w14:paraId="4ACE4E0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E0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E10"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E11"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7,213</w:t>
            </w:r>
          </w:p>
        </w:tc>
        <w:tc>
          <w:tcPr>
            <w:tcW w:w="0" w:type="auto"/>
            <w:tcBorders>
              <w:top w:val="single" w:sz="8" w:space="0" w:color="333333"/>
              <w:bottom w:val="double" w:sz="6" w:space="0" w:color="333333"/>
            </w:tcBorders>
            <w:shd w:val="clear" w:color="auto" w:fill="auto"/>
            <w:vAlign w:val="bottom"/>
          </w:tcPr>
          <w:p w14:paraId="4ACE4E1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E1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E14"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E15"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6</w:t>
            </w:r>
          </w:p>
        </w:tc>
        <w:tc>
          <w:tcPr>
            <w:tcW w:w="0" w:type="auto"/>
            <w:tcBorders>
              <w:top w:val="single" w:sz="8" w:space="0" w:color="333333"/>
              <w:bottom w:val="double" w:sz="6" w:space="0" w:color="333333"/>
            </w:tcBorders>
            <w:shd w:val="clear" w:color="auto" w:fill="auto"/>
            <w:vAlign w:val="bottom"/>
          </w:tcPr>
          <w:p w14:paraId="4ACE4E1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E1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E18"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E19"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(48</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4ACE4E1A"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4ACE4E1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E1C"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E1D"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7,171</w:t>
            </w:r>
          </w:p>
        </w:tc>
        <w:tc>
          <w:tcPr>
            <w:tcW w:w="0" w:type="auto"/>
            <w:tcBorders>
              <w:top w:val="single" w:sz="8" w:space="0" w:color="333333"/>
              <w:bottom w:val="double" w:sz="6" w:space="0" w:color="333333"/>
            </w:tcBorders>
            <w:shd w:val="clear" w:color="auto" w:fill="auto"/>
            <w:vAlign w:val="bottom"/>
          </w:tcPr>
          <w:p w14:paraId="4ACE4E1E" w14:textId="77777777" w:rsidR="006F587A" w:rsidRDefault="006F587A">
            <w:pPr>
              <w:textAlignment w:val="bottom"/>
              <w:rPr>
                <w:rFonts w:ascii="Times New Roman" w:hAnsi="Times New Roman"/>
                <w:sz w:val="20"/>
                <w:szCs w:val="20"/>
              </w:rPr>
            </w:pPr>
          </w:p>
        </w:tc>
      </w:tr>
    </w:tbl>
    <w:p w14:paraId="4ACE4E20" w14:textId="77777777" w:rsidR="006F587A" w:rsidRDefault="006F587A">
      <w:pPr>
        <w:spacing w:line="288" w:lineRule="auto"/>
        <w:rPr>
          <w:rFonts w:ascii="Times New Roman" w:hAnsi="Times New Roman"/>
          <w:sz w:val="20"/>
          <w:szCs w:val="20"/>
        </w:rPr>
      </w:pPr>
    </w:p>
    <w:p w14:paraId="4ACE4E21" w14:textId="77777777" w:rsidR="006F587A" w:rsidRDefault="007B2B61">
      <w:pPr>
        <w:spacing w:line="288" w:lineRule="auto"/>
        <w:rPr>
          <w:rFonts w:ascii="Times New Roman" w:hAnsi="Times New Roman"/>
          <w:sz w:val="20"/>
          <w:szCs w:val="20"/>
        </w:rPr>
      </w:pPr>
      <w:r>
        <w:rPr>
          <w:rFonts w:ascii="Arial" w:eastAsia="宋体" w:hAnsi="Arial" w:cs="Arial"/>
          <w:color w:val="333333"/>
          <w:sz w:val="18"/>
          <w:szCs w:val="18"/>
        </w:rPr>
        <w:t xml:space="preserve">Government debt includes instruments such as non-U.S. government bonds and U.S. agency securities. Financial institution instruments include instruments issued or managed by financial institutions in various forms, such as </w:t>
      </w:r>
      <w:r>
        <w:rPr>
          <w:rFonts w:ascii="Arial" w:eastAsia="宋体" w:hAnsi="Arial" w:cs="Arial"/>
          <w:color w:val="333333"/>
          <w:sz w:val="18"/>
          <w:szCs w:val="18"/>
        </w:rPr>
        <w:t>commercial paper, fixed- and floating-rate bonds, money market fund deposits, and time deposits. Substantially all time deposits were issued by institutions outside the U.S. as of December 28, 2019</w:t>
      </w:r>
      <w:r>
        <w:rPr>
          <w:rFonts w:ascii="Times New Roman" w:eastAsia="宋体" w:hAnsi="Times New Roman"/>
          <w:sz w:val="20"/>
          <w:szCs w:val="20"/>
        </w:rPr>
        <w:t xml:space="preserve"> </w:t>
      </w:r>
      <w:r>
        <w:rPr>
          <w:rFonts w:ascii="Arial" w:eastAsia="宋体" w:hAnsi="Arial" w:cs="Arial"/>
          <w:color w:val="333333"/>
          <w:sz w:val="18"/>
          <w:szCs w:val="18"/>
        </w:rPr>
        <w:t>and December 29, 2018.</w:t>
      </w:r>
    </w:p>
    <w:p w14:paraId="4ACE4E22"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4E24" w14:textId="77777777">
        <w:tc>
          <w:tcPr>
            <w:tcW w:w="0" w:type="auto"/>
            <w:gridSpan w:val="3"/>
            <w:shd w:val="clear" w:color="auto" w:fill="auto"/>
            <w:vAlign w:val="center"/>
          </w:tcPr>
          <w:p w14:paraId="4ACE4E23" w14:textId="77777777" w:rsidR="006F587A" w:rsidRDefault="006F587A">
            <w:pPr>
              <w:rPr>
                <w:rFonts w:ascii="Times New Roman" w:hAnsi="Times New Roman"/>
                <w:sz w:val="20"/>
                <w:szCs w:val="20"/>
              </w:rPr>
            </w:pPr>
          </w:p>
        </w:tc>
      </w:tr>
      <w:tr w:rsidR="006F587A" w14:paraId="4ACE4E28" w14:textId="77777777">
        <w:tc>
          <w:tcPr>
            <w:tcW w:w="1300" w:type="pct"/>
            <w:shd w:val="clear" w:color="auto" w:fill="auto"/>
            <w:vAlign w:val="center"/>
          </w:tcPr>
          <w:p w14:paraId="4ACE4E25" w14:textId="77777777" w:rsidR="006F587A" w:rsidRDefault="006F587A">
            <w:pPr>
              <w:rPr>
                <w:rFonts w:ascii="Times New Roman" w:hAnsi="Times New Roman"/>
                <w:sz w:val="20"/>
                <w:szCs w:val="20"/>
              </w:rPr>
            </w:pPr>
          </w:p>
        </w:tc>
        <w:tc>
          <w:tcPr>
            <w:tcW w:w="1600" w:type="pct"/>
            <w:shd w:val="clear" w:color="auto" w:fill="auto"/>
            <w:vAlign w:val="center"/>
          </w:tcPr>
          <w:p w14:paraId="4ACE4E26" w14:textId="77777777" w:rsidR="006F587A" w:rsidRDefault="006F587A">
            <w:pPr>
              <w:rPr>
                <w:rFonts w:ascii="Times New Roman" w:hAnsi="Times New Roman"/>
                <w:sz w:val="20"/>
                <w:szCs w:val="20"/>
              </w:rPr>
            </w:pPr>
          </w:p>
        </w:tc>
        <w:tc>
          <w:tcPr>
            <w:tcW w:w="2100" w:type="pct"/>
            <w:shd w:val="clear" w:color="auto" w:fill="auto"/>
            <w:vAlign w:val="center"/>
          </w:tcPr>
          <w:p w14:paraId="4ACE4E27" w14:textId="77777777" w:rsidR="006F587A" w:rsidRDefault="006F587A">
            <w:pPr>
              <w:rPr>
                <w:rFonts w:ascii="Times New Roman" w:hAnsi="Times New Roman"/>
                <w:sz w:val="20"/>
                <w:szCs w:val="20"/>
              </w:rPr>
            </w:pPr>
          </w:p>
        </w:tc>
      </w:tr>
      <w:tr w:rsidR="006F587A" w14:paraId="4ACE4E2C" w14:textId="77777777">
        <w:tc>
          <w:tcPr>
            <w:tcW w:w="0" w:type="auto"/>
            <w:tcBorders>
              <w:top w:val="single" w:sz="8" w:space="0" w:color="0071C5"/>
            </w:tcBorders>
            <w:shd w:val="clear" w:color="auto" w:fill="auto"/>
            <w:tcMar>
              <w:top w:w="40" w:type="dxa"/>
              <w:left w:w="40" w:type="dxa"/>
              <w:bottom w:w="40" w:type="dxa"/>
              <w:right w:w="40" w:type="dxa"/>
            </w:tcMar>
            <w:vAlign w:val="bottom"/>
          </w:tcPr>
          <w:p w14:paraId="4ACE4E29" w14:textId="77777777" w:rsidR="006F587A" w:rsidRDefault="007B2B61">
            <w:pPr>
              <w:textAlignment w:val="bottom"/>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F3" wp14:editId="4ACE6DF4">
                  <wp:extent cx="304800" cy="304800"/>
                  <wp:effectExtent l="0" t="0" r="0" b="0"/>
                  <wp:docPr id="215" name="图片 316"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316"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left w:val="single" w:sz="36" w:space="0" w:color="0071C5"/>
            </w:tcBorders>
            <w:shd w:val="clear" w:color="auto" w:fill="auto"/>
            <w:tcMar>
              <w:top w:w="40" w:type="dxa"/>
              <w:left w:w="40" w:type="dxa"/>
              <w:bottom w:w="40" w:type="dxa"/>
              <w:right w:w="40" w:type="dxa"/>
            </w:tcMar>
            <w:vAlign w:val="bottom"/>
          </w:tcPr>
          <w:p w14:paraId="4ACE4E2A" w14:textId="77777777" w:rsidR="006F587A" w:rsidRDefault="007B2B61">
            <w:pPr>
              <w:textAlignment w:val="bottom"/>
              <w:rPr>
                <w:rFonts w:ascii="Times New Roman" w:hAnsi="Times New Roman"/>
                <w:sz w:val="16"/>
                <w:szCs w:val="16"/>
              </w:rPr>
            </w:pPr>
            <w:r>
              <w:rPr>
                <w:rFonts w:ascii="Arial" w:eastAsia="宋体" w:hAnsi="Arial" w:cs="Arial"/>
                <w:color w:val="333333"/>
                <w:sz w:val="16"/>
                <w:szCs w:val="16"/>
              </w:rPr>
              <w:t> Notes to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4E2B"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89</w:t>
            </w:r>
          </w:p>
        </w:tc>
      </w:tr>
    </w:tbl>
    <w:p w14:paraId="4ACE4E2D" w14:textId="77777777" w:rsidR="006F587A" w:rsidRDefault="007B2B61">
      <w:r>
        <w:pict w14:anchorId="4ACE6DF5">
          <v:rect id="_x0000_i1115" style="width:415.3pt;height:1.5pt" o:hralign="center" o:hrstd="t" o:hr="t" fillcolor="#a0a0a0" stroked="f"/>
        </w:pict>
      </w:r>
    </w:p>
    <w:p w14:paraId="4ACE4E2E" w14:textId="77777777" w:rsidR="006F587A" w:rsidRDefault="007B2B61">
      <w:pPr>
        <w:spacing w:line="288" w:lineRule="auto"/>
        <w:jc w:val="right"/>
        <w:rPr>
          <w:rFonts w:ascii="Times New Roman" w:hAnsi="Times New Roman"/>
          <w:sz w:val="16"/>
          <w:szCs w:val="16"/>
        </w:rPr>
      </w:pPr>
      <w:hyperlink r:id="rId154" w:anchor="s9DB683E2CF52561EB8A73BE37F5BF9BE" w:history="1">
        <w:r>
          <w:rPr>
            <w:rStyle w:val="a5"/>
            <w:rFonts w:ascii="Arial" w:eastAsia="宋体" w:hAnsi="Arial" w:cs="Arial"/>
            <w:b/>
            <w:bCs/>
            <w:sz w:val="16"/>
            <w:szCs w:val="16"/>
          </w:rPr>
          <w:t>Table of Contents</w:t>
        </w:r>
      </w:hyperlink>
    </w:p>
    <w:p w14:paraId="4ACE4E2F" w14:textId="77777777" w:rsidR="006F587A" w:rsidRDefault="006F587A">
      <w:pPr>
        <w:spacing w:line="288" w:lineRule="auto"/>
        <w:jc w:val="right"/>
        <w:rPr>
          <w:rFonts w:ascii="Times New Roman" w:hAnsi="Times New Roman"/>
          <w:sz w:val="16"/>
          <w:szCs w:val="16"/>
        </w:rPr>
      </w:pPr>
    </w:p>
    <w:p w14:paraId="4ACE4E30" w14:textId="77777777" w:rsidR="006F587A" w:rsidRDefault="006F587A">
      <w:pPr>
        <w:rPr>
          <w:rFonts w:ascii="Times New Roman" w:hAnsi="Times New Roman"/>
          <w:sz w:val="20"/>
          <w:szCs w:val="20"/>
        </w:rPr>
      </w:pPr>
    </w:p>
    <w:p w14:paraId="4ACE4E31" w14:textId="77777777" w:rsidR="006F587A" w:rsidRDefault="007B2B61">
      <w:pPr>
        <w:spacing w:line="288" w:lineRule="auto"/>
        <w:rPr>
          <w:rFonts w:ascii="Times New Roman" w:hAnsi="Times New Roman"/>
          <w:sz w:val="20"/>
          <w:szCs w:val="20"/>
        </w:rPr>
      </w:pPr>
      <w:r>
        <w:rPr>
          <w:rFonts w:ascii="Arial" w:eastAsia="宋体" w:hAnsi="Arial" w:cs="Arial"/>
          <w:color w:val="333333"/>
          <w:sz w:val="18"/>
          <w:szCs w:val="18"/>
        </w:rPr>
        <w:t xml:space="preserve">The fair values of available-for-sale debt investments by </w:t>
      </w:r>
      <w:r>
        <w:rPr>
          <w:rFonts w:ascii="Arial" w:eastAsia="宋体" w:hAnsi="Arial" w:cs="Arial"/>
          <w:color w:val="333333"/>
          <w:sz w:val="18"/>
          <w:szCs w:val="18"/>
        </w:rPr>
        <w:t>contractual maturity as of December 28, 2019 were as follows:</w:t>
      </w:r>
    </w:p>
    <w:tbl>
      <w:tblPr>
        <w:tblW w:w="5000" w:type="pct"/>
        <w:tblCellMar>
          <w:left w:w="0" w:type="dxa"/>
          <w:right w:w="0" w:type="dxa"/>
        </w:tblCellMar>
        <w:tblLook w:val="04A0" w:firstRow="1" w:lastRow="0" w:firstColumn="1" w:lastColumn="0" w:noHBand="0" w:noVBand="1"/>
      </w:tblPr>
      <w:tblGrid>
        <w:gridCol w:w="7172"/>
        <w:gridCol w:w="130"/>
        <w:gridCol w:w="142"/>
        <w:gridCol w:w="784"/>
        <w:gridCol w:w="78"/>
      </w:tblGrid>
      <w:tr w:rsidR="006F587A" w14:paraId="4ACE4E33" w14:textId="77777777">
        <w:tc>
          <w:tcPr>
            <w:tcW w:w="0" w:type="auto"/>
            <w:gridSpan w:val="5"/>
            <w:shd w:val="clear" w:color="auto" w:fill="auto"/>
            <w:vAlign w:val="center"/>
          </w:tcPr>
          <w:p w14:paraId="4ACE4E32" w14:textId="77777777" w:rsidR="006F587A" w:rsidRDefault="006F587A">
            <w:pPr>
              <w:rPr>
                <w:rFonts w:ascii="Times New Roman" w:hAnsi="Times New Roman"/>
                <w:sz w:val="20"/>
                <w:szCs w:val="20"/>
              </w:rPr>
            </w:pPr>
          </w:p>
        </w:tc>
      </w:tr>
      <w:tr w:rsidR="006F587A" w14:paraId="4ACE4E39" w14:textId="77777777">
        <w:tc>
          <w:tcPr>
            <w:tcW w:w="4350" w:type="pct"/>
            <w:shd w:val="clear" w:color="auto" w:fill="auto"/>
            <w:vAlign w:val="center"/>
          </w:tcPr>
          <w:p w14:paraId="4ACE4E34" w14:textId="77777777" w:rsidR="006F587A" w:rsidRDefault="006F587A">
            <w:pPr>
              <w:rPr>
                <w:rFonts w:ascii="Times New Roman" w:hAnsi="Times New Roman"/>
                <w:sz w:val="20"/>
                <w:szCs w:val="20"/>
              </w:rPr>
            </w:pPr>
          </w:p>
        </w:tc>
        <w:tc>
          <w:tcPr>
            <w:tcW w:w="50" w:type="pct"/>
            <w:shd w:val="clear" w:color="auto" w:fill="auto"/>
            <w:vAlign w:val="center"/>
          </w:tcPr>
          <w:p w14:paraId="4ACE4E35" w14:textId="77777777" w:rsidR="006F587A" w:rsidRDefault="006F587A">
            <w:pPr>
              <w:rPr>
                <w:rFonts w:ascii="Times New Roman" w:hAnsi="Times New Roman"/>
                <w:sz w:val="20"/>
                <w:szCs w:val="20"/>
              </w:rPr>
            </w:pPr>
          </w:p>
        </w:tc>
        <w:tc>
          <w:tcPr>
            <w:tcW w:w="50" w:type="pct"/>
            <w:shd w:val="clear" w:color="auto" w:fill="auto"/>
            <w:vAlign w:val="center"/>
          </w:tcPr>
          <w:p w14:paraId="4ACE4E36" w14:textId="77777777" w:rsidR="006F587A" w:rsidRDefault="006F587A">
            <w:pPr>
              <w:rPr>
                <w:rFonts w:ascii="Times New Roman" w:hAnsi="Times New Roman"/>
                <w:sz w:val="20"/>
                <w:szCs w:val="20"/>
              </w:rPr>
            </w:pPr>
          </w:p>
        </w:tc>
        <w:tc>
          <w:tcPr>
            <w:tcW w:w="500" w:type="pct"/>
            <w:shd w:val="clear" w:color="auto" w:fill="auto"/>
            <w:vAlign w:val="center"/>
          </w:tcPr>
          <w:p w14:paraId="4ACE4E37" w14:textId="77777777" w:rsidR="006F587A" w:rsidRDefault="006F587A">
            <w:pPr>
              <w:rPr>
                <w:rFonts w:ascii="Times New Roman" w:hAnsi="Times New Roman"/>
                <w:sz w:val="20"/>
                <w:szCs w:val="20"/>
              </w:rPr>
            </w:pPr>
          </w:p>
        </w:tc>
        <w:tc>
          <w:tcPr>
            <w:tcW w:w="50" w:type="pct"/>
            <w:shd w:val="clear" w:color="auto" w:fill="auto"/>
            <w:vAlign w:val="center"/>
          </w:tcPr>
          <w:p w14:paraId="4ACE4E38" w14:textId="77777777" w:rsidR="006F587A" w:rsidRDefault="006F587A">
            <w:pPr>
              <w:rPr>
                <w:rFonts w:ascii="Times New Roman" w:hAnsi="Times New Roman"/>
                <w:sz w:val="20"/>
                <w:szCs w:val="20"/>
              </w:rPr>
            </w:pPr>
          </w:p>
        </w:tc>
      </w:tr>
      <w:tr w:rsidR="006F587A" w14:paraId="4ACE4E3D"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4E3A"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4ACE4E3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E3C"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Fair Value</w:t>
            </w:r>
          </w:p>
        </w:tc>
      </w:tr>
      <w:tr w:rsidR="006F587A" w14:paraId="4ACE4E43" w14:textId="77777777">
        <w:tc>
          <w:tcPr>
            <w:tcW w:w="0" w:type="auto"/>
            <w:shd w:val="clear" w:color="auto" w:fill="auto"/>
            <w:tcMar>
              <w:top w:w="40" w:type="dxa"/>
              <w:left w:w="40" w:type="dxa"/>
              <w:bottom w:w="40" w:type="dxa"/>
              <w:right w:w="40" w:type="dxa"/>
            </w:tcMar>
            <w:vAlign w:val="bottom"/>
          </w:tcPr>
          <w:p w14:paraId="4ACE4E3E"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Due in 1 year or less</w:t>
            </w:r>
          </w:p>
        </w:tc>
        <w:tc>
          <w:tcPr>
            <w:tcW w:w="0" w:type="auto"/>
            <w:shd w:val="clear" w:color="auto" w:fill="auto"/>
            <w:tcMar>
              <w:top w:w="40" w:type="dxa"/>
              <w:left w:w="40" w:type="dxa"/>
              <w:bottom w:w="40" w:type="dxa"/>
              <w:right w:w="40" w:type="dxa"/>
            </w:tcMar>
            <w:vAlign w:val="bottom"/>
          </w:tcPr>
          <w:p w14:paraId="4ACE4E3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E40"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4E41"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2,203</w:t>
            </w:r>
          </w:p>
        </w:tc>
        <w:tc>
          <w:tcPr>
            <w:tcW w:w="0" w:type="auto"/>
            <w:shd w:val="clear" w:color="auto" w:fill="auto"/>
            <w:vAlign w:val="bottom"/>
          </w:tcPr>
          <w:p w14:paraId="4ACE4E42" w14:textId="77777777" w:rsidR="006F587A" w:rsidRDefault="006F587A">
            <w:pPr>
              <w:textAlignment w:val="bottom"/>
              <w:rPr>
                <w:rFonts w:ascii="Times New Roman" w:hAnsi="Times New Roman"/>
                <w:sz w:val="20"/>
                <w:szCs w:val="20"/>
              </w:rPr>
            </w:pPr>
          </w:p>
        </w:tc>
      </w:tr>
      <w:tr w:rsidR="006F587A" w14:paraId="4ACE4E48" w14:textId="77777777">
        <w:tc>
          <w:tcPr>
            <w:tcW w:w="0" w:type="auto"/>
            <w:shd w:val="clear" w:color="auto" w:fill="auto"/>
            <w:tcMar>
              <w:top w:w="40" w:type="dxa"/>
              <w:left w:w="40" w:type="dxa"/>
              <w:bottom w:w="40" w:type="dxa"/>
              <w:right w:w="40" w:type="dxa"/>
            </w:tcMar>
            <w:vAlign w:val="bottom"/>
          </w:tcPr>
          <w:p w14:paraId="4ACE4E4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Due in 1–2 years</w:t>
            </w:r>
          </w:p>
        </w:tc>
        <w:tc>
          <w:tcPr>
            <w:tcW w:w="0" w:type="auto"/>
            <w:shd w:val="clear" w:color="auto" w:fill="auto"/>
            <w:tcMar>
              <w:top w:w="40" w:type="dxa"/>
              <w:left w:w="40" w:type="dxa"/>
              <w:bottom w:w="40" w:type="dxa"/>
              <w:right w:w="40" w:type="dxa"/>
            </w:tcMar>
            <w:vAlign w:val="bottom"/>
          </w:tcPr>
          <w:p w14:paraId="4ACE4E4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E46"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1,065</w:t>
            </w:r>
          </w:p>
        </w:tc>
        <w:tc>
          <w:tcPr>
            <w:tcW w:w="0" w:type="auto"/>
            <w:shd w:val="clear" w:color="auto" w:fill="auto"/>
            <w:vAlign w:val="bottom"/>
          </w:tcPr>
          <w:p w14:paraId="4ACE4E47" w14:textId="77777777" w:rsidR="006F587A" w:rsidRDefault="006F587A">
            <w:pPr>
              <w:textAlignment w:val="bottom"/>
              <w:rPr>
                <w:rFonts w:ascii="Times New Roman" w:hAnsi="Times New Roman"/>
                <w:sz w:val="20"/>
                <w:szCs w:val="20"/>
              </w:rPr>
            </w:pPr>
          </w:p>
        </w:tc>
      </w:tr>
      <w:tr w:rsidR="006F587A" w14:paraId="4ACE4E4D" w14:textId="77777777">
        <w:tc>
          <w:tcPr>
            <w:tcW w:w="0" w:type="auto"/>
            <w:shd w:val="clear" w:color="auto" w:fill="auto"/>
            <w:tcMar>
              <w:top w:w="40" w:type="dxa"/>
              <w:left w:w="40" w:type="dxa"/>
              <w:bottom w:w="40" w:type="dxa"/>
              <w:right w:w="40" w:type="dxa"/>
            </w:tcMar>
            <w:vAlign w:val="bottom"/>
          </w:tcPr>
          <w:p w14:paraId="4ACE4E4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Due in 2–5 years</w:t>
            </w:r>
          </w:p>
        </w:tc>
        <w:tc>
          <w:tcPr>
            <w:tcW w:w="0" w:type="auto"/>
            <w:shd w:val="clear" w:color="auto" w:fill="auto"/>
            <w:tcMar>
              <w:top w:w="40" w:type="dxa"/>
              <w:left w:w="40" w:type="dxa"/>
              <w:bottom w:w="40" w:type="dxa"/>
              <w:right w:w="40" w:type="dxa"/>
            </w:tcMar>
            <w:vAlign w:val="bottom"/>
          </w:tcPr>
          <w:p w14:paraId="4ACE4E4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E4B"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2,171</w:t>
            </w:r>
          </w:p>
        </w:tc>
        <w:tc>
          <w:tcPr>
            <w:tcW w:w="0" w:type="auto"/>
            <w:shd w:val="clear" w:color="auto" w:fill="auto"/>
            <w:vAlign w:val="bottom"/>
          </w:tcPr>
          <w:p w14:paraId="4ACE4E4C" w14:textId="77777777" w:rsidR="006F587A" w:rsidRDefault="006F587A">
            <w:pPr>
              <w:textAlignment w:val="bottom"/>
              <w:rPr>
                <w:rFonts w:ascii="Times New Roman" w:hAnsi="Times New Roman"/>
                <w:sz w:val="20"/>
                <w:szCs w:val="20"/>
              </w:rPr>
            </w:pPr>
          </w:p>
        </w:tc>
      </w:tr>
      <w:tr w:rsidR="006F587A" w14:paraId="4ACE4E52" w14:textId="77777777">
        <w:tc>
          <w:tcPr>
            <w:tcW w:w="0" w:type="auto"/>
            <w:shd w:val="clear" w:color="auto" w:fill="auto"/>
            <w:tcMar>
              <w:top w:w="40" w:type="dxa"/>
              <w:left w:w="40" w:type="dxa"/>
              <w:bottom w:w="40" w:type="dxa"/>
              <w:right w:w="40" w:type="dxa"/>
            </w:tcMar>
            <w:vAlign w:val="bottom"/>
          </w:tcPr>
          <w:p w14:paraId="4ACE4E4E"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Due after 5 years</w:t>
            </w:r>
          </w:p>
        </w:tc>
        <w:tc>
          <w:tcPr>
            <w:tcW w:w="0" w:type="auto"/>
            <w:shd w:val="clear" w:color="auto" w:fill="auto"/>
            <w:tcMar>
              <w:top w:w="40" w:type="dxa"/>
              <w:left w:w="40" w:type="dxa"/>
              <w:bottom w:w="40" w:type="dxa"/>
              <w:right w:w="40" w:type="dxa"/>
            </w:tcMar>
            <w:vAlign w:val="bottom"/>
          </w:tcPr>
          <w:p w14:paraId="4ACE4E4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E50"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40</w:t>
            </w:r>
          </w:p>
        </w:tc>
        <w:tc>
          <w:tcPr>
            <w:tcW w:w="0" w:type="auto"/>
            <w:shd w:val="clear" w:color="auto" w:fill="auto"/>
            <w:vAlign w:val="bottom"/>
          </w:tcPr>
          <w:p w14:paraId="4ACE4E51" w14:textId="77777777" w:rsidR="006F587A" w:rsidRDefault="006F587A">
            <w:pPr>
              <w:textAlignment w:val="bottom"/>
              <w:rPr>
                <w:rFonts w:ascii="Times New Roman" w:hAnsi="Times New Roman"/>
                <w:sz w:val="20"/>
                <w:szCs w:val="20"/>
              </w:rPr>
            </w:pPr>
          </w:p>
        </w:tc>
      </w:tr>
      <w:tr w:rsidR="006F587A" w14:paraId="4ACE4E57" w14:textId="77777777">
        <w:tc>
          <w:tcPr>
            <w:tcW w:w="0" w:type="auto"/>
            <w:shd w:val="clear" w:color="auto" w:fill="auto"/>
            <w:tcMar>
              <w:top w:w="40" w:type="dxa"/>
              <w:left w:w="40" w:type="dxa"/>
              <w:bottom w:w="40" w:type="dxa"/>
              <w:right w:w="40" w:type="dxa"/>
            </w:tcMar>
            <w:vAlign w:val="bottom"/>
          </w:tcPr>
          <w:p w14:paraId="4ACE4E5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Instruments not due at a single </w:t>
            </w:r>
            <w:r>
              <w:rPr>
                <w:rFonts w:ascii="Arial" w:eastAsia="宋体" w:hAnsi="Arial" w:cs="Arial"/>
                <w:color w:val="333333"/>
                <w:sz w:val="18"/>
                <w:szCs w:val="18"/>
              </w:rPr>
              <w:t>maturity date</w:t>
            </w:r>
          </w:p>
        </w:tc>
        <w:tc>
          <w:tcPr>
            <w:tcW w:w="0" w:type="auto"/>
            <w:shd w:val="clear" w:color="auto" w:fill="auto"/>
            <w:tcMar>
              <w:top w:w="40" w:type="dxa"/>
              <w:left w:w="40" w:type="dxa"/>
              <w:bottom w:w="40" w:type="dxa"/>
              <w:right w:w="40" w:type="dxa"/>
            </w:tcMar>
            <w:vAlign w:val="bottom"/>
          </w:tcPr>
          <w:p w14:paraId="4ACE4E5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E55"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1,064</w:t>
            </w:r>
          </w:p>
        </w:tc>
        <w:tc>
          <w:tcPr>
            <w:tcW w:w="0" w:type="auto"/>
            <w:shd w:val="clear" w:color="auto" w:fill="auto"/>
            <w:vAlign w:val="bottom"/>
          </w:tcPr>
          <w:p w14:paraId="4ACE4E56" w14:textId="77777777" w:rsidR="006F587A" w:rsidRDefault="006F587A">
            <w:pPr>
              <w:textAlignment w:val="bottom"/>
              <w:rPr>
                <w:rFonts w:ascii="Times New Roman" w:hAnsi="Times New Roman"/>
                <w:sz w:val="20"/>
                <w:szCs w:val="20"/>
              </w:rPr>
            </w:pPr>
          </w:p>
        </w:tc>
      </w:tr>
      <w:tr w:rsidR="006F587A" w14:paraId="4ACE4E5D" w14:textId="77777777">
        <w:tc>
          <w:tcPr>
            <w:tcW w:w="0" w:type="auto"/>
            <w:shd w:val="clear" w:color="auto" w:fill="auto"/>
            <w:tcMar>
              <w:top w:w="40" w:type="dxa"/>
              <w:left w:w="40" w:type="dxa"/>
              <w:bottom w:w="40" w:type="dxa"/>
              <w:right w:w="40" w:type="dxa"/>
            </w:tcMar>
            <w:vAlign w:val="bottom"/>
          </w:tcPr>
          <w:p w14:paraId="4ACE4E58"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Total</w:t>
            </w:r>
          </w:p>
        </w:tc>
        <w:tc>
          <w:tcPr>
            <w:tcW w:w="0" w:type="auto"/>
            <w:shd w:val="clear" w:color="auto" w:fill="auto"/>
            <w:tcMar>
              <w:top w:w="40" w:type="dxa"/>
              <w:left w:w="40" w:type="dxa"/>
              <w:bottom w:w="40" w:type="dxa"/>
              <w:right w:w="40" w:type="dxa"/>
            </w:tcMar>
            <w:vAlign w:val="bottom"/>
          </w:tcPr>
          <w:p w14:paraId="4ACE4E5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E5A"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E5B"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6,543</w:t>
            </w:r>
          </w:p>
        </w:tc>
        <w:tc>
          <w:tcPr>
            <w:tcW w:w="0" w:type="auto"/>
            <w:tcBorders>
              <w:top w:val="single" w:sz="8" w:space="0" w:color="333333"/>
              <w:bottom w:val="double" w:sz="6" w:space="0" w:color="333333"/>
            </w:tcBorders>
            <w:shd w:val="clear" w:color="auto" w:fill="auto"/>
            <w:vAlign w:val="bottom"/>
          </w:tcPr>
          <w:p w14:paraId="4ACE4E5C" w14:textId="77777777" w:rsidR="006F587A" w:rsidRDefault="006F587A">
            <w:pPr>
              <w:textAlignment w:val="bottom"/>
              <w:rPr>
                <w:rFonts w:ascii="Times New Roman" w:hAnsi="Times New Roman"/>
                <w:sz w:val="20"/>
                <w:szCs w:val="20"/>
              </w:rPr>
            </w:pPr>
          </w:p>
        </w:tc>
      </w:tr>
    </w:tbl>
    <w:p w14:paraId="4ACE4E5E" w14:textId="77777777" w:rsidR="006F587A" w:rsidRDefault="006F587A"/>
    <w:p w14:paraId="4ACE4E5F" w14:textId="77777777" w:rsidR="006F587A" w:rsidRDefault="007B2B61">
      <w:pPr>
        <w:spacing w:line="288" w:lineRule="auto"/>
        <w:rPr>
          <w:rFonts w:ascii="Times New Roman" w:hAnsi="Times New Roman"/>
        </w:rPr>
      </w:pPr>
      <w:r>
        <w:rPr>
          <w:rFonts w:ascii="Arial" w:eastAsia="宋体" w:hAnsi="Arial" w:cs="Arial"/>
          <w:b/>
          <w:bCs/>
          <w:color w:val="0071C5"/>
        </w:rPr>
        <w:t>EQUITY INVESTMENTS</w:t>
      </w:r>
    </w:p>
    <w:tbl>
      <w:tblPr>
        <w:tblW w:w="5000" w:type="pct"/>
        <w:jc w:val="center"/>
        <w:tblCellMar>
          <w:left w:w="0" w:type="dxa"/>
          <w:right w:w="0" w:type="dxa"/>
        </w:tblCellMar>
        <w:tblLook w:val="04A0" w:firstRow="1" w:lastRow="0" w:firstColumn="1" w:lastColumn="0" w:noHBand="0" w:noVBand="1"/>
      </w:tblPr>
      <w:tblGrid>
        <w:gridCol w:w="6262"/>
        <w:gridCol w:w="130"/>
        <w:gridCol w:w="142"/>
        <w:gridCol w:w="697"/>
        <w:gridCol w:w="64"/>
        <w:gridCol w:w="130"/>
        <w:gridCol w:w="142"/>
        <w:gridCol w:w="675"/>
        <w:gridCol w:w="64"/>
      </w:tblGrid>
      <w:tr w:rsidR="006F587A" w14:paraId="4ACE4E61" w14:textId="77777777">
        <w:trPr>
          <w:jc w:val="center"/>
        </w:trPr>
        <w:tc>
          <w:tcPr>
            <w:tcW w:w="0" w:type="auto"/>
            <w:gridSpan w:val="9"/>
            <w:shd w:val="clear" w:color="auto" w:fill="auto"/>
            <w:vAlign w:val="center"/>
          </w:tcPr>
          <w:p w14:paraId="4ACE4E60" w14:textId="77777777" w:rsidR="006F587A" w:rsidRDefault="006F587A">
            <w:pPr>
              <w:rPr>
                <w:rFonts w:ascii="Times New Roman" w:hAnsi="Times New Roman"/>
                <w:sz w:val="20"/>
                <w:szCs w:val="20"/>
              </w:rPr>
            </w:pPr>
          </w:p>
        </w:tc>
      </w:tr>
      <w:tr w:rsidR="006F587A" w14:paraId="4ACE4E6B" w14:textId="77777777">
        <w:trPr>
          <w:jc w:val="center"/>
        </w:trPr>
        <w:tc>
          <w:tcPr>
            <w:tcW w:w="3800" w:type="pct"/>
            <w:shd w:val="clear" w:color="auto" w:fill="auto"/>
            <w:vAlign w:val="center"/>
          </w:tcPr>
          <w:p w14:paraId="4ACE4E62" w14:textId="77777777" w:rsidR="006F587A" w:rsidRDefault="006F587A">
            <w:pPr>
              <w:rPr>
                <w:rFonts w:ascii="Times New Roman" w:hAnsi="Times New Roman"/>
                <w:sz w:val="20"/>
                <w:szCs w:val="20"/>
              </w:rPr>
            </w:pPr>
          </w:p>
        </w:tc>
        <w:tc>
          <w:tcPr>
            <w:tcW w:w="50" w:type="pct"/>
            <w:shd w:val="clear" w:color="auto" w:fill="auto"/>
            <w:vAlign w:val="center"/>
          </w:tcPr>
          <w:p w14:paraId="4ACE4E63" w14:textId="77777777" w:rsidR="006F587A" w:rsidRDefault="006F587A">
            <w:pPr>
              <w:rPr>
                <w:rFonts w:ascii="Times New Roman" w:hAnsi="Times New Roman"/>
                <w:sz w:val="20"/>
                <w:szCs w:val="20"/>
              </w:rPr>
            </w:pPr>
          </w:p>
        </w:tc>
        <w:tc>
          <w:tcPr>
            <w:tcW w:w="50" w:type="pct"/>
            <w:shd w:val="clear" w:color="auto" w:fill="auto"/>
            <w:vAlign w:val="center"/>
          </w:tcPr>
          <w:p w14:paraId="4ACE4E64" w14:textId="77777777" w:rsidR="006F587A" w:rsidRDefault="006F587A">
            <w:pPr>
              <w:rPr>
                <w:rFonts w:ascii="Times New Roman" w:hAnsi="Times New Roman"/>
                <w:sz w:val="20"/>
                <w:szCs w:val="20"/>
              </w:rPr>
            </w:pPr>
          </w:p>
        </w:tc>
        <w:tc>
          <w:tcPr>
            <w:tcW w:w="450" w:type="pct"/>
            <w:shd w:val="clear" w:color="auto" w:fill="auto"/>
            <w:vAlign w:val="center"/>
          </w:tcPr>
          <w:p w14:paraId="4ACE4E65" w14:textId="77777777" w:rsidR="006F587A" w:rsidRDefault="006F587A">
            <w:pPr>
              <w:rPr>
                <w:rFonts w:ascii="Times New Roman" w:hAnsi="Times New Roman"/>
                <w:sz w:val="20"/>
                <w:szCs w:val="20"/>
              </w:rPr>
            </w:pPr>
          </w:p>
        </w:tc>
        <w:tc>
          <w:tcPr>
            <w:tcW w:w="50" w:type="pct"/>
            <w:shd w:val="clear" w:color="auto" w:fill="auto"/>
            <w:vAlign w:val="center"/>
          </w:tcPr>
          <w:p w14:paraId="4ACE4E66" w14:textId="77777777" w:rsidR="006F587A" w:rsidRDefault="006F587A">
            <w:pPr>
              <w:rPr>
                <w:rFonts w:ascii="Times New Roman" w:hAnsi="Times New Roman"/>
                <w:sz w:val="20"/>
                <w:szCs w:val="20"/>
              </w:rPr>
            </w:pPr>
          </w:p>
        </w:tc>
        <w:tc>
          <w:tcPr>
            <w:tcW w:w="50" w:type="pct"/>
            <w:shd w:val="clear" w:color="auto" w:fill="auto"/>
            <w:vAlign w:val="center"/>
          </w:tcPr>
          <w:p w14:paraId="4ACE4E67" w14:textId="77777777" w:rsidR="006F587A" w:rsidRDefault="006F587A">
            <w:pPr>
              <w:rPr>
                <w:rFonts w:ascii="Times New Roman" w:hAnsi="Times New Roman"/>
                <w:sz w:val="20"/>
                <w:szCs w:val="20"/>
              </w:rPr>
            </w:pPr>
          </w:p>
        </w:tc>
        <w:tc>
          <w:tcPr>
            <w:tcW w:w="50" w:type="pct"/>
            <w:shd w:val="clear" w:color="auto" w:fill="auto"/>
            <w:vAlign w:val="center"/>
          </w:tcPr>
          <w:p w14:paraId="4ACE4E68" w14:textId="77777777" w:rsidR="006F587A" w:rsidRDefault="006F587A">
            <w:pPr>
              <w:rPr>
                <w:rFonts w:ascii="Times New Roman" w:hAnsi="Times New Roman"/>
                <w:sz w:val="20"/>
                <w:szCs w:val="20"/>
              </w:rPr>
            </w:pPr>
          </w:p>
        </w:tc>
        <w:tc>
          <w:tcPr>
            <w:tcW w:w="450" w:type="pct"/>
            <w:shd w:val="clear" w:color="auto" w:fill="auto"/>
            <w:vAlign w:val="center"/>
          </w:tcPr>
          <w:p w14:paraId="4ACE4E69" w14:textId="77777777" w:rsidR="006F587A" w:rsidRDefault="006F587A">
            <w:pPr>
              <w:rPr>
                <w:rFonts w:ascii="Times New Roman" w:hAnsi="Times New Roman"/>
                <w:sz w:val="20"/>
                <w:szCs w:val="20"/>
              </w:rPr>
            </w:pPr>
          </w:p>
        </w:tc>
        <w:tc>
          <w:tcPr>
            <w:tcW w:w="50" w:type="pct"/>
            <w:shd w:val="clear" w:color="auto" w:fill="auto"/>
            <w:vAlign w:val="center"/>
          </w:tcPr>
          <w:p w14:paraId="4ACE4E6A" w14:textId="77777777" w:rsidR="006F587A" w:rsidRDefault="006F587A">
            <w:pPr>
              <w:rPr>
                <w:rFonts w:ascii="Times New Roman" w:hAnsi="Times New Roman"/>
                <w:sz w:val="20"/>
                <w:szCs w:val="20"/>
              </w:rPr>
            </w:pPr>
          </w:p>
        </w:tc>
      </w:tr>
      <w:tr w:rsidR="006F587A" w14:paraId="4ACE4E71" w14:textId="77777777">
        <w:trPr>
          <w:jc w:val="center"/>
        </w:trPr>
        <w:tc>
          <w:tcPr>
            <w:tcW w:w="0" w:type="auto"/>
            <w:tcBorders>
              <w:bottom w:val="single" w:sz="8" w:space="0" w:color="0071C5"/>
            </w:tcBorders>
            <w:shd w:val="clear" w:color="auto" w:fill="auto"/>
            <w:tcMar>
              <w:top w:w="40" w:type="dxa"/>
              <w:left w:w="40" w:type="dxa"/>
              <w:bottom w:w="40" w:type="dxa"/>
              <w:right w:w="40" w:type="dxa"/>
            </w:tcMar>
            <w:vAlign w:val="bottom"/>
          </w:tcPr>
          <w:p w14:paraId="4ACE4E6C"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4ACE4E6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E6E"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28, </w:t>
            </w:r>
            <w:r>
              <w:rPr>
                <w:rFonts w:ascii="Arial" w:eastAsia="宋体" w:hAnsi="Arial" w:cs="Arial"/>
                <w:b/>
                <w:bCs/>
                <w:color w:val="333333"/>
                <w:sz w:val="18"/>
                <w:szCs w:val="18"/>
              </w:rPr>
              <w:br/>
              <w:t>2019</w:t>
            </w:r>
          </w:p>
        </w:tc>
        <w:tc>
          <w:tcPr>
            <w:tcW w:w="0" w:type="auto"/>
            <w:shd w:val="clear" w:color="auto" w:fill="auto"/>
            <w:tcMar>
              <w:top w:w="40" w:type="dxa"/>
              <w:left w:w="40" w:type="dxa"/>
              <w:bottom w:w="40" w:type="dxa"/>
              <w:right w:w="40" w:type="dxa"/>
            </w:tcMar>
            <w:vAlign w:val="bottom"/>
          </w:tcPr>
          <w:p w14:paraId="4ACE4E6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E70"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29, </w:t>
            </w:r>
            <w:r>
              <w:rPr>
                <w:rFonts w:ascii="Arial" w:eastAsia="宋体" w:hAnsi="Arial" w:cs="Arial"/>
                <w:b/>
                <w:bCs/>
                <w:color w:val="333333"/>
                <w:sz w:val="18"/>
                <w:szCs w:val="18"/>
              </w:rPr>
              <w:br/>
              <w:t>2018</w:t>
            </w:r>
          </w:p>
        </w:tc>
      </w:tr>
      <w:tr w:rsidR="006F587A" w14:paraId="4ACE4E7B" w14:textId="77777777">
        <w:trPr>
          <w:jc w:val="center"/>
        </w:trPr>
        <w:tc>
          <w:tcPr>
            <w:tcW w:w="0" w:type="auto"/>
            <w:shd w:val="clear" w:color="auto" w:fill="auto"/>
            <w:tcMar>
              <w:top w:w="40" w:type="dxa"/>
              <w:left w:w="40" w:type="dxa"/>
              <w:bottom w:w="40" w:type="dxa"/>
              <w:right w:w="40" w:type="dxa"/>
            </w:tcMar>
            <w:vAlign w:val="bottom"/>
          </w:tcPr>
          <w:p w14:paraId="4ACE4E72"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Marketable equity securities</w:t>
            </w:r>
          </w:p>
        </w:tc>
        <w:tc>
          <w:tcPr>
            <w:tcW w:w="0" w:type="auto"/>
            <w:shd w:val="clear" w:color="auto" w:fill="auto"/>
            <w:tcMar>
              <w:top w:w="40" w:type="dxa"/>
              <w:left w:w="40" w:type="dxa"/>
              <w:bottom w:w="40" w:type="dxa"/>
              <w:right w:w="40" w:type="dxa"/>
            </w:tcMar>
            <w:vAlign w:val="bottom"/>
          </w:tcPr>
          <w:p w14:paraId="4ACE4E7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4E74"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tcBorders>
              <w:top w:val="single" w:sz="8" w:space="0" w:color="0071C5"/>
            </w:tcBorders>
            <w:shd w:val="clear" w:color="auto" w:fill="auto"/>
            <w:tcMar>
              <w:top w:w="40" w:type="dxa"/>
              <w:bottom w:w="40" w:type="dxa"/>
            </w:tcMar>
            <w:vAlign w:val="bottom"/>
          </w:tcPr>
          <w:p w14:paraId="4ACE4E75"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450</w:t>
            </w:r>
          </w:p>
        </w:tc>
        <w:tc>
          <w:tcPr>
            <w:tcW w:w="0" w:type="auto"/>
            <w:tcBorders>
              <w:top w:val="single" w:sz="8" w:space="0" w:color="0071C5"/>
            </w:tcBorders>
            <w:shd w:val="clear" w:color="auto" w:fill="auto"/>
            <w:vAlign w:val="bottom"/>
          </w:tcPr>
          <w:p w14:paraId="4ACE4E7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E7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4E7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tcMar>
            <w:vAlign w:val="bottom"/>
          </w:tcPr>
          <w:p w14:paraId="4ACE4E7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1,440</w:t>
            </w:r>
          </w:p>
        </w:tc>
        <w:tc>
          <w:tcPr>
            <w:tcW w:w="0" w:type="auto"/>
            <w:tcBorders>
              <w:top w:val="single" w:sz="8" w:space="0" w:color="0071C5"/>
            </w:tcBorders>
            <w:shd w:val="clear" w:color="auto" w:fill="auto"/>
            <w:vAlign w:val="bottom"/>
          </w:tcPr>
          <w:p w14:paraId="4ACE4E7A" w14:textId="77777777" w:rsidR="006F587A" w:rsidRDefault="006F587A">
            <w:pPr>
              <w:textAlignment w:val="bottom"/>
              <w:rPr>
                <w:rFonts w:ascii="Times New Roman" w:hAnsi="Times New Roman"/>
                <w:sz w:val="20"/>
                <w:szCs w:val="20"/>
              </w:rPr>
            </w:pPr>
          </w:p>
        </w:tc>
      </w:tr>
      <w:tr w:rsidR="006F587A" w14:paraId="4ACE4E83" w14:textId="77777777">
        <w:trPr>
          <w:jc w:val="center"/>
        </w:trPr>
        <w:tc>
          <w:tcPr>
            <w:tcW w:w="0" w:type="auto"/>
            <w:shd w:val="clear" w:color="auto" w:fill="auto"/>
            <w:tcMar>
              <w:top w:w="40" w:type="dxa"/>
              <w:left w:w="40" w:type="dxa"/>
              <w:bottom w:w="40" w:type="dxa"/>
              <w:right w:w="40" w:type="dxa"/>
            </w:tcMar>
            <w:vAlign w:val="bottom"/>
          </w:tcPr>
          <w:p w14:paraId="4ACE4E7C"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Non-marketable equity securities</w:t>
            </w:r>
          </w:p>
        </w:tc>
        <w:tc>
          <w:tcPr>
            <w:tcW w:w="0" w:type="auto"/>
            <w:shd w:val="clear" w:color="auto" w:fill="auto"/>
            <w:tcMar>
              <w:top w:w="40" w:type="dxa"/>
              <w:left w:w="40" w:type="dxa"/>
              <w:bottom w:w="40" w:type="dxa"/>
              <w:right w:w="40" w:type="dxa"/>
            </w:tcMar>
            <w:vAlign w:val="bottom"/>
          </w:tcPr>
          <w:p w14:paraId="4ACE4E7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E7E"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3,480</w:t>
            </w:r>
          </w:p>
        </w:tc>
        <w:tc>
          <w:tcPr>
            <w:tcW w:w="0" w:type="auto"/>
            <w:shd w:val="clear" w:color="auto" w:fill="auto"/>
            <w:vAlign w:val="bottom"/>
          </w:tcPr>
          <w:p w14:paraId="4ACE4E7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E8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E81"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2,978</w:t>
            </w:r>
          </w:p>
        </w:tc>
        <w:tc>
          <w:tcPr>
            <w:tcW w:w="0" w:type="auto"/>
            <w:shd w:val="clear" w:color="auto" w:fill="auto"/>
            <w:vAlign w:val="bottom"/>
          </w:tcPr>
          <w:p w14:paraId="4ACE4E82" w14:textId="77777777" w:rsidR="006F587A" w:rsidRDefault="006F587A">
            <w:pPr>
              <w:textAlignment w:val="bottom"/>
              <w:rPr>
                <w:rFonts w:ascii="Times New Roman" w:hAnsi="Times New Roman"/>
                <w:sz w:val="20"/>
                <w:szCs w:val="20"/>
              </w:rPr>
            </w:pPr>
          </w:p>
        </w:tc>
      </w:tr>
      <w:tr w:rsidR="006F587A" w14:paraId="4ACE4E8B" w14:textId="77777777">
        <w:trPr>
          <w:jc w:val="center"/>
        </w:trPr>
        <w:tc>
          <w:tcPr>
            <w:tcW w:w="0" w:type="auto"/>
            <w:shd w:val="clear" w:color="auto" w:fill="auto"/>
            <w:tcMar>
              <w:top w:w="40" w:type="dxa"/>
              <w:left w:w="40" w:type="dxa"/>
              <w:bottom w:w="40" w:type="dxa"/>
              <w:right w:w="40" w:type="dxa"/>
            </w:tcMar>
            <w:vAlign w:val="bottom"/>
          </w:tcPr>
          <w:p w14:paraId="4ACE4E84"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 xml:space="preserve">Equity method </w:t>
            </w:r>
            <w:r>
              <w:rPr>
                <w:rFonts w:ascii="Arial" w:eastAsia="宋体" w:hAnsi="Arial" w:cs="Arial"/>
                <w:b/>
                <w:bCs/>
                <w:color w:val="333333"/>
                <w:sz w:val="18"/>
                <w:szCs w:val="18"/>
              </w:rPr>
              <w:t>investments</w:t>
            </w:r>
          </w:p>
        </w:tc>
        <w:tc>
          <w:tcPr>
            <w:tcW w:w="0" w:type="auto"/>
            <w:shd w:val="clear" w:color="auto" w:fill="auto"/>
            <w:tcMar>
              <w:top w:w="40" w:type="dxa"/>
              <w:left w:w="40" w:type="dxa"/>
              <w:bottom w:w="40" w:type="dxa"/>
              <w:right w:w="40" w:type="dxa"/>
            </w:tcMar>
            <w:vAlign w:val="bottom"/>
          </w:tcPr>
          <w:p w14:paraId="4ACE4E8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E86"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37</w:t>
            </w:r>
          </w:p>
        </w:tc>
        <w:tc>
          <w:tcPr>
            <w:tcW w:w="0" w:type="auto"/>
            <w:shd w:val="clear" w:color="auto" w:fill="auto"/>
            <w:vAlign w:val="bottom"/>
          </w:tcPr>
          <w:p w14:paraId="4ACE4E8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E8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E8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1,624</w:t>
            </w:r>
          </w:p>
        </w:tc>
        <w:tc>
          <w:tcPr>
            <w:tcW w:w="0" w:type="auto"/>
            <w:shd w:val="clear" w:color="auto" w:fill="auto"/>
            <w:vAlign w:val="bottom"/>
          </w:tcPr>
          <w:p w14:paraId="4ACE4E8A" w14:textId="77777777" w:rsidR="006F587A" w:rsidRDefault="006F587A">
            <w:pPr>
              <w:textAlignment w:val="bottom"/>
              <w:rPr>
                <w:rFonts w:ascii="Times New Roman" w:hAnsi="Times New Roman"/>
                <w:sz w:val="20"/>
                <w:szCs w:val="20"/>
              </w:rPr>
            </w:pPr>
          </w:p>
        </w:tc>
      </w:tr>
      <w:tr w:rsidR="006F587A" w14:paraId="4ACE4E95" w14:textId="77777777">
        <w:trPr>
          <w:jc w:val="center"/>
        </w:trPr>
        <w:tc>
          <w:tcPr>
            <w:tcW w:w="0" w:type="auto"/>
            <w:shd w:val="clear" w:color="auto" w:fill="auto"/>
            <w:tcMar>
              <w:top w:w="40" w:type="dxa"/>
              <w:left w:w="40" w:type="dxa"/>
              <w:bottom w:w="40" w:type="dxa"/>
              <w:right w:w="40" w:type="dxa"/>
            </w:tcMar>
            <w:vAlign w:val="bottom"/>
          </w:tcPr>
          <w:p w14:paraId="4ACE4E8C"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Total</w:t>
            </w:r>
          </w:p>
        </w:tc>
        <w:tc>
          <w:tcPr>
            <w:tcW w:w="0" w:type="auto"/>
            <w:shd w:val="clear" w:color="auto" w:fill="auto"/>
            <w:tcMar>
              <w:top w:w="40" w:type="dxa"/>
              <w:left w:w="40" w:type="dxa"/>
              <w:bottom w:w="40" w:type="dxa"/>
              <w:right w:w="40" w:type="dxa"/>
            </w:tcMar>
            <w:vAlign w:val="bottom"/>
          </w:tcPr>
          <w:p w14:paraId="4ACE4E8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E8E"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E8F"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3,967</w:t>
            </w:r>
          </w:p>
        </w:tc>
        <w:tc>
          <w:tcPr>
            <w:tcW w:w="0" w:type="auto"/>
            <w:tcBorders>
              <w:top w:val="single" w:sz="8" w:space="0" w:color="333333"/>
              <w:bottom w:val="double" w:sz="6" w:space="0" w:color="333333"/>
            </w:tcBorders>
            <w:shd w:val="clear" w:color="auto" w:fill="auto"/>
            <w:vAlign w:val="bottom"/>
          </w:tcPr>
          <w:p w14:paraId="4ACE4E9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E9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E92"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E93"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6,042</w:t>
            </w:r>
          </w:p>
        </w:tc>
        <w:tc>
          <w:tcPr>
            <w:tcW w:w="0" w:type="auto"/>
            <w:tcBorders>
              <w:top w:val="single" w:sz="8" w:space="0" w:color="333333"/>
              <w:bottom w:val="double" w:sz="6" w:space="0" w:color="333333"/>
            </w:tcBorders>
            <w:shd w:val="clear" w:color="auto" w:fill="auto"/>
            <w:vAlign w:val="bottom"/>
          </w:tcPr>
          <w:p w14:paraId="4ACE4E94" w14:textId="77777777" w:rsidR="006F587A" w:rsidRDefault="006F587A">
            <w:pPr>
              <w:textAlignment w:val="bottom"/>
              <w:rPr>
                <w:rFonts w:ascii="Times New Roman" w:hAnsi="Times New Roman"/>
                <w:sz w:val="20"/>
                <w:szCs w:val="20"/>
              </w:rPr>
            </w:pPr>
          </w:p>
        </w:tc>
      </w:tr>
    </w:tbl>
    <w:p w14:paraId="4ACE4E96" w14:textId="77777777" w:rsidR="006F587A" w:rsidRDefault="006F587A">
      <w:pPr>
        <w:spacing w:line="288" w:lineRule="auto"/>
        <w:jc w:val="center"/>
        <w:rPr>
          <w:rFonts w:ascii="Times New Roman" w:hAnsi="Times New Roman"/>
          <w:sz w:val="20"/>
          <w:szCs w:val="20"/>
        </w:rPr>
      </w:pPr>
    </w:p>
    <w:p w14:paraId="4ACE4E97" w14:textId="77777777" w:rsidR="006F587A" w:rsidRDefault="007B2B61">
      <w:pPr>
        <w:spacing w:line="288" w:lineRule="auto"/>
        <w:rPr>
          <w:rFonts w:ascii="Times New Roman" w:hAnsi="Times New Roman"/>
          <w:sz w:val="20"/>
          <w:szCs w:val="20"/>
        </w:rPr>
      </w:pPr>
      <w:r>
        <w:rPr>
          <w:rFonts w:ascii="Arial" w:eastAsia="宋体" w:hAnsi="Arial" w:cs="Arial"/>
          <w:color w:val="333333"/>
          <w:sz w:val="18"/>
          <w:szCs w:val="18"/>
        </w:rPr>
        <w:t>The components of gains (losses) on equity investments, net for each period were as follows:</w:t>
      </w:r>
    </w:p>
    <w:tbl>
      <w:tblPr>
        <w:tblW w:w="5000" w:type="pct"/>
        <w:tblCellMar>
          <w:left w:w="0" w:type="dxa"/>
          <w:right w:w="0" w:type="dxa"/>
        </w:tblCellMar>
        <w:tblLook w:val="04A0" w:firstRow="1" w:lastRow="0" w:firstColumn="1" w:lastColumn="0" w:noHBand="0" w:noVBand="1"/>
      </w:tblPr>
      <w:tblGrid>
        <w:gridCol w:w="4974"/>
        <w:gridCol w:w="130"/>
        <w:gridCol w:w="142"/>
        <w:gridCol w:w="738"/>
        <w:gridCol w:w="100"/>
        <w:gridCol w:w="130"/>
        <w:gridCol w:w="142"/>
        <w:gridCol w:w="739"/>
        <w:gridCol w:w="100"/>
        <w:gridCol w:w="130"/>
        <w:gridCol w:w="142"/>
        <w:gridCol w:w="739"/>
        <w:gridCol w:w="100"/>
      </w:tblGrid>
      <w:tr w:rsidR="006F587A" w14:paraId="4ACE4E99" w14:textId="77777777">
        <w:tc>
          <w:tcPr>
            <w:tcW w:w="0" w:type="auto"/>
            <w:gridSpan w:val="13"/>
            <w:shd w:val="clear" w:color="auto" w:fill="auto"/>
            <w:vAlign w:val="center"/>
          </w:tcPr>
          <w:p w14:paraId="4ACE4E98" w14:textId="77777777" w:rsidR="006F587A" w:rsidRDefault="006F587A">
            <w:pPr>
              <w:rPr>
                <w:rFonts w:ascii="Times New Roman" w:hAnsi="Times New Roman"/>
                <w:sz w:val="20"/>
                <w:szCs w:val="20"/>
              </w:rPr>
            </w:pPr>
          </w:p>
        </w:tc>
      </w:tr>
      <w:tr w:rsidR="006F587A" w14:paraId="4ACE4EA7" w14:textId="77777777">
        <w:tc>
          <w:tcPr>
            <w:tcW w:w="3050" w:type="pct"/>
            <w:shd w:val="clear" w:color="auto" w:fill="auto"/>
            <w:vAlign w:val="center"/>
          </w:tcPr>
          <w:p w14:paraId="4ACE4E9A" w14:textId="77777777" w:rsidR="006F587A" w:rsidRDefault="006F587A">
            <w:pPr>
              <w:rPr>
                <w:rFonts w:ascii="Times New Roman" w:hAnsi="Times New Roman"/>
                <w:sz w:val="20"/>
                <w:szCs w:val="20"/>
              </w:rPr>
            </w:pPr>
          </w:p>
        </w:tc>
        <w:tc>
          <w:tcPr>
            <w:tcW w:w="50" w:type="pct"/>
            <w:shd w:val="clear" w:color="auto" w:fill="auto"/>
            <w:vAlign w:val="center"/>
          </w:tcPr>
          <w:p w14:paraId="4ACE4E9B" w14:textId="77777777" w:rsidR="006F587A" w:rsidRDefault="006F587A">
            <w:pPr>
              <w:rPr>
                <w:rFonts w:ascii="Times New Roman" w:hAnsi="Times New Roman"/>
                <w:sz w:val="20"/>
                <w:szCs w:val="20"/>
              </w:rPr>
            </w:pPr>
          </w:p>
        </w:tc>
        <w:tc>
          <w:tcPr>
            <w:tcW w:w="50" w:type="pct"/>
            <w:shd w:val="clear" w:color="auto" w:fill="auto"/>
            <w:vAlign w:val="center"/>
          </w:tcPr>
          <w:p w14:paraId="4ACE4E9C" w14:textId="77777777" w:rsidR="006F587A" w:rsidRDefault="006F587A">
            <w:pPr>
              <w:rPr>
                <w:rFonts w:ascii="Times New Roman" w:hAnsi="Times New Roman"/>
                <w:sz w:val="20"/>
                <w:szCs w:val="20"/>
              </w:rPr>
            </w:pPr>
          </w:p>
        </w:tc>
        <w:tc>
          <w:tcPr>
            <w:tcW w:w="500" w:type="pct"/>
            <w:shd w:val="clear" w:color="auto" w:fill="auto"/>
            <w:vAlign w:val="center"/>
          </w:tcPr>
          <w:p w14:paraId="4ACE4E9D" w14:textId="77777777" w:rsidR="006F587A" w:rsidRDefault="006F587A">
            <w:pPr>
              <w:rPr>
                <w:rFonts w:ascii="Times New Roman" w:hAnsi="Times New Roman"/>
                <w:sz w:val="20"/>
                <w:szCs w:val="20"/>
              </w:rPr>
            </w:pPr>
          </w:p>
        </w:tc>
        <w:tc>
          <w:tcPr>
            <w:tcW w:w="50" w:type="pct"/>
            <w:shd w:val="clear" w:color="auto" w:fill="auto"/>
            <w:vAlign w:val="center"/>
          </w:tcPr>
          <w:p w14:paraId="4ACE4E9E" w14:textId="77777777" w:rsidR="006F587A" w:rsidRDefault="006F587A">
            <w:pPr>
              <w:rPr>
                <w:rFonts w:ascii="Times New Roman" w:hAnsi="Times New Roman"/>
                <w:sz w:val="20"/>
                <w:szCs w:val="20"/>
              </w:rPr>
            </w:pPr>
          </w:p>
        </w:tc>
        <w:tc>
          <w:tcPr>
            <w:tcW w:w="50" w:type="pct"/>
            <w:shd w:val="clear" w:color="auto" w:fill="auto"/>
            <w:vAlign w:val="center"/>
          </w:tcPr>
          <w:p w14:paraId="4ACE4E9F" w14:textId="77777777" w:rsidR="006F587A" w:rsidRDefault="006F587A">
            <w:pPr>
              <w:rPr>
                <w:rFonts w:ascii="Times New Roman" w:hAnsi="Times New Roman"/>
                <w:sz w:val="20"/>
                <w:szCs w:val="20"/>
              </w:rPr>
            </w:pPr>
          </w:p>
        </w:tc>
        <w:tc>
          <w:tcPr>
            <w:tcW w:w="50" w:type="pct"/>
            <w:shd w:val="clear" w:color="auto" w:fill="auto"/>
            <w:vAlign w:val="center"/>
          </w:tcPr>
          <w:p w14:paraId="4ACE4EA0" w14:textId="77777777" w:rsidR="006F587A" w:rsidRDefault="006F587A">
            <w:pPr>
              <w:rPr>
                <w:rFonts w:ascii="Times New Roman" w:hAnsi="Times New Roman"/>
                <w:sz w:val="20"/>
                <w:szCs w:val="20"/>
              </w:rPr>
            </w:pPr>
          </w:p>
        </w:tc>
        <w:tc>
          <w:tcPr>
            <w:tcW w:w="500" w:type="pct"/>
            <w:shd w:val="clear" w:color="auto" w:fill="auto"/>
            <w:vAlign w:val="center"/>
          </w:tcPr>
          <w:p w14:paraId="4ACE4EA1" w14:textId="77777777" w:rsidR="006F587A" w:rsidRDefault="006F587A">
            <w:pPr>
              <w:rPr>
                <w:rFonts w:ascii="Times New Roman" w:hAnsi="Times New Roman"/>
                <w:sz w:val="20"/>
                <w:szCs w:val="20"/>
              </w:rPr>
            </w:pPr>
          </w:p>
        </w:tc>
        <w:tc>
          <w:tcPr>
            <w:tcW w:w="50" w:type="pct"/>
            <w:shd w:val="clear" w:color="auto" w:fill="auto"/>
            <w:vAlign w:val="center"/>
          </w:tcPr>
          <w:p w14:paraId="4ACE4EA2" w14:textId="77777777" w:rsidR="006F587A" w:rsidRDefault="006F587A">
            <w:pPr>
              <w:rPr>
                <w:rFonts w:ascii="Times New Roman" w:hAnsi="Times New Roman"/>
                <w:sz w:val="20"/>
                <w:szCs w:val="20"/>
              </w:rPr>
            </w:pPr>
          </w:p>
        </w:tc>
        <w:tc>
          <w:tcPr>
            <w:tcW w:w="50" w:type="pct"/>
            <w:shd w:val="clear" w:color="auto" w:fill="auto"/>
            <w:vAlign w:val="center"/>
          </w:tcPr>
          <w:p w14:paraId="4ACE4EA3" w14:textId="77777777" w:rsidR="006F587A" w:rsidRDefault="006F587A">
            <w:pPr>
              <w:rPr>
                <w:rFonts w:ascii="Times New Roman" w:hAnsi="Times New Roman"/>
                <w:sz w:val="20"/>
                <w:szCs w:val="20"/>
              </w:rPr>
            </w:pPr>
          </w:p>
        </w:tc>
        <w:tc>
          <w:tcPr>
            <w:tcW w:w="50" w:type="pct"/>
            <w:shd w:val="clear" w:color="auto" w:fill="auto"/>
            <w:vAlign w:val="center"/>
          </w:tcPr>
          <w:p w14:paraId="4ACE4EA4" w14:textId="77777777" w:rsidR="006F587A" w:rsidRDefault="006F587A">
            <w:pPr>
              <w:rPr>
                <w:rFonts w:ascii="Times New Roman" w:hAnsi="Times New Roman"/>
                <w:sz w:val="20"/>
                <w:szCs w:val="20"/>
              </w:rPr>
            </w:pPr>
          </w:p>
        </w:tc>
        <w:tc>
          <w:tcPr>
            <w:tcW w:w="500" w:type="pct"/>
            <w:shd w:val="clear" w:color="auto" w:fill="auto"/>
            <w:vAlign w:val="center"/>
          </w:tcPr>
          <w:p w14:paraId="4ACE4EA5" w14:textId="77777777" w:rsidR="006F587A" w:rsidRDefault="006F587A">
            <w:pPr>
              <w:rPr>
                <w:rFonts w:ascii="Times New Roman" w:hAnsi="Times New Roman"/>
                <w:sz w:val="20"/>
                <w:szCs w:val="20"/>
              </w:rPr>
            </w:pPr>
          </w:p>
        </w:tc>
        <w:tc>
          <w:tcPr>
            <w:tcW w:w="50" w:type="pct"/>
            <w:shd w:val="clear" w:color="auto" w:fill="auto"/>
            <w:vAlign w:val="center"/>
          </w:tcPr>
          <w:p w14:paraId="4ACE4EA6" w14:textId="77777777" w:rsidR="006F587A" w:rsidRDefault="006F587A">
            <w:pPr>
              <w:rPr>
                <w:rFonts w:ascii="Times New Roman" w:hAnsi="Times New Roman"/>
                <w:sz w:val="20"/>
                <w:szCs w:val="20"/>
              </w:rPr>
            </w:pPr>
          </w:p>
        </w:tc>
      </w:tr>
      <w:tr w:rsidR="006F587A" w14:paraId="4ACE4EAF"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4EA8"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Years Ended (In Millions)</w:t>
            </w:r>
          </w:p>
        </w:tc>
        <w:tc>
          <w:tcPr>
            <w:tcW w:w="0" w:type="auto"/>
            <w:shd w:val="clear" w:color="auto" w:fill="auto"/>
            <w:tcMar>
              <w:top w:w="40" w:type="dxa"/>
              <w:left w:w="40" w:type="dxa"/>
              <w:bottom w:w="40" w:type="dxa"/>
              <w:right w:w="40" w:type="dxa"/>
            </w:tcMar>
            <w:vAlign w:val="bottom"/>
          </w:tcPr>
          <w:p w14:paraId="4ACE4EA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EAA"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28, </w:t>
            </w:r>
            <w:r>
              <w:rPr>
                <w:rFonts w:ascii="Arial" w:eastAsia="宋体" w:hAnsi="Arial" w:cs="Arial"/>
                <w:b/>
                <w:bCs/>
                <w:color w:val="333333"/>
                <w:sz w:val="18"/>
                <w:szCs w:val="18"/>
              </w:rPr>
              <w:br/>
              <w:t>2019</w:t>
            </w:r>
          </w:p>
        </w:tc>
        <w:tc>
          <w:tcPr>
            <w:tcW w:w="0" w:type="auto"/>
            <w:shd w:val="clear" w:color="auto" w:fill="auto"/>
            <w:tcMar>
              <w:top w:w="40" w:type="dxa"/>
              <w:left w:w="40" w:type="dxa"/>
              <w:bottom w:w="40" w:type="dxa"/>
              <w:right w:w="40" w:type="dxa"/>
            </w:tcMar>
            <w:vAlign w:val="bottom"/>
          </w:tcPr>
          <w:p w14:paraId="4ACE4EA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EAC"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29, </w:t>
            </w:r>
            <w:r>
              <w:rPr>
                <w:rFonts w:ascii="Arial" w:eastAsia="宋体" w:hAnsi="Arial" w:cs="Arial"/>
                <w:b/>
                <w:bCs/>
                <w:color w:val="333333"/>
                <w:sz w:val="18"/>
                <w:szCs w:val="18"/>
              </w:rPr>
              <w:br/>
              <w:t>2018</w:t>
            </w:r>
          </w:p>
        </w:tc>
        <w:tc>
          <w:tcPr>
            <w:tcW w:w="0" w:type="auto"/>
            <w:shd w:val="clear" w:color="auto" w:fill="auto"/>
            <w:tcMar>
              <w:top w:w="40" w:type="dxa"/>
              <w:left w:w="40" w:type="dxa"/>
              <w:bottom w:w="40" w:type="dxa"/>
              <w:right w:w="40" w:type="dxa"/>
            </w:tcMar>
            <w:vAlign w:val="bottom"/>
          </w:tcPr>
          <w:p w14:paraId="4ACE4EA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EAE"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30, </w:t>
            </w:r>
            <w:r>
              <w:rPr>
                <w:rFonts w:ascii="Arial" w:eastAsia="宋体" w:hAnsi="Arial" w:cs="Arial"/>
                <w:b/>
                <w:bCs/>
                <w:color w:val="333333"/>
                <w:sz w:val="18"/>
                <w:szCs w:val="18"/>
              </w:rPr>
              <w:br/>
              <w:t>2017</w:t>
            </w:r>
          </w:p>
        </w:tc>
      </w:tr>
      <w:tr w:rsidR="006F587A" w14:paraId="4ACE4EBC" w14:textId="77777777">
        <w:tc>
          <w:tcPr>
            <w:tcW w:w="0" w:type="auto"/>
            <w:tcBorders>
              <w:top w:val="single" w:sz="8" w:space="0" w:color="0071C5"/>
            </w:tcBorders>
            <w:shd w:val="clear" w:color="auto" w:fill="auto"/>
            <w:tcMar>
              <w:top w:w="40" w:type="dxa"/>
              <w:left w:w="40" w:type="dxa"/>
              <w:bottom w:w="40" w:type="dxa"/>
              <w:right w:w="40" w:type="dxa"/>
            </w:tcMar>
            <w:vAlign w:val="bottom"/>
          </w:tcPr>
          <w:p w14:paraId="4ACE4EB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Ongoing </w:t>
            </w:r>
            <w:r>
              <w:rPr>
                <w:rFonts w:ascii="Arial" w:eastAsia="宋体" w:hAnsi="Arial" w:cs="Arial"/>
                <w:color w:val="333333"/>
                <w:sz w:val="18"/>
                <w:szCs w:val="18"/>
              </w:rPr>
              <w:t>mark-to-market adjustments on marketable equity securities</w:t>
            </w:r>
            <w:r>
              <w:rPr>
                <w:rFonts w:ascii="Arial" w:eastAsia="宋体" w:hAnsi="Arial" w:cs="Arial"/>
                <w:color w:val="333333"/>
                <w:sz w:val="12"/>
                <w:szCs w:val="12"/>
              </w:rPr>
              <w:t>1</w:t>
            </w:r>
          </w:p>
        </w:tc>
        <w:tc>
          <w:tcPr>
            <w:tcW w:w="0" w:type="auto"/>
            <w:shd w:val="clear" w:color="auto" w:fill="auto"/>
            <w:tcMar>
              <w:top w:w="40" w:type="dxa"/>
              <w:left w:w="40" w:type="dxa"/>
              <w:bottom w:w="40" w:type="dxa"/>
              <w:right w:w="40" w:type="dxa"/>
            </w:tcMar>
            <w:vAlign w:val="bottom"/>
          </w:tcPr>
          <w:p w14:paraId="4ACE4EB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4EB2"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tcBorders>
              <w:top w:val="single" w:sz="8" w:space="0" w:color="0071C5"/>
            </w:tcBorders>
            <w:shd w:val="clear" w:color="auto" w:fill="auto"/>
            <w:tcMar>
              <w:top w:w="40" w:type="dxa"/>
              <w:bottom w:w="40" w:type="dxa"/>
            </w:tcMar>
            <w:vAlign w:val="bottom"/>
          </w:tcPr>
          <w:p w14:paraId="4ACE4EB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277</w:t>
            </w:r>
          </w:p>
        </w:tc>
        <w:tc>
          <w:tcPr>
            <w:tcW w:w="0" w:type="auto"/>
            <w:tcBorders>
              <w:top w:val="single" w:sz="8" w:space="0" w:color="0071C5"/>
            </w:tcBorders>
            <w:shd w:val="clear" w:color="auto" w:fill="auto"/>
            <w:vAlign w:val="bottom"/>
          </w:tcPr>
          <w:p w14:paraId="4ACE4EB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EB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4EB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tcMar>
            <w:vAlign w:val="bottom"/>
          </w:tcPr>
          <w:p w14:paraId="4ACE4EB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(129</w:t>
            </w:r>
          </w:p>
        </w:tc>
        <w:tc>
          <w:tcPr>
            <w:tcW w:w="0" w:type="auto"/>
            <w:tcBorders>
              <w:top w:val="single" w:sz="8" w:space="0" w:color="0071C5"/>
            </w:tcBorders>
            <w:shd w:val="clear" w:color="auto" w:fill="auto"/>
            <w:tcMar>
              <w:top w:w="40" w:type="dxa"/>
              <w:bottom w:w="40" w:type="dxa"/>
              <w:right w:w="40" w:type="dxa"/>
            </w:tcMar>
            <w:vAlign w:val="bottom"/>
          </w:tcPr>
          <w:p w14:paraId="4ACE4EB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4EB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EB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4EBB" w14:textId="77777777" w:rsidR="006F587A" w:rsidRDefault="006F587A">
            <w:pPr>
              <w:textAlignment w:val="bottom"/>
              <w:rPr>
                <w:rFonts w:ascii="Times New Roman" w:hAnsi="Times New Roman"/>
                <w:sz w:val="20"/>
                <w:szCs w:val="20"/>
              </w:rPr>
            </w:pPr>
          </w:p>
        </w:tc>
      </w:tr>
      <w:tr w:rsidR="006F587A" w14:paraId="4ACE4EC7" w14:textId="77777777">
        <w:tc>
          <w:tcPr>
            <w:tcW w:w="0" w:type="auto"/>
            <w:shd w:val="clear" w:color="auto" w:fill="auto"/>
            <w:tcMar>
              <w:top w:w="40" w:type="dxa"/>
              <w:left w:w="40" w:type="dxa"/>
              <w:bottom w:w="40" w:type="dxa"/>
              <w:right w:w="40" w:type="dxa"/>
            </w:tcMar>
            <w:vAlign w:val="bottom"/>
          </w:tcPr>
          <w:p w14:paraId="4ACE4EB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Observable price adjustments on non-marketable equity securities</w:t>
            </w:r>
            <w:r>
              <w:rPr>
                <w:rFonts w:ascii="Arial" w:eastAsia="宋体" w:hAnsi="Arial" w:cs="Arial"/>
                <w:color w:val="333333"/>
                <w:sz w:val="12"/>
                <w:szCs w:val="12"/>
              </w:rPr>
              <w:t>1</w:t>
            </w:r>
          </w:p>
        </w:tc>
        <w:tc>
          <w:tcPr>
            <w:tcW w:w="0" w:type="auto"/>
            <w:shd w:val="clear" w:color="auto" w:fill="auto"/>
            <w:tcMar>
              <w:top w:w="40" w:type="dxa"/>
              <w:left w:w="40" w:type="dxa"/>
              <w:bottom w:w="40" w:type="dxa"/>
              <w:right w:w="40" w:type="dxa"/>
            </w:tcMar>
            <w:vAlign w:val="bottom"/>
          </w:tcPr>
          <w:p w14:paraId="4ACE4EB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EBF"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293</w:t>
            </w:r>
          </w:p>
        </w:tc>
        <w:tc>
          <w:tcPr>
            <w:tcW w:w="0" w:type="auto"/>
            <w:shd w:val="clear" w:color="auto" w:fill="auto"/>
            <w:vAlign w:val="bottom"/>
          </w:tcPr>
          <w:p w14:paraId="4ACE4EC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EC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EC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202</w:t>
            </w:r>
          </w:p>
        </w:tc>
        <w:tc>
          <w:tcPr>
            <w:tcW w:w="0" w:type="auto"/>
            <w:shd w:val="clear" w:color="auto" w:fill="auto"/>
            <w:vAlign w:val="bottom"/>
          </w:tcPr>
          <w:p w14:paraId="4ACE4EC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EC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EC5"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4EC6" w14:textId="77777777" w:rsidR="006F587A" w:rsidRDefault="006F587A">
            <w:pPr>
              <w:textAlignment w:val="bottom"/>
              <w:rPr>
                <w:rFonts w:ascii="Times New Roman" w:hAnsi="Times New Roman"/>
                <w:sz w:val="20"/>
                <w:szCs w:val="20"/>
              </w:rPr>
            </w:pPr>
          </w:p>
        </w:tc>
      </w:tr>
      <w:tr w:rsidR="006F587A" w14:paraId="4ACE4ED2" w14:textId="77777777">
        <w:tc>
          <w:tcPr>
            <w:tcW w:w="0" w:type="auto"/>
            <w:shd w:val="clear" w:color="auto" w:fill="auto"/>
            <w:tcMar>
              <w:top w:w="40" w:type="dxa"/>
              <w:left w:w="40" w:type="dxa"/>
              <w:bottom w:w="40" w:type="dxa"/>
              <w:right w:w="40" w:type="dxa"/>
            </w:tcMar>
            <w:vAlign w:val="bottom"/>
          </w:tcPr>
          <w:p w14:paraId="4ACE4EC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Impairment charges</w:t>
            </w:r>
          </w:p>
        </w:tc>
        <w:tc>
          <w:tcPr>
            <w:tcW w:w="0" w:type="auto"/>
            <w:shd w:val="clear" w:color="auto" w:fill="auto"/>
            <w:tcMar>
              <w:top w:w="40" w:type="dxa"/>
              <w:left w:w="40" w:type="dxa"/>
              <w:bottom w:w="40" w:type="dxa"/>
              <w:right w:w="40" w:type="dxa"/>
            </w:tcMar>
            <w:vAlign w:val="bottom"/>
          </w:tcPr>
          <w:p w14:paraId="4ACE4EC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ECA"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(122</w:t>
            </w:r>
          </w:p>
        </w:tc>
        <w:tc>
          <w:tcPr>
            <w:tcW w:w="0" w:type="auto"/>
            <w:shd w:val="clear" w:color="auto" w:fill="auto"/>
            <w:tcMar>
              <w:top w:w="40" w:type="dxa"/>
              <w:bottom w:w="40" w:type="dxa"/>
              <w:right w:w="40" w:type="dxa"/>
            </w:tcMar>
            <w:vAlign w:val="bottom"/>
          </w:tcPr>
          <w:p w14:paraId="4ACE4ECB"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4EC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ECD"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(424</w:t>
            </w:r>
          </w:p>
        </w:tc>
        <w:tc>
          <w:tcPr>
            <w:tcW w:w="0" w:type="auto"/>
            <w:shd w:val="clear" w:color="auto" w:fill="auto"/>
            <w:tcMar>
              <w:top w:w="40" w:type="dxa"/>
              <w:bottom w:w="40" w:type="dxa"/>
              <w:right w:w="40" w:type="dxa"/>
            </w:tcMar>
            <w:vAlign w:val="bottom"/>
          </w:tcPr>
          <w:p w14:paraId="4ACE4ECE"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4EC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ED0"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(833</w:t>
            </w:r>
          </w:p>
        </w:tc>
        <w:tc>
          <w:tcPr>
            <w:tcW w:w="0" w:type="auto"/>
            <w:shd w:val="clear" w:color="auto" w:fill="auto"/>
            <w:tcMar>
              <w:top w:w="40" w:type="dxa"/>
              <w:bottom w:w="40" w:type="dxa"/>
              <w:right w:w="40" w:type="dxa"/>
            </w:tcMar>
            <w:vAlign w:val="bottom"/>
          </w:tcPr>
          <w:p w14:paraId="4ACE4ED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4EDD" w14:textId="77777777">
        <w:tc>
          <w:tcPr>
            <w:tcW w:w="0" w:type="auto"/>
            <w:shd w:val="clear" w:color="auto" w:fill="auto"/>
            <w:tcMar>
              <w:top w:w="40" w:type="dxa"/>
              <w:left w:w="40" w:type="dxa"/>
              <w:bottom w:w="40" w:type="dxa"/>
              <w:right w:w="40" w:type="dxa"/>
            </w:tcMar>
            <w:vAlign w:val="bottom"/>
          </w:tcPr>
          <w:p w14:paraId="4ACE4ED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lastRenderedPageBreak/>
              <w:t xml:space="preserve">Sale of equity investments and </w:t>
            </w:r>
            <w:r>
              <w:rPr>
                <w:rFonts w:ascii="Arial" w:eastAsia="宋体" w:hAnsi="Arial" w:cs="Arial"/>
                <w:color w:val="333333"/>
                <w:sz w:val="18"/>
                <w:szCs w:val="18"/>
              </w:rPr>
              <w:t>other</w:t>
            </w:r>
            <w:r>
              <w:rPr>
                <w:rFonts w:ascii="Arial" w:eastAsia="宋体" w:hAnsi="Arial" w:cs="Arial"/>
                <w:color w:val="333333"/>
                <w:sz w:val="12"/>
                <w:szCs w:val="12"/>
              </w:rPr>
              <w:t> 2</w:t>
            </w:r>
          </w:p>
        </w:tc>
        <w:tc>
          <w:tcPr>
            <w:tcW w:w="0" w:type="auto"/>
            <w:shd w:val="clear" w:color="auto" w:fill="auto"/>
            <w:tcMar>
              <w:top w:w="40" w:type="dxa"/>
              <w:left w:w="40" w:type="dxa"/>
              <w:bottom w:w="40" w:type="dxa"/>
              <w:right w:w="40" w:type="dxa"/>
            </w:tcMar>
            <w:vAlign w:val="bottom"/>
          </w:tcPr>
          <w:p w14:paraId="4ACE4ED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ED5"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1,091</w:t>
            </w:r>
          </w:p>
        </w:tc>
        <w:tc>
          <w:tcPr>
            <w:tcW w:w="0" w:type="auto"/>
            <w:shd w:val="clear" w:color="auto" w:fill="auto"/>
            <w:vAlign w:val="bottom"/>
          </w:tcPr>
          <w:p w14:paraId="4ACE4ED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ED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ED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226</w:t>
            </w:r>
          </w:p>
        </w:tc>
        <w:tc>
          <w:tcPr>
            <w:tcW w:w="0" w:type="auto"/>
            <w:shd w:val="clear" w:color="auto" w:fill="auto"/>
            <w:vAlign w:val="bottom"/>
          </w:tcPr>
          <w:p w14:paraId="4ACE4ED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ED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ED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3,484</w:t>
            </w:r>
          </w:p>
        </w:tc>
        <w:tc>
          <w:tcPr>
            <w:tcW w:w="0" w:type="auto"/>
            <w:shd w:val="clear" w:color="auto" w:fill="auto"/>
            <w:vAlign w:val="bottom"/>
          </w:tcPr>
          <w:p w14:paraId="4ACE4EDC" w14:textId="77777777" w:rsidR="006F587A" w:rsidRDefault="006F587A">
            <w:pPr>
              <w:textAlignment w:val="bottom"/>
              <w:rPr>
                <w:rFonts w:ascii="Times New Roman" w:hAnsi="Times New Roman"/>
                <w:sz w:val="20"/>
                <w:szCs w:val="20"/>
              </w:rPr>
            </w:pPr>
          </w:p>
        </w:tc>
      </w:tr>
      <w:tr w:rsidR="006F587A" w14:paraId="4ACE4EEB" w14:textId="77777777">
        <w:tc>
          <w:tcPr>
            <w:tcW w:w="0" w:type="auto"/>
            <w:shd w:val="clear" w:color="auto" w:fill="auto"/>
            <w:tcMar>
              <w:top w:w="40" w:type="dxa"/>
              <w:left w:w="40" w:type="dxa"/>
              <w:bottom w:w="40" w:type="dxa"/>
              <w:right w:w="40" w:type="dxa"/>
            </w:tcMar>
            <w:vAlign w:val="bottom"/>
          </w:tcPr>
          <w:p w14:paraId="4ACE4EDE" w14:textId="77777777" w:rsidR="006F587A" w:rsidRDefault="007B2B61">
            <w:pPr>
              <w:ind w:hanging="240"/>
              <w:textAlignment w:val="bottom"/>
              <w:rPr>
                <w:rFonts w:ascii="Times New Roman" w:hAnsi="Times New Roman"/>
                <w:sz w:val="18"/>
                <w:szCs w:val="18"/>
              </w:rPr>
            </w:pPr>
            <w:r>
              <w:rPr>
                <w:rFonts w:ascii="Arial" w:eastAsia="宋体" w:hAnsi="Arial" w:cs="Arial"/>
                <w:b/>
                <w:bCs/>
                <w:color w:val="333333"/>
                <w:sz w:val="18"/>
                <w:szCs w:val="18"/>
              </w:rPr>
              <w:t>Total gains (losses) on equity investments, net</w:t>
            </w:r>
          </w:p>
        </w:tc>
        <w:tc>
          <w:tcPr>
            <w:tcW w:w="0" w:type="auto"/>
            <w:shd w:val="clear" w:color="auto" w:fill="auto"/>
            <w:tcMar>
              <w:top w:w="40" w:type="dxa"/>
              <w:left w:w="40" w:type="dxa"/>
              <w:bottom w:w="40" w:type="dxa"/>
              <w:right w:w="40" w:type="dxa"/>
            </w:tcMar>
            <w:vAlign w:val="bottom"/>
          </w:tcPr>
          <w:p w14:paraId="4ACE4ED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EE0"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EE1"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1,539</w:t>
            </w:r>
          </w:p>
        </w:tc>
        <w:tc>
          <w:tcPr>
            <w:tcW w:w="0" w:type="auto"/>
            <w:tcBorders>
              <w:top w:val="single" w:sz="8" w:space="0" w:color="333333"/>
              <w:bottom w:val="double" w:sz="6" w:space="0" w:color="333333"/>
            </w:tcBorders>
            <w:shd w:val="clear" w:color="auto" w:fill="auto"/>
            <w:vAlign w:val="bottom"/>
          </w:tcPr>
          <w:p w14:paraId="4ACE4EE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EE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EE4"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EE5"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(125</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4ACE4EE6"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4ACE4EE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EE8"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EE9"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2,651</w:t>
            </w:r>
          </w:p>
        </w:tc>
        <w:tc>
          <w:tcPr>
            <w:tcW w:w="0" w:type="auto"/>
            <w:tcBorders>
              <w:top w:val="single" w:sz="8" w:space="0" w:color="333333"/>
              <w:bottom w:val="double" w:sz="6" w:space="0" w:color="333333"/>
            </w:tcBorders>
            <w:shd w:val="clear" w:color="auto" w:fill="auto"/>
            <w:vAlign w:val="bottom"/>
          </w:tcPr>
          <w:p w14:paraId="4ACE4EEA" w14:textId="77777777" w:rsidR="006F587A" w:rsidRDefault="006F587A">
            <w:pPr>
              <w:textAlignment w:val="bottom"/>
              <w:rPr>
                <w:rFonts w:ascii="Times New Roman" w:hAnsi="Times New Roman"/>
                <w:sz w:val="20"/>
                <w:szCs w:val="20"/>
              </w:rPr>
            </w:pPr>
          </w:p>
        </w:tc>
      </w:tr>
    </w:tbl>
    <w:p w14:paraId="4ACE4EEC" w14:textId="77777777" w:rsidR="006F587A" w:rsidRDefault="006F587A"/>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6F587A" w14:paraId="4ACE4EEF" w14:textId="77777777">
        <w:trPr>
          <w:tblCellSpacing w:w="0" w:type="dxa"/>
        </w:trPr>
        <w:tc>
          <w:tcPr>
            <w:tcW w:w="720" w:type="dxa"/>
            <w:shd w:val="clear" w:color="auto" w:fill="auto"/>
            <w:vAlign w:val="center"/>
          </w:tcPr>
          <w:p w14:paraId="4ACE4EED" w14:textId="77777777" w:rsidR="006F587A" w:rsidRDefault="006F587A">
            <w:pPr>
              <w:rPr>
                <w:rFonts w:ascii="Times New Roman" w:hAnsi="Times New Roman"/>
                <w:sz w:val="20"/>
                <w:szCs w:val="20"/>
              </w:rPr>
            </w:pPr>
          </w:p>
        </w:tc>
        <w:tc>
          <w:tcPr>
            <w:tcW w:w="0" w:type="auto"/>
            <w:shd w:val="clear" w:color="auto" w:fill="auto"/>
            <w:vAlign w:val="center"/>
          </w:tcPr>
          <w:p w14:paraId="4ACE4EEE" w14:textId="77777777" w:rsidR="006F587A" w:rsidRDefault="006F587A">
            <w:pPr>
              <w:rPr>
                <w:rFonts w:ascii="Times New Roman" w:hAnsi="Times New Roman"/>
                <w:sz w:val="20"/>
                <w:szCs w:val="20"/>
              </w:rPr>
            </w:pPr>
          </w:p>
        </w:tc>
      </w:tr>
      <w:tr w:rsidR="006F587A" w14:paraId="4ACE4EF2" w14:textId="77777777">
        <w:trPr>
          <w:tblCellSpacing w:w="0" w:type="dxa"/>
        </w:trPr>
        <w:tc>
          <w:tcPr>
            <w:tcW w:w="0" w:type="auto"/>
            <w:shd w:val="clear" w:color="auto" w:fill="auto"/>
          </w:tcPr>
          <w:p w14:paraId="4ACE4EF0"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0"/>
                <w:szCs w:val="10"/>
              </w:rPr>
              <w:t>1</w:t>
            </w:r>
            <w:r>
              <w:rPr>
                <w:rFonts w:ascii="Arial" w:eastAsia="宋体" w:hAnsi="Arial" w:cs="Arial"/>
                <w:i/>
                <w:iCs/>
                <w:color w:val="333333"/>
                <w:sz w:val="16"/>
                <w:szCs w:val="16"/>
              </w:rPr>
              <w:t> </w:t>
            </w:r>
          </w:p>
        </w:tc>
        <w:tc>
          <w:tcPr>
            <w:tcW w:w="0" w:type="auto"/>
            <w:shd w:val="clear" w:color="auto" w:fill="auto"/>
          </w:tcPr>
          <w:p w14:paraId="4ACE4EF1"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6"/>
                <w:szCs w:val="16"/>
              </w:rPr>
              <w:t xml:space="preserve">Ongoing mark-to-market adjustments and observable price adjustments relate to the new financial instruments standard adopted in the first quarter of 2018, and are not applicable in prior periods. </w:t>
            </w:r>
          </w:p>
        </w:tc>
      </w:tr>
    </w:tbl>
    <w:p w14:paraId="4ACE4EF3" w14:textId="77777777" w:rsidR="006F587A" w:rsidRDefault="006F587A">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6F587A" w14:paraId="4ACE4EF6" w14:textId="77777777">
        <w:trPr>
          <w:tblCellSpacing w:w="0" w:type="dxa"/>
        </w:trPr>
        <w:tc>
          <w:tcPr>
            <w:tcW w:w="720" w:type="dxa"/>
            <w:shd w:val="clear" w:color="auto" w:fill="auto"/>
            <w:vAlign w:val="center"/>
          </w:tcPr>
          <w:p w14:paraId="4ACE4EF4" w14:textId="77777777" w:rsidR="006F587A" w:rsidRDefault="006F587A">
            <w:pPr>
              <w:rPr>
                <w:rFonts w:ascii="Times New Roman" w:hAnsi="Times New Roman"/>
                <w:sz w:val="20"/>
                <w:szCs w:val="20"/>
              </w:rPr>
            </w:pPr>
          </w:p>
        </w:tc>
        <w:tc>
          <w:tcPr>
            <w:tcW w:w="0" w:type="auto"/>
            <w:shd w:val="clear" w:color="auto" w:fill="auto"/>
            <w:vAlign w:val="center"/>
          </w:tcPr>
          <w:p w14:paraId="4ACE4EF5" w14:textId="77777777" w:rsidR="006F587A" w:rsidRDefault="006F587A">
            <w:pPr>
              <w:rPr>
                <w:rFonts w:ascii="Times New Roman" w:hAnsi="Times New Roman"/>
                <w:sz w:val="20"/>
                <w:szCs w:val="20"/>
              </w:rPr>
            </w:pPr>
          </w:p>
        </w:tc>
      </w:tr>
      <w:tr w:rsidR="006F587A" w14:paraId="4ACE4EF9" w14:textId="77777777">
        <w:trPr>
          <w:tblCellSpacing w:w="0" w:type="dxa"/>
        </w:trPr>
        <w:tc>
          <w:tcPr>
            <w:tcW w:w="0" w:type="auto"/>
            <w:shd w:val="clear" w:color="auto" w:fill="auto"/>
          </w:tcPr>
          <w:p w14:paraId="4ACE4EF7"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0"/>
                <w:szCs w:val="10"/>
              </w:rPr>
              <w:t>2</w:t>
            </w:r>
            <w:r>
              <w:rPr>
                <w:rFonts w:ascii="Arial" w:eastAsia="宋体" w:hAnsi="Arial" w:cs="Arial"/>
                <w:i/>
                <w:iCs/>
                <w:color w:val="333333"/>
                <w:sz w:val="16"/>
                <w:szCs w:val="16"/>
              </w:rPr>
              <w:t> </w:t>
            </w:r>
          </w:p>
        </w:tc>
        <w:tc>
          <w:tcPr>
            <w:tcW w:w="0" w:type="auto"/>
            <w:shd w:val="clear" w:color="auto" w:fill="auto"/>
          </w:tcPr>
          <w:p w14:paraId="4ACE4EF8"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6"/>
                <w:szCs w:val="16"/>
              </w:rPr>
              <w:t xml:space="preserve">Sale of equity investments and other </w:t>
            </w:r>
            <w:r>
              <w:rPr>
                <w:rFonts w:ascii="Arial" w:eastAsia="宋体" w:hAnsi="Arial" w:cs="Arial"/>
                <w:i/>
                <w:iCs/>
                <w:color w:val="333333"/>
                <w:sz w:val="16"/>
                <w:szCs w:val="16"/>
              </w:rPr>
              <w:t>includes realized gains (losses) on sales of non-marketable equity investments, our share of equity method investee gains (losses), and initial fair value adjustments recorded upon a security becoming marketable. In 2017, sales of equity investments and ot</w:t>
            </w:r>
            <w:r>
              <w:rPr>
                <w:rFonts w:ascii="Arial" w:eastAsia="宋体" w:hAnsi="Arial" w:cs="Arial"/>
                <w:i/>
                <w:iCs/>
                <w:color w:val="333333"/>
                <w:sz w:val="16"/>
                <w:szCs w:val="16"/>
              </w:rPr>
              <w:t>her also included realized gains (losses) on sales of available-for-sale equity securities, which are reflected in ongoing mark-to-market adjustments on marketable equity securities subsequent to 2017.</w:t>
            </w:r>
          </w:p>
        </w:tc>
      </w:tr>
    </w:tbl>
    <w:p w14:paraId="4ACE4EFA"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In 2019, we recognized $293 million in observable price adjustments ($202 million in observable price adjustments in 2018). </w:t>
      </w:r>
    </w:p>
    <w:p w14:paraId="4ACE4EFB"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In 2019, we also recognized impairments of $122 million on non-marketable equity securities ($132 million in 2018 and $555 million </w:t>
      </w:r>
      <w:r>
        <w:rPr>
          <w:rFonts w:ascii="Arial" w:eastAsia="宋体" w:hAnsi="Arial" w:cs="Arial"/>
          <w:color w:val="333333"/>
          <w:sz w:val="18"/>
          <w:szCs w:val="18"/>
        </w:rPr>
        <w:t>in 2017). During the second quarter of 2017, we determined we had an other-than-temporary decline in the fair value of our investment in Cloudera Inc. and recognized an impairment charge of $278 million.</w:t>
      </w:r>
    </w:p>
    <w:p w14:paraId="4ACE4EFC"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In 2019, we recognized no equity method investee los</w:t>
      </w:r>
      <w:r>
        <w:rPr>
          <w:rFonts w:ascii="Arial" w:eastAsia="宋体" w:hAnsi="Arial" w:cs="Arial"/>
          <w:color w:val="333333"/>
          <w:sz w:val="18"/>
          <w:szCs w:val="18"/>
        </w:rPr>
        <w:t>ses ($153 million in 2018 and $223 million in 2017).</w:t>
      </w:r>
    </w:p>
    <w:p w14:paraId="4ACE4EFD"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Gains and losses for our marketable and non-marketable equity securities during each period were as follows:</w:t>
      </w:r>
    </w:p>
    <w:tbl>
      <w:tblPr>
        <w:tblW w:w="4982" w:type="pct"/>
        <w:tblCellMar>
          <w:left w:w="0" w:type="dxa"/>
          <w:right w:w="0" w:type="dxa"/>
        </w:tblCellMar>
        <w:tblLook w:val="04A0" w:firstRow="1" w:lastRow="0" w:firstColumn="1" w:lastColumn="0" w:noHBand="0" w:noVBand="1"/>
      </w:tblPr>
      <w:tblGrid>
        <w:gridCol w:w="6208"/>
        <w:gridCol w:w="130"/>
        <w:gridCol w:w="141"/>
        <w:gridCol w:w="663"/>
        <w:gridCol w:w="100"/>
        <w:gridCol w:w="130"/>
        <w:gridCol w:w="141"/>
        <w:gridCol w:w="663"/>
        <w:gridCol w:w="100"/>
      </w:tblGrid>
      <w:tr w:rsidR="006F587A" w14:paraId="4ACE4EFF" w14:textId="77777777">
        <w:tc>
          <w:tcPr>
            <w:tcW w:w="0" w:type="auto"/>
            <w:gridSpan w:val="9"/>
            <w:shd w:val="clear" w:color="auto" w:fill="auto"/>
            <w:vAlign w:val="center"/>
          </w:tcPr>
          <w:p w14:paraId="4ACE4EFE" w14:textId="77777777" w:rsidR="006F587A" w:rsidRDefault="006F587A">
            <w:pPr>
              <w:rPr>
                <w:rFonts w:ascii="Times New Roman" w:hAnsi="Times New Roman"/>
                <w:sz w:val="20"/>
                <w:szCs w:val="20"/>
              </w:rPr>
            </w:pPr>
          </w:p>
        </w:tc>
      </w:tr>
      <w:tr w:rsidR="006F587A" w14:paraId="4ACE4F09" w14:textId="77777777">
        <w:tc>
          <w:tcPr>
            <w:tcW w:w="3800" w:type="pct"/>
            <w:shd w:val="clear" w:color="auto" w:fill="auto"/>
            <w:vAlign w:val="center"/>
          </w:tcPr>
          <w:p w14:paraId="4ACE4F00" w14:textId="77777777" w:rsidR="006F587A" w:rsidRDefault="006F587A">
            <w:pPr>
              <w:rPr>
                <w:rFonts w:ascii="Times New Roman" w:hAnsi="Times New Roman"/>
                <w:sz w:val="20"/>
                <w:szCs w:val="20"/>
              </w:rPr>
            </w:pPr>
          </w:p>
        </w:tc>
        <w:tc>
          <w:tcPr>
            <w:tcW w:w="50" w:type="pct"/>
            <w:shd w:val="clear" w:color="auto" w:fill="auto"/>
            <w:vAlign w:val="center"/>
          </w:tcPr>
          <w:p w14:paraId="4ACE4F01" w14:textId="77777777" w:rsidR="006F587A" w:rsidRDefault="006F587A">
            <w:pPr>
              <w:rPr>
                <w:rFonts w:ascii="Times New Roman" w:hAnsi="Times New Roman"/>
                <w:sz w:val="20"/>
                <w:szCs w:val="20"/>
              </w:rPr>
            </w:pPr>
          </w:p>
        </w:tc>
        <w:tc>
          <w:tcPr>
            <w:tcW w:w="50" w:type="pct"/>
            <w:shd w:val="clear" w:color="auto" w:fill="auto"/>
            <w:vAlign w:val="center"/>
          </w:tcPr>
          <w:p w14:paraId="4ACE4F02" w14:textId="77777777" w:rsidR="006F587A" w:rsidRDefault="006F587A">
            <w:pPr>
              <w:rPr>
                <w:rFonts w:ascii="Times New Roman" w:hAnsi="Times New Roman"/>
                <w:sz w:val="20"/>
                <w:szCs w:val="20"/>
              </w:rPr>
            </w:pPr>
          </w:p>
        </w:tc>
        <w:tc>
          <w:tcPr>
            <w:tcW w:w="450" w:type="pct"/>
            <w:shd w:val="clear" w:color="auto" w:fill="auto"/>
            <w:vAlign w:val="center"/>
          </w:tcPr>
          <w:p w14:paraId="4ACE4F03" w14:textId="77777777" w:rsidR="006F587A" w:rsidRDefault="006F587A">
            <w:pPr>
              <w:rPr>
                <w:rFonts w:ascii="Times New Roman" w:hAnsi="Times New Roman"/>
                <w:sz w:val="20"/>
                <w:szCs w:val="20"/>
              </w:rPr>
            </w:pPr>
          </w:p>
        </w:tc>
        <w:tc>
          <w:tcPr>
            <w:tcW w:w="50" w:type="pct"/>
            <w:shd w:val="clear" w:color="auto" w:fill="auto"/>
            <w:vAlign w:val="center"/>
          </w:tcPr>
          <w:p w14:paraId="4ACE4F04" w14:textId="77777777" w:rsidR="006F587A" w:rsidRDefault="006F587A">
            <w:pPr>
              <w:rPr>
                <w:rFonts w:ascii="Times New Roman" w:hAnsi="Times New Roman"/>
                <w:sz w:val="20"/>
                <w:szCs w:val="20"/>
              </w:rPr>
            </w:pPr>
          </w:p>
        </w:tc>
        <w:tc>
          <w:tcPr>
            <w:tcW w:w="50" w:type="pct"/>
            <w:shd w:val="clear" w:color="auto" w:fill="auto"/>
            <w:vAlign w:val="center"/>
          </w:tcPr>
          <w:p w14:paraId="4ACE4F05" w14:textId="77777777" w:rsidR="006F587A" w:rsidRDefault="006F587A">
            <w:pPr>
              <w:rPr>
                <w:rFonts w:ascii="Times New Roman" w:hAnsi="Times New Roman"/>
                <w:sz w:val="20"/>
                <w:szCs w:val="20"/>
              </w:rPr>
            </w:pPr>
          </w:p>
        </w:tc>
        <w:tc>
          <w:tcPr>
            <w:tcW w:w="50" w:type="pct"/>
            <w:shd w:val="clear" w:color="auto" w:fill="auto"/>
            <w:vAlign w:val="center"/>
          </w:tcPr>
          <w:p w14:paraId="4ACE4F06" w14:textId="77777777" w:rsidR="006F587A" w:rsidRDefault="006F587A">
            <w:pPr>
              <w:rPr>
                <w:rFonts w:ascii="Times New Roman" w:hAnsi="Times New Roman"/>
                <w:sz w:val="20"/>
                <w:szCs w:val="20"/>
              </w:rPr>
            </w:pPr>
          </w:p>
        </w:tc>
        <w:tc>
          <w:tcPr>
            <w:tcW w:w="450" w:type="pct"/>
            <w:shd w:val="clear" w:color="auto" w:fill="auto"/>
            <w:vAlign w:val="center"/>
          </w:tcPr>
          <w:p w14:paraId="4ACE4F07" w14:textId="77777777" w:rsidR="006F587A" w:rsidRDefault="006F587A">
            <w:pPr>
              <w:rPr>
                <w:rFonts w:ascii="Times New Roman" w:hAnsi="Times New Roman"/>
                <w:sz w:val="20"/>
                <w:szCs w:val="20"/>
              </w:rPr>
            </w:pPr>
          </w:p>
        </w:tc>
        <w:tc>
          <w:tcPr>
            <w:tcW w:w="50" w:type="pct"/>
            <w:shd w:val="clear" w:color="auto" w:fill="auto"/>
            <w:vAlign w:val="center"/>
          </w:tcPr>
          <w:p w14:paraId="4ACE4F08" w14:textId="77777777" w:rsidR="006F587A" w:rsidRDefault="006F587A">
            <w:pPr>
              <w:rPr>
                <w:rFonts w:ascii="Times New Roman" w:hAnsi="Times New Roman"/>
                <w:sz w:val="20"/>
                <w:szCs w:val="20"/>
              </w:rPr>
            </w:pPr>
          </w:p>
        </w:tc>
      </w:tr>
      <w:tr w:rsidR="006F587A" w14:paraId="4ACE4F0F"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4F0A" w14:textId="77777777" w:rsidR="006F587A" w:rsidRDefault="007B2B61">
            <w:pPr>
              <w:textAlignment w:val="bottom"/>
              <w:rPr>
                <w:rFonts w:ascii="Times New Roman" w:hAnsi="Times New Roman"/>
                <w:sz w:val="20"/>
                <w:szCs w:val="20"/>
              </w:rPr>
            </w:pPr>
            <w:r>
              <w:rPr>
                <w:rFonts w:ascii="Arial" w:eastAsia="宋体" w:hAnsi="Arial" w:cs="Arial"/>
                <w:b/>
                <w:bCs/>
                <w:color w:val="333333"/>
                <w:sz w:val="20"/>
                <w:szCs w:val="20"/>
              </w:rPr>
              <w:t>(In Millions)</w:t>
            </w:r>
          </w:p>
        </w:tc>
        <w:tc>
          <w:tcPr>
            <w:tcW w:w="0" w:type="auto"/>
            <w:shd w:val="clear" w:color="auto" w:fill="auto"/>
            <w:tcMar>
              <w:top w:w="40" w:type="dxa"/>
              <w:left w:w="40" w:type="dxa"/>
              <w:bottom w:w="40" w:type="dxa"/>
              <w:right w:w="40" w:type="dxa"/>
            </w:tcMar>
            <w:vAlign w:val="bottom"/>
          </w:tcPr>
          <w:p w14:paraId="4ACE4F0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F0C" w14:textId="77777777" w:rsidR="006F587A" w:rsidRDefault="007B2B61">
            <w:pPr>
              <w:jc w:val="center"/>
              <w:textAlignment w:val="bottom"/>
              <w:rPr>
                <w:rFonts w:ascii="Times New Roman" w:hAnsi="Times New Roman"/>
                <w:sz w:val="20"/>
                <w:szCs w:val="20"/>
              </w:rPr>
            </w:pPr>
            <w:r>
              <w:rPr>
                <w:rFonts w:ascii="Arial" w:eastAsia="宋体" w:hAnsi="Arial" w:cs="Arial"/>
                <w:b/>
                <w:bCs/>
                <w:color w:val="333333"/>
                <w:sz w:val="20"/>
                <w:szCs w:val="20"/>
              </w:rPr>
              <w:t xml:space="preserve">Dec 28, </w:t>
            </w:r>
            <w:r>
              <w:rPr>
                <w:rFonts w:ascii="Arial" w:eastAsia="宋体" w:hAnsi="Arial" w:cs="Arial"/>
                <w:b/>
                <w:bCs/>
                <w:color w:val="333333"/>
                <w:sz w:val="20"/>
                <w:szCs w:val="20"/>
              </w:rPr>
              <w:br/>
              <w:t>2019</w:t>
            </w:r>
          </w:p>
        </w:tc>
        <w:tc>
          <w:tcPr>
            <w:tcW w:w="0" w:type="auto"/>
            <w:shd w:val="clear" w:color="auto" w:fill="auto"/>
            <w:tcMar>
              <w:top w:w="40" w:type="dxa"/>
              <w:left w:w="40" w:type="dxa"/>
              <w:bottom w:w="40" w:type="dxa"/>
              <w:right w:w="40" w:type="dxa"/>
            </w:tcMar>
            <w:vAlign w:val="bottom"/>
          </w:tcPr>
          <w:p w14:paraId="4ACE4F0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F0E" w14:textId="77777777" w:rsidR="006F587A" w:rsidRDefault="007B2B61">
            <w:pPr>
              <w:jc w:val="center"/>
              <w:textAlignment w:val="bottom"/>
              <w:rPr>
                <w:rFonts w:ascii="Times New Roman" w:hAnsi="Times New Roman"/>
                <w:sz w:val="20"/>
                <w:szCs w:val="20"/>
              </w:rPr>
            </w:pPr>
            <w:r>
              <w:rPr>
                <w:rFonts w:ascii="Arial" w:eastAsia="宋体" w:hAnsi="Arial" w:cs="Arial"/>
                <w:b/>
                <w:bCs/>
                <w:color w:val="333333"/>
                <w:sz w:val="20"/>
                <w:szCs w:val="20"/>
              </w:rPr>
              <w:t xml:space="preserve">Dec 29, </w:t>
            </w:r>
            <w:r>
              <w:rPr>
                <w:rFonts w:ascii="Arial" w:eastAsia="宋体" w:hAnsi="Arial" w:cs="Arial"/>
                <w:b/>
                <w:bCs/>
                <w:color w:val="333333"/>
                <w:sz w:val="20"/>
                <w:szCs w:val="20"/>
              </w:rPr>
              <w:br/>
              <w:t>2018</w:t>
            </w:r>
          </w:p>
        </w:tc>
      </w:tr>
      <w:tr w:rsidR="006F587A" w14:paraId="4ACE4F19" w14:textId="77777777">
        <w:tc>
          <w:tcPr>
            <w:tcW w:w="0" w:type="auto"/>
            <w:shd w:val="clear" w:color="auto" w:fill="auto"/>
            <w:tcMar>
              <w:top w:w="40" w:type="dxa"/>
              <w:left w:w="40" w:type="dxa"/>
              <w:bottom w:w="40" w:type="dxa"/>
              <w:right w:w="40" w:type="dxa"/>
            </w:tcMar>
            <w:vAlign w:val="bottom"/>
          </w:tcPr>
          <w:p w14:paraId="4ACE4F1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Net gains (losses) </w:t>
            </w:r>
            <w:r>
              <w:rPr>
                <w:rFonts w:ascii="Arial" w:eastAsia="宋体" w:hAnsi="Arial" w:cs="Arial"/>
                <w:color w:val="333333"/>
                <w:sz w:val="18"/>
                <w:szCs w:val="18"/>
              </w:rPr>
              <w:t>recognized during the period on equity securities</w:t>
            </w:r>
          </w:p>
        </w:tc>
        <w:tc>
          <w:tcPr>
            <w:tcW w:w="0" w:type="auto"/>
            <w:shd w:val="clear" w:color="auto" w:fill="auto"/>
            <w:tcMar>
              <w:top w:w="40" w:type="dxa"/>
              <w:left w:w="40" w:type="dxa"/>
              <w:bottom w:w="40" w:type="dxa"/>
              <w:right w:w="40" w:type="dxa"/>
            </w:tcMar>
            <w:vAlign w:val="bottom"/>
          </w:tcPr>
          <w:p w14:paraId="4ACE4F1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F12"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4F1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734</w:t>
            </w:r>
          </w:p>
        </w:tc>
        <w:tc>
          <w:tcPr>
            <w:tcW w:w="0" w:type="auto"/>
            <w:shd w:val="clear" w:color="auto" w:fill="auto"/>
            <w:vAlign w:val="bottom"/>
          </w:tcPr>
          <w:p w14:paraId="4ACE4F1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F1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4F1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4F1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298</w:t>
            </w:r>
          </w:p>
        </w:tc>
        <w:tc>
          <w:tcPr>
            <w:tcW w:w="0" w:type="auto"/>
            <w:shd w:val="clear" w:color="auto" w:fill="auto"/>
            <w:vAlign w:val="bottom"/>
          </w:tcPr>
          <w:p w14:paraId="4ACE4F18" w14:textId="77777777" w:rsidR="006F587A" w:rsidRDefault="006F587A">
            <w:pPr>
              <w:textAlignment w:val="bottom"/>
              <w:rPr>
                <w:rFonts w:ascii="Times New Roman" w:hAnsi="Times New Roman"/>
                <w:sz w:val="20"/>
                <w:szCs w:val="20"/>
              </w:rPr>
            </w:pPr>
          </w:p>
        </w:tc>
      </w:tr>
      <w:tr w:rsidR="006F587A" w14:paraId="4ACE4F21" w14:textId="77777777">
        <w:tc>
          <w:tcPr>
            <w:tcW w:w="0" w:type="auto"/>
            <w:shd w:val="clear" w:color="auto" w:fill="auto"/>
            <w:tcMar>
              <w:top w:w="40" w:type="dxa"/>
              <w:left w:w="40" w:type="dxa"/>
              <w:bottom w:w="40" w:type="dxa"/>
              <w:right w:w="40" w:type="dxa"/>
            </w:tcMar>
            <w:vAlign w:val="bottom"/>
          </w:tcPr>
          <w:p w14:paraId="4ACE4F1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Less: Net (gains) losses recognized during the period on equity securities sold during the period</w:t>
            </w:r>
          </w:p>
        </w:tc>
        <w:tc>
          <w:tcPr>
            <w:tcW w:w="0" w:type="auto"/>
            <w:shd w:val="clear" w:color="auto" w:fill="auto"/>
            <w:tcMar>
              <w:top w:w="40" w:type="dxa"/>
              <w:left w:w="40" w:type="dxa"/>
              <w:bottom w:w="40" w:type="dxa"/>
              <w:right w:w="40" w:type="dxa"/>
            </w:tcMar>
            <w:vAlign w:val="bottom"/>
          </w:tcPr>
          <w:p w14:paraId="4ACE4F1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F1C"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(424</w:t>
            </w:r>
          </w:p>
        </w:tc>
        <w:tc>
          <w:tcPr>
            <w:tcW w:w="0" w:type="auto"/>
            <w:shd w:val="clear" w:color="auto" w:fill="auto"/>
            <w:tcMar>
              <w:top w:w="40" w:type="dxa"/>
              <w:bottom w:w="40" w:type="dxa"/>
              <w:right w:w="40" w:type="dxa"/>
            </w:tcMar>
            <w:vAlign w:val="bottom"/>
          </w:tcPr>
          <w:p w14:paraId="4ACE4F1D"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4F1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F1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(445</w:t>
            </w:r>
          </w:p>
        </w:tc>
        <w:tc>
          <w:tcPr>
            <w:tcW w:w="0" w:type="auto"/>
            <w:shd w:val="clear" w:color="auto" w:fill="auto"/>
            <w:tcMar>
              <w:top w:w="40" w:type="dxa"/>
              <w:bottom w:w="40" w:type="dxa"/>
              <w:right w:w="40" w:type="dxa"/>
            </w:tcMar>
            <w:vAlign w:val="bottom"/>
          </w:tcPr>
          <w:p w14:paraId="4ACE4F2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4F2B" w14:textId="77777777">
        <w:tc>
          <w:tcPr>
            <w:tcW w:w="0" w:type="auto"/>
            <w:shd w:val="clear" w:color="auto" w:fill="auto"/>
            <w:tcMar>
              <w:top w:w="40" w:type="dxa"/>
              <w:left w:w="40" w:type="dxa"/>
              <w:bottom w:w="40" w:type="dxa"/>
              <w:right w:w="40" w:type="dxa"/>
            </w:tcMar>
            <w:vAlign w:val="bottom"/>
          </w:tcPr>
          <w:p w14:paraId="4ACE4F22" w14:textId="77777777" w:rsidR="006F587A" w:rsidRDefault="007B2B61">
            <w:pPr>
              <w:ind w:hanging="240"/>
              <w:textAlignment w:val="bottom"/>
              <w:rPr>
                <w:rFonts w:ascii="Times New Roman" w:hAnsi="Times New Roman"/>
                <w:sz w:val="18"/>
                <w:szCs w:val="18"/>
              </w:rPr>
            </w:pPr>
            <w:r>
              <w:rPr>
                <w:rFonts w:ascii="Arial" w:eastAsia="宋体" w:hAnsi="Arial" w:cs="Arial"/>
                <w:b/>
                <w:bCs/>
                <w:color w:val="333333"/>
                <w:sz w:val="18"/>
                <w:szCs w:val="18"/>
              </w:rPr>
              <w:t xml:space="preserve">Unrealized gains (losses) recognized during the period on equity </w:t>
            </w:r>
            <w:r>
              <w:rPr>
                <w:rFonts w:ascii="Arial" w:eastAsia="宋体" w:hAnsi="Arial" w:cs="Arial"/>
                <w:b/>
                <w:bCs/>
                <w:color w:val="333333"/>
                <w:sz w:val="18"/>
                <w:szCs w:val="18"/>
              </w:rPr>
              <w:t>securities still held at the reporting date</w:t>
            </w:r>
          </w:p>
        </w:tc>
        <w:tc>
          <w:tcPr>
            <w:tcW w:w="0" w:type="auto"/>
            <w:shd w:val="clear" w:color="auto" w:fill="auto"/>
            <w:tcMar>
              <w:top w:w="40" w:type="dxa"/>
              <w:left w:w="40" w:type="dxa"/>
              <w:bottom w:w="40" w:type="dxa"/>
              <w:right w:w="40" w:type="dxa"/>
            </w:tcMar>
            <w:vAlign w:val="bottom"/>
          </w:tcPr>
          <w:p w14:paraId="4ACE4F2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F24"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F25"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310</w:t>
            </w:r>
          </w:p>
        </w:tc>
        <w:tc>
          <w:tcPr>
            <w:tcW w:w="0" w:type="auto"/>
            <w:tcBorders>
              <w:top w:val="single" w:sz="8" w:space="0" w:color="333333"/>
              <w:bottom w:val="double" w:sz="6" w:space="0" w:color="333333"/>
            </w:tcBorders>
            <w:shd w:val="clear" w:color="auto" w:fill="auto"/>
            <w:vAlign w:val="bottom"/>
          </w:tcPr>
          <w:p w14:paraId="4ACE4F2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F2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4F28"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4F29"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(147</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4ACE4F2A"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r>
    </w:tbl>
    <w:p w14:paraId="4ACE4F2C" w14:textId="77777777" w:rsidR="006F587A" w:rsidRDefault="006F587A">
      <w:pPr>
        <w:spacing w:line="288" w:lineRule="auto"/>
        <w:rPr>
          <w:rFonts w:ascii="Times New Roman" w:hAnsi="Times New Roman"/>
          <w:sz w:val="20"/>
          <w:szCs w:val="20"/>
        </w:rPr>
      </w:pPr>
    </w:p>
    <w:p w14:paraId="4ACE4F2D" w14:textId="77777777" w:rsidR="006F587A" w:rsidRDefault="007B2B61">
      <w:pPr>
        <w:spacing w:line="288" w:lineRule="auto"/>
        <w:rPr>
          <w:rFonts w:ascii="Times New Roman" w:hAnsi="Times New Roman"/>
          <w:sz w:val="20"/>
          <w:szCs w:val="20"/>
        </w:rPr>
      </w:pPr>
      <w:r>
        <w:rPr>
          <w:rFonts w:ascii="Arial" w:eastAsia="宋体" w:hAnsi="Arial" w:cs="Arial"/>
          <w:b/>
          <w:bCs/>
          <w:color w:val="333333"/>
          <w:sz w:val="20"/>
          <w:szCs w:val="20"/>
        </w:rPr>
        <w:t>ASML</w:t>
      </w:r>
    </w:p>
    <w:p w14:paraId="4ACE4F2E"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As of December 29, 2018, Intel owned $1.1 billion of shares in ASML, all of which we sold in 2019. During 2017, we recognized $3.4 billion in realized gains on sales of a portion of our interest in ASML. </w:t>
      </w:r>
    </w:p>
    <w:p w14:paraId="4ACE4F2F"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4F31" w14:textId="77777777">
        <w:tc>
          <w:tcPr>
            <w:tcW w:w="0" w:type="auto"/>
            <w:gridSpan w:val="3"/>
            <w:shd w:val="clear" w:color="auto" w:fill="auto"/>
            <w:vAlign w:val="center"/>
          </w:tcPr>
          <w:p w14:paraId="4ACE4F30" w14:textId="77777777" w:rsidR="006F587A" w:rsidRDefault="006F587A">
            <w:pPr>
              <w:rPr>
                <w:rFonts w:ascii="Times New Roman" w:hAnsi="Times New Roman"/>
                <w:sz w:val="20"/>
                <w:szCs w:val="20"/>
              </w:rPr>
            </w:pPr>
          </w:p>
        </w:tc>
      </w:tr>
      <w:tr w:rsidR="006F587A" w14:paraId="4ACE4F35" w14:textId="77777777">
        <w:tc>
          <w:tcPr>
            <w:tcW w:w="1300" w:type="pct"/>
            <w:shd w:val="clear" w:color="auto" w:fill="auto"/>
            <w:vAlign w:val="center"/>
          </w:tcPr>
          <w:p w14:paraId="4ACE4F32" w14:textId="77777777" w:rsidR="006F587A" w:rsidRDefault="006F587A">
            <w:pPr>
              <w:rPr>
                <w:rFonts w:ascii="Times New Roman" w:hAnsi="Times New Roman"/>
                <w:sz w:val="20"/>
                <w:szCs w:val="20"/>
              </w:rPr>
            </w:pPr>
          </w:p>
        </w:tc>
        <w:tc>
          <w:tcPr>
            <w:tcW w:w="1600" w:type="pct"/>
            <w:shd w:val="clear" w:color="auto" w:fill="auto"/>
            <w:vAlign w:val="center"/>
          </w:tcPr>
          <w:p w14:paraId="4ACE4F33" w14:textId="77777777" w:rsidR="006F587A" w:rsidRDefault="006F587A">
            <w:pPr>
              <w:rPr>
                <w:rFonts w:ascii="Times New Roman" w:hAnsi="Times New Roman"/>
                <w:sz w:val="20"/>
                <w:szCs w:val="20"/>
              </w:rPr>
            </w:pPr>
          </w:p>
        </w:tc>
        <w:tc>
          <w:tcPr>
            <w:tcW w:w="2100" w:type="pct"/>
            <w:shd w:val="clear" w:color="auto" w:fill="auto"/>
            <w:vAlign w:val="center"/>
          </w:tcPr>
          <w:p w14:paraId="4ACE4F34" w14:textId="77777777" w:rsidR="006F587A" w:rsidRDefault="006F587A">
            <w:pPr>
              <w:rPr>
                <w:rFonts w:ascii="Times New Roman" w:hAnsi="Times New Roman"/>
                <w:sz w:val="20"/>
                <w:szCs w:val="20"/>
              </w:rPr>
            </w:pPr>
          </w:p>
        </w:tc>
      </w:tr>
      <w:tr w:rsidR="006F587A" w14:paraId="4ACE4F39" w14:textId="77777777">
        <w:tc>
          <w:tcPr>
            <w:tcW w:w="0" w:type="auto"/>
            <w:tcBorders>
              <w:top w:val="single" w:sz="8" w:space="0" w:color="0071C5"/>
            </w:tcBorders>
            <w:shd w:val="clear" w:color="auto" w:fill="auto"/>
            <w:tcMar>
              <w:top w:w="40" w:type="dxa"/>
              <w:left w:w="40" w:type="dxa"/>
              <w:bottom w:w="40" w:type="dxa"/>
              <w:right w:w="40" w:type="dxa"/>
            </w:tcMar>
            <w:vAlign w:val="bottom"/>
          </w:tcPr>
          <w:p w14:paraId="4ACE4F36" w14:textId="77777777" w:rsidR="006F587A" w:rsidRDefault="007B2B61">
            <w:pPr>
              <w:textAlignment w:val="bottom"/>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F6" wp14:editId="4ACE6DF7">
                  <wp:extent cx="304800" cy="304800"/>
                  <wp:effectExtent l="0" t="0" r="0" b="0"/>
                  <wp:docPr id="262" name="图片 318"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318"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left w:val="single" w:sz="36" w:space="0" w:color="0071C5"/>
            </w:tcBorders>
            <w:shd w:val="clear" w:color="auto" w:fill="auto"/>
            <w:tcMar>
              <w:top w:w="40" w:type="dxa"/>
              <w:left w:w="40" w:type="dxa"/>
              <w:bottom w:w="40" w:type="dxa"/>
              <w:right w:w="40" w:type="dxa"/>
            </w:tcMar>
            <w:vAlign w:val="bottom"/>
          </w:tcPr>
          <w:p w14:paraId="4ACE4F37" w14:textId="77777777" w:rsidR="006F587A" w:rsidRDefault="007B2B61">
            <w:pPr>
              <w:textAlignment w:val="bottom"/>
              <w:rPr>
                <w:rFonts w:ascii="Times New Roman" w:hAnsi="Times New Roman"/>
                <w:sz w:val="16"/>
                <w:szCs w:val="16"/>
              </w:rPr>
            </w:pPr>
            <w:r>
              <w:rPr>
                <w:rFonts w:ascii="Arial" w:eastAsia="宋体" w:hAnsi="Arial" w:cs="Arial"/>
                <w:color w:val="333333"/>
                <w:sz w:val="16"/>
                <w:szCs w:val="16"/>
              </w:rPr>
              <w:t> Notes to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4F38"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90</w:t>
            </w:r>
          </w:p>
        </w:tc>
      </w:tr>
    </w:tbl>
    <w:p w14:paraId="4ACE4F3A" w14:textId="77777777" w:rsidR="006F587A" w:rsidRDefault="007B2B61">
      <w:r>
        <w:pict w14:anchorId="4ACE6DF8">
          <v:rect id="_x0000_i1116" style="width:415.3pt;height:1.5pt" o:hralign="center" o:hrstd="t" o:hr="t" fillcolor="#a0a0a0" stroked="f"/>
        </w:pict>
      </w:r>
    </w:p>
    <w:p w14:paraId="4ACE4F3B" w14:textId="77777777" w:rsidR="006F587A" w:rsidRDefault="007B2B61">
      <w:pPr>
        <w:spacing w:line="288" w:lineRule="auto"/>
        <w:jc w:val="right"/>
        <w:rPr>
          <w:rFonts w:ascii="Times New Roman" w:hAnsi="Times New Roman"/>
          <w:sz w:val="16"/>
          <w:szCs w:val="16"/>
        </w:rPr>
      </w:pPr>
      <w:hyperlink r:id="rId155" w:anchor="s9DB683E2CF52561EB8A73BE37F5BF9BE" w:history="1">
        <w:r>
          <w:rPr>
            <w:rStyle w:val="a5"/>
            <w:rFonts w:ascii="Arial" w:eastAsia="宋体" w:hAnsi="Arial" w:cs="Arial"/>
            <w:b/>
            <w:bCs/>
            <w:sz w:val="16"/>
            <w:szCs w:val="16"/>
          </w:rPr>
          <w:t>Table of Contents</w:t>
        </w:r>
      </w:hyperlink>
    </w:p>
    <w:p w14:paraId="4ACE4F3C" w14:textId="77777777" w:rsidR="006F587A" w:rsidRDefault="006F587A">
      <w:pPr>
        <w:spacing w:line="288" w:lineRule="auto"/>
        <w:jc w:val="right"/>
        <w:rPr>
          <w:rFonts w:ascii="Times New Roman" w:hAnsi="Times New Roman"/>
          <w:sz w:val="16"/>
          <w:szCs w:val="16"/>
        </w:rPr>
      </w:pPr>
    </w:p>
    <w:p w14:paraId="4ACE4F3D" w14:textId="77777777" w:rsidR="006F587A" w:rsidRDefault="006F587A">
      <w:pPr>
        <w:rPr>
          <w:rFonts w:ascii="Times New Roman" w:hAnsi="Times New Roman"/>
          <w:sz w:val="20"/>
          <w:szCs w:val="20"/>
        </w:rPr>
      </w:pPr>
    </w:p>
    <w:p w14:paraId="4ACE4F3E" w14:textId="77777777" w:rsidR="006F587A" w:rsidRDefault="007B2B61">
      <w:pPr>
        <w:spacing w:line="288" w:lineRule="auto"/>
        <w:rPr>
          <w:rFonts w:ascii="Times New Roman" w:hAnsi="Times New Roman"/>
          <w:sz w:val="20"/>
          <w:szCs w:val="20"/>
        </w:rPr>
      </w:pPr>
      <w:r>
        <w:rPr>
          <w:rFonts w:ascii="Arial" w:eastAsia="宋体" w:hAnsi="Arial" w:cs="Arial"/>
          <w:b/>
          <w:bCs/>
          <w:color w:val="333333"/>
          <w:sz w:val="20"/>
          <w:szCs w:val="20"/>
        </w:rPr>
        <w:t>IMFT</w:t>
      </w:r>
    </w:p>
    <w:p w14:paraId="4ACE4F3F"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IMFT was formed in 2006 by Micron and Intel to jointly develop NAND fl</w:t>
      </w:r>
      <w:r>
        <w:rPr>
          <w:rFonts w:ascii="Arial" w:eastAsia="宋体" w:hAnsi="Arial" w:cs="Arial"/>
          <w:color w:val="333333"/>
          <w:sz w:val="18"/>
          <w:szCs w:val="18"/>
        </w:rPr>
        <w:t>ash memory and 3D XPoint™ technology products. IMFT was an unconsolidated variable interest entity and all costs of IMFT were passed on to Micron and Intel through sale of products or services in proportional share of ownership. IMFT depended on Micron and</w:t>
      </w:r>
      <w:r>
        <w:rPr>
          <w:rFonts w:ascii="Arial" w:eastAsia="宋体" w:hAnsi="Arial" w:cs="Arial"/>
          <w:color w:val="333333"/>
          <w:sz w:val="18"/>
          <w:szCs w:val="18"/>
        </w:rPr>
        <w:t xml:space="preserve"> Intel for any additional cash needs to be provided in the form of cash calls or MDF. During the third quarter of 2018, we recognized an impairment charge of $290 million related to IMFT. As of December 29, 2018, we had a carrying value of $1.6 billion in </w:t>
      </w:r>
      <w:r>
        <w:rPr>
          <w:rFonts w:ascii="Arial" w:eastAsia="宋体" w:hAnsi="Arial" w:cs="Arial"/>
          <w:color w:val="333333"/>
          <w:sz w:val="18"/>
          <w:szCs w:val="18"/>
        </w:rPr>
        <w:t xml:space="preserve">IMFT and owned a 49% </w:t>
      </w:r>
      <w:r>
        <w:rPr>
          <w:rFonts w:ascii="Arial" w:eastAsia="宋体" w:hAnsi="Arial" w:cs="Arial"/>
          <w:color w:val="333333"/>
          <w:sz w:val="18"/>
          <w:szCs w:val="18"/>
        </w:rPr>
        <w:lastRenderedPageBreak/>
        <w:t>interest in the entity. Our proportional share of IMFT costs was approximately $550 million in 2019 (approximately $494 million in 2018 and $415 million in 2017).</w:t>
      </w:r>
    </w:p>
    <w:p w14:paraId="4ACE4F40"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In January 2019, Micron exercised its right to call our interest in IMFT and on October 31, 2019, Intel sold its non-controlling interest in IMFT to Micron. With the sale of our interest in IMFT and MDF repayment throughout the year, we received $1.7 billi</w:t>
      </w:r>
      <w:r>
        <w:rPr>
          <w:rFonts w:ascii="Arial" w:eastAsia="宋体" w:hAnsi="Arial" w:cs="Arial"/>
          <w:color w:val="333333"/>
          <w:sz w:val="18"/>
          <w:szCs w:val="18"/>
        </w:rPr>
        <w:t xml:space="preserve">on in cash proceeds during 2019. With the sale of our interest, we reported a gain of $107 million in the fourth quarter of 2019. We will continue to purchase products manufactured by Micron at the IMFT facility under established supply agreements. </w:t>
      </w:r>
    </w:p>
    <w:p w14:paraId="4ACE4F41" w14:textId="77777777" w:rsidR="006F587A" w:rsidRDefault="007B2B61">
      <w:pPr>
        <w:spacing w:line="288" w:lineRule="auto"/>
        <w:rPr>
          <w:rFonts w:ascii="Times New Roman" w:hAnsi="Times New Roman"/>
          <w:sz w:val="20"/>
          <w:szCs w:val="20"/>
        </w:rPr>
      </w:pPr>
      <w:r>
        <w:rPr>
          <w:rFonts w:ascii="Arial" w:eastAsia="宋体" w:hAnsi="Arial" w:cs="Arial"/>
          <w:b/>
          <w:bCs/>
          <w:color w:val="333333"/>
          <w:sz w:val="20"/>
          <w:szCs w:val="20"/>
        </w:rPr>
        <w:t>McAfee</w:t>
      </w:r>
    </w:p>
    <w:p w14:paraId="4ACE4F42"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During the second quarter of 2017, we closed our divestiture of the ISecG business and retained a</w:t>
      </w:r>
      <w:r>
        <w:rPr>
          <w:rFonts w:ascii="Arial" w:eastAsia="宋体" w:hAnsi="Arial" w:cs="Arial"/>
          <w:b/>
          <w:bCs/>
          <w:color w:val="333333"/>
          <w:sz w:val="18"/>
          <w:szCs w:val="18"/>
        </w:rPr>
        <w:t xml:space="preserve"> </w:t>
      </w:r>
      <w:r>
        <w:rPr>
          <w:rFonts w:ascii="Arial" w:eastAsia="宋体" w:hAnsi="Arial" w:cs="Arial"/>
          <w:color w:val="333333"/>
          <w:sz w:val="18"/>
          <w:szCs w:val="18"/>
        </w:rPr>
        <w:t>49% interest in McAfee as partial consideration. Our investment is accounted for under the equity method of accounting. During 2019, we received $632 million</w:t>
      </w:r>
      <w:r>
        <w:rPr>
          <w:rFonts w:ascii="Arial" w:eastAsia="宋体" w:hAnsi="Arial" w:cs="Arial"/>
          <w:color w:val="333333"/>
          <w:sz w:val="18"/>
          <w:szCs w:val="18"/>
        </w:rPr>
        <w:t xml:space="preserve"> in dividend distributions from McAfee. During 2017, we received $735 million in dividend distributions from McAfee. As of December 28, 2019, we had no accounting carrying value in McAfee. For further information related to the divestiture of the ISecG bus</w:t>
      </w:r>
      <w:r>
        <w:rPr>
          <w:rFonts w:ascii="Arial" w:eastAsia="宋体" w:hAnsi="Arial" w:cs="Arial"/>
          <w:color w:val="333333"/>
          <w:sz w:val="18"/>
          <w:szCs w:val="18"/>
        </w:rPr>
        <w:t>iness, see "Note 11: Acquisitions and Divestitures."</w:t>
      </w:r>
    </w:p>
    <w:p w14:paraId="4ACE4F43" w14:textId="77777777" w:rsidR="006F587A" w:rsidRDefault="007B2B61">
      <w:pPr>
        <w:spacing w:line="288" w:lineRule="auto"/>
        <w:rPr>
          <w:rFonts w:ascii="Times New Roman" w:hAnsi="Times New Roman"/>
          <w:sz w:val="20"/>
          <w:szCs w:val="20"/>
        </w:rPr>
      </w:pPr>
      <w:r>
        <w:rPr>
          <w:rFonts w:ascii="Arial" w:eastAsia="宋体" w:hAnsi="Arial" w:cs="Arial"/>
          <w:b/>
          <w:bCs/>
          <w:color w:val="333333"/>
          <w:sz w:val="20"/>
          <w:szCs w:val="20"/>
        </w:rPr>
        <w:t>Beijing Unisoc Technology Ltd. (Unisoc</w:t>
      </w:r>
      <w:r>
        <w:rPr>
          <w:rFonts w:ascii="Arial" w:eastAsia="宋体" w:hAnsi="Arial" w:cs="Arial"/>
          <w:b/>
          <w:bCs/>
          <w:color w:val="333333"/>
          <w:sz w:val="18"/>
          <w:szCs w:val="18"/>
        </w:rPr>
        <w:t>)</w:t>
      </w:r>
    </w:p>
    <w:p w14:paraId="4ACE4F44"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During 2015, we invested $966 million for a minority stake of Beijing UniSpreadtrum Technology Ltd., a holding company under Tsinghua Unigroup Ltd. During 2017, we</w:t>
      </w:r>
      <w:r>
        <w:rPr>
          <w:rFonts w:ascii="Arial" w:eastAsia="宋体" w:hAnsi="Arial" w:cs="Arial"/>
          <w:color w:val="333333"/>
          <w:sz w:val="18"/>
          <w:szCs w:val="18"/>
        </w:rPr>
        <w:t xml:space="preserve"> reduced our expectation of the company's future operating performance due to competitive pressures, which resulted in an impairment charge of $308 million. Beijing UniSpreadtrum Technology Ltd. and RDA Microelectronics subsequently merged and rebranded th</w:t>
      </w:r>
      <w:r>
        <w:rPr>
          <w:rFonts w:ascii="Arial" w:eastAsia="宋体" w:hAnsi="Arial" w:cs="Arial"/>
          <w:color w:val="333333"/>
          <w:sz w:val="18"/>
          <w:szCs w:val="18"/>
        </w:rPr>
        <w:t>emselves as Unisoc. We account for our interest in Unisoc as a non-marketable equity security. The second phase of the investment required additional funding of approximately $500 million. However, as of October 2019, this obligation has been terminated by</w:t>
      </w:r>
      <w:r>
        <w:rPr>
          <w:rFonts w:ascii="Arial" w:eastAsia="宋体" w:hAnsi="Arial" w:cs="Arial"/>
          <w:color w:val="333333"/>
          <w:sz w:val="18"/>
          <w:szCs w:val="18"/>
        </w:rPr>
        <w:t xml:space="preserve"> mutual agreement. </w:t>
      </w:r>
    </w:p>
    <w:tbl>
      <w:tblPr>
        <w:tblW w:w="5000" w:type="pct"/>
        <w:tblCellMar>
          <w:left w:w="0" w:type="dxa"/>
          <w:right w:w="0" w:type="dxa"/>
        </w:tblCellMar>
        <w:tblLook w:val="04A0" w:firstRow="1" w:lastRow="0" w:firstColumn="1" w:lastColumn="0" w:noHBand="0" w:noVBand="1"/>
      </w:tblPr>
      <w:tblGrid>
        <w:gridCol w:w="1080"/>
        <w:gridCol w:w="7226"/>
      </w:tblGrid>
      <w:tr w:rsidR="006F587A" w14:paraId="4ACE4F46" w14:textId="77777777">
        <w:tc>
          <w:tcPr>
            <w:tcW w:w="0" w:type="auto"/>
            <w:gridSpan w:val="2"/>
            <w:shd w:val="clear" w:color="auto" w:fill="auto"/>
            <w:vAlign w:val="center"/>
          </w:tcPr>
          <w:p w14:paraId="4ACE4F45" w14:textId="77777777" w:rsidR="006F587A" w:rsidRDefault="006F587A">
            <w:pPr>
              <w:rPr>
                <w:rFonts w:ascii="Times New Roman" w:hAnsi="Times New Roman"/>
                <w:sz w:val="20"/>
                <w:szCs w:val="20"/>
              </w:rPr>
            </w:pPr>
          </w:p>
        </w:tc>
      </w:tr>
      <w:tr w:rsidR="006F587A" w14:paraId="4ACE4F49" w14:textId="77777777">
        <w:tc>
          <w:tcPr>
            <w:tcW w:w="650" w:type="pct"/>
            <w:shd w:val="clear" w:color="auto" w:fill="auto"/>
            <w:vAlign w:val="center"/>
          </w:tcPr>
          <w:p w14:paraId="4ACE4F47" w14:textId="77777777" w:rsidR="006F587A" w:rsidRDefault="006F587A">
            <w:pPr>
              <w:rPr>
                <w:rFonts w:ascii="Times New Roman" w:hAnsi="Times New Roman"/>
                <w:sz w:val="20"/>
                <w:szCs w:val="20"/>
              </w:rPr>
            </w:pPr>
          </w:p>
        </w:tc>
        <w:tc>
          <w:tcPr>
            <w:tcW w:w="4350" w:type="pct"/>
            <w:shd w:val="clear" w:color="auto" w:fill="auto"/>
            <w:vAlign w:val="center"/>
          </w:tcPr>
          <w:p w14:paraId="4ACE4F48" w14:textId="77777777" w:rsidR="006F587A" w:rsidRDefault="006F587A">
            <w:pPr>
              <w:rPr>
                <w:rFonts w:ascii="Times New Roman" w:hAnsi="Times New Roman"/>
                <w:sz w:val="20"/>
                <w:szCs w:val="20"/>
              </w:rPr>
            </w:pPr>
          </w:p>
        </w:tc>
      </w:tr>
      <w:tr w:rsidR="006F587A" w14:paraId="4ACE4F4C" w14:textId="77777777">
        <w:tc>
          <w:tcPr>
            <w:tcW w:w="0" w:type="auto"/>
            <w:tcBorders>
              <w:bottom w:val="single" w:sz="8" w:space="0" w:color="0071C5"/>
            </w:tcBorders>
            <w:shd w:val="clear" w:color="auto" w:fill="0071C5"/>
            <w:tcMar>
              <w:top w:w="40" w:type="dxa"/>
              <w:left w:w="40" w:type="dxa"/>
              <w:bottom w:w="40" w:type="dxa"/>
              <w:right w:w="40" w:type="dxa"/>
            </w:tcMar>
            <w:vAlign w:val="bottom"/>
          </w:tcPr>
          <w:p w14:paraId="4ACE4F4A" w14:textId="77777777" w:rsidR="006F587A" w:rsidRDefault="007B2B61">
            <w:pPr>
              <w:textAlignment w:val="bottom"/>
              <w:rPr>
                <w:rFonts w:ascii="Times New Roman" w:hAnsi="Times New Roman"/>
                <w:sz w:val="28"/>
                <w:szCs w:val="28"/>
              </w:rPr>
            </w:pPr>
            <w:r>
              <w:rPr>
                <w:rFonts w:ascii="Arial" w:eastAsia="宋体" w:hAnsi="Arial" w:cs="Arial"/>
                <w:b/>
                <w:bCs/>
                <w:color w:val="FFFFFF"/>
                <w:sz w:val="28"/>
                <w:szCs w:val="28"/>
                <w:shd w:val="clear" w:color="auto" w:fill="0071C5"/>
              </w:rPr>
              <w:t xml:space="preserve">NOTE 11 : </w:t>
            </w:r>
          </w:p>
        </w:tc>
        <w:tc>
          <w:tcPr>
            <w:tcW w:w="0" w:type="auto"/>
            <w:tcBorders>
              <w:bottom w:val="single" w:sz="8" w:space="0" w:color="0071C5"/>
            </w:tcBorders>
            <w:shd w:val="clear" w:color="auto" w:fill="auto"/>
            <w:tcMar>
              <w:top w:w="40" w:type="dxa"/>
              <w:left w:w="40" w:type="dxa"/>
              <w:bottom w:w="40" w:type="dxa"/>
              <w:right w:w="40" w:type="dxa"/>
            </w:tcMar>
            <w:vAlign w:val="bottom"/>
          </w:tcPr>
          <w:p w14:paraId="4ACE4F4B" w14:textId="77777777" w:rsidR="006F587A" w:rsidRDefault="007B2B61">
            <w:pPr>
              <w:textAlignment w:val="bottom"/>
              <w:rPr>
                <w:rFonts w:ascii="Times New Roman" w:hAnsi="Times New Roman"/>
                <w:sz w:val="28"/>
                <w:szCs w:val="28"/>
              </w:rPr>
            </w:pPr>
            <w:r>
              <w:rPr>
                <w:rFonts w:ascii="Arial" w:eastAsia="宋体" w:hAnsi="Arial" w:cs="Arial"/>
                <w:b/>
                <w:bCs/>
                <w:color w:val="0071C5"/>
                <w:sz w:val="28"/>
                <w:szCs w:val="28"/>
              </w:rPr>
              <w:t>ACQUISITIONS AND DIVESTITURES</w:t>
            </w:r>
          </w:p>
        </w:tc>
      </w:tr>
    </w:tbl>
    <w:p w14:paraId="4ACE4F4D" w14:textId="77777777" w:rsidR="006F587A" w:rsidRDefault="006F587A">
      <w:pPr>
        <w:spacing w:line="288" w:lineRule="auto"/>
        <w:rPr>
          <w:rFonts w:ascii="Times New Roman" w:hAnsi="Times New Roman"/>
          <w:sz w:val="28"/>
          <w:szCs w:val="28"/>
        </w:rPr>
      </w:pPr>
    </w:p>
    <w:p w14:paraId="4ACE4F4E" w14:textId="77777777" w:rsidR="006F587A" w:rsidRDefault="007B2B61">
      <w:pPr>
        <w:spacing w:line="288" w:lineRule="auto"/>
        <w:rPr>
          <w:rFonts w:ascii="Times New Roman" w:hAnsi="Times New Roman"/>
        </w:rPr>
      </w:pPr>
      <w:r>
        <w:rPr>
          <w:rFonts w:ascii="Arial" w:eastAsia="宋体" w:hAnsi="Arial" w:cs="Arial"/>
          <w:b/>
          <w:bCs/>
          <w:color w:val="0071C5"/>
        </w:rPr>
        <w:t>ACQUISITIONS</w:t>
      </w:r>
    </w:p>
    <w:p w14:paraId="4ACE4F4F"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We completed five acquisitions in both 2019 and 2018, all of which qualified as business combinations. Except for the acquisition of Habana Labs, these </w:t>
      </w:r>
      <w:r>
        <w:rPr>
          <w:rFonts w:ascii="Arial" w:eastAsia="宋体" w:hAnsi="Arial" w:cs="Arial"/>
          <w:color w:val="333333"/>
          <w:sz w:val="18"/>
          <w:szCs w:val="18"/>
        </w:rPr>
        <w:t>acquisitions are not significant to our results of operations, individually or in the aggregate. The consideration for the acquisitions in 2019 and 2018 primarily consisted of cash and was allocated to goodwill and identified intangible assets. For informa</w:t>
      </w:r>
      <w:r>
        <w:rPr>
          <w:rFonts w:ascii="Arial" w:eastAsia="宋体" w:hAnsi="Arial" w:cs="Arial"/>
          <w:color w:val="333333"/>
          <w:sz w:val="18"/>
          <w:szCs w:val="18"/>
        </w:rPr>
        <w:t>tion on the assignment of goodwill to our operating segments, see "Note 12: Goodwill," and for information on the classification of intangible assets, see "Note 13: Identified Intangible Assets."</w:t>
      </w:r>
    </w:p>
    <w:p w14:paraId="4ACE4F50" w14:textId="77777777" w:rsidR="006F587A" w:rsidRDefault="007B2B61">
      <w:pPr>
        <w:spacing w:line="288" w:lineRule="auto"/>
        <w:rPr>
          <w:rFonts w:ascii="Times New Roman" w:hAnsi="Times New Roman"/>
          <w:sz w:val="20"/>
          <w:szCs w:val="20"/>
        </w:rPr>
      </w:pPr>
      <w:r>
        <w:rPr>
          <w:rFonts w:ascii="Arial" w:eastAsia="宋体" w:hAnsi="Arial" w:cs="Arial"/>
          <w:b/>
          <w:bCs/>
          <w:color w:val="333333"/>
          <w:sz w:val="20"/>
          <w:szCs w:val="20"/>
        </w:rPr>
        <w:t>Habana Labs</w:t>
      </w:r>
    </w:p>
    <w:p w14:paraId="4ACE4F51"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On December 12, 2019, we acquired Habana Labs, a</w:t>
      </w:r>
      <w:r>
        <w:rPr>
          <w:rFonts w:ascii="Arial" w:eastAsia="宋体" w:hAnsi="Arial" w:cs="Arial"/>
          <w:color w:val="333333"/>
          <w:sz w:val="18"/>
          <w:szCs w:val="18"/>
        </w:rPr>
        <w:t>n Israel-based developer of programmable deep learning accelerators targeting AI workloads in the data center. Habana Labs strengthens our AI portfolio and accelerates our efforts to capitalize on the nascent, fast-growing AI silicon market opportunity. To</w:t>
      </w:r>
      <w:r>
        <w:rPr>
          <w:rFonts w:ascii="Arial" w:eastAsia="宋体" w:hAnsi="Arial" w:cs="Arial"/>
          <w:color w:val="333333"/>
          <w:sz w:val="18"/>
          <w:szCs w:val="18"/>
        </w:rPr>
        <w:t>tal consideration to acquire Habana Labs was $1.7 billion. The fair values of the assets acquired relate to goodwill of $1.5 billion and acquisition-related intangible assets of $250 million, which was primarily in-process research and development. The goo</w:t>
      </w:r>
      <w:r>
        <w:rPr>
          <w:rFonts w:ascii="Arial" w:eastAsia="宋体" w:hAnsi="Arial" w:cs="Arial"/>
          <w:color w:val="333333"/>
          <w:sz w:val="18"/>
          <w:szCs w:val="18"/>
        </w:rPr>
        <w:t>dwill and operating results of Habana Labs are included in our DCG operating segment.</w:t>
      </w:r>
    </w:p>
    <w:p w14:paraId="4ACE4F52"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Goodwill of $1.5 billion arising from the acquisition is attributed to the expected synergies and other benefits that will be generated from the combination of Intel and </w:t>
      </w:r>
      <w:r>
        <w:rPr>
          <w:rFonts w:ascii="Arial" w:eastAsia="宋体" w:hAnsi="Arial" w:cs="Arial"/>
          <w:color w:val="333333"/>
          <w:sz w:val="18"/>
          <w:szCs w:val="18"/>
        </w:rPr>
        <w:t>Habana Labs. Substantially all of the goodwill recognized is not expected to be deductible for tax purposes.</w:t>
      </w:r>
    </w:p>
    <w:p w14:paraId="4ACE4F53"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4F55" w14:textId="77777777">
        <w:tc>
          <w:tcPr>
            <w:tcW w:w="0" w:type="auto"/>
            <w:gridSpan w:val="3"/>
            <w:shd w:val="clear" w:color="auto" w:fill="auto"/>
            <w:vAlign w:val="center"/>
          </w:tcPr>
          <w:p w14:paraId="4ACE4F54" w14:textId="77777777" w:rsidR="006F587A" w:rsidRDefault="006F587A">
            <w:pPr>
              <w:rPr>
                <w:rFonts w:ascii="Times New Roman" w:hAnsi="Times New Roman"/>
                <w:sz w:val="20"/>
                <w:szCs w:val="20"/>
              </w:rPr>
            </w:pPr>
          </w:p>
        </w:tc>
      </w:tr>
      <w:tr w:rsidR="006F587A" w14:paraId="4ACE4F59" w14:textId="77777777">
        <w:tc>
          <w:tcPr>
            <w:tcW w:w="1300" w:type="pct"/>
            <w:shd w:val="clear" w:color="auto" w:fill="auto"/>
            <w:vAlign w:val="center"/>
          </w:tcPr>
          <w:p w14:paraId="4ACE4F56" w14:textId="77777777" w:rsidR="006F587A" w:rsidRDefault="006F587A">
            <w:pPr>
              <w:rPr>
                <w:rFonts w:ascii="Times New Roman" w:hAnsi="Times New Roman"/>
                <w:sz w:val="20"/>
                <w:szCs w:val="20"/>
              </w:rPr>
            </w:pPr>
          </w:p>
        </w:tc>
        <w:tc>
          <w:tcPr>
            <w:tcW w:w="1600" w:type="pct"/>
            <w:shd w:val="clear" w:color="auto" w:fill="auto"/>
            <w:vAlign w:val="center"/>
          </w:tcPr>
          <w:p w14:paraId="4ACE4F57" w14:textId="77777777" w:rsidR="006F587A" w:rsidRDefault="006F587A">
            <w:pPr>
              <w:rPr>
                <w:rFonts w:ascii="Times New Roman" w:hAnsi="Times New Roman"/>
                <w:sz w:val="20"/>
                <w:szCs w:val="20"/>
              </w:rPr>
            </w:pPr>
          </w:p>
        </w:tc>
        <w:tc>
          <w:tcPr>
            <w:tcW w:w="2100" w:type="pct"/>
            <w:shd w:val="clear" w:color="auto" w:fill="auto"/>
            <w:vAlign w:val="center"/>
          </w:tcPr>
          <w:p w14:paraId="4ACE4F58" w14:textId="77777777" w:rsidR="006F587A" w:rsidRDefault="006F587A">
            <w:pPr>
              <w:rPr>
                <w:rFonts w:ascii="Times New Roman" w:hAnsi="Times New Roman"/>
                <w:sz w:val="20"/>
                <w:szCs w:val="20"/>
              </w:rPr>
            </w:pPr>
          </w:p>
        </w:tc>
      </w:tr>
      <w:tr w:rsidR="006F587A" w14:paraId="4ACE4F5D" w14:textId="77777777">
        <w:tc>
          <w:tcPr>
            <w:tcW w:w="0" w:type="auto"/>
            <w:tcBorders>
              <w:top w:val="single" w:sz="8" w:space="0" w:color="0071C5"/>
            </w:tcBorders>
            <w:shd w:val="clear" w:color="auto" w:fill="auto"/>
            <w:tcMar>
              <w:top w:w="40" w:type="dxa"/>
              <w:left w:w="40" w:type="dxa"/>
              <w:bottom w:w="40" w:type="dxa"/>
              <w:right w:w="40" w:type="dxa"/>
            </w:tcMar>
            <w:vAlign w:val="bottom"/>
          </w:tcPr>
          <w:p w14:paraId="4ACE4F5A" w14:textId="77777777" w:rsidR="006F587A" w:rsidRDefault="007B2B61">
            <w:pPr>
              <w:textAlignment w:val="bottom"/>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/INTEL/./Inline XBRL Viewer12_files/a001intellogo_coverfooter.jpg" \* MERGE</w:instrText>
            </w:r>
            <w:r>
              <w:rPr>
                <w:rFonts w:ascii="Times New Roman" w:eastAsia="宋体" w:hAnsi="Times New Roman"/>
                <w:sz w:val="16"/>
                <w:szCs w:val="16"/>
              </w:rPr>
              <w:instrText xml:space="preserv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F9" wp14:editId="4ACE6DFA">
                  <wp:extent cx="304800" cy="304800"/>
                  <wp:effectExtent l="0" t="0" r="0" b="0"/>
                  <wp:docPr id="153" name="图片 320"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320"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left w:val="single" w:sz="36" w:space="0" w:color="0071C5"/>
            </w:tcBorders>
            <w:shd w:val="clear" w:color="auto" w:fill="auto"/>
            <w:tcMar>
              <w:top w:w="40" w:type="dxa"/>
              <w:left w:w="40" w:type="dxa"/>
              <w:bottom w:w="40" w:type="dxa"/>
              <w:right w:w="40" w:type="dxa"/>
            </w:tcMar>
            <w:vAlign w:val="bottom"/>
          </w:tcPr>
          <w:p w14:paraId="4ACE4F5B" w14:textId="77777777" w:rsidR="006F587A" w:rsidRDefault="007B2B61">
            <w:pPr>
              <w:textAlignment w:val="bottom"/>
              <w:rPr>
                <w:rFonts w:ascii="Times New Roman" w:hAnsi="Times New Roman"/>
                <w:sz w:val="16"/>
                <w:szCs w:val="16"/>
              </w:rPr>
            </w:pPr>
            <w:r>
              <w:rPr>
                <w:rFonts w:ascii="Arial" w:eastAsia="宋体" w:hAnsi="Arial" w:cs="Arial"/>
                <w:color w:val="333333"/>
                <w:sz w:val="16"/>
                <w:szCs w:val="16"/>
              </w:rPr>
              <w:t> Notes to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4F5C"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91</w:t>
            </w:r>
          </w:p>
        </w:tc>
      </w:tr>
    </w:tbl>
    <w:p w14:paraId="4ACE4F5E" w14:textId="77777777" w:rsidR="006F587A" w:rsidRDefault="007B2B61">
      <w:r>
        <w:pict w14:anchorId="4ACE6DFB">
          <v:rect id="_x0000_i1117" style="width:415.3pt;height:1.5pt" o:hralign="center" o:hrstd="t" o:hr="t" fillcolor="#a0a0a0" stroked="f"/>
        </w:pict>
      </w:r>
    </w:p>
    <w:p w14:paraId="4ACE4F5F" w14:textId="77777777" w:rsidR="006F587A" w:rsidRDefault="007B2B61">
      <w:pPr>
        <w:spacing w:line="288" w:lineRule="auto"/>
        <w:jc w:val="right"/>
        <w:rPr>
          <w:rFonts w:ascii="Times New Roman" w:hAnsi="Times New Roman"/>
          <w:sz w:val="16"/>
          <w:szCs w:val="16"/>
        </w:rPr>
      </w:pPr>
      <w:hyperlink r:id="rId156" w:anchor="s9DB683E2CF52561EB8A73BE37F5BF9BE" w:history="1">
        <w:r>
          <w:rPr>
            <w:rStyle w:val="a5"/>
            <w:rFonts w:ascii="Arial" w:eastAsia="宋体" w:hAnsi="Arial" w:cs="Arial"/>
            <w:b/>
            <w:bCs/>
            <w:sz w:val="16"/>
            <w:szCs w:val="16"/>
          </w:rPr>
          <w:t>Table of Contents</w:t>
        </w:r>
      </w:hyperlink>
    </w:p>
    <w:p w14:paraId="4ACE4F60" w14:textId="77777777" w:rsidR="006F587A" w:rsidRDefault="006F587A">
      <w:pPr>
        <w:spacing w:line="288" w:lineRule="auto"/>
        <w:jc w:val="right"/>
        <w:rPr>
          <w:rFonts w:ascii="Times New Roman" w:hAnsi="Times New Roman"/>
          <w:sz w:val="16"/>
          <w:szCs w:val="16"/>
        </w:rPr>
      </w:pPr>
    </w:p>
    <w:p w14:paraId="4ACE4F61" w14:textId="77777777" w:rsidR="006F587A" w:rsidRDefault="006F587A">
      <w:pPr>
        <w:rPr>
          <w:rFonts w:ascii="Times New Roman" w:hAnsi="Times New Roman"/>
          <w:sz w:val="20"/>
          <w:szCs w:val="20"/>
        </w:rPr>
      </w:pPr>
    </w:p>
    <w:p w14:paraId="4ACE4F62" w14:textId="77777777" w:rsidR="006F587A" w:rsidRDefault="007B2B61">
      <w:pPr>
        <w:spacing w:line="288" w:lineRule="auto"/>
        <w:rPr>
          <w:rFonts w:ascii="Times New Roman" w:hAnsi="Times New Roman"/>
        </w:rPr>
      </w:pPr>
      <w:r>
        <w:rPr>
          <w:rFonts w:ascii="Arial" w:eastAsia="宋体" w:hAnsi="Arial" w:cs="Arial"/>
          <w:b/>
          <w:bCs/>
          <w:color w:val="0071C5"/>
        </w:rPr>
        <w:t>DIVESTITURES</w:t>
      </w:r>
    </w:p>
    <w:p w14:paraId="4ACE4F63" w14:textId="77777777" w:rsidR="006F587A" w:rsidRDefault="007B2B61">
      <w:pPr>
        <w:spacing w:line="288" w:lineRule="auto"/>
        <w:rPr>
          <w:rFonts w:ascii="Times New Roman" w:hAnsi="Times New Roman"/>
          <w:sz w:val="20"/>
          <w:szCs w:val="20"/>
        </w:rPr>
      </w:pPr>
      <w:r>
        <w:rPr>
          <w:rFonts w:ascii="Arial" w:eastAsia="宋体" w:hAnsi="Arial" w:cs="Arial"/>
          <w:b/>
          <w:bCs/>
          <w:color w:val="333333"/>
          <w:sz w:val="20"/>
          <w:szCs w:val="20"/>
        </w:rPr>
        <w:t>Smartphone Modem Business</w:t>
      </w:r>
    </w:p>
    <w:p w14:paraId="4ACE4F64"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On December 2, 2019, we completed th</w:t>
      </w:r>
      <w:r>
        <w:rPr>
          <w:rFonts w:ascii="Arial" w:eastAsia="宋体" w:hAnsi="Arial" w:cs="Arial"/>
          <w:color w:val="333333"/>
          <w:sz w:val="18"/>
          <w:szCs w:val="18"/>
        </w:rPr>
        <w:t xml:space="preserve">e divestiture of the majority of our smartphone modem business, including certain employees, IP, equipment, and leases. Net assets sold were $267 million. We recognized a pre-tax gain of $690 million on the divestiture. </w:t>
      </w:r>
    </w:p>
    <w:p w14:paraId="4ACE4F65" w14:textId="77777777" w:rsidR="006F587A" w:rsidRDefault="006F587A">
      <w:pPr>
        <w:spacing w:line="288" w:lineRule="auto"/>
        <w:rPr>
          <w:rFonts w:ascii="Times New Roman" w:hAnsi="Times New Roman"/>
          <w:sz w:val="18"/>
          <w:szCs w:val="18"/>
        </w:rPr>
      </w:pPr>
    </w:p>
    <w:p w14:paraId="4ACE4F66" w14:textId="77777777" w:rsidR="006F587A" w:rsidRDefault="007B2B61">
      <w:pPr>
        <w:spacing w:line="288" w:lineRule="auto"/>
        <w:rPr>
          <w:rFonts w:ascii="Times New Roman" w:hAnsi="Times New Roman"/>
          <w:sz w:val="20"/>
          <w:szCs w:val="20"/>
        </w:rPr>
      </w:pPr>
      <w:r>
        <w:rPr>
          <w:rFonts w:ascii="Arial" w:eastAsia="宋体" w:hAnsi="Arial" w:cs="Arial"/>
          <w:b/>
          <w:bCs/>
          <w:color w:val="333333"/>
          <w:sz w:val="20"/>
          <w:szCs w:val="20"/>
        </w:rPr>
        <w:t>Wind River</w:t>
      </w:r>
    </w:p>
    <w:p w14:paraId="4ACE4F67"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During the second quart</w:t>
      </w:r>
      <w:r>
        <w:rPr>
          <w:rFonts w:ascii="Arial" w:eastAsia="宋体" w:hAnsi="Arial" w:cs="Arial"/>
          <w:color w:val="333333"/>
          <w:sz w:val="18"/>
          <w:szCs w:val="18"/>
        </w:rPr>
        <w:t>er of 2018, we completed the divestiture of Wind River and recognized a pre-tax gain of $494 million.</w:t>
      </w:r>
    </w:p>
    <w:p w14:paraId="4ACE4F68" w14:textId="77777777" w:rsidR="006F587A" w:rsidRDefault="007B2B61">
      <w:pPr>
        <w:spacing w:line="288" w:lineRule="auto"/>
        <w:rPr>
          <w:rFonts w:ascii="Times New Roman" w:hAnsi="Times New Roman"/>
          <w:sz w:val="20"/>
          <w:szCs w:val="20"/>
        </w:rPr>
      </w:pPr>
      <w:r>
        <w:rPr>
          <w:rFonts w:ascii="Arial" w:eastAsia="宋体" w:hAnsi="Arial" w:cs="Arial"/>
          <w:b/>
          <w:bCs/>
          <w:color w:val="333333"/>
          <w:sz w:val="20"/>
          <w:szCs w:val="20"/>
        </w:rPr>
        <w:t>Intel Security Group</w:t>
      </w:r>
    </w:p>
    <w:p w14:paraId="4ACE4F69"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During the second quarter of 2017, we closed the transaction with TPG VII Manta Holdings, L.P., now known as Manta Holdings, L.P., tr</w:t>
      </w:r>
      <w:r>
        <w:rPr>
          <w:rFonts w:ascii="Arial" w:eastAsia="宋体" w:hAnsi="Arial" w:cs="Arial"/>
          <w:color w:val="333333"/>
          <w:sz w:val="18"/>
          <w:szCs w:val="18"/>
        </w:rPr>
        <w:t>ansferring certain assets and liabilities relating to ISecG to a newly formed, jointly owned, separate cybersecurity company called McAfee. As of the transaction close date, we recognized a pre-tax gain of $387 million within Interest and other, net, which</w:t>
      </w:r>
      <w:r>
        <w:rPr>
          <w:rFonts w:ascii="Arial" w:eastAsia="宋体" w:hAnsi="Arial" w:cs="Arial"/>
          <w:color w:val="333333"/>
          <w:sz w:val="18"/>
          <w:szCs w:val="18"/>
        </w:rPr>
        <w:t xml:space="preserve"> is net of $507 million of currency translation adjustment losses reclassified from accumulated other comprehensive income (loss) associated with currency charges on the carrying values of ISecG goodwill and identified intangible assets. In addition, we re</w:t>
      </w:r>
      <w:r>
        <w:rPr>
          <w:rFonts w:ascii="Arial" w:eastAsia="宋体" w:hAnsi="Arial" w:cs="Arial"/>
          <w:color w:val="333333"/>
          <w:sz w:val="18"/>
          <w:szCs w:val="18"/>
        </w:rPr>
        <w:t>cognized a tax expense of $822 million.</w:t>
      </w:r>
    </w:p>
    <w:tbl>
      <w:tblPr>
        <w:tblW w:w="5000" w:type="pct"/>
        <w:tblCellMar>
          <w:left w:w="0" w:type="dxa"/>
          <w:right w:w="0" w:type="dxa"/>
        </w:tblCellMar>
        <w:tblLook w:val="04A0" w:firstRow="1" w:lastRow="0" w:firstColumn="1" w:lastColumn="0" w:noHBand="0" w:noVBand="1"/>
      </w:tblPr>
      <w:tblGrid>
        <w:gridCol w:w="1080"/>
        <w:gridCol w:w="7226"/>
      </w:tblGrid>
      <w:tr w:rsidR="006F587A" w14:paraId="4ACE4F6B" w14:textId="77777777">
        <w:tc>
          <w:tcPr>
            <w:tcW w:w="0" w:type="auto"/>
            <w:gridSpan w:val="2"/>
            <w:shd w:val="clear" w:color="auto" w:fill="auto"/>
            <w:vAlign w:val="center"/>
          </w:tcPr>
          <w:p w14:paraId="4ACE4F6A" w14:textId="77777777" w:rsidR="006F587A" w:rsidRDefault="006F587A">
            <w:pPr>
              <w:rPr>
                <w:rFonts w:ascii="Times New Roman" w:hAnsi="Times New Roman"/>
                <w:sz w:val="20"/>
                <w:szCs w:val="20"/>
              </w:rPr>
            </w:pPr>
          </w:p>
        </w:tc>
      </w:tr>
      <w:tr w:rsidR="006F587A" w14:paraId="4ACE4F6E" w14:textId="77777777">
        <w:tc>
          <w:tcPr>
            <w:tcW w:w="650" w:type="pct"/>
            <w:shd w:val="clear" w:color="auto" w:fill="auto"/>
            <w:vAlign w:val="center"/>
          </w:tcPr>
          <w:p w14:paraId="4ACE4F6C" w14:textId="77777777" w:rsidR="006F587A" w:rsidRDefault="006F587A">
            <w:pPr>
              <w:rPr>
                <w:rFonts w:ascii="Times New Roman" w:hAnsi="Times New Roman"/>
                <w:sz w:val="20"/>
                <w:szCs w:val="20"/>
              </w:rPr>
            </w:pPr>
          </w:p>
        </w:tc>
        <w:tc>
          <w:tcPr>
            <w:tcW w:w="4350" w:type="pct"/>
            <w:shd w:val="clear" w:color="auto" w:fill="auto"/>
            <w:vAlign w:val="center"/>
          </w:tcPr>
          <w:p w14:paraId="4ACE4F6D" w14:textId="77777777" w:rsidR="006F587A" w:rsidRDefault="006F587A">
            <w:pPr>
              <w:rPr>
                <w:rFonts w:ascii="Times New Roman" w:hAnsi="Times New Roman"/>
                <w:sz w:val="20"/>
                <w:szCs w:val="20"/>
              </w:rPr>
            </w:pPr>
          </w:p>
        </w:tc>
      </w:tr>
      <w:tr w:rsidR="006F587A" w14:paraId="4ACE4F71" w14:textId="77777777">
        <w:tc>
          <w:tcPr>
            <w:tcW w:w="0" w:type="auto"/>
            <w:tcBorders>
              <w:bottom w:val="single" w:sz="8" w:space="0" w:color="0071C5"/>
            </w:tcBorders>
            <w:shd w:val="clear" w:color="auto" w:fill="0071C5"/>
            <w:tcMar>
              <w:top w:w="40" w:type="dxa"/>
              <w:left w:w="40" w:type="dxa"/>
              <w:bottom w:w="40" w:type="dxa"/>
              <w:right w:w="40" w:type="dxa"/>
            </w:tcMar>
            <w:vAlign w:val="bottom"/>
          </w:tcPr>
          <w:p w14:paraId="4ACE4F6F" w14:textId="77777777" w:rsidR="006F587A" w:rsidRDefault="007B2B61">
            <w:pPr>
              <w:textAlignment w:val="bottom"/>
              <w:rPr>
                <w:rFonts w:ascii="Times New Roman" w:hAnsi="Times New Roman"/>
                <w:sz w:val="28"/>
                <w:szCs w:val="28"/>
              </w:rPr>
            </w:pPr>
            <w:r>
              <w:rPr>
                <w:rFonts w:ascii="Arial" w:eastAsia="宋体" w:hAnsi="Arial" w:cs="Arial"/>
                <w:b/>
                <w:bCs/>
                <w:color w:val="FFFFFF"/>
                <w:sz w:val="28"/>
                <w:szCs w:val="28"/>
                <w:shd w:val="clear" w:color="auto" w:fill="0071C5"/>
              </w:rPr>
              <w:t xml:space="preserve">NOTE 12 : </w:t>
            </w:r>
          </w:p>
        </w:tc>
        <w:tc>
          <w:tcPr>
            <w:tcW w:w="0" w:type="auto"/>
            <w:tcBorders>
              <w:bottom w:val="single" w:sz="8" w:space="0" w:color="0071C5"/>
            </w:tcBorders>
            <w:shd w:val="clear" w:color="auto" w:fill="auto"/>
            <w:tcMar>
              <w:top w:w="40" w:type="dxa"/>
              <w:left w:w="40" w:type="dxa"/>
              <w:bottom w:w="40" w:type="dxa"/>
              <w:right w:w="40" w:type="dxa"/>
            </w:tcMar>
            <w:vAlign w:val="bottom"/>
          </w:tcPr>
          <w:p w14:paraId="4ACE4F70" w14:textId="77777777" w:rsidR="006F587A" w:rsidRDefault="007B2B61">
            <w:pPr>
              <w:textAlignment w:val="bottom"/>
              <w:rPr>
                <w:rFonts w:ascii="Times New Roman" w:hAnsi="Times New Roman"/>
                <w:sz w:val="28"/>
                <w:szCs w:val="28"/>
              </w:rPr>
            </w:pPr>
            <w:r>
              <w:rPr>
                <w:rFonts w:ascii="Arial" w:eastAsia="宋体" w:hAnsi="Arial" w:cs="Arial"/>
                <w:b/>
                <w:bCs/>
                <w:color w:val="0071C5"/>
                <w:sz w:val="28"/>
                <w:szCs w:val="28"/>
              </w:rPr>
              <w:t>GOODWILL</w:t>
            </w:r>
          </w:p>
        </w:tc>
      </w:tr>
    </w:tbl>
    <w:p w14:paraId="4ACE4F72" w14:textId="77777777" w:rsidR="006F587A" w:rsidRDefault="006F587A">
      <w:pPr>
        <w:spacing w:line="288" w:lineRule="auto"/>
        <w:rPr>
          <w:rFonts w:ascii="Times New Roman" w:hAnsi="Times New Roman"/>
          <w:sz w:val="28"/>
          <w:szCs w:val="28"/>
        </w:rPr>
      </w:pPr>
    </w:p>
    <w:p w14:paraId="4ACE4F73" w14:textId="77777777" w:rsidR="006F587A" w:rsidRDefault="007B2B61">
      <w:pPr>
        <w:spacing w:line="288" w:lineRule="auto"/>
        <w:rPr>
          <w:rFonts w:ascii="Times New Roman" w:hAnsi="Times New Roman"/>
          <w:sz w:val="20"/>
          <w:szCs w:val="20"/>
        </w:rPr>
      </w:pPr>
      <w:r>
        <w:rPr>
          <w:rFonts w:ascii="Arial" w:eastAsia="宋体" w:hAnsi="Arial" w:cs="Arial"/>
          <w:color w:val="333333"/>
          <w:sz w:val="18"/>
          <w:szCs w:val="18"/>
        </w:rPr>
        <w:t>Goodwill activity for each period was as follows:</w:t>
      </w:r>
    </w:p>
    <w:tbl>
      <w:tblPr>
        <w:tblW w:w="4991" w:type="pct"/>
        <w:tblCellMar>
          <w:left w:w="0" w:type="dxa"/>
          <w:right w:w="0" w:type="dxa"/>
        </w:tblCellMar>
        <w:tblLook w:val="04A0" w:firstRow="1" w:lastRow="0" w:firstColumn="1" w:lastColumn="0" w:noHBand="0" w:noVBand="1"/>
      </w:tblPr>
      <w:tblGrid>
        <w:gridCol w:w="2798"/>
        <w:gridCol w:w="130"/>
        <w:gridCol w:w="142"/>
        <w:gridCol w:w="725"/>
        <w:gridCol w:w="59"/>
        <w:gridCol w:w="130"/>
        <w:gridCol w:w="142"/>
        <w:gridCol w:w="968"/>
        <w:gridCol w:w="96"/>
        <w:gridCol w:w="130"/>
        <w:gridCol w:w="142"/>
        <w:gridCol w:w="750"/>
        <w:gridCol w:w="75"/>
        <w:gridCol w:w="130"/>
        <w:gridCol w:w="142"/>
        <w:gridCol w:w="574"/>
        <w:gridCol w:w="100"/>
        <w:gridCol w:w="130"/>
        <w:gridCol w:w="142"/>
        <w:gridCol w:w="727"/>
        <w:gridCol w:w="59"/>
      </w:tblGrid>
      <w:tr w:rsidR="006F587A" w14:paraId="4ACE4F75" w14:textId="77777777">
        <w:tc>
          <w:tcPr>
            <w:tcW w:w="0" w:type="auto"/>
            <w:gridSpan w:val="21"/>
            <w:shd w:val="clear" w:color="auto" w:fill="auto"/>
            <w:vAlign w:val="center"/>
          </w:tcPr>
          <w:p w14:paraId="4ACE4F74" w14:textId="77777777" w:rsidR="006F587A" w:rsidRDefault="006F587A">
            <w:pPr>
              <w:rPr>
                <w:rFonts w:ascii="Times New Roman" w:hAnsi="Times New Roman"/>
                <w:sz w:val="20"/>
                <w:szCs w:val="20"/>
              </w:rPr>
            </w:pPr>
          </w:p>
        </w:tc>
      </w:tr>
      <w:tr w:rsidR="006F587A" w14:paraId="4ACE4F8B" w14:textId="77777777">
        <w:tc>
          <w:tcPr>
            <w:tcW w:w="1750" w:type="pct"/>
            <w:shd w:val="clear" w:color="auto" w:fill="auto"/>
            <w:vAlign w:val="center"/>
          </w:tcPr>
          <w:p w14:paraId="4ACE4F76" w14:textId="77777777" w:rsidR="006F587A" w:rsidRDefault="006F587A">
            <w:pPr>
              <w:rPr>
                <w:rFonts w:ascii="Times New Roman" w:hAnsi="Times New Roman"/>
                <w:sz w:val="20"/>
                <w:szCs w:val="20"/>
              </w:rPr>
            </w:pPr>
          </w:p>
        </w:tc>
        <w:tc>
          <w:tcPr>
            <w:tcW w:w="50" w:type="pct"/>
            <w:shd w:val="clear" w:color="auto" w:fill="auto"/>
            <w:vAlign w:val="center"/>
          </w:tcPr>
          <w:p w14:paraId="4ACE4F77" w14:textId="77777777" w:rsidR="006F587A" w:rsidRDefault="006F587A">
            <w:pPr>
              <w:rPr>
                <w:rFonts w:ascii="Times New Roman" w:hAnsi="Times New Roman"/>
                <w:sz w:val="20"/>
                <w:szCs w:val="20"/>
              </w:rPr>
            </w:pPr>
          </w:p>
        </w:tc>
        <w:tc>
          <w:tcPr>
            <w:tcW w:w="50" w:type="pct"/>
            <w:shd w:val="clear" w:color="auto" w:fill="auto"/>
            <w:vAlign w:val="center"/>
          </w:tcPr>
          <w:p w14:paraId="4ACE4F78" w14:textId="77777777" w:rsidR="006F587A" w:rsidRDefault="006F587A">
            <w:pPr>
              <w:rPr>
                <w:rFonts w:ascii="Times New Roman" w:hAnsi="Times New Roman"/>
                <w:sz w:val="20"/>
                <w:szCs w:val="20"/>
              </w:rPr>
            </w:pPr>
          </w:p>
        </w:tc>
        <w:tc>
          <w:tcPr>
            <w:tcW w:w="500" w:type="pct"/>
            <w:shd w:val="clear" w:color="auto" w:fill="auto"/>
            <w:vAlign w:val="center"/>
          </w:tcPr>
          <w:p w14:paraId="4ACE4F79" w14:textId="77777777" w:rsidR="006F587A" w:rsidRDefault="006F587A">
            <w:pPr>
              <w:rPr>
                <w:rFonts w:ascii="Times New Roman" w:hAnsi="Times New Roman"/>
                <w:sz w:val="20"/>
                <w:szCs w:val="20"/>
              </w:rPr>
            </w:pPr>
          </w:p>
        </w:tc>
        <w:tc>
          <w:tcPr>
            <w:tcW w:w="50" w:type="pct"/>
            <w:shd w:val="clear" w:color="auto" w:fill="auto"/>
            <w:vAlign w:val="center"/>
          </w:tcPr>
          <w:p w14:paraId="4ACE4F7A" w14:textId="77777777" w:rsidR="006F587A" w:rsidRDefault="006F587A">
            <w:pPr>
              <w:rPr>
                <w:rFonts w:ascii="Times New Roman" w:hAnsi="Times New Roman"/>
                <w:sz w:val="20"/>
                <w:szCs w:val="20"/>
              </w:rPr>
            </w:pPr>
          </w:p>
        </w:tc>
        <w:tc>
          <w:tcPr>
            <w:tcW w:w="50" w:type="pct"/>
            <w:shd w:val="clear" w:color="auto" w:fill="auto"/>
            <w:vAlign w:val="center"/>
          </w:tcPr>
          <w:p w14:paraId="4ACE4F7B" w14:textId="77777777" w:rsidR="006F587A" w:rsidRDefault="006F587A">
            <w:pPr>
              <w:rPr>
                <w:rFonts w:ascii="Times New Roman" w:hAnsi="Times New Roman"/>
                <w:sz w:val="20"/>
                <w:szCs w:val="20"/>
              </w:rPr>
            </w:pPr>
          </w:p>
        </w:tc>
        <w:tc>
          <w:tcPr>
            <w:tcW w:w="50" w:type="pct"/>
            <w:shd w:val="clear" w:color="auto" w:fill="auto"/>
            <w:vAlign w:val="center"/>
          </w:tcPr>
          <w:p w14:paraId="4ACE4F7C" w14:textId="77777777" w:rsidR="006F587A" w:rsidRDefault="006F587A">
            <w:pPr>
              <w:rPr>
                <w:rFonts w:ascii="Times New Roman" w:hAnsi="Times New Roman"/>
                <w:sz w:val="20"/>
                <w:szCs w:val="20"/>
              </w:rPr>
            </w:pPr>
          </w:p>
        </w:tc>
        <w:tc>
          <w:tcPr>
            <w:tcW w:w="500" w:type="pct"/>
            <w:shd w:val="clear" w:color="auto" w:fill="auto"/>
            <w:vAlign w:val="center"/>
          </w:tcPr>
          <w:p w14:paraId="4ACE4F7D" w14:textId="77777777" w:rsidR="006F587A" w:rsidRDefault="006F587A">
            <w:pPr>
              <w:rPr>
                <w:rFonts w:ascii="Times New Roman" w:hAnsi="Times New Roman"/>
                <w:sz w:val="20"/>
                <w:szCs w:val="20"/>
              </w:rPr>
            </w:pPr>
          </w:p>
        </w:tc>
        <w:tc>
          <w:tcPr>
            <w:tcW w:w="50" w:type="pct"/>
            <w:shd w:val="clear" w:color="auto" w:fill="auto"/>
            <w:vAlign w:val="center"/>
          </w:tcPr>
          <w:p w14:paraId="4ACE4F7E" w14:textId="77777777" w:rsidR="006F587A" w:rsidRDefault="006F587A">
            <w:pPr>
              <w:rPr>
                <w:rFonts w:ascii="Times New Roman" w:hAnsi="Times New Roman"/>
                <w:sz w:val="20"/>
                <w:szCs w:val="20"/>
              </w:rPr>
            </w:pPr>
          </w:p>
        </w:tc>
        <w:tc>
          <w:tcPr>
            <w:tcW w:w="50" w:type="pct"/>
            <w:shd w:val="clear" w:color="auto" w:fill="auto"/>
            <w:vAlign w:val="center"/>
          </w:tcPr>
          <w:p w14:paraId="4ACE4F7F" w14:textId="77777777" w:rsidR="006F587A" w:rsidRDefault="006F587A">
            <w:pPr>
              <w:rPr>
                <w:rFonts w:ascii="Times New Roman" w:hAnsi="Times New Roman"/>
                <w:sz w:val="20"/>
                <w:szCs w:val="20"/>
              </w:rPr>
            </w:pPr>
          </w:p>
        </w:tc>
        <w:tc>
          <w:tcPr>
            <w:tcW w:w="50" w:type="pct"/>
            <w:shd w:val="clear" w:color="auto" w:fill="auto"/>
            <w:vAlign w:val="center"/>
          </w:tcPr>
          <w:p w14:paraId="4ACE4F80" w14:textId="77777777" w:rsidR="006F587A" w:rsidRDefault="006F587A">
            <w:pPr>
              <w:rPr>
                <w:rFonts w:ascii="Times New Roman" w:hAnsi="Times New Roman"/>
                <w:sz w:val="20"/>
                <w:szCs w:val="20"/>
              </w:rPr>
            </w:pPr>
          </w:p>
        </w:tc>
        <w:tc>
          <w:tcPr>
            <w:tcW w:w="500" w:type="pct"/>
            <w:shd w:val="clear" w:color="auto" w:fill="auto"/>
            <w:vAlign w:val="center"/>
          </w:tcPr>
          <w:p w14:paraId="4ACE4F81" w14:textId="77777777" w:rsidR="006F587A" w:rsidRDefault="006F587A">
            <w:pPr>
              <w:rPr>
                <w:rFonts w:ascii="Times New Roman" w:hAnsi="Times New Roman"/>
                <w:sz w:val="20"/>
                <w:szCs w:val="20"/>
              </w:rPr>
            </w:pPr>
          </w:p>
        </w:tc>
        <w:tc>
          <w:tcPr>
            <w:tcW w:w="50" w:type="pct"/>
            <w:shd w:val="clear" w:color="auto" w:fill="auto"/>
            <w:vAlign w:val="center"/>
          </w:tcPr>
          <w:p w14:paraId="4ACE4F82" w14:textId="77777777" w:rsidR="006F587A" w:rsidRDefault="006F587A">
            <w:pPr>
              <w:rPr>
                <w:rFonts w:ascii="Times New Roman" w:hAnsi="Times New Roman"/>
                <w:sz w:val="20"/>
                <w:szCs w:val="20"/>
              </w:rPr>
            </w:pPr>
          </w:p>
        </w:tc>
        <w:tc>
          <w:tcPr>
            <w:tcW w:w="50" w:type="pct"/>
            <w:shd w:val="clear" w:color="auto" w:fill="auto"/>
            <w:vAlign w:val="center"/>
          </w:tcPr>
          <w:p w14:paraId="4ACE4F83" w14:textId="77777777" w:rsidR="006F587A" w:rsidRDefault="006F587A">
            <w:pPr>
              <w:rPr>
                <w:rFonts w:ascii="Times New Roman" w:hAnsi="Times New Roman"/>
                <w:sz w:val="20"/>
                <w:szCs w:val="20"/>
              </w:rPr>
            </w:pPr>
          </w:p>
        </w:tc>
        <w:tc>
          <w:tcPr>
            <w:tcW w:w="50" w:type="pct"/>
            <w:shd w:val="clear" w:color="auto" w:fill="auto"/>
            <w:vAlign w:val="center"/>
          </w:tcPr>
          <w:p w14:paraId="4ACE4F84" w14:textId="77777777" w:rsidR="006F587A" w:rsidRDefault="006F587A">
            <w:pPr>
              <w:rPr>
                <w:rFonts w:ascii="Times New Roman" w:hAnsi="Times New Roman"/>
                <w:sz w:val="20"/>
                <w:szCs w:val="20"/>
              </w:rPr>
            </w:pPr>
          </w:p>
        </w:tc>
        <w:tc>
          <w:tcPr>
            <w:tcW w:w="500" w:type="pct"/>
            <w:shd w:val="clear" w:color="auto" w:fill="auto"/>
            <w:vAlign w:val="center"/>
          </w:tcPr>
          <w:p w14:paraId="4ACE4F85" w14:textId="77777777" w:rsidR="006F587A" w:rsidRDefault="006F587A">
            <w:pPr>
              <w:rPr>
                <w:rFonts w:ascii="Times New Roman" w:hAnsi="Times New Roman"/>
                <w:sz w:val="20"/>
                <w:szCs w:val="20"/>
              </w:rPr>
            </w:pPr>
          </w:p>
        </w:tc>
        <w:tc>
          <w:tcPr>
            <w:tcW w:w="50" w:type="pct"/>
            <w:shd w:val="clear" w:color="auto" w:fill="auto"/>
            <w:vAlign w:val="center"/>
          </w:tcPr>
          <w:p w14:paraId="4ACE4F86" w14:textId="77777777" w:rsidR="006F587A" w:rsidRDefault="006F587A">
            <w:pPr>
              <w:rPr>
                <w:rFonts w:ascii="Times New Roman" w:hAnsi="Times New Roman"/>
                <w:sz w:val="20"/>
                <w:szCs w:val="20"/>
              </w:rPr>
            </w:pPr>
          </w:p>
        </w:tc>
        <w:tc>
          <w:tcPr>
            <w:tcW w:w="50" w:type="pct"/>
            <w:shd w:val="clear" w:color="auto" w:fill="auto"/>
            <w:vAlign w:val="center"/>
          </w:tcPr>
          <w:p w14:paraId="4ACE4F87" w14:textId="77777777" w:rsidR="006F587A" w:rsidRDefault="006F587A">
            <w:pPr>
              <w:rPr>
                <w:rFonts w:ascii="Times New Roman" w:hAnsi="Times New Roman"/>
                <w:sz w:val="20"/>
                <w:szCs w:val="20"/>
              </w:rPr>
            </w:pPr>
          </w:p>
        </w:tc>
        <w:tc>
          <w:tcPr>
            <w:tcW w:w="50" w:type="pct"/>
            <w:shd w:val="clear" w:color="auto" w:fill="auto"/>
            <w:vAlign w:val="center"/>
          </w:tcPr>
          <w:p w14:paraId="4ACE4F88" w14:textId="77777777" w:rsidR="006F587A" w:rsidRDefault="006F587A">
            <w:pPr>
              <w:rPr>
                <w:rFonts w:ascii="Times New Roman" w:hAnsi="Times New Roman"/>
                <w:sz w:val="20"/>
                <w:szCs w:val="20"/>
              </w:rPr>
            </w:pPr>
          </w:p>
        </w:tc>
        <w:tc>
          <w:tcPr>
            <w:tcW w:w="500" w:type="pct"/>
            <w:shd w:val="clear" w:color="auto" w:fill="auto"/>
            <w:vAlign w:val="center"/>
          </w:tcPr>
          <w:p w14:paraId="4ACE4F89" w14:textId="77777777" w:rsidR="006F587A" w:rsidRDefault="006F587A">
            <w:pPr>
              <w:rPr>
                <w:rFonts w:ascii="Times New Roman" w:hAnsi="Times New Roman"/>
                <w:sz w:val="20"/>
                <w:szCs w:val="20"/>
              </w:rPr>
            </w:pPr>
          </w:p>
        </w:tc>
        <w:tc>
          <w:tcPr>
            <w:tcW w:w="50" w:type="pct"/>
            <w:shd w:val="clear" w:color="auto" w:fill="auto"/>
            <w:vAlign w:val="center"/>
          </w:tcPr>
          <w:p w14:paraId="4ACE4F8A" w14:textId="77777777" w:rsidR="006F587A" w:rsidRDefault="006F587A">
            <w:pPr>
              <w:rPr>
                <w:rFonts w:ascii="Times New Roman" w:hAnsi="Times New Roman"/>
                <w:sz w:val="20"/>
                <w:szCs w:val="20"/>
              </w:rPr>
            </w:pPr>
          </w:p>
        </w:tc>
      </w:tr>
      <w:tr w:rsidR="006F587A" w14:paraId="4ACE4F97"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4F8C"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br/>
              <w:t>(In Millio</w:t>
            </w:r>
            <w:r>
              <w:rPr>
                <w:rFonts w:ascii="Arial" w:eastAsia="宋体" w:hAnsi="Arial" w:cs="Arial"/>
                <w:b/>
                <w:bCs/>
                <w:color w:val="333333"/>
                <w:sz w:val="18"/>
                <w:szCs w:val="18"/>
              </w:rPr>
              <w:t>ns)</w:t>
            </w:r>
          </w:p>
        </w:tc>
        <w:tc>
          <w:tcPr>
            <w:tcW w:w="0" w:type="auto"/>
            <w:shd w:val="clear" w:color="auto" w:fill="auto"/>
            <w:tcMar>
              <w:top w:w="40" w:type="dxa"/>
              <w:left w:w="40" w:type="dxa"/>
              <w:bottom w:w="40" w:type="dxa"/>
              <w:right w:w="40" w:type="dxa"/>
            </w:tcMar>
            <w:vAlign w:val="bottom"/>
          </w:tcPr>
          <w:p w14:paraId="4ACE4F8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F8E"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29, </w:t>
            </w:r>
            <w:r>
              <w:rPr>
                <w:rFonts w:ascii="Arial" w:eastAsia="宋体" w:hAnsi="Arial" w:cs="Arial"/>
                <w:b/>
                <w:bCs/>
                <w:color w:val="333333"/>
                <w:sz w:val="18"/>
                <w:szCs w:val="18"/>
              </w:rPr>
              <w:br/>
              <w:t>2018</w:t>
            </w:r>
          </w:p>
        </w:tc>
        <w:tc>
          <w:tcPr>
            <w:tcW w:w="0" w:type="auto"/>
            <w:shd w:val="clear" w:color="auto" w:fill="auto"/>
            <w:tcMar>
              <w:top w:w="40" w:type="dxa"/>
              <w:left w:w="40" w:type="dxa"/>
              <w:bottom w:w="40" w:type="dxa"/>
              <w:right w:w="40" w:type="dxa"/>
            </w:tcMar>
            <w:vAlign w:val="bottom"/>
          </w:tcPr>
          <w:p w14:paraId="4ACE4F8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F90"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Acquisitions</w:t>
            </w:r>
          </w:p>
        </w:tc>
        <w:tc>
          <w:tcPr>
            <w:tcW w:w="0" w:type="auto"/>
            <w:shd w:val="clear" w:color="auto" w:fill="auto"/>
            <w:tcMar>
              <w:top w:w="40" w:type="dxa"/>
              <w:left w:w="40" w:type="dxa"/>
              <w:bottom w:w="40" w:type="dxa"/>
              <w:right w:w="40" w:type="dxa"/>
            </w:tcMar>
            <w:vAlign w:val="bottom"/>
          </w:tcPr>
          <w:p w14:paraId="4ACE4F9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F92"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Transfers</w:t>
            </w:r>
          </w:p>
        </w:tc>
        <w:tc>
          <w:tcPr>
            <w:tcW w:w="0" w:type="auto"/>
            <w:shd w:val="clear" w:color="auto" w:fill="auto"/>
            <w:tcMar>
              <w:top w:w="40" w:type="dxa"/>
              <w:left w:w="40" w:type="dxa"/>
              <w:bottom w:w="40" w:type="dxa"/>
              <w:right w:w="40" w:type="dxa"/>
            </w:tcMar>
            <w:vAlign w:val="bottom"/>
          </w:tcPr>
          <w:p w14:paraId="4ACE4F9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F94"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Other</w:t>
            </w:r>
          </w:p>
        </w:tc>
        <w:tc>
          <w:tcPr>
            <w:tcW w:w="0" w:type="auto"/>
            <w:shd w:val="clear" w:color="auto" w:fill="auto"/>
            <w:tcMar>
              <w:top w:w="40" w:type="dxa"/>
              <w:left w:w="40" w:type="dxa"/>
              <w:bottom w:w="40" w:type="dxa"/>
              <w:right w:w="40" w:type="dxa"/>
            </w:tcMar>
            <w:vAlign w:val="bottom"/>
          </w:tcPr>
          <w:p w14:paraId="4ACE4F9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4F96"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28, </w:t>
            </w:r>
            <w:r>
              <w:rPr>
                <w:rFonts w:ascii="Arial" w:eastAsia="宋体" w:hAnsi="Arial" w:cs="Arial"/>
                <w:b/>
                <w:bCs/>
                <w:color w:val="333333"/>
                <w:sz w:val="18"/>
                <w:szCs w:val="18"/>
              </w:rPr>
              <w:br/>
              <w:t>2019</w:t>
            </w:r>
          </w:p>
        </w:tc>
      </w:tr>
      <w:tr w:rsidR="006F587A" w14:paraId="4ACE4FAD" w14:textId="77777777">
        <w:tc>
          <w:tcPr>
            <w:tcW w:w="0" w:type="auto"/>
            <w:tcBorders>
              <w:top w:val="single" w:sz="8" w:space="0" w:color="0071C5"/>
            </w:tcBorders>
            <w:shd w:val="clear" w:color="auto" w:fill="auto"/>
            <w:tcMar>
              <w:top w:w="40" w:type="dxa"/>
              <w:left w:w="40" w:type="dxa"/>
              <w:bottom w:w="40" w:type="dxa"/>
              <w:right w:w="40" w:type="dxa"/>
            </w:tcMar>
            <w:vAlign w:val="bottom"/>
          </w:tcPr>
          <w:p w14:paraId="4ACE4F9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Data Center Group</w:t>
            </w:r>
          </w:p>
        </w:tc>
        <w:tc>
          <w:tcPr>
            <w:tcW w:w="0" w:type="auto"/>
            <w:shd w:val="clear" w:color="auto" w:fill="auto"/>
            <w:tcMar>
              <w:top w:w="40" w:type="dxa"/>
              <w:left w:w="40" w:type="dxa"/>
              <w:bottom w:w="40" w:type="dxa"/>
              <w:right w:w="40" w:type="dxa"/>
            </w:tcMar>
            <w:vAlign w:val="bottom"/>
          </w:tcPr>
          <w:p w14:paraId="4ACE4F9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4F9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tcMar>
            <w:vAlign w:val="bottom"/>
          </w:tcPr>
          <w:p w14:paraId="4ACE4F9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5,424</w:t>
            </w:r>
          </w:p>
        </w:tc>
        <w:tc>
          <w:tcPr>
            <w:tcW w:w="0" w:type="auto"/>
            <w:tcBorders>
              <w:top w:val="single" w:sz="8" w:space="0" w:color="0071C5"/>
            </w:tcBorders>
            <w:shd w:val="clear" w:color="auto" w:fill="auto"/>
            <w:vAlign w:val="bottom"/>
          </w:tcPr>
          <w:p w14:paraId="4ACE4F9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F9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4F9E"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tcBorders>
              <w:top w:val="single" w:sz="8" w:space="0" w:color="0071C5"/>
            </w:tcBorders>
            <w:shd w:val="clear" w:color="auto" w:fill="auto"/>
            <w:tcMar>
              <w:top w:w="40" w:type="dxa"/>
              <w:bottom w:w="40" w:type="dxa"/>
            </w:tcMar>
            <w:vAlign w:val="bottom"/>
          </w:tcPr>
          <w:p w14:paraId="4ACE4F9F"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1,758</w:t>
            </w:r>
          </w:p>
        </w:tc>
        <w:tc>
          <w:tcPr>
            <w:tcW w:w="0" w:type="auto"/>
            <w:tcBorders>
              <w:top w:val="single" w:sz="8" w:space="0" w:color="0071C5"/>
            </w:tcBorders>
            <w:shd w:val="clear" w:color="auto" w:fill="auto"/>
            <w:vAlign w:val="bottom"/>
          </w:tcPr>
          <w:p w14:paraId="4ACE4FA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FA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4FA2"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tcBorders>
              <w:top w:val="single" w:sz="8" w:space="0" w:color="0071C5"/>
            </w:tcBorders>
            <w:shd w:val="clear" w:color="auto" w:fill="auto"/>
            <w:tcMar>
              <w:top w:w="40" w:type="dxa"/>
              <w:bottom w:w="40" w:type="dxa"/>
            </w:tcMar>
            <w:vAlign w:val="bottom"/>
          </w:tcPr>
          <w:p w14:paraId="4ACE4FA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tcBorders>
              <w:top w:val="single" w:sz="8" w:space="0" w:color="0071C5"/>
            </w:tcBorders>
            <w:shd w:val="clear" w:color="auto" w:fill="auto"/>
            <w:vAlign w:val="bottom"/>
          </w:tcPr>
          <w:p w14:paraId="4ACE4FA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FA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4FA6"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tcBorders>
              <w:top w:val="single" w:sz="8" w:space="0" w:color="0071C5"/>
            </w:tcBorders>
            <w:shd w:val="clear" w:color="auto" w:fill="auto"/>
            <w:tcMar>
              <w:top w:w="40" w:type="dxa"/>
              <w:bottom w:w="40" w:type="dxa"/>
            </w:tcMar>
            <w:vAlign w:val="bottom"/>
          </w:tcPr>
          <w:p w14:paraId="4ACE4FA7"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tcBorders>
              <w:top w:val="single" w:sz="8" w:space="0" w:color="0071C5"/>
            </w:tcBorders>
            <w:shd w:val="clear" w:color="auto" w:fill="auto"/>
            <w:vAlign w:val="bottom"/>
          </w:tcPr>
          <w:p w14:paraId="4ACE4FA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FA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4FAA"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tcBorders>
              <w:top w:val="single" w:sz="8" w:space="0" w:color="0071C5"/>
            </w:tcBorders>
            <w:shd w:val="clear" w:color="auto" w:fill="auto"/>
            <w:tcMar>
              <w:top w:w="40" w:type="dxa"/>
              <w:bottom w:w="40" w:type="dxa"/>
            </w:tcMar>
            <w:vAlign w:val="bottom"/>
          </w:tcPr>
          <w:p w14:paraId="4ACE4FAB"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7,155</w:t>
            </w:r>
          </w:p>
        </w:tc>
        <w:tc>
          <w:tcPr>
            <w:tcW w:w="0" w:type="auto"/>
            <w:tcBorders>
              <w:top w:val="single" w:sz="8" w:space="0" w:color="0071C5"/>
            </w:tcBorders>
            <w:shd w:val="clear" w:color="auto" w:fill="auto"/>
            <w:vAlign w:val="bottom"/>
          </w:tcPr>
          <w:p w14:paraId="4ACE4FAC" w14:textId="77777777" w:rsidR="006F587A" w:rsidRDefault="006F587A">
            <w:pPr>
              <w:textAlignment w:val="bottom"/>
              <w:rPr>
                <w:rFonts w:ascii="Times New Roman" w:hAnsi="Times New Roman"/>
                <w:sz w:val="20"/>
                <w:szCs w:val="20"/>
              </w:rPr>
            </w:pPr>
          </w:p>
        </w:tc>
      </w:tr>
      <w:tr w:rsidR="006F587A" w14:paraId="4ACE4FBE" w14:textId="77777777">
        <w:tc>
          <w:tcPr>
            <w:tcW w:w="0" w:type="auto"/>
            <w:shd w:val="clear" w:color="auto" w:fill="auto"/>
            <w:tcMar>
              <w:top w:w="40" w:type="dxa"/>
              <w:left w:w="40" w:type="dxa"/>
              <w:bottom w:w="40" w:type="dxa"/>
              <w:right w:w="40" w:type="dxa"/>
            </w:tcMar>
            <w:vAlign w:val="bottom"/>
          </w:tcPr>
          <w:p w14:paraId="4ACE4FAE"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Internet of Things Group</w:t>
            </w:r>
          </w:p>
        </w:tc>
        <w:tc>
          <w:tcPr>
            <w:tcW w:w="0" w:type="auto"/>
            <w:shd w:val="clear" w:color="auto" w:fill="auto"/>
            <w:tcMar>
              <w:top w:w="40" w:type="dxa"/>
              <w:left w:w="40" w:type="dxa"/>
              <w:bottom w:w="40" w:type="dxa"/>
              <w:right w:w="40" w:type="dxa"/>
            </w:tcMar>
            <w:vAlign w:val="bottom"/>
          </w:tcPr>
          <w:p w14:paraId="4ACE4FA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FB0"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1,579</w:t>
            </w:r>
          </w:p>
        </w:tc>
        <w:tc>
          <w:tcPr>
            <w:tcW w:w="0" w:type="auto"/>
            <w:shd w:val="clear" w:color="auto" w:fill="auto"/>
            <w:vAlign w:val="bottom"/>
          </w:tcPr>
          <w:p w14:paraId="4ACE4FB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FB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FB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4FB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FB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FB6"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4FB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FB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FB9"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4FB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FB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FBC"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1,579</w:t>
            </w:r>
          </w:p>
        </w:tc>
        <w:tc>
          <w:tcPr>
            <w:tcW w:w="0" w:type="auto"/>
            <w:shd w:val="clear" w:color="auto" w:fill="auto"/>
            <w:vAlign w:val="bottom"/>
          </w:tcPr>
          <w:p w14:paraId="4ACE4FBD" w14:textId="77777777" w:rsidR="006F587A" w:rsidRDefault="006F587A">
            <w:pPr>
              <w:textAlignment w:val="bottom"/>
              <w:rPr>
                <w:rFonts w:ascii="Times New Roman" w:hAnsi="Times New Roman"/>
                <w:sz w:val="20"/>
                <w:szCs w:val="20"/>
              </w:rPr>
            </w:pPr>
          </w:p>
        </w:tc>
      </w:tr>
      <w:tr w:rsidR="006F587A" w14:paraId="4ACE4FCF" w14:textId="77777777">
        <w:tc>
          <w:tcPr>
            <w:tcW w:w="0" w:type="auto"/>
            <w:shd w:val="clear" w:color="auto" w:fill="auto"/>
            <w:tcMar>
              <w:top w:w="40" w:type="dxa"/>
              <w:left w:w="40" w:type="dxa"/>
              <w:bottom w:w="40" w:type="dxa"/>
              <w:right w:w="40" w:type="dxa"/>
            </w:tcMar>
            <w:vAlign w:val="bottom"/>
          </w:tcPr>
          <w:p w14:paraId="4ACE4FB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Mobileye</w:t>
            </w:r>
          </w:p>
        </w:tc>
        <w:tc>
          <w:tcPr>
            <w:tcW w:w="0" w:type="auto"/>
            <w:shd w:val="clear" w:color="auto" w:fill="auto"/>
            <w:tcMar>
              <w:top w:w="40" w:type="dxa"/>
              <w:left w:w="40" w:type="dxa"/>
              <w:bottom w:w="40" w:type="dxa"/>
              <w:right w:w="40" w:type="dxa"/>
            </w:tcMar>
            <w:vAlign w:val="bottom"/>
          </w:tcPr>
          <w:p w14:paraId="4ACE4FC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FC1"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10,290</w:t>
            </w:r>
          </w:p>
        </w:tc>
        <w:tc>
          <w:tcPr>
            <w:tcW w:w="0" w:type="auto"/>
            <w:shd w:val="clear" w:color="auto" w:fill="auto"/>
            <w:vAlign w:val="bottom"/>
          </w:tcPr>
          <w:p w14:paraId="4ACE4FC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FC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FC4"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4FC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FC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FC7"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4FC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FC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FCA"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4FC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FC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FCD"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10,290</w:t>
            </w:r>
          </w:p>
        </w:tc>
        <w:tc>
          <w:tcPr>
            <w:tcW w:w="0" w:type="auto"/>
            <w:shd w:val="clear" w:color="auto" w:fill="auto"/>
            <w:vAlign w:val="bottom"/>
          </w:tcPr>
          <w:p w14:paraId="4ACE4FCE" w14:textId="77777777" w:rsidR="006F587A" w:rsidRDefault="006F587A">
            <w:pPr>
              <w:textAlignment w:val="bottom"/>
              <w:rPr>
                <w:rFonts w:ascii="Times New Roman" w:hAnsi="Times New Roman"/>
                <w:sz w:val="20"/>
                <w:szCs w:val="20"/>
              </w:rPr>
            </w:pPr>
          </w:p>
        </w:tc>
      </w:tr>
      <w:tr w:rsidR="006F587A" w14:paraId="4ACE4FE0" w14:textId="77777777">
        <w:tc>
          <w:tcPr>
            <w:tcW w:w="0" w:type="auto"/>
            <w:shd w:val="clear" w:color="auto" w:fill="auto"/>
            <w:tcMar>
              <w:top w:w="40" w:type="dxa"/>
              <w:left w:w="40" w:type="dxa"/>
              <w:bottom w:w="40" w:type="dxa"/>
              <w:right w:w="40" w:type="dxa"/>
            </w:tcMar>
            <w:vAlign w:val="bottom"/>
          </w:tcPr>
          <w:p w14:paraId="4ACE4FD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Programmable Solutions Group</w:t>
            </w:r>
          </w:p>
        </w:tc>
        <w:tc>
          <w:tcPr>
            <w:tcW w:w="0" w:type="auto"/>
            <w:shd w:val="clear" w:color="auto" w:fill="auto"/>
            <w:tcMar>
              <w:top w:w="40" w:type="dxa"/>
              <w:left w:w="40" w:type="dxa"/>
              <w:bottom w:w="40" w:type="dxa"/>
              <w:right w:w="40" w:type="dxa"/>
            </w:tcMar>
            <w:vAlign w:val="bottom"/>
          </w:tcPr>
          <w:p w14:paraId="4ACE4FD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FD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2,579</w:t>
            </w:r>
          </w:p>
        </w:tc>
        <w:tc>
          <w:tcPr>
            <w:tcW w:w="0" w:type="auto"/>
            <w:shd w:val="clear" w:color="auto" w:fill="auto"/>
            <w:vAlign w:val="bottom"/>
          </w:tcPr>
          <w:p w14:paraId="4ACE4FD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FD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FD5"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67</w:t>
            </w:r>
          </w:p>
        </w:tc>
        <w:tc>
          <w:tcPr>
            <w:tcW w:w="0" w:type="auto"/>
            <w:shd w:val="clear" w:color="auto" w:fill="auto"/>
            <w:vAlign w:val="bottom"/>
          </w:tcPr>
          <w:p w14:paraId="4ACE4FD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FD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FD8"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4FD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FD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FDB"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8</w:t>
            </w:r>
          </w:p>
        </w:tc>
        <w:tc>
          <w:tcPr>
            <w:tcW w:w="0" w:type="auto"/>
            <w:shd w:val="clear" w:color="auto" w:fill="auto"/>
            <w:vAlign w:val="bottom"/>
          </w:tcPr>
          <w:p w14:paraId="4ACE4FD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FD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FDE"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2,681</w:t>
            </w:r>
          </w:p>
        </w:tc>
        <w:tc>
          <w:tcPr>
            <w:tcW w:w="0" w:type="auto"/>
            <w:shd w:val="clear" w:color="auto" w:fill="auto"/>
            <w:vAlign w:val="bottom"/>
          </w:tcPr>
          <w:p w14:paraId="4ACE4FDF" w14:textId="77777777" w:rsidR="006F587A" w:rsidRDefault="006F587A">
            <w:pPr>
              <w:textAlignment w:val="bottom"/>
              <w:rPr>
                <w:rFonts w:ascii="Times New Roman" w:hAnsi="Times New Roman"/>
                <w:sz w:val="20"/>
                <w:szCs w:val="20"/>
              </w:rPr>
            </w:pPr>
          </w:p>
        </w:tc>
      </w:tr>
      <w:tr w:rsidR="006F587A" w14:paraId="4ACE4FF1" w14:textId="77777777">
        <w:tc>
          <w:tcPr>
            <w:tcW w:w="0" w:type="auto"/>
            <w:shd w:val="clear" w:color="auto" w:fill="auto"/>
            <w:tcMar>
              <w:top w:w="40" w:type="dxa"/>
              <w:left w:w="40" w:type="dxa"/>
              <w:bottom w:w="40" w:type="dxa"/>
              <w:right w:w="40" w:type="dxa"/>
            </w:tcMar>
            <w:vAlign w:val="bottom"/>
          </w:tcPr>
          <w:p w14:paraId="4ACE4FE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Client Computing Group</w:t>
            </w:r>
          </w:p>
        </w:tc>
        <w:tc>
          <w:tcPr>
            <w:tcW w:w="0" w:type="auto"/>
            <w:shd w:val="clear" w:color="auto" w:fill="auto"/>
            <w:tcMar>
              <w:top w:w="40" w:type="dxa"/>
              <w:left w:w="40" w:type="dxa"/>
              <w:bottom w:w="40" w:type="dxa"/>
              <w:right w:w="40" w:type="dxa"/>
            </w:tcMar>
            <w:vAlign w:val="bottom"/>
          </w:tcPr>
          <w:p w14:paraId="4ACE4FE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FE3"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4,403</w:t>
            </w:r>
          </w:p>
        </w:tc>
        <w:tc>
          <w:tcPr>
            <w:tcW w:w="0" w:type="auto"/>
            <w:shd w:val="clear" w:color="auto" w:fill="auto"/>
            <w:vAlign w:val="bottom"/>
          </w:tcPr>
          <w:p w14:paraId="4ACE4FE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FE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FE6"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4FE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FE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FE9"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4FE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FE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FEC"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(70</w:t>
            </w:r>
          </w:p>
        </w:tc>
        <w:tc>
          <w:tcPr>
            <w:tcW w:w="0" w:type="auto"/>
            <w:shd w:val="clear" w:color="auto" w:fill="auto"/>
            <w:tcMar>
              <w:top w:w="40" w:type="dxa"/>
              <w:bottom w:w="40" w:type="dxa"/>
              <w:right w:w="40" w:type="dxa"/>
            </w:tcMar>
            <w:vAlign w:val="bottom"/>
          </w:tcPr>
          <w:p w14:paraId="4ACE4FED"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4FE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4FEF"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4,333</w:t>
            </w:r>
          </w:p>
        </w:tc>
        <w:tc>
          <w:tcPr>
            <w:tcW w:w="0" w:type="auto"/>
            <w:shd w:val="clear" w:color="auto" w:fill="auto"/>
            <w:vAlign w:val="bottom"/>
          </w:tcPr>
          <w:p w14:paraId="4ACE4FF0" w14:textId="77777777" w:rsidR="006F587A" w:rsidRDefault="006F587A">
            <w:pPr>
              <w:textAlignment w:val="bottom"/>
              <w:rPr>
                <w:rFonts w:ascii="Times New Roman" w:hAnsi="Times New Roman"/>
                <w:sz w:val="20"/>
                <w:szCs w:val="20"/>
              </w:rPr>
            </w:pPr>
          </w:p>
        </w:tc>
      </w:tr>
      <w:tr w:rsidR="006F587A" w14:paraId="4ACE5002" w14:textId="77777777">
        <w:tc>
          <w:tcPr>
            <w:tcW w:w="0" w:type="auto"/>
            <w:shd w:val="clear" w:color="auto" w:fill="auto"/>
            <w:tcMar>
              <w:top w:w="40" w:type="dxa"/>
              <w:left w:w="40" w:type="dxa"/>
              <w:bottom w:w="40" w:type="dxa"/>
              <w:right w:w="40" w:type="dxa"/>
            </w:tcMar>
            <w:vAlign w:val="bottom"/>
          </w:tcPr>
          <w:p w14:paraId="4ACE4FF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All other</w:t>
            </w:r>
          </w:p>
        </w:tc>
        <w:tc>
          <w:tcPr>
            <w:tcW w:w="0" w:type="auto"/>
            <w:shd w:val="clear" w:color="auto" w:fill="auto"/>
            <w:tcMar>
              <w:top w:w="40" w:type="dxa"/>
              <w:left w:w="40" w:type="dxa"/>
              <w:bottom w:w="40" w:type="dxa"/>
              <w:right w:w="40" w:type="dxa"/>
            </w:tcMar>
            <w:vAlign w:val="bottom"/>
          </w:tcPr>
          <w:p w14:paraId="4ACE4FF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4FF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238</w:t>
            </w:r>
          </w:p>
        </w:tc>
        <w:tc>
          <w:tcPr>
            <w:tcW w:w="0" w:type="auto"/>
            <w:tcBorders>
              <w:bottom w:val="single" w:sz="8" w:space="0" w:color="333333"/>
            </w:tcBorders>
            <w:shd w:val="clear" w:color="auto" w:fill="auto"/>
            <w:vAlign w:val="bottom"/>
          </w:tcPr>
          <w:p w14:paraId="4ACE4FF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FF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4FF7"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tcBorders>
              <w:bottom w:val="single" w:sz="8" w:space="0" w:color="333333"/>
            </w:tcBorders>
            <w:shd w:val="clear" w:color="auto" w:fill="auto"/>
            <w:vAlign w:val="bottom"/>
          </w:tcPr>
          <w:p w14:paraId="4ACE4FF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FF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4FFA"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tcBorders>
              <w:bottom w:val="single" w:sz="8" w:space="0" w:color="333333"/>
            </w:tcBorders>
            <w:shd w:val="clear" w:color="auto" w:fill="auto"/>
            <w:vAlign w:val="bottom"/>
          </w:tcPr>
          <w:p w14:paraId="4ACE4FF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FF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4FFD"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tcBorders>
              <w:bottom w:val="single" w:sz="8" w:space="0" w:color="333333"/>
            </w:tcBorders>
            <w:shd w:val="clear" w:color="auto" w:fill="auto"/>
            <w:vAlign w:val="bottom"/>
          </w:tcPr>
          <w:p w14:paraId="4ACE4FF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4FF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000"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238</w:t>
            </w:r>
          </w:p>
        </w:tc>
        <w:tc>
          <w:tcPr>
            <w:tcW w:w="0" w:type="auto"/>
            <w:tcBorders>
              <w:bottom w:val="single" w:sz="8" w:space="0" w:color="333333"/>
            </w:tcBorders>
            <w:shd w:val="clear" w:color="auto" w:fill="auto"/>
            <w:vAlign w:val="bottom"/>
          </w:tcPr>
          <w:p w14:paraId="4ACE5001" w14:textId="77777777" w:rsidR="006F587A" w:rsidRDefault="006F587A">
            <w:pPr>
              <w:textAlignment w:val="bottom"/>
              <w:rPr>
                <w:rFonts w:ascii="Times New Roman" w:hAnsi="Times New Roman"/>
                <w:sz w:val="20"/>
                <w:szCs w:val="20"/>
              </w:rPr>
            </w:pPr>
          </w:p>
        </w:tc>
      </w:tr>
      <w:tr w:rsidR="006F587A" w14:paraId="4ACE5018" w14:textId="77777777">
        <w:tc>
          <w:tcPr>
            <w:tcW w:w="0" w:type="auto"/>
            <w:shd w:val="clear" w:color="auto" w:fill="auto"/>
            <w:tcMar>
              <w:top w:w="40" w:type="dxa"/>
              <w:left w:w="40" w:type="dxa"/>
              <w:bottom w:w="40" w:type="dxa"/>
              <w:right w:w="40" w:type="dxa"/>
            </w:tcMar>
            <w:vAlign w:val="bottom"/>
          </w:tcPr>
          <w:p w14:paraId="4ACE5003"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Total</w:t>
            </w:r>
          </w:p>
        </w:tc>
        <w:tc>
          <w:tcPr>
            <w:tcW w:w="0" w:type="auto"/>
            <w:shd w:val="clear" w:color="auto" w:fill="auto"/>
            <w:tcMar>
              <w:top w:w="40" w:type="dxa"/>
              <w:left w:w="40" w:type="dxa"/>
              <w:bottom w:w="40" w:type="dxa"/>
              <w:right w:w="40" w:type="dxa"/>
            </w:tcMar>
            <w:vAlign w:val="bottom"/>
          </w:tcPr>
          <w:p w14:paraId="4ACE500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005"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006"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24,513</w:t>
            </w:r>
          </w:p>
        </w:tc>
        <w:tc>
          <w:tcPr>
            <w:tcW w:w="0" w:type="auto"/>
            <w:tcBorders>
              <w:top w:val="single" w:sz="8" w:space="0" w:color="333333"/>
              <w:bottom w:val="double" w:sz="6" w:space="0" w:color="333333"/>
            </w:tcBorders>
            <w:shd w:val="clear" w:color="auto" w:fill="auto"/>
            <w:vAlign w:val="bottom"/>
          </w:tcPr>
          <w:p w14:paraId="4ACE500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00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009"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00A"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1,825</w:t>
            </w:r>
          </w:p>
        </w:tc>
        <w:tc>
          <w:tcPr>
            <w:tcW w:w="0" w:type="auto"/>
            <w:tcBorders>
              <w:top w:val="single" w:sz="8" w:space="0" w:color="333333"/>
              <w:bottom w:val="double" w:sz="6" w:space="0" w:color="333333"/>
            </w:tcBorders>
            <w:shd w:val="clear" w:color="auto" w:fill="auto"/>
            <w:vAlign w:val="bottom"/>
          </w:tcPr>
          <w:p w14:paraId="4ACE500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00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00D"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00E"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vAlign w:val="bottom"/>
          </w:tcPr>
          <w:p w14:paraId="4ACE500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01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011"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012"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(62</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4ACE5013"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left w:w="40" w:type="dxa"/>
              <w:bottom w:w="40" w:type="dxa"/>
              <w:right w:w="40" w:type="dxa"/>
            </w:tcMar>
            <w:vAlign w:val="bottom"/>
          </w:tcPr>
          <w:p w14:paraId="4ACE501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015"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016"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26,276</w:t>
            </w:r>
          </w:p>
        </w:tc>
        <w:tc>
          <w:tcPr>
            <w:tcW w:w="0" w:type="auto"/>
            <w:tcBorders>
              <w:top w:val="single" w:sz="8" w:space="0" w:color="333333"/>
              <w:bottom w:val="double" w:sz="6" w:space="0" w:color="333333"/>
            </w:tcBorders>
            <w:shd w:val="clear" w:color="auto" w:fill="auto"/>
            <w:vAlign w:val="bottom"/>
          </w:tcPr>
          <w:p w14:paraId="4ACE5017" w14:textId="77777777" w:rsidR="006F587A" w:rsidRDefault="006F587A">
            <w:pPr>
              <w:textAlignment w:val="bottom"/>
              <w:rPr>
                <w:rFonts w:ascii="Times New Roman" w:hAnsi="Times New Roman"/>
                <w:sz w:val="20"/>
                <w:szCs w:val="20"/>
              </w:rPr>
            </w:pPr>
          </w:p>
        </w:tc>
      </w:tr>
    </w:tbl>
    <w:p w14:paraId="4ACE5019" w14:textId="77777777" w:rsidR="006F587A" w:rsidRDefault="006F587A">
      <w:pPr>
        <w:rPr>
          <w:vanish/>
        </w:rPr>
      </w:pPr>
    </w:p>
    <w:tbl>
      <w:tblPr>
        <w:tblW w:w="5000" w:type="pct"/>
        <w:tblCellMar>
          <w:left w:w="0" w:type="dxa"/>
          <w:right w:w="0" w:type="dxa"/>
        </w:tblCellMar>
        <w:tblLook w:val="04A0" w:firstRow="1" w:lastRow="0" w:firstColumn="1" w:lastColumn="0" w:noHBand="0" w:noVBand="1"/>
      </w:tblPr>
      <w:tblGrid>
        <w:gridCol w:w="2803"/>
        <w:gridCol w:w="130"/>
        <w:gridCol w:w="142"/>
        <w:gridCol w:w="727"/>
        <w:gridCol w:w="59"/>
        <w:gridCol w:w="130"/>
        <w:gridCol w:w="142"/>
        <w:gridCol w:w="968"/>
        <w:gridCol w:w="96"/>
        <w:gridCol w:w="130"/>
        <w:gridCol w:w="142"/>
        <w:gridCol w:w="750"/>
        <w:gridCol w:w="75"/>
        <w:gridCol w:w="130"/>
        <w:gridCol w:w="142"/>
        <w:gridCol w:w="580"/>
        <w:gridCol w:w="100"/>
        <w:gridCol w:w="130"/>
        <w:gridCol w:w="142"/>
        <w:gridCol w:w="729"/>
        <w:gridCol w:w="59"/>
      </w:tblGrid>
      <w:tr w:rsidR="006F587A" w14:paraId="4ACE501B" w14:textId="77777777">
        <w:tc>
          <w:tcPr>
            <w:tcW w:w="0" w:type="auto"/>
            <w:gridSpan w:val="21"/>
            <w:shd w:val="clear" w:color="auto" w:fill="auto"/>
            <w:vAlign w:val="center"/>
          </w:tcPr>
          <w:p w14:paraId="4ACE501A" w14:textId="77777777" w:rsidR="006F587A" w:rsidRDefault="006F587A">
            <w:pPr>
              <w:rPr>
                <w:rFonts w:ascii="Times New Roman" w:hAnsi="Times New Roman"/>
                <w:sz w:val="20"/>
                <w:szCs w:val="20"/>
              </w:rPr>
            </w:pPr>
          </w:p>
        </w:tc>
      </w:tr>
      <w:tr w:rsidR="006F587A" w14:paraId="4ACE5031" w14:textId="77777777">
        <w:tc>
          <w:tcPr>
            <w:tcW w:w="1750" w:type="pct"/>
            <w:shd w:val="clear" w:color="auto" w:fill="auto"/>
            <w:vAlign w:val="center"/>
          </w:tcPr>
          <w:p w14:paraId="4ACE501C" w14:textId="77777777" w:rsidR="006F587A" w:rsidRDefault="006F587A">
            <w:pPr>
              <w:rPr>
                <w:rFonts w:ascii="Times New Roman" w:hAnsi="Times New Roman"/>
                <w:sz w:val="20"/>
                <w:szCs w:val="20"/>
              </w:rPr>
            </w:pPr>
          </w:p>
        </w:tc>
        <w:tc>
          <w:tcPr>
            <w:tcW w:w="50" w:type="pct"/>
            <w:shd w:val="clear" w:color="auto" w:fill="auto"/>
            <w:vAlign w:val="center"/>
          </w:tcPr>
          <w:p w14:paraId="4ACE501D" w14:textId="77777777" w:rsidR="006F587A" w:rsidRDefault="006F587A">
            <w:pPr>
              <w:rPr>
                <w:rFonts w:ascii="Times New Roman" w:hAnsi="Times New Roman"/>
                <w:sz w:val="20"/>
                <w:szCs w:val="20"/>
              </w:rPr>
            </w:pPr>
          </w:p>
        </w:tc>
        <w:tc>
          <w:tcPr>
            <w:tcW w:w="50" w:type="pct"/>
            <w:shd w:val="clear" w:color="auto" w:fill="auto"/>
            <w:vAlign w:val="center"/>
          </w:tcPr>
          <w:p w14:paraId="4ACE501E" w14:textId="77777777" w:rsidR="006F587A" w:rsidRDefault="006F587A">
            <w:pPr>
              <w:rPr>
                <w:rFonts w:ascii="Times New Roman" w:hAnsi="Times New Roman"/>
                <w:sz w:val="20"/>
                <w:szCs w:val="20"/>
              </w:rPr>
            </w:pPr>
          </w:p>
        </w:tc>
        <w:tc>
          <w:tcPr>
            <w:tcW w:w="500" w:type="pct"/>
            <w:shd w:val="clear" w:color="auto" w:fill="auto"/>
            <w:vAlign w:val="center"/>
          </w:tcPr>
          <w:p w14:paraId="4ACE501F" w14:textId="77777777" w:rsidR="006F587A" w:rsidRDefault="006F587A">
            <w:pPr>
              <w:rPr>
                <w:rFonts w:ascii="Times New Roman" w:hAnsi="Times New Roman"/>
                <w:sz w:val="20"/>
                <w:szCs w:val="20"/>
              </w:rPr>
            </w:pPr>
          </w:p>
        </w:tc>
        <w:tc>
          <w:tcPr>
            <w:tcW w:w="50" w:type="pct"/>
            <w:shd w:val="clear" w:color="auto" w:fill="auto"/>
            <w:vAlign w:val="center"/>
          </w:tcPr>
          <w:p w14:paraId="4ACE5020" w14:textId="77777777" w:rsidR="006F587A" w:rsidRDefault="006F587A">
            <w:pPr>
              <w:rPr>
                <w:rFonts w:ascii="Times New Roman" w:hAnsi="Times New Roman"/>
                <w:sz w:val="20"/>
                <w:szCs w:val="20"/>
              </w:rPr>
            </w:pPr>
          </w:p>
        </w:tc>
        <w:tc>
          <w:tcPr>
            <w:tcW w:w="50" w:type="pct"/>
            <w:shd w:val="clear" w:color="auto" w:fill="auto"/>
            <w:vAlign w:val="center"/>
          </w:tcPr>
          <w:p w14:paraId="4ACE5021" w14:textId="77777777" w:rsidR="006F587A" w:rsidRDefault="006F587A">
            <w:pPr>
              <w:rPr>
                <w:rFonts w:ascii="Times New Roman" w:hAnsi="Times New Roman"/>
                <w:sz w:val="20"/>
                <w:szCs w:val="20"/>
              </w:rPr>
            </w:pPr>
          </w:p>
        </w:tc>
        <w:tc>
          <w:tcPr>
            <w:tcW w:w="50" w:type="pct"/>
            <w:shd w:val="clear" w:color="auto" w:fill="auto"/>
            <w:vAlign w:val="center"/>
          </w:tcPr>
          <w:p w14:paraId="4ACE5022" w14:textId="77777777" w:rsidR="006F587A" w:rsidRDefault="006F587A">
            <w:pPr>
              <w:rPr>
                <w:rFonts w:ascii="Times New Roman" w:hAnsi="Times New Roman"/>
                <w:sz w:val="20"/>
                <w:szCs w:val="20"/>
              </w:rPr>
            </w:pPr>
          </w:p>
        </w:tc>
        <w:tc>
          <w:tcPr>
            <w:tcW w:w="500" w:type="pct"/>
            <w:shd w:val="clear" w:color="auto" w:fill="auto"/>
            <w:vAlign w:val="center"/>
          </w:tcPr>
          <w:p w14:paraId="4ACE5023" w14:textId="77777777" w:rsidR="006F587A" w:rsidRDefault="006F587A">
            <w:pPr>
              <w:rPr>
                <w:rFonts w:ascii="Times New Roman" w:hAnsi="Times New Roman"/>
                <w:sz w:val="20"/>
                <w:szCs w:val="20"/>
              </w:rPr>
            </w:pPr>
          </w:p>
        </w:tc>
        <w:tc>
          <w:tcPr>
            <w:tcW w:w="50" w:type="pct"/>
            <w:shd w:val="clear" w:color="auto" w:fill="auto"/>
            <w:vAlign w:val="center"/>
          </w:tcPr>
          <w:p w14:paraId="4ACE5024" w14:textId="77777777" w:rsidR="006F587A" w:rsidRDefault="006F587A">
            <w:pPr>
              <w:rPr>
                <w:rFonts w:ascii="Times New Roman" w:hAnsi="Times New Roman"/>
                <w:sz w:val="20"/>
                <w:szCs w:val="20"/>
              </w:rPr>
            </w:pPr>
          </w:p>
        </w:tc>
        <w:tc>
          <w:tcPr>
            <w:tcW w:w="50" w:type="pct"/>
            <w:shd w:val="clear" w:color="auto" w:fill="auto"/>
            <w:vAlign w:val="center"/>
          </w:tcPr>
          <w:p w14:paraId="4ACE5025" w14:textId="77777777" w:rsidR="006F587A" w:rsidRDefault="006F587A">
            <w:pPr>
              <w:rPr>
                <w:rFonts w:ascii="Times New Roman" w:hAnsi="Times New Roman"/>
                <w:sz w:val="20"/>
                <w:szCs w:val="20"/>
              </w:rPr>
            </w:pPr>
          </w:p>
        </w:tc>
        <w:tc>
          <w:tcPr>
            <w:tcW w:w="50" w:type="pct"/>
            <w:shd w:val="clear" w:color="auto" w:fill="auto"/>
            <w:vAlign w:val="center"/>
          </w:tcPr>
          <w:p w14:paraId="4ACE5026" w14:textId="77777777" w:rsidR="006F587A" w:rsidRDefault="006F587A">
            <w:pPr>
              <w:rPr>
                <w:rFonts w:ascii="Times New Roman" w:hAnsi="Times New Roman"/>
                <w:sz w:val="20"/>
                <w:szCs w:val="20"/>
              </w:rPr>
            </w:pPr>
          </w:p>
        </w:tc>
        <w:tc>
          <w:tcPr>
            <w:tcW w:w="500" w:type="pct"/>
            <w:shd w:val="clear" w:color="auto" w:fill="auto"/>
            <w:vAlign w:val="center"/>
          </w:tcPr>
          <w:p w14:paraId="4ACE5027" w14:textId="77777777" w:rsidR="006F587A" w:rsidRDefault="006F587A">
            <w:pPr>
              <w:rPr>
                <w:rFonts w:ascii="Times New Roman" w:hAnsi="Times New Roman"/>
                <w:sz w:val="20"/>
                <w:szCs w:val="20"/>
              </w:rPr>
            </w:pPr>
          </w:p>
        </w:tc>
        <w:tc>
          <w:tcPr>
            <w:tcW w:w="50" w:type="pct"/>
            <w:shd w:val="clear" w:color="auto" w:fill="auto"/>
            <w:vAlign w:val="center"/>
          </w:tcPr>
          <w:p w14:paraId="4ACE5028" w14:textId="77777777" w:rsidR="006F587A" w:rsidRDefault="006F587A">
            <w:pPr>
              <w:rPr>
                <w:rFonts w:ascii="Times New Roman" w:hAnsi="Times New Roman"/>
                <w:sz w:val="20"/>
                <w:szCs w:val="20"/>
              </w:rPr>
            </w:pPr>
          </w:p>
        </w:tc>
        <w:tc>
          <w:tcPr>
            <w:tcW w:w="50" w:type="pct"/>
            <w:shd w:val="clear" w:color="auto" w:fill="auto"/>
            <w:vAlign w:val="center"/>
          </w:tcPr>
          <w:p w14:paraId="4ACE5029" w14:textId="77777777" w:rsidR="006F587A" w:rsidRDefault="006F587A">
            <w:pPr>
              <w:rPr>
                <w:rFonts w:ascii="Times New Roman" w:hAnsi="Times New Roman"/>
                <w:sz w:val="20"/>
                <w:szCs w:val="20"/>
              </w:rPr>
            </w:pPr>
          </w:p>
        </w:tc>
        <w:tc>
          <w:tcPr>
            <w:tcW w:w="50" w:type="pct"/>
            <w:shd w:val="clear" w:color="auto" w:fill="auto"/>
            <w:vAlign w:val="center"/>
          </w:tcPr>
          <w:p w14:paraId="4ACE502A" w14:textId="77777777" w:rsidR="006F587A" w:rsidRDefault="006F587A">
            <w:pPr>
              <w:rPr>
                <w:rFonts w:ascii="Times New Roman" w:hAnsi="Times New Roman"/>
                <w:sz w:val="20"/>
                <w:szCs w:val="20"/>
              </w:rPr>
            </w:pPr>
          </w:p>
        </w:tc>
        <w:tc>
          <w:tcPr>
            <w:tcW w:w="500" w:type="pct"/>
            <w:shd w:val="clear" w:color="auto" w:fill="auto"/>
            <w:vAlign w:val="center"/>
          </w:tcPr>
          <w:p w14:paraId="4ACE502B" w14:textId="77777777" w:rsidR="006F587A" w:rsidRDefault="006F587A">
            <w:pPr>
              <w:rPr>
                <w:rFonts w:ascii="Times New Roman" w:hAnsi="Times New Roman"/>
                <w:sz w:val="20"/>
                <w:szCs w:val="20"/>
              </w:rPr>
            </w:pPr>
          </w:p>
        </w:tc>
        <w:tc>
          <w:tcPr>
            <w:tcW w:w="50" w:type="pct"/>
            <w:shd w:val="clear" w:color="auto" w:fill="auto"/>
            <w:vAlign w:val="center"/>
          </w:tcPr>
          <w:p w14:paraId="4ACE502C" w14:textId="77777777" w:rsidR="006F587A" w:rsidRDefault="006F587A">
            <w:pPr>
              <w:rPr>
                <w:rFonts w:ascii="Times New Roman" w:hAnsi="Times New Roman"/>
                <w:sz w:val="20"/>
                <w:szCs w:val="20"/>
              </w:rPr>
            </w:pPr>
          </w:p>
        </w:tc>
        <w:tc>
          <w:tcPr>
            <w:tcW w:w="50" w:type="pct"/>
            <w:shd w:val="clear" w:color="auto" w:fill="auto"/>
            <w:vAlign w:val="center"/>
          </w:tcPr>
          <w:p w14:paraId="4ACE502D" w14:textId="77777777" w:rsidR="006F587A" w:rsidRDefault="006F587A">
            <w:pPr>
              <w:rPr>
                <w:rFonts w:ascii="Times New Roman" w:hAnsi="Times New Roman"/>
                <w:sz w:val="20"/>
                <w:szCs w:val="20"/>
              </w:rPr>
            </w:pPr>
          </w:p>
        </w:tc>
        <w:tc>
          <w:tcPr>
            <w:tcW w:w="50" w:type="pct"/>
            <w:shd w:val="clear" w:color="auto" w:fill="auto"/>
            <w:vAlign w:val="center"/>
          </w:tcPr>
          <w:p w14:paraId="4ACE502E" w14:textId="77777777" w:rsidR="006F587A" w:rsidRDefault="006F587A">
            <w:pPr>
              <w:rPr>
                <w:rFonts w:ascii="Times New Roman" w:hAnsi="Times New Roman"/>
                <w:sz w:val="20"/>
                <w:szCs w:val="20"/>
              </w:rPr>
            </w:pPr>
          </w:p>
        </w:tc>
        <w:tc>
          <w:tcPr>
            <w:tcW w:w="500" w:type="pct"/>
            <w:shd w:val="clear" w:color="auto" w:fill="auto"/>
            <w:vAlign w:val="center"/>
          </w:tcPr>
          <w:p w14:paraId="4ACE502F" w14:textId="77777777" w:rsidR="006F587A" w:rsidRDefault="006F587A">
            <w:pPr>
              <w:rPr>
                <w:rFonts w:ascii="Times New Roman" w:hAnsi="Times New Roman"/>
                <w:sz w:val="20"/>
                <w:szCs w:val="20"/>
              </w:rPr>
            </w:pPr>
          </w:p>
        </w:tc>
        <w:tc>
          <w:tcPr>
            <w:tcW w:w="50" w:type="pct"/>
            <w:shd w:val="clear" w:color="auto" w:fill="auto"/>
            <w:vAlign w:val="center"/>
          </w:tcPr>
          <w:p w14:paraId="4ACE5030" w14:textId="77777777" w:rsidR="006F587A" w:rsidRDefault="006F587A">
            <w:pPr>
              <w:rPr>
                <w:rFonts w:ascii="Times New Roman" w:hAnsi="Times New Roman"/>
                <w:sz w:val="20"/>
                <w:szCs w:val="20"/>
              </w:rPr>
            </w:pPr>
          </w:p>
        </w:tc>
      </w:tr>
      <w:tr w:rsidR="006F587A" w14:paraId="4ACE503D"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5032"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 xml:space="preserve">(In </w:t>
            </w:r>
            <w:r>
              <w:rPr>
                <w:rFonts w:ascii="Arial" w:eastAsia="宋体" w:hAnsi="Arial" w:cs="Arial"/>
                <w:b/>
                <w:bCs/>
                <w:color w:val="333333"/>
                <w:sz w:val="18"/>
                <w:szCs w:val="18"/>
              </w:rPr>
              <w:t>Millions)</w:t>
            </w:r>
          </w:p>
        </w:tc>
        <w:tc>
          <w:tcPr>
            <w:tcW w:w="0" w:type="auto"/>
            <w:shd w:val="clear" w:color="auto" w:fill="auto"/>
            <w:tcMar>
              <w:top w:w="40" w:type="dxa"/>
              <w:left w:w="40" w:type="dxa"/>
              <w:bottom w:w="40" w:type="dxa"/>
              <w:right w:w="40" w:type="dxa"/>
            </w:tcMar>
            <w:vAlign w:val="bottom"/>
          </w:tcPr>
          <w:p w14:paraId="4ACE503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034"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30, </w:t>
            </w:r>
            <w:r>
              <w:rPr>
                <w:rFonts w:ascii="Arial" w:eastAsia="宋体" w:hAnsi="Arial" w:cs="Arial"/>
                <w:b/>
                <w:bCs/>
                <w:color w:val="333333"/>
                <w:sz w:val="18"/>
                <w:szCs w:val="18"/>
              </w:rPr>
              <w:br/>
              <w:t>2017</w:t>
            </w:r>
          </w:p>
        </w:tc>
        <w:tc>
          <w:tcPr>
            <w:tcW w:w="0" w:type="auto"/>
            <w:shd w:val="clear" w:color="auto" w:fill="auto"/>
            <w:tcMar>
              <w:top w:w="40" w:type="dxa"/>
              <w:left w:w="40" w:type="dxa"/>
              <w:bottom w:w="40" w:type="dxa"/>
              <w:right w:w="40" w:type="dxa"/>
            </w:tcMar>
            <w:vAlign w:val="bottom"/>
          </w:tcPr>
          <w:p w14:paraId="4ACE503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036"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Acquisitions</w:t>
            </w:r>
          </w:p>
        </w:tc>
        <w:tc>
          <w:tcPr>
            <w:tcW w:w="0" w:type="auto"/>
            <w:shd w:val="clear" w:color="auto" w:fill="auto"/>
            <w:tcMar>
              <w:top w:w="40" w:type="dxa"/>
              <w:left w:w="40" w:type="dxa"/>
              <w:bottom w:w="40" w:type="dxa"/>
              <w:right w:w="40" w:type="dxa"/>
            </w:tcMar>
            <w:vAlign w:val="bottom"/>
          </w:tcPr>
          <w:p w14:paraId="4ACE503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038"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Transfers</w:t>
            </w:r>
          </w:p>
        </w:tc>
        <w:tc>
          <w:tcPr>
            <w:tcW w:w="0" w:type="auto"/>
            <w:shd w:val="clear" w:color="auto" w:fill="auto"/>
            <w:tcMar>
              <w:top w:w="40" w:type="dxa"/>
              <w:left w:w="40" w:type="dxa"/>
              <w:bottom w:w="40" w:type="dxa"/>
              <w:right w:w="40" w:type="dxa"/>
            </w:tcMar>
            <w:vAlign w:val="bottom"/>
          </w:tcPr>
          <w:p w14:paraId="4ACE503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03A"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Other</w:t>
            </w:r>
          </w:p>
        </w:tc>
        <w:tc>
          <w:tcPr>
            <w:tcW w:w="0" w:type="auto"/>
            <w:shd w:val="clear" w:color="auto" w:fill="auto"/>
            <w:tcMar>
              <w:top w:w="40" w:type="dxa"/>
              <w:left w:w="40" w:type="dxa"/>
              <w:bottom w:w="40" w:type="dxa"/>
              <w:right w:w="40" w:type="dxa"/>
            </w:tcMar>
            <w:vAlign w:val="bottom"/>
          </w:tcPr>
          <w:p w14:paraId="4ACE503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03C"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29, </w:t>
            </w:r>
            <w:r>
              <w:rPr>
                <w:rFonts w:ascii="Arial" w:eastAsia="宋体" w:hAnsi="Arial" w:cs="Arial"/>
                <w:b/>
                <w:bCs/>
                <w:color w:val="333333"/>
                <w:sz w:val="18"/>
                <w:szCs w:val="18"/>
              </w:rPr>
              <w:br/>
              <w:t>2018</w:t>
            </w:r>
          </w:p>
        </w:tc>
      </w:tr>
      <w:tr w:rsidR="006F587A" w14:paraId="4ACE5053" w14:textId="77777777">
        <w:tc>
          <w:tcPr>
            <w:tcW w:w="0" w:type="auto"/>
            <w:tcBorders>
              <w:top w:val="single" w:sz="8" w:space="0" w:color="0071C5"/>
            </w:tcBorders>
            <w:shd w:val="clear" w:color="auto" w:fill="auto"/>
            <w:tcMar>
              <w:top w:w="40" w:type="dxa"/>
              <w:left w:w="40" w:type="dxa"/>
              <w:bottom w:w="40" w:type="dxa"/>
              <w:right w:w="40" w:type="dxa"/>
            </w:tcMar>
            <w:vAlign w:val="bottom"/>
          </w:tcPr>
          <w:p w14:paraId="4ACE503E"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Data Center Group</w:t>
            </w:r>
          </w:p>
        </w:tc>
        <w:tc>
          <w:tcPr>
            <w:tcW w:w="0" w:type="auto"/>
            <w:shd w:val="clear" w:color="auto" w:fill="auto"/>
            <w:tcMar>
              <w:top w:w="40" w:type="dxa"/>
              <w:left w:w="40" w:type="dxa"/>
              <w:bottom w:w="40" w:type="dxa"/>
              <w:right w:w="40" w:type="dxa"/>
            </w:tcMar>
            <w:vAlign w:val="bottom"/>
          </w:tcPr>
          <w:p w14:paraId="4ACE503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504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tcMar>
            <w:vAlign w:val="bottom"/>
          </w:tcPr>
          <w:p w14:paraId="4ACE5041"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5,421</w:t>
            </w:r>
          </w:p>
        </w:tc>
        <w:tc>
          <w:tcPr>
            <w:tcW w:w="0" w:type="auto"/>
            <w:tcBorders>
              <w:top w:val="single" w:sz="8" w:space="0" w:color="0071C5"/>
            </w:tcBorders>
            <w:shd w:val="clear" w:color="auto" w:fill="auto"/>
            <w:vAlign w:val="bottom"/>
          </w:tcPr>
          <w:p w14:paraId="4ACE504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04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504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tcMar>
            <w:vAlign w:val="bottom"/>
          </w:tcPr>
          <w:p w14:paraId="4ACE5045"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w:t>
            </w:r>
          </w:p>
        </w:tc>
        <w:tc>
          <w:tcPr>
            <w:tcW w:w="0" w:type="auto"/>
            <w:tcBorders>
              <w:top w:val="single" w:sz="8" w:space="0" w:color="0071C5"/>
            </w:tcBorders>
            <w:shd w:val="clear" w:color="auto" w:fill="auto"/>
            <w:vAlign w:val="bottom"/>
          </w:tcPr>
          <w:p w14:paraId="4ACE504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04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504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tcMar>
            <w:vAlign w:val="bottom"/>
          </w:tcPr>
          <w:p w14:paraId="4ACE504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tcBorders>
              <w:top w:val="single" w:sz="8" w:space="0" w:color="0071C5"/>
            </w:tcBorders>
            <w:shd w:val="clear" w:color="auto" w:fill="auto"/>
            <w:vAlign w:val="bottom"/>
          </w:tcPr>
          <w:p w14:paraId="4ACE504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04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504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tcMar>
            <w:vAlign w:val="bottom"/>
          </w:tcPr>
          <w:p w14:paraId="4ACE504D"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tcBorders>
              <w:top w:val="single" w:sz="8" w:space="0" w:color="0071C5"/>
            </w:tcBorders>
            <w:shd w:val="clear" w:color="auto" w:fill="auto"/>
            <w:vAlign w:val="bottom"/>
          </w:tcPr>
          <w:p w14:paraId="4ACE504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04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505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tcMar>
            <w:vAlign w:val="bottom"/>
          </w:tcPr>
          <w:p w14:paraId="4ACE5051"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5,424</w:t>
            </w:r>
          </w:p>
        </w:tc>
        <w:tc>
          <w:tcPr>
            <w:tcW w:w="0" w:type="auto"/>
            <w:tcBorders>
              <w:top w:val="single" w:sz="8" w:space="0" w:color="0071C5"/>
            </w:tcBorders>
            <w:shd w:val="clear" w:color="auto" w:fill="auto"/>
            <w:vAlign w:val="bottom"/>
          </w:tcPr>
          <w:p w14:paraId="4ACE5052" w14:textId="77777777" w:rsidR="006F587A" w:rsidRDefault="006F587A">
            <w:pPr>
              <w:textAlignment w:val="bottom"/>
              <w:rPr>
                <w:rFonts w:ascii="Times New Roman" w:hAnsi="Times New Roman"/>
                <w:sz w:val="20"/>
                <w:szCs w:val="20"/>
              </w:rPr>
            </w:pPr>
          </w:p>
        </w:tc>
      </w:tr>
      <w:tr w:rsidR="006F587A" w14:paraId="4ACE5062" w14:textId="77777777">
        <w:tc>
          <w:tcPr>
            <w:tcW w:w="0" w:type="auto"/>
            <w:shd w:val="clear" w:color="auto" w:fill="auto"/>
            <w:tcMar>
              <w:top w:w="40" w:type="dxa"/>
              <w:left w:w="40" w:type="dxa"/>
              <w:bottom w:w="40" w:type="dxa"/>
              <w:right w:w="40" w:type="dxa"/>
            </w:tcMar>
            <w:vAlign w:val="bottom"/>
          </w:tcPr>
          <w:p w14:paraId="4ACE505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Internet of Things Group </w:t>
            </w:r>
          </w:p>
        </w:tc>
        <w:tc>
          <w:tcPr>
            <w:tcW w:w="0" w:type="auto"/>
            <w:shd w:val="clear" w:color="auto" w:fill="auto"/>
            <w:tcMar>
              <w:top w:w="40" w:type="dxa"/>
              <w:left w:w="40" w:type="dxa"/>
              <w:bottom w:w="40" w:type="dxa"/>
              <w:right w:w="40" w:type="dxa"/>
            </w:tcMar>
            <w:vAlign w:val="bottom"/>
          </w:tcPr>
          <w:p w14:paraId="4ACE505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05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1,126</w:t>
            </w:r>
          </w:p>
        </w:tc>
        <w:tc>
          <w:tcPr>
            <w:tcW w:w="0" w:type="auto"/>
            <w:shd w:val="clear" w:color="auto" w:fill="auto"/>
            <w:vAlign w:val="bottom"/>
          </w:tcPr>
          <w:p w14:paraId="4ACE505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05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05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16</w:t>
            </w:r>
          </w:p>
        </w:tc>
        <w:tc>
          <w:tcPr>
            <w:tcW w:w="0" w:type="auto"/>
            <w:shd w:val="clear" w:color="auto" w:fill="auto"/>
            <w:tcMar>
              <w:top w:w="40" w:type="dxa"/>
              <w:left w:w="40" w:type="dxa"/>
              <w:bottom w:w="40" w:type="dxa"/>
              <w:right w:w="40" w:type="dxa"/>
            </w:tcMar>
            <w:vAlign w:val="bottom"/>
          </w:tcPr>
          <w:p w14:paraId="4ACE505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05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480</w:t>
            </w:r>
          </w:p>
        </w:tc>
        <w:tc>
          <w:tcPr>
            <w:tcW w:w="0" w:type="auto"/>
            <w:shd w:val="clear" w:color="auto" w:fill="auto"/>
            <w:vAlign w:val="bottom"/>
          </w:tcPr>
          <w:p w14:paraId="4ACE505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05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05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(43</w:t>
            </w:r>
          </w:p>
        </w:tc>
        <w:tc>
          <w:tcPr>
            <w:tcW w:w="0" w:type="auto"/>
            <w:shd w:val="clear" w:color="auto" w:fill="auto"/>
            <w:tcMar>
              <w:top w:w="40" w:type="dxa"/>
              <w:bottom w:w="40" w:type="dxa"/>
              <w:right w:w="40" w:type="dxa"/>
            </w:tcMar>
            <w:vAlign w:val="bottom"/>
          </w:tcPr>
          <w:p w14:paraId="4ACE505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506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061"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1,579</w:t>
            </w:r>
          </w:p>
        </w:tc>
      </w:tr>
      <w:tr w:rsidR="006F587A" w14:paraId="4ACE5071" w14:textId="77777777">
        <w:tc>
          <w:tcPr>
            <w:tcW w:w="0" w:type="auto"/>
            <w:shd w:val="clear" w:color="auto" w:fill="auto"/>
            <w:tcMar>
              <w:top w:w="40" w:type="dxa"/>
              <w:left w:w="40" w:type="dxa"/>
              <w:bottom w:w="40" w:type="dxa"/>
              <w:right w:w="40" w:type="dxa"/>
            </w:tcMar>
            <w:vAlign w:val="bottom"/>
          </w:tcPr>
          <w:p w14:paraId="4ACE506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Mobileye</w:t>
            </w:r>
          </w:p>
        </w:tc>
        <w:tc>
          <w:tcPr>
            <w:tcW w:w="0" w:type="auto"/>
            <w:shd w:val="clear" w:color="auto" w:fill="auto"/>
            <w:tcMar>
              <w:top w:w="40" w:type="dxa"/>
              <w:left w:w="40" w:type="dxa"/>
              <w:bottom w:w="40" w:type="dxa"/>
              <w:right w:w="40" w:type="dxa"/>
            </w:tcMar>
            <w:vAlign w:val="bottom"/>
          </w:tcPr>
          <w:p w14:paraId="4ACE506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065"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10,278</w:t>
            </w:r>
          </w:p>
        </w:tc>
        <w:tc>
          <w:tcPr>
            <w:tcW w:w="0" w:type="auto"/>
            <w:shd w:val="clear" w:color="auto" w:fill="auto"/>
            <w:vAlign w:val="bottom"/>
          </w:tcPr>
          <w:p w14:paraId="4ACE506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06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06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7</w:t>
            </w:r>
          </w:p>
        </w:tc>
        <w:tc>
          <w:tcPr>
            <w:tcW w:w="0" w:type="auto"/>
            <w:shd w:val="clear" w:color="auto" w:fill="auto"/>
            <w:tcMar>
              <w:top w:w="40" w:type="dxa"/>
              <w:left w:w="40" w:type="dxa"/>
              <w:bottom w:w="40" w:type="dxa"/>
              <w:right w:w="40" w:type="dxa"/>
            </w:tcMar>
            <w:vAlign w:val="bottom"/>
          </w:tcPr>
          <w:p w14:paraId="4ACE506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06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06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06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06D"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5</w:t>
            </w:r>
          </w:p>
        </w:tc>
        <w:tc>
          <w:tcPr>
            <w:tcW w:w="0" w:type="auto"/>
            <w:shd w:val="clear" w:color="auto" w:fill="auto"/>
            <w:vAlign w:val="bottom"/>
          </w:tcPr>
          <w:p w14:paraId="4ACE506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06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070"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10,290</w:t>
            </w:r>
          </w:p>
        </w:tc>
      </w:tr>
      <w:tr w:rsidR="006F587A" w14:paraId="4ACE5080" w14:textId="77777777">
        <w:tc>
          <w:tcPr>
            <w:tcW w:w="0" w:type="auto"/>
            <w:shd w:val="clear" w:color="auto" w:fill="auto"/>
            <w:tcMar>
              <w:top w:w="40" w:type="dxa"/>
              <w:left w:w="40" w:type="dxa"/>
              <w:bottom w:w="40" w:type="dxa"/>
              <w:right w:w="40" w:type="dxa"/>
            </w:tcMar>
            <w:vAlign w:val="bottom"/>
          </w:tcPr>
          <w:p w14:paraId="4ACE507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Programmable Solutions Group </w:t>
            </w:r>
          </w:p>
        </w:tc>
        <w:tc>
          <w:tcPr>
            <w:tcW w:w="0" w:type="auto"/>
            <w:shd w:val="clear" w:color="auto" w:fill="auto"/>
            <w:tcMar>
              <w:top w:w="40" w:type="dxa"/>
              <w:left w:w="40" w:type="dxa"/>
              <w:bottom w:w="40" w:type="dxa"/>
              <w:right w:w="40" w:type="dxa"/>
            </w:tcMar>
            <w:vAlign w:val="bottom"/>
          </w:tcPr>
          <w:p w14:paraId="4ACE507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07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2,490</w:t>
            </w:r>
          </w:p>
        </w:tc>
        <w:tc>
          <w:tcPr>
            <w:tcW w:w="0" w:type="auto"/>
            <w:shd w:val="clear" w:color="auto" w:fill="auto"/>
            <w:vAlign w:val="bottom"/>
          </w:tcPr>
          <w:p w14:paraId="4ACE507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07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07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89</w:t>
            </w:r>
          </w:p>
        </w:tc>
        <w:tc>
          <w:tcPr>
            <w:tcW w:w="0" w:type="auto"/>
            <w:shd w:val="clear" w:color="auto" w:fill="auto"/>
            <w:tcMar>
              <w:top w:w="40" w:type="dxa"/>
              <w:left w:w="40" w:type="dxa"/>
              <w:bottom w:w="40" w:type="dxa"/>
              <w:right w:w="40" w:type="dxa"/>
            </w:tcMar>
            <w:vAlign w:val="bottom"/>
          </w:tcPr>
          <w:p w14:paraId="4ACE507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07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07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07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07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07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07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07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2,579</w:t>
            </w:r>
          </w:p>
        </w:tc>
      </w:tr>
      <w:tr w:rsidR="006F587A" w14:paraId="4ACE508F" w14:textId="77777777">
        <w:tc>
          <w:tcPr>
            <w:tcW w:w="0" w:type="auto"/>
            <w:shd w:val="clear" w:color="auto" w:fill="auto"/>
            <w:tcMar>
              <w:top w:w="40" w:type="dxa"/>
              <w:left w:w="40" w:type="dxa"/>
              <w:bottom w:w="40" w:type="dxa"/>
              <w:right w:w="40" w:type="dxa"/>
            </w:tcMar>
            <w:vAlign w:val="bottom"/>
          </w:tcPr>
          <w:p w14:paraId="4ACE508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Client Computing Group</w:t>
            </w:r>
          </w:p>
        </w:tc>
        <w:tc>
          <w:tcPr>
            <w:tcW w:w="0" w:type="auto"/>
            <w:shd w:val="clear" w:color="auto" w:fill="auto"/>
            <w:tcMar>
              <w:top w:w="40" w:type="dxa"/>
              <w:left w:w="40" w:type="dxa"/>
              <w:bottom w:w="40" w:type="dxa"/>
              <w:right w:w="40" w:type="dxa"/>
            </w:tcMar>
            <w:vAlign w:val="bottom"/>
          </w:tcPr>
          <w:p w14:paraId="4ACE508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083"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4,356</w:t>
            </w:r>
          </w:p>
        </w:tc>
        <w:tc>
          <w:tcPr>
            <w:tcW w:w="0" w:type="auto"/>
            <w:shd w:val="clear" w:color="auto" w:fill="auto"/>
            <w:vAlign w:val="bottom"/>
          </w:tcPr>
          <w:p w14:paraId="4ACE508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08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08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47</w:t>
            </w:r>
          </w:p>
        </w:tc>
        <w:tc>
          <w:tcPr>
            <w:tcW w:w="0" w:type="auto"/>
            <w:shd w:val="clear" w:color="auto" w:fill="auto"/>
            <w:tcMar>
              <w:top w:w="40" w:type="dxa"/>
              <w:left w:w="40" w:type="dxa"/>
              <w:bottom w:w="40" w:type="dxa"/>
              <w:right w:w="40" w:type="dxa"/>
            </w:tcMar>
            <w:vAlign w:val="bottom"/>
          </w:tcPr>
          <w:p w14:paraId="4ACE508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08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08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08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08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08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08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08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4,403</w:t>
            </w:r>
          </w:p>
        </w:tc>
      </w:tr>
      <w:tr w:rsidR="006F587A" w14:paraId="4ACE509E" w14:textId="77777777">
        <w:tc>
          <w:tcPr>
            <w:tcW w:w="0" w:type="auto"/>
            <w:shd w:val="clear" w:color="auto" w:fill="auto"/>
            <w:tcMar>
              <w:top w:w="40" w:type="dxa"/>
              <w:left w:w="40" w:type="dxa"/>
              <w:bottom w:w="40" w:type="dxa"/>
              <w:right w:w="40" w:type="dxa"/>
            </w:tcMar>
            <w:vAlign w:val="bottom"/>
          </w:tcPr>
          <w:p w14:paraId="4ACE509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All other</w:t>
            </w:r>
          </w:p>
        </w:tc>
        <w:tc>
          <w:tcPr>
            <w:tcW w:w="0" w:type="auto"/>
            <w:shd w:val="clear" w:color="auto" w:fill="auto"/>
            <w:tcMar>
              <w:top w:w="40" w:type="dxa"/>
              <w:left w:w="40" w:type="dxa"/>
              <w:bottom w:w="40" w:type="dxa"/>
              <w:right w:w="40" w:type="dxa"/>
            </w:tcMar>
            <w:vAlign w:val="bottom"/>
          </w:tcPr>
          <w:p w14:paraId="4ACE509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09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718</w:t>
            </w:r>
          </w:p>
        </w:tc>
        <w:tc>
          <w:tcPr>
            <w:tcW w:w="0" w:type="auto"/>
            <w:shd w:val="clear" w:color="auto" w:fill="auto"/>
            <w:vAlign w:val="bottom"/>
          </w:tcPr>
          <w:p w14:paraId="4ACE509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09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095"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09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09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09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(480)</w:t>
            </w:r>
          </w:p>
        </w:tc>
        <w:tc>
          <w:tcPr>
            <w:tcW w:w="0" w:type="auto"/>
            <w:shd w:val="clear" w:color="auto" w:fill="auto"/>
            <w:tcMar>
              <w:top w:w="40" w:type="dxa"/>
              <w:left w:w="40" w:type="dxa"/>
              <w:bottom w:w="40" w:type="dxa"/>
              <w:right w:w="40" w:type="dxa"/>
            </w:tcMar>
            <w:vAlign w:val="bottom"/>
          </w:tcPr>
          <w:p w14:paraId="4ACE509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09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09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09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09D"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238</w:t>
            </w:r>
          </w:p>
        </w:tc>
      </w:tr>
      <w:tr w:rsidR="006F587A" w14:paraId="4ACE50B4" w14:textId="77777777">
        <w:tc>
          <w:tcPr>
            <w:tcW w:w="0" w:type="auto"/>
            <w:shd w:val="clear" w:color="auto" w:fill="auto"/>
            <w:tcMar>
              <w:top w:w="40" w:type="dxa"/>
              <w:left w:w="40" w:type="dxa"/>
              <w:bottom w:w="40" w:type="dxa"/>
              <w:right w:w="40" w:type="dxa"/>
            </w:tcMar>
            <w:vAlign w:val="bottom"/>
          </w:tcPr>
          <w:p w14:paraId="4ACE509F"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Total</w:t>
            </w:r>
          </w:p>
        </w:tc>
        <w:tc>
          <w:tcPr>
            <w:tcW w:w="0" w:type="auto"/>
            <w:shd w:val="clear" w:color="auto" w:fill="auto"/>
            <w:tcMar>
              <w:top w:w="40" w:type="dxa"/>
              <w:left w:w="40" w:type="dxa"/>
              <w:bottom w:w="40" w:type="dxa"/>
              <w:right w:w="40" w:type="dxa"/>
            </w:tcMar>
            <w:vAlign w:val="bottom"/>
          </w:tcPr>
          <w:p w14:paraId="4ACE50A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0A1"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0A2"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24,389</w:t>
            </w:r>
          </w:p>
        </w:tc>
        <w:tc>
          <w:tcPr>
            <w:tcW w:w="0" w:type="auto"/>
            <w:tcBorders>
              <w:top w:val="single" w:sz="8" w:space="0" w:color="333333"/>
              <w:bottom w:val="double" w:sz="6" w:space="0" w:color="333333"/>
            </w:tcBorders>
            <w:shd w:val="clear" w:color="auto" w:fill="auto"/>
            <w:vAlign w:val="bottom"/>
          </w:tcPr>
          <w:p w14:paraId="4ACE50A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0A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0A5"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0A6"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162</w:t>
            </w:r>
          </w:p>
        </w:tc>
        <w:tc>
          <w:tcPr>
            <w:tcW w:w="0" w:type="auto"/>
            <w:tcBorders>
              <w:top w:val="single" w:sz="8" w:space="0" w:color="333333"/>
              <w:bottom w:val="double" w:sz="6" w:space="0" w:color="333333"/>
            </w:tcBorders>
            <w:shd w:val="clear" w:color="auto" w:fill="auto"/>
            <w:vAlign w:val="bottom"/>
          </w:tcPr>
          <w:p w14:paraId="4ACE50A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0A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0A9"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0AA"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vAlign w:val="bottom"/>
          </w:tcPr>
          <w:p w14:paraId="4ACE50A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0A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0AD"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0AE"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(38</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4ACE50AF"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4ACE50B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0B1"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0B2"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24,513</w:t>
            </w:r>
          </w:p>
        </w:tc>
        <w:tc>
          <w:tcPr>
            <w:tcW w:w="0" w:type="auto"/>
            <w:tcBorders>
              <w:top w:val="single" w:sz="8" w:space="0" w:color="333333"/>
              <w:bottom w:val="double" w:sz="6" w:space="0" w:color="333333"/>
            </w:tcBorders>
            <w:shd w:val="clear" w:color="auto" w:fill="auto"/>
            <w:vAlign w:val="bottom"/>
          </w:tcPr>
          <w:p w14:paraId="4ACE50B3" w14:textId="77777777" w:rsidR="006F587A" w:rsidRDefault="006F587A">
            <w:pPr>
              <w:textAlignment w:val="bottom"/>
              <w:rPr>
                <w:rFonts w:ascii="Times New Roman" w:hAnsi="Times New Roman"/>
                <w:sz w:val="20"/>
                <w:szCs w:val="20"/>
              </w:rPr>
            </w:pPr>
          </w:p>
        </w:tc>
      </w:tr>
    </w:tbl>
    <w:p w14:paraId="4ACE50B5"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During the third quarter of 2018, we made an organizational change to combine our AI investments in edge computing with IOTG; accordingly, approximately $480 million of </w:t>
      </w:r>
      <w:r>
        <w:rPr>
          <w:rFonts w:ascii="Arial" w:eastAsia="宋体" w:hAnsi="Arial" w:cs="Arial"/>
          <w:color w:val="333333"/>
          <w:sz w:val="18"/>
          <w:szCs w:val="18"/>
        </w:rPr>
        <w:t xml:space="preserve">goodwill was reallocated from "all other" to the IOTG operating segment. </w:t>
      </w:r>
    </w:p>
    <w:p w14:paraId="4ACE50B6"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lastRenderedPageBreak/>
        <w:t xml:space="preserve">During the fourth quarters of 2019 and 2018, we completed our annual impairment assessments and we concluded that goodwill was not impaired in either of these years. The accumulated </w:t>
      </w:r>
      <w:r>
        <w:rPr>
          <w:rFonts w:ascii="Arial" w:eastAsia="宋体" w:hAnsi="Arial" w:cs="Arial"/>
          <w:color w:val="333333"/>
          <w:sz w:val="18"/>
          <w:szCs w:val="18"/>
        </w:rPr>
        <w:t xml:space="preserve">impairment loss as of December 28, 2019 was $719 million: $365 million associated with CCG, $275 million associated with DCG, and $79 million associated with IOTG. </w:t>
      </w:r>
    </w:p>
    <w:p w14:paraId="4ACE50B7"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50B9" w14:textId="77777777">
        <w:tc>
          <w:tcPr>
            <w:tcW w:w="0" w:type="auto"/>
            <w:gridSpan w:val="3"/>
            <w:shd w:val="clear" w:color="auto" w:fill="auto"/>
            <w:vAlign w:val="center"/>
          </w:tcPr>
          <w:p w14:paraId="4ACE50B8" w14:textId="77777777" w:rsidR="006F587A" w:rsidRDefault="006F587A">
            <w:pPr>
              <w:rPr>
                <w:rFonts w:ascii="Times New Roman" w:hAnsi="Times New Roman"/>
                <w:sz w:val="20"/>
                <w:szCs w:val="20"/>
              </w:rPr>
            </w:pPr>
          </w:p>
        </w:tc>
      </w:tr>
      <w:tr w:rsidR="006F587A" w14:paraId="4ACE50BD" w14:textId="77777777">
        <w:tc>
          <w:tcPr>
            <w:tcW w:w="1300" w:type="pct"/>
            <w:shd w:val="clear" w:color="auto" w:fill="auto"/>
            <w:vAlign w:val="center"/>
          </w:tcPr>
          <w:p w14:paraId="4ACE50BA" w14:textId="77777777" w:rsidR="006F587A" w:rsidRDefault="006F587A">
            <w:pPr>
              <w:rPr>
                <w:rFonts w:ascii="Times New Roman" w:hAnsi="Times New Roman"/>
                <w:sz w:val="20"/>
                <w:szCs w:val="20"/>
              </w:rPr>
            </w:pPr>
          </w:p>
        </w:tc>
        <w:tc>
          <w:tcPr>
            <w:tcW w:w="1600" w:type="pct"/>
            <w:shd w:val="clear" w:color="auto" w:fill="auto"/>
            <w:vAlign w:val="center"/>
          </w:tcPr>
          <w:p w14:paraId="4ACE50BB" w14:textId="77777777" w:rsidR="006F587A" w:rsidRDefault="006F587A">
            <w:pPr>
              <w:rPr>
                <w:rFonts w:ascii="Times New Roman" w:hAnsi="Times New Roman"/>
                <w:sz w:val="20"/>
                <w:szCs w:val="20"/>
              </w:rPr>
            </w:pPr>
          </w:p>
        </w:tc>
        <w:tc>
          <w:tcPr>
            <w:tcW w:w="2100" w:type="pct"/>
            <w:shd w:val="clear" w:color="auto" w:fill="auto"/>
            <w:vAlign w:val="center"/>
          </w:tcPr>
          <w:p w14:paraId="4ACE50BC" w14:textId="77777777" w:rsidR="006F587A" w:rsidRDefault="006F587A">
            <w:pPr>
              <w:rPr>
                <w:rFonts w:ascii="Times New Roman" w:hAnsi="Times New Roman"/>
                <w:sz w:val="20"/>
                <w:szCs w:val="20"/>
              </w:rPr>
            </w:pPr>
          </w:p>
        </w:tc>
      </w:tr>
      <w:tr w:rsidR="006F587A" w14:paraId="4ACE50C1" w14:textId="77777777">
        <w:tc>
          <w:tcPr>
            <w:tcW w:w="0" w:type="auto"/>
            <w:tcBorders>
              <w:top w:val="single" w:sz="8" w:space="0" w:color="0071C5"/>
            </w:tcBorders>
            <w:shd w:val="clear" w:color="auto" w:fill="auto"/>
            <w:tcMar>
              <w:top w:w="40" w:type="dxa"/>
              <w:left w:w="40" w:type="dxa"/>
              <w:bottom w:w="40" w:type="dxa"/>
              <w:right w:w="40" w:type="dxa"/>
            </w:tcMar>
            <w:vAlign w:val="bottom"/>
          </w:tcPr>
          <w:p w14:paraId="4ACE50BE" w14:textId="77777777" w:rsidR="006F587A" w:rsidRDefault="007B2B61">
            <w:pPr>
              <w:textAlignment w:val="bottom"/>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FC" wp14:editId="4ACE6DFD">
                  <wp:extent cx="304800" cy="304800"/>
                  <wp:effectExtent l="0" t="0" r="0" b="0"/>
                  <wp:docPr id="205" name="图片 322"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322"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left w:val="single" w:sz="36" w:space="0" w:color="0071C5"/>
            </w:tcBorders>
            <w:shd w:val="clear" w:color="auto" w:fill="auto"/>
            <w:tcMar>
              <w:top w:w="40" w:type="dxa"/>
              <w:left w:w="40" w:type="dxa"/>
              <w:bottom w:w="40" w:type="dxa"/>
              <w:right w:w="40" w:type="dxa"/>
            </w:tcMar>
            <w:vAlign w:val="bottom"/>
          </w:tcPr>
          <w:p w14:paraId="4ACE50BF" w14:textId="77777777" w:rsidR="006F587A" w:rsidRDefault="007B2B61">
            <w:pPr>
              <w:textAlignment w:val="bottom"/>
              <w:rPr>
                <w:rFonts w:ascii="Times New Roman" w:hAnsi="Times New Roman"/>
                <w:sz w:val="16"/>
                <w:szCs w:val="16"/>
              </w:rPr>
            </w:pPr>
            <w:r>
              <w:rPr>
                <w:rFonts w:ascii="Arial" w:eastAsia="宋体" w:hAnsi="Arial" w:cs="Arial"/>
                <w:color w:val="333333"/>
                <w:sz w:val="16"/>
                <w:szCs w:val="16"/>
              </w:rPr>
              <w:t> Notes to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50C0"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92</w:t>
            </w:r>
          </w:p>
        </w:tc>
      </w:tr>
    </w:tbl>
    <w:p w14:paraId="4ACE50C2" w14:textId="77777777" w:rsidR="006F587A" w:rsidRDefault="007B2B61">
      <w:r>
        <w:pict w14:anchorId="4ACE6DFE">
          <v:rect id="_x0000_i1118" style="width:415.3pt;height:1.5pt" o:hralign="center" o:hrstd="t" o:hr="t" fillcolor="#a0a0a0" stroked="f"/>
        </w:pict>
      </w:r>
    </w:p>
    <w:p w14:paraId="4ACE50C3" w14:textId="77777777" w:rsidR="006F587A" w:rsidRDefault="007B2B61">
      <w:pPr>
        <w:spacing w:line="288" w:lineRule="auto"/>
        <w:jc w:val="right"/>
        <w:rPr>
          <w:rFonts w:ascii="Times New Roman" w:hAnsi="Times New Roman"/>
          <w:sz w:val="16"/>
          <w:szCs w:val="16"/>
        </w:rPr>
      </w:pPr>
      <w:hyperlink r:id="rId157" w:anchor="s9DB683E2CF52561EB8A73BE37F5BF9BE" w:history="1">
        <w:r>
          <w:rPr>
            <w:rStyle w:val="a5"/>
            <w:rFonts w:ascii="Arial" w:eastAsia="宋体" w:hAnsi="Arial" w:cs="Arial"/>
            <w:b/>
            <w:bCs/>
            <w:sz w:val="16"/>
            <w:szCs w:val="16"/>
          </w:rPr>
          <w:t>Table of Contents</w:t>
        </w:r>
      </w:hyperlink>
    </w:p>
    <w:p w14:paraId="4ACE50C4" w14:textId="77777777" w:rsidR="006F587A" w:rsidRDefault="006F587A">
      <w:pPr>
        <w:spacing w:line="288" w:lineRule="auto"/>
        <w:jc w:val="right"/>
        <w:rPr>
          <w:rFonts w:ascii="Times New Roman" w:hAnsi="Times New Roman"/>
          <w:sz w:val="16"/>
          <w:szCs w:val="16"/>
        </w:rPr>
      </w:pPr>
    </w:p>
    <w:p w14:paraId="4ACE50C5"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1080"/>
        <w:gridCol w:w="7226"/>
      </w:tblGrid>
      <w:tr w:rsidR="006F587A" w14:paraId="4ACE50C7" w14:textId="77777777">
        <w:tc>
          <w:tcPr>
            <w:tcW w:w="0" w:type="auto"/>
            <w:gridSpan w:val="2"/>
            <w:shd w:val="clear" w:color="auto" w:fill="auto"/>
            <w:vAlign w:val="center"/>
          </w:tcPr>
          <w:p w14:paraId="4ACE50C6" w14:textId="77777777" w:rsidR="006F587A" w:rsidRDefault="006F587A">
            <w:pPr>
              <w:rPr>
                <w:rFonts w:ascii="Times New Roman" w:hAnsi="Times New Roman"/>
                <w:sz w:val="20"/>
                <w:szCs w:val="20"/>
              </w:rPr>
            </w:pPr>
          </w:p>
        </w:tc>
      </w:tr>
      <w:tr w:rsidR="006F587A" w14:paraId="4ACE50CA" w14:textId="77777777">
        <w:tc>
          <w:tcPr>
            <w:tcW w:w="650" w:type="pct"/>
            <w:shd w:val="clear" w:color="auto" w:fill="auto"/>
            <w:vAlign w:val="center"/>
          </w:tcPr>
          <w:p w14:paraId="4ACE50C8" w14:textId="77777777" w:rsidR="006F587A" w:rsidRDefault="006F587A">
            <w:pPr>
              <w:rPr>
                <w:rFonts w:ascii="Times New Roman" w:hAnsi="Times New Roman"/>
                <w:sz w:val="20"/>
                <w:szCs w:val="20"/>
              </w:rPr>
            </w:pPr>
          </w:p>
        </w:tc>
        <w:tc>
          <w:tcPr>
            <w:tcW w:w="4350" w:type="pct"/>
            <w:shd w:val="clear" w:color="auto" w:fill="auto"/>
            <w:vAlign w:val="center"/>
          </w:tcPr>
          <w:p w14:paraId="4ACE50C9" w14:textId="77777777" w:rsidR="006F587A" w:rsidRDefault="006F587A">
            <w:pPr>
              <w:rPr>
                <w:rFonts w:ascii="Times New Roman" w:hAnsi="Times New Roman"/>
                <w:sz w:val="20"/>
                <w:szCs w:val="20"/>
              </w:rPr>
            </w:pPr>
          </w:p>
        </w:tc>
      </w:tr>
      <w:tr w:rsidR="006F587A" w14:paraId="4ACE50CD" w14:textId="77777777">
        <w:tc>
          <w:tcPr>
            <w:tcW w:w="0" w:type="auto"/>
            <w:tcBorders>
              <w:bottom w:val="single" w:sz="8" w:space="0" w:color="0071C5"/>
            </w:tcBorders>
            <w:shd w:val="clear" w:color="auto" w:fill="0071C5"/>
            <w:tcMar>
              <w:top w:w="40" w:type="dxa"/>
              <w:left w:w="40" w:type="dxa"/>
              <w:bottom w:w="40" w:type="dxa"/>
              <w:right w:w="40" w:type="dxa"/>
            </w:tcMar>
            <w:vAlign w:val="bottom"/>
          </w:tcPr>
          <w:p w14:paraId="4ACE50CB" w14:textId="77777777" w:rsidR="006F587A" w:rsidRDefault="007B2B61">
            <w:pPr>
              <w:textAlignment w:val="bottom"/>
              <w:rPr>
                <w:rFonts w:ascii="Times New Roman" w:hAnsi="Times New Roman"/>
                <w:sz w:val="28"/>
                <w:szCs w:val="28"/>
              </w:rPr>
            </w:pPr>
            <w:r>
              <w:rPr>
                <w:rFonts w:ascii="Arial" w:eastAsia="宋体" w:hAnsi="Arial" w:cs="Arial"/>
                <w:b/>
                <w:bCs/>
                <w:color w:val="FFFFFF"/>
                <w:sz w:val="28"/>
                <w:szCs w:val="28"/>
                <w:shd w:val="clear" w:color="auto" w:fill="0071C5"/>
              </w:rPr>
              <w:t xml:space="preserve">NOTE 13 : </w:t>
            </w:r>
          </w:p>
        </w:tc>
        <w:tc>
          <w:tcPr>
            <w:tcW w:w="0" w:type="auto"/>
            <w:tcBorders>
              <w:bottom w:val="single" w:sz="8" w:space="0" w:color="0071C5"/>
            </w:tcBorders>
            <w:shd w:val="clear" w:color="auto" w:fill="auto"/>
            <w:tcMar>
              <w:top w:w="40" w:type="dxa"/>
              <w:left w:w="40" w:type="dxa"/>
              <w:bottom w:w="40" w:type="dxa"/>
              <w:right w:w="40" w:type="dxa"/>
            </w:tcMar>
            <w:vAlign w:val="bottom"/>
          </w:tcPr>
          <w:p w14:paraId="4ACE50CC" w14:textId="77777777" w:rsidR="006F587A" w:rsidRDefault="007B2B61">
            <w:pPr>
              <w:textAlignment w:val="bottom"/>
              <w:rPr>
                <w:rFonts w:ascii="Times New Roman" w:hAnsi="Times New Roman"/>
                <w:sz w:val="28"/>
                <w:szCs w:val="28"/>
              </w:rPr>
            </w:pPr>
            <w:r>
              <w:rPr>
                <w:rFonts w:ascii="Arial" w:eastAsia="宋体" w:hAnsi="Arial" w:cs="Arial"/>
                <w:b/>
                <w:bCs/>
                <w:color w:val="0071C5"/>
                <w:sz w:val="28"/>
                <w:szCs w:val="28"/>
              </w:rPr>
              <w:t>IDENTIFIED INTANGIBLE ASSETS</w:t>
            </w:r>
          </w:p>
        </w:tc>
      </w:tr>
    </w:tbl>
    <w:p w14:paraId="4ACE50CE" w14:textId="77777777" w:rsidR="006F587A" w:rsidRDefault="006F587A">
      <w:pPr>
        <w:rPr>
          <w:vanish/>
        </w:rPr>
      </w:pPr>
    </w:p>
    <w:tbl>
      <w:tblPr>
        <w:tblW w:w="5000" w:type="pct"/>
        <w:tblCellMar>
          <w:left w:w="0" w:type="dxa"/>
          <w:right w:w="0" w:type="dxa"/>
        </w:tblCellMar>
        <w:tblLook w:val="04A0" w:firstRow="1" w:lastRow="0" w:firstColumn="1" w:lastColumn="0" w:noHBand="0" w:noVBand="1"/>
      </w:tblPr>
      <w:tblGrid>
        <w:gridCol w:w="1242"/>
        <w:gridCol w:w="130"/>
        <w:gridCol w:w="141"/>
        <w:gridCol w:w="1009"/>
        <w:gridCol w:w="101"/>
        <w:gridCol w:w="129"/>
        <w:gridCol w:w="140"/>
        <w:gridCol w:w="965"/>
        <w:gridCol w:w="108"/>
        <w:gridCol w:w="129"/>
        <w:gridCol w:w="139"/>
        <w:gridCol w:w="537"/>
        <w:gridCol w:w="6"/>
        <w:gridCol w:w="129"/>
        <w:gridCol w:w="140"/>
        <w:gridCol w:w="1008"/>
        <w:gridCol w:w="100"/>
        <w:gridCol w:w="129"/>
        <w:gridCol w:w="140"/>
        <w:gridCol w:w="965"/>
        <w:gridCol w:w="108"/>
        <w:gridCol w:w="129"/>
        <w:gridCol w:w="139"/>
        <w:gridCol w:w="537"/>
        <w:gridCol w:w="6"/>
      </w:tblGrid>
      <w:tr w:rsidR="006F587A" w14:paraId="4ACE50D0" w14:textId="77777777">
        <w:tc>
          <w:tcPr>
            <w:tcW w:w="0" w:type="auto"/>
            <w:gridSpan w:val="25"/>
            <w:shd w:val="clear" w:color="auto" w:fill="auto"/>
            <w:vAlign w:val="center"/>
          </w:tcPr>
          <w:p w14:paraId="4ACE50CF" w14:textId="77777777" w:rsidR="006F587A" w:rsidRDefault="006F587A">
            <w:pPr>
              <w:rPr>
                <w:rFonts w:ascii="Times New Roman" w:hAnsi="Times New Roman"/>
                <w:sz w:val="20"/>
                <w:szCs w:val="20"/>
              </w:rPr>
            </w:pPr>
          </w:p>
        </w:tc>
      </w:tr>
      <w:tr w:rsidR="006F587A" w14:paraId="4ACE50EA" w14:textId="77777777">
        <w:tc>
          <w:tcPr>
            <w:tcW w:w="1400" w:type="pct"/>
            <w:shd w:val="clear" w:color="auto" w:fill="auto"/>
            <w:vAlign w:val="center"/>
          </w:tcPr>
          <w:p w14:paraId="4ACE50D1" w14:textId="77777777" w:rsidR="006F587A" w:rsidRDefault="006F587A">
            <w:pPr>
              <w:rPr>
                <w:rFonts w:ascii="Times New Roman" w:hAnsi="Times New Roman"/>
                <w:sz w:val="20"/>
                <w:szCs w:val="20"/>
              </w:rPr>
            </w:pPr>
          </w:p>
        </w:tc>
        <w:tc>
          <w:tcPr>
            <w:tcW w:w="50" w:type="pct"/>
            <w:shd w:val="clear" w:color="auto" w:fill="auto"/>
            <w:vAlign w:val="center"/>
          </w:tcPr>
          <w:p w14:paraId="4ACE50D2" w14:textId="77777777" w:rsidR="006F587A" w:rsidRDefault="006F587A">
            <w:pPr>
              <w:rPr>
                <w:rFonts w:ascii="Times New Roman" w:hAnsi="Times New Roman"/>
                <w:sz w:val="20"/>
                <w:szCs w:val="20"/>
              </w:rPr>
            </w:pPr>
          </w:p>
        </w:tc>
        <w:tc>
          <w:tcPr>
            <w:tcW w:w="50" w:type="pct"/>
            <w:shd w:val="clear" w:color="auto" w:fill="auto"/>
            <w:vAlign w:val="center"/>
          </w:tcPr>
          <w:p w14:paraId="4ACE50D3" w14:textId="77777777" w:rsidR="006F587A" w:rsidRDefault="006F587A">
            <w:pPr>
              <w:rPr>
                <w:rFonts w:ascii="Times New Roman" w:hAnsi="Times New Roman"/>
                <w:sz w:val="20"/>
                <w:szCs w:val="20"/>
              </w:rPr>
            </w:pPr>
          </w:p>
        </w:tc>
        <w:tc>
          <w:tcPr>
            <w:tcW w:w="500" w:type="pct"/>
            <w:shd w:val="clear" w:color="auto" w:fill="auto"/>
            <w:vAlign w:val="center"/>
          </w:tcPr>
          <w:p w14:paraId="4ACE50D4" w14:textId="77777777" w:rsidR="006F587A" w:rsidRDefault="006F587A">
            <w:pPr>
              <w:rPr>
                <w:rFonts w:ascii="Times New Roman" w:hAnsi="Times New Roman"/>
                <w:sz w:val="20"/>
                <w:szCs w:val="20"/>
              </w:rPr>
            </w:pPr>
          </w:p>
        </w:tc>
        <w:tc>
          <w:tcPr>
            <w:tcW w:w="50" w:type="pct"/>
            <w:shd w:val="clear" w:color="auto" w:fill="auto"/>
            <w:vAlign w:val="center"/>
          </w:tcPr>
          <w:p w14:paraId="4ACE50D5" w14:textId="77777777" w:rsidR="006F587A" w:rsidRDefault="006F587A">
            <w:pPr>
              <w:rPr>
                <w:rFonts w:ascii="Times New Roman" w:hAnsi="Times New Roman"/>
                <w:sz w:val="20"/>
                <w:szCs w:val="20"/>
              </w:rPr>
            </w:pPr>
          </w:p>
        </w:tc>
        <w:tc>
          <w:tcPr>
            <w:tcW w:w="50" w:type="pct"/>
            <w:shd w:val="clear" w:color="auto" w:fill="auto"/>
            <w:vAlign w:val="center"/>
          </w:tcPr>
          <w:p w14:paraId="4ACE50D6" w14:textId="77777777" w:rsidR="006F587A" w:rsidRDefault="006F587A">
            <w:pPr>
              <w:rPr>
                <w:rFonts w:ascii="Times New Roman" w:hAnsi="Times New Roman"/>
                <w:sz w:val="20"/>
                <w:szCs w:val="20"/>
              </w:rPr>
            </w:pPr>
          </w:p>
        </w:tc>
        <w:tc>
          <w:tcPr>
            <w:tcW w:w="50" w:type="pct"/>
            <w:shd w:val="clear" w:color="auto" w:fill="auto"/>
            <w:vAlign w:val="center"/>
          </w:tcPr>
          <w:p w14:paraId="4ACE50D7" w14:textId="77777777" w:rsidR="006F587A" w:rsidRDefault="006F587A">
            <w:pPr>
              <w:rPr>
                <w:rFonts w:ascii="Times New Roman" w:hAnsi="Times New Roman"/>
                <w:sz w:val="20"/>
                <w:szCs w:val="20"/>
              </w:rPr>
            </w:pPr>
          </w:p>
        </w:tc>
        <w:tc>
          <w:tcPr>
            <w:tcW w:w="450" w:type="pct"/>
            <w:shd w:val="clear" w:color="auto" w:fill="auto"/>
            <w:vAlign w:val="center"/>
          </w:tcPr>
          <w:p w14:paraId="4ACE50D8" w14:textId="77777777" w:rsidR="006F587A" w:rsidRDefault="006F587A">
            <w:pPr>
              <w:rPr>
                <w:rFonts w:ascii="Times New Roman" w:hAnsi="Times New Roman"/>
                <w:sz w:val="20"/>
                <w:szCs w:val="20"/>
              </w:rPr>
            </w:pPr>
          </w:p>
        </w:tc>
        <w:tc>
          <w:tcPr>
            <w:tcW w:w="50" w:type="pct"/>
            <w:shd w:val="clear" w:color="auto" w:fill="auto"/>
            <w:vAlign w:val="center"/>
          </w:tcPr>
          <w:p w14:paraId="4ACE50D9" w14:textId="77777777" w:rsidR="006F587A" w:rsidRDefault="006F587A">
            <w:pPr>
              <w:rPr>
                <w:rFonts w:ascii="Times New Roman" w:hAnsi="Times New Roman"/>
                <w:sz w:val="20"/>
                <w:szCs w:val="20"/>
              </w:rPr>
            </w:pPr>
          </w:p>
        </w:tc>
        <w:tc>
          <w:tcPr>
            <w:tcW w:w="50" w:type="pct"/>
            <w:shd w:val="clear" w:color="auto" w:fill="auto"/>
            <w:vAlign w:val="center"/>
          </w:tcPr>
          <w:p w14:paraId="4ACE50DA" w14:textId="77777777" w:rsidR="006F587A" w:rsidRDefault="006F587A">
            <w:pPr>
              <w:rPr>
                <w:rFonts w:ascii="Times New Roman" w:hAnsi="Times New Roman"/>
                <w:sz w:val="20"/>
                <w:szCs w:val="20"/>
              </w:rPr>
            </w:pPr>
          </w:p>
        </w:tc>
        <w:tc>
          <w:tcPr>
            <w:tcW w:w="50" w:type="pct"/>
            <w:shd w:val="clear" w:color="auto" w:fill="auto"/>
            <w:vAlign w:val="center"/>
          </w:tcPr>
          <w:p w14:paraId="4ACE50DB" w14:textId="77777777" w:rsidR="006F587A" w:rsidRDefault="006F587A">
            <w:pPr>
              <w:rPr>
                <w:rFonts w:ascii="Times New Roman" w:hAnsi="Times New Roman"/>
                <w:sz w:val="20"/>
                <w:szCs w:val="20"/>
              </w:rPr>
            </w:pPr>
          </w:p>
        </w:tc>
        <w:tc>
          <w:tcPr>
            <w:tcW w:w="400" w:type="pct"/>
            <w:shd w:val="clear" w:color="auto" w:fill="auto"/>
            <w:vAlign w:val="center"/>
          </w:tcPr>
          <w:p w14:paraId="4ACE50DC" w14:textId="77777777" w:rsidR="006F587A" w:rsidRDefault="006F587A">
            <w:pPr>
              <w:rPr>
                <w:rFonts w:ascii="Times New Roman" w:hAnsi="Times New Roman"/>
                <w:sz w:val="20"/>
                <w:szCs w:val="20"/>
              </w:rPr>
            </w:pPr>
          </w:p>
        </w:tc>
        <w:tc>
          <w:tcPr>
            <w:tcW w:w="50" w:type="pct"/>
            <w:shd w:val="clear" w:color="auto" w:fill="auto"/>
            <w:vAlign w:val="center"/>
          </w:tcPr>
          <w:p w14:paraId="4ACE50DD" w14:textId="77777777" w:rsidR="006F587A" w:rsidRDefault="006F587A">
            <w:pPr>
              <w:rPr>
                <w:rFonts w:ascii="Times New Roman" w:hAnsi="Times New Roman"/>
                <w:sz w:val="20"/>
                <w:szCs w:val="20"/>
              </w:rPr>
            </w:pPr>
          </w:p>
        </w:tc>
        <w:tc>
          <w:tcPr>
            <w:tcW w:w="50" w:type="pct"/>
            <w:shd w:val="clear" w:color="auto" w:fill="auto"/>
            <w:vAlign w:val="center"/>
          </w:tcPr>
          <w:p w14:paraId="4ACE50DE" w14:textId="77777777" w:rsidR="006F587A" w:rsidRDefault="006F587A">
            <w:pPr>
              <w:rPr>
                <w:rFonts w:ascii="Times New Roman" w:hAnsi="Times New Roman"/>
                <w:sz w:val="20"/>
                <w:szCs w:val="20"/>
              </w:rPr>
            </w:pPr>
          </w:p>
        </w:tc>
        <w:tc>
          <w:tcPr>
            <w:tcW w:w="50" w:type="pct"/>
            <w:shd w:val="clear" w:color="auto" w:fill="auto"/>
            <w:vAlign w:val="center"/>
          </w:tcPr>
          <w:p w14:paraId="4ACE50DF" w14:textId="77777777" w:rsidR="006F587A" w:rsidRDefault="006F587A">
            <w:pPr>
              <w:rPr>
                <w:rFonts w:ascii="Times New Roman" w:hAnsi="Times New Roman"/>
                <w:sz w:val="20"/>
                <w:szCs w:val="20"/>
              </w:rPr>
            </w:pPr>
          </w:p>
        </w:tc>
        <w:tc>
          <w:tcPr>
            <w:tcW w:w="500" w:type="pct"/>
            <w:shd w:val="clear" w:color="auto" w:fill="auto"/>
            <w:vAlign w:val="center"/>
          </w:tcPr>
          <w:p w14:paraId="4ACE50E0" w14:textId="77777777" w:rsidR="006F587A" w:rsidRDefault="006F587A">
            <w:pPr>
              <w:rPr>
                <w:rFonts w:ascii="Times New Roman" w:hAnsi="Times New Roman"/>
                <w:sz w:val="20"/>
                <w:szCs w:val="20"/>
              </w:rPr>
            </w:pPr>
          </w:p>
        </w:tc>
        <w:tc>
          <w:tcPr>
            <w:tcW w:w="50" w:type="pct"/>
            <w:shd w:val="clear" w:color="auto" w:fill="auto"/>
            <w:vAlign w:val="center"/>
          </w:tcPr>
          <w:p w14:paraId="4ACE50E1" w14:textId="77777777" w:rsidR="006F587A" w:rsidRDefault="006F587A">
            <w:pPr>
              <w:rPr>
                <w:rFonts w:ascii="Times New Roman" w:hAnsi="Times New Roman"/>
                <w:sz w:val="20"/>
                <w:szCs w:val="20"/>
              </w:rPr>
            </w:pPr>
          </w:p>
        </w:tc>
        <w:tc>
          <w:tcPr>
            <w:tcW w:w="50" w:type="pct"/>
            <w:shd w:val="clear" w:color="auto" w:fill="auto"/>
            <w:vAlign w:val="center"/>
          </w:tcPr>
          <w:p w14:paraId="4ACE50E2" w14:textId="77777777" w:rsidR="006F587A" w:rsidRDefault="006F587A">
            <w:pPr>
              <w:rPr>
                <w:rFonts w:ascii="Times New Roman" w:hAnsi="Times New Roman"/>
                <w:sz w:val="20"/>
                <w:szCs w:val="20"/>
              </w:rPr>
            </w:pPr>
          </w:p>
        </w:tc>
        <w:tc>
          <w:tcPr>
            <w:tcW w:w="50" w:type="pct"/>
            <w:shd w:val="clear" w:color="auto" w:fill="auto"/>
            <w:vAlign w:val="center"/>
          </w:tcPr>
          <w:p w14:paraId="4ACE50E3" w14:textId="77777777" w:rsidR="006F587A" w:rsidRDefault="006F587A">
            <w:pPr>
              <w:rPr>
                <w:rFonts w:ascii="Times New Roman" w:hAnsi="Times New Roman"/>
                <w:sz w:val="20"/>
                <w:szCs w:val="20"/>
              </w:rPr>
            </w:pPr>
          </w:p>
        </w:tc>
        <w:tc>
          <w:tcPr>
            <w:tcW w:w="450" w:type="pct"/>
            <w:shd w:val="clear" w:color="auto" w:fill="auto"/>
            <w:vAlign w:val="center"/>
          </w:tcPr>
          <w:p w14:paraId="4ACE50E4" w14:textId="77777777" w:rsidR="006F587A" w:rsidRDefault="006F587A">
            <w:pPr>
              <w:rPr>
                <w:rFonts w:ascii="Times New Roman" w:hAnsi="Times New Roman"/>
                <w:sz w:val="20"/>
                <w:szCs w:val="20"/>
              </w:rPr>
            </w:pPr>
          </w:p>
        </w:tc>
        <w:tc>
          <w:tcPr>
            <w:tcW w:w="50" w:type="pct"/>
            <w:shd w:val="clear" w:color="auto" w:fill="auto"/>
            <w:vAlign w:val="center"/>
          </w:tcPr>
          <w:p w14:paraId="4ACE50E5" w14:textId="77777777" w:rsidR="006F587A" w:rsidRDefault="006F587A">
            <w:pPr>
              <w:rPr>
                <w:rFonts w:ascii="Times New Roman" w:hAnsi="Times New Roman"/>
                <w:sz w:val="20"/>
                <w:szCs w:val="20"/>
              </w:rPr>
            </w:pPr>
          </w:p>
        </w:tc>
        <w:tc>
          <w:tcPr>
            <w:tcW w:w="50" w:type="pct"/>
            <w:shd w:val="clear" w:color="auto" w:fill="auto"/>
            <w:vAlign w:val="center"/>
          </w:tcPr>
          <w:p w14:paraId="4ACE50E6" w14:textId="77777777" w:rsidR="006F587A" w:rsidRDefault="006F587A">
            <w:pPr>
              <w:rPr>
                <w:rFonts w:ascii="Times New Roman" w:hAnsi="Times New Roman"/>
                <w:sz w:val="20"/>
                <w:szCs w:val="20"/>
              </w:rPr>
            </w:pPr>
          </w:p>
        </w:tc>
        <w:tc>
          <w:tcPr>
            <w:tcW w:w="50" w:type="pct"/>
            <w:shd w:val="clear" w:color="auto" w:fill="auto"/>
            <w:vAlign w:val="center"/>
          </w:tcPr>
          <w:p w14:paraId="4ACE50E7" w14:textId="77777777" w:rsidR="006F587A" w:rsidRDefault="006F587A">
            <w:pPr>
              <w:rPr>
                <w:rFonts w:ascii="Times New Roman" w:hAnsi="Times New Roman"/>
                <w:sz w:val="20"/>
                <w:szCs w:val="20"/>
              </w:rPr>
            </w:pPr>
          </w:p>
        </w:tc>
        <w:tc>
          <w:tcPr>
            <w:tcW w:w="400" w:type="pct"/>
            <w:shd w:val="clear" w:color="auto" w:fill="auto"/>
            <w:vAlign w:val="center"/>
          </w:tcPr>
          <w:p w14:paraId="4ACE50E8" w14:textId="77777777" w:rsidR="006F587A" w:rsidRDefault="006F587A">
            <w:pPr>
              <w:rPr>
                <w:rFonts w:ascii="Times New Roman" w:hAnsi="Times New Roman"/>
                <w:sz w:val="20"/>
                <w:szCs w:val="20"/>
              </w:rPr>
            </w:pPr>
          </w:p>
        </w:tc>
        <w:tc>
          <w:tcPr>
            <w:tcW w:w="50" w:type="pct"/>
            <w:shd w:val="clear" w:color="auto" w:fill="auto"/>
            <w:vAlign w:val="center"/>
          </w:tcPr>
          <w:p w14:paraId="4ACE50E9" w14:textId="77777777" w:rsidR="006F587A" w:rsidRDefault="006F587A">
            <w:pPr>
              <w:rPr>
                <w:rFonts w:ascii="Times New Roman" w:hAnsi="Times New Roman"/>
                <w:sz w:val="20"/>
                <w:szCs w:val="20"/>
              </w:rPr>
            </w:pPr>
          </w:p>
        </w:tc>
      </w:tr>
      <w:tr w:rsidR="006F587A" w14:paraId="4ACE50F0" w14:textId="77777777">
        <w:tc>
          <w:tcPr>
            <w:tcW w:w="0" w:type="auto"/>
            <w:shd w:val="clear" w:color="auto" w:fill="auto"/>
            <w:tcMar>
              <w:top w:w="40" w:type="dxa"/>
              <w:left w:w="40" w:type="dxa"/>
              <w:bottom w:w="40" w:type="dxa"/>
              <w:right w:w="40" w:type="dxa"/>
            </w:tcMar>
            <w:vAlign w:val="bottom"/>
          </w:tcPr>
          <w:p w14:paraId="4ACE50E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0E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71C5"/>
            </w:tcBorders>
            <w:shd w:val="clear" w:color="auto" w:fill="auto"/>
            <w:tcMar>
              <w:top w:w="40" w:type="dxa"/>
              <w:left w:w="40" w:type="dxa"/>
              <w:bottom w:w="40" w:type="dxa"/>
            </w:tcMar>
            <w:vAlign w:val="bottom"/>
          </w:tcPr>
          <w:p w14:paraId="4ACE50ED"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December 28, 2019</w:t>
            </w:r>
          </w:p>
        </w:tc>
        <w:tc>
          <w:tcPr>
            <w:tcW w:w="0" w:type="auto"/>
            <w:shd w:val="clear" w:color="auto" w:fill="auto"/>
            <w:tcMar>
              <w:top w:w="40" w:type="dxa"/>
              <w:left w:w="40" w:type="dxa"/>
              <w:bottom w:w="40" w:type="dxa"/>
              <w:right w:w="40" w:type="dxa"/>
            </w:tcMar>
            <w:vAlign w:val="bottom"/>
          </w:tcPr>
          <w:p w14:paraId="4ACE50E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71C5"/>
            </w:tcBorders>
            <w:shd w:val="clear" w:color="auto" w:fill="auto"/>
            <w:tcMar>
              <w:top w:w="40" w:type="dxa"/>
              <w:left w:w="40" w:type="dxa"/>
              <w:bottom w:w="40" w:type="dxa"/>
            </w:tcMar>
            <w:vAlign w:val="bottom"/>
          </w:tcPr>
          <w:p w14:paraId="4ACE50EF"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December 29, 2018</w:t>
            </w:r>
          </w:p>
        </w:tc>
      </w:tr>
      <w:tr w:rsidR="006F587A" w14:paraId="4ACE50FE"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50F1"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4ACE50F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0F3"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Gross Assets</w:t>
            </w:r>
          </w:p>
        </w:tc>
        <w:tc>
          <w:tcPr>
            <w:tcW w:w="0" w:type="auto"/>
            <w:shd w:val="clear" w:color="auto" w:fill="auto"/>
            <w:tcMar>
              <w:top w:w="40" w:type="dxa"/>
              <w:left w:w="40" w:type="dxa"/>
              <w:bottom w:w="40" w:type="dxa"/>
              <w:right w:w="40" w:type="dxa"/>
            </w:tcMar>
            <w:vAlign w:val="bottom"/>
          </w:tcPr>
          <w:p w14:paraId="4ACE50F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0F5"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Accumulated Amortization</w:t>
            </w:r>
          </w:p>
        </w:tc>
        <w:tc>
          <w:tcPr>
            <w:tcW w:w="0" w:type="auto"/>
            <w:shd w:val="clear" w:color="auto" w:fill="auto"/>
            <w:tcMar>
              <w:top w:w="40" w:type="dxa"/>
              <w:left w:w="40" w:type="dxa"/>
              <w:bottom w:w="40" w:type="dxa"/>
              <w:right w:w="40" w:type="dxa"/>
            </w:tcMar>
            <w:vAlign w:val="bottom"/>
          </w:tcPr>
          <w:p w14:paraId="4ACE50F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0F7"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Net</w:t>
            </w:r>
          </w:p>
        </w:tc>
        <w:tc>
          <w:tcPr>
            <w:tcW w:w="0" w:type="auto"/>
            <w:shd w:val="clear" w:color="auto" w:fill="auto"/>
            <w:tcMar>
              <w:top w:w="40" w:type="dxa"/>
              <w:left w:w="40" w:type="dxa"/>
              <w:bottom w:w="40" w:type="dxa"/>
              <w:right w:w="40" w:type="dxa"/>
            </w:tcMar>
            <w:vAlign w:val="bottom"/>
          </w:tcPr>
          <w:p w14:paraId="4ACE50F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71C5"/>
              <w:bottom w:val="single" w:sz="8" w:space="0" w:color="0071C5"/>
            </w:tcBorders>
            <w:shd w:val="clear" w:color="auto" w:fill="auto"/>
            <w:tcMar>
              <w:top w:w="40" w:type="dxa"/>
              <w:left w:w="40" w:type="dxa"/>
              <w:bottom w:w="40" w:type="dxa"/>
              <w:right w:w="40" w:type="dxa"/>
            </w:tcMar>
            <w:vAlign w:val="bottom"/>
          </w:tcPr>
          <w:p w14:paraId="4ACE50F9"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Gross Assets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50F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71C5"/>
              <w:bottom w:val="single" w:sz="8" w:space="0" w:color="0071C5"/>
            </w:tcBorders>
            <w:shd w:val="clear" w:color="auto" w:fill="auto"/>
            <w:tcMar>
              <w:top w:w="40" w:type="dxa"/>
              <w:left w:w="40" w:type="dxa"/>
              <w:bottom w:w="40" w:type="dxa"/>
              <w:right w:w="40" w:type="dxa"/>
            </w:tcMar>
            <w:vAlign w:val="bottom"/>
          </w:tcPr>
          <w:p w14:paraId="4ACE50FB"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Accumulated Amortization</w:t>
            </w:r>
          </w:p>
        </w:tc>
        <w:tc>
          <w:tcPr>
            <w:tcW w:w="0" w:type="auto"/>
            <w:tcBorders>
              <w:top w:val="single" w:sz="8" w:space="0" w:color="0071C5"/>
            </w:tcBorders>
            <w:shd w:val="clear" w:color="auto" w:fill="auto"/>
            <w:tcMar>
              <w:top w:w="40" w:type="dxa"/>
              <w:left w:w="40" w:type="dxa"/>
              <w:bottom w:w="40" w:type="dxa"/>
              <w:right w:w="40" w:type="dxa"/>
            </w:tcMar>
            <w:vAlign w:val="bottom"/>
          </w:tcPr>
          <w:p w14:paraId="4ACE50F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71C5"/>
              <w:bottom w:val="single" w:sz="8" w:space="0" w:color="0071C5"/>
            </w:tcBorders>
            <w:shd w:val="clear" w:color="auto" w:fill="auto"/>
            <w:tcMar>
              <w:top w:w="40" w:type="dxa"/>
              <w:left w:w="40" w:type="dxa"/>
              <w:bottom w:w="40" w:type="dxa"/>
              <w:right w:w="40" w:type="dxa"/>
            </w:tcMar>
            <w:vAlign w:val="bottom"/>
          </w:tcPr>
          <w:p w14:paraId="4ACE50FD"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Net</w:t>
            </w:r>
          </w:p>
        </w:tc>
      </w:tr>
      <w:tr w:rsidR="006F587A" w14:paraId="4ACE5118" w14:textId="77777777">
        <w:tc>
          <w:tcPr>
            <w:tcW w:w="0" w:type="auto"/>
            <w:shd w:val="clear" w:color="auto" w:fill="auto"/>
            <w:tcMar>
              <w:top w:w="40" w:type="dxa"/>
              <w:left w:w="40" w:type="dxa"/>
              <w:bottom w:w="40" w:type="dxa"/>
              <w:right w:w="40" w:type="dxa"/>
            </w:tcMar>
            <w:vAlign w:val="bottom"/>
          </w:tcPr>
          <w:p w14:paraId="4ACE50F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Developed technology</w:t>
            </w:r>
          </w:p>
        </w:tc>
        <w:tc>
          <w:tcPr>
            <w:tcW w:w="0" w:type="auto"/>
            <w:shd w:val="clear" w:color="auto" w:fill="auto"/>
            <w:tcMar>
              <w:top w:w="40" w:type="dxa"/>
              <w:left w:w="40" w:type="dxa"/>
              <w:bottom w:w="40" w:type="dxa"/>
              <w:right w:w="40" w:type="dxa"/>
            </w:tcMar>
            <w:vAlign w:val="bottom"/>
          </w:tcPr>
          <w:p w14:paraId="4ACE510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5101"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tcBorders>
              <w:top w:val="single" w:sz="8" w:space="0" w:color="0071C5"/>
            </w:tcBorders>
            <w:shd w:val="clear" w:color="auto" w:fill="auto"/>
            <w:tcMar>
              <w:top w:w="40" w:type="dxa"/>
              <w:bottom w:w="40" w:type="dxa"/>
            </w:tcMar>
            <w:vAlign w:val="bottom"/>
          </w:tcPr>
          <w:p w14:paraId="4ACE5102"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9,407</w:t>
            </w:r>
          </w:p>
        </w:tc>
        <w:tc>
          <w:tcPr>
            <w:tcW w:w="0" w:type="auto"/>
            <w:tcBorders>
              <w:top w:val="single" w:sz="8" w:space="0" w:color="0071C5"/>
            </w:tcBorders>
            <w:shd w:val="clear" w:color="auto" w:fill="auto"/>
            <w:vAlign w:val="bottom"/>
          </w:tcPr>
          <w:p w14:paraId="4ACE510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10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5105"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tcBorders>
              <w:top w:val="single" w:sz="8" w:space="0" w:color="0071C5"/>
            </w:tcBorders>
            <w:shd w:val="clear" w:color="auto" w:fill="auto"/>
            <w:tcMar>
              <w:top w:w="40" w:type="dxa"/>
              <w:bottom w:w="40" w:type="dxa"/>
            </w:tcMar>
            <w:vAlign w:val="bottom"/>
          </w:tcPr>
          <w:p w14:paraId="4ACE5106"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(3,801</w:t>
            </w:r>
          </w:p>
        </w:tc>
        <w:tc>
          <w:tcPr>
            <w:tcW w:w="0" w:type="auto"/>
            <w:tcBorders>
              <w:top w:val="single" w:sz="8" w:space="0" w:color="0071C5"/>
            </w:tcBorders>
            <w:shd w:val="clear" w:color="auto" w:fill="auto"/>
            <w:tcMar>
              <w:top w:w="40" w:type="dxa"/>
              <w:bottom w:w="40" w:type="dxa"/>
              <w:right w:w="40" w:type="dxa"/>
            </w:tcMar>
            <w:vAlign w:val="bottom"/>
          </w:tcPr>
          <w:p w14:paraId="4ACE5107"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510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5109"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tcBorders>
              <w:top w:val="single" w:sz="8" w:space="0" w:color="0071C5"/>
            </w:tcBorders>
            <w:shd w:val="clear" w:color="auto" w:fill="auto"/>
            <w:tcMar>
              <w:top w:w="40" w:type="dxa"/>
              <w:bottom w:w="40" w:type="dxa"/>
            </w:tcMar>
            <w:vAlign w:val="bottom"/>
          </w:tcPr>
          <w:p w14:paraId="4ACE510A"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5,606</w:t>
            </w:r>
          </w:p>
        </w:tc>
        <w:tc>
          <w:tcPr>
            <w:tcW w:w="0" w:type="auto"/>
            <w:tcBorders>
              <w:top w:val="single" w:sz="8" w:space="0" w:color="0071C5"/>
            </w:tcBorders>
            <w:shd w:val="clear" w:color="auto" w:fill="auto"/>
            <w:vAlign w:val="bottom"/>
          </w:tcPr>
          <w:p w14:paraId="4ACE510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10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510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tcMar>
            <w:vAlign w:val="bottom"/>
          </w:tcPr>
          <w:p w14:paraId="4ACE510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9,611</w:t>
            </w:r>
          </w:p>
        </w:tc>
        <w:tc>
          <w:tcPr>
            <w:tcW w:w="0" w:type="auto"/>
            <w:tcBorders>
              <w:top w:val="single" w:sz="8" w:space="0" w:color="0071C5"/>
            </w:tcBorders>
            <w:shd w:val="clear" w:color="auto" w:fill="auto"/>
            <w:vAlign w:val="bottom"/>
          </w:tcPr>
          <w:p w14:paraId="4ACE510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11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511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tcMar>
            <w:vAlign w:val="bottom"/>
          </w:tcPr>
          <w:p w14:paraId="4ACE511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(3,021</w:t>
            </w:r>
          </w:p>
        </w:tc>
        <w:tc>
          <w:tcPr>
            <w:tcW w:w="0" w:type="auto"/>
            <w:tcBorders>
              <w:top w:val="single" w:sz="8" w:space="0" w:color="0071C5"/>
            </w:tcBorders>
            <w:shd w:val="clear" w:color="auto" w:fill="auto"/>
            <w:tcMar>
              <w:top w:w="40" w:type="dxa"/>
              <w:bottom w:w="40" w:type="dxa"/>
              <w:right w:w="40" w:type="dxa"/>
            </w:tcMar>
            <w:vAlign w:val="bottom"/>
          </w:tcPr>
          <w:p w14:paraId="4ACE511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511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511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tcMar>
            <w:vAlign w:val="bottom"/>
          </w:tcPr>
          <w:p w14:paraId="4ACE511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6,590</w:t>
            </w:r>
          </w:p>
        </w:tc>
        <w:tc>
          <w:tcPr>
            <w:tcW w:w="0" w:type="auto"/>
            <w:tcBorders>
              <w:top w:val="single" w:sz="8" w:space="0" w:color="0071C5"/>
            </w:tcBorders>
            <w:shd w:val="clear" w:color="auto" w:fill="auto"/>
            <w:vAlign w:val="bottom"/>
          </w:tcPr>
          <w:p w14:paraId="4ACE5117" w14:textId="77777777" w:rsidR="006F587A" w:rsidRDefault="006F587A">
            <w:pPr>
              <w:textAlignment w:val="bottom"/>
              <w:rPr>
                <w:rFonts w:ascii="Times New Roman" w:hAnsi="Times New Roman"/>
                <w:sz w:val="20"/>
                <w:szCs w:val="20"/>
              </w:rPr>
            </w:pPr>
          </w:p>
        </w:tc>
      </w:tr>
      <w:tr w:rsidR="006F587A" w14:paraId="4ACE512C" w14:textId="77777777">
        <w:tc>
          <w:tcPr>
            <w:tcW w:w="0" w:type="auto"/>
            <w:shd w:val="clear" w:color="auto" w:fill="auto"/>
            <w:tcMar>
              <w:top w:w="40" w:type="dxa"/>
              <w:left w:w="40" w:type="dxa"/>
              <w:bottom w:w="40" w:type="dxa"/>
              <w:right w:w="40" w:type="dxa"/>
            </w:tcMar>
            <w:vAlign w:val="bottom"/>
          </w:tcPr>
          <w:p w14:paraId="4ACE511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Customer relationships and brands</w:t>
            </w:r>
          </w:p>
        </w:tc>
        <w:tc>
          <w:tcPr>
            <w:tcW w:w="0" w:type="auto"/>
            <w:shd w:val="clear" w:color="auto" w:fill="auto"/>
            <w:tcMar>
              <w:top w:w="40" w:type="dxa"/>
              <w:left w:w="40" w:type="dxa"/>
              <w:bottom w:w="40" w:type="dxa"/>
              <w:right w:w="40" w:type="dxa"/>
            </w:tcMar>
            <w:vAlign w:val="bottom"/>
          </w:tcPr>
          <w:p w14:paraId="4ACE511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11B"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2,160</w:t>
            </w:r>
          </w:p>
        </w:tc>
        <w:tc>
          <w:tcPr>
            <w:tcW w:w="0" w:type="auto"/>
            <w:shd w:val="clear" w:color="auto" w:fill="auto"/>
            <w:vAlign w:val="bottom"/>
          </w:tcPr>
          <w:p w14:paraId="4ACE511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11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11E"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(708</w:t>
            </w:r>
          </w:p>
        </w:tc>
        <w:tc>
          <w:tcPr>
            <w:tcW w:w="0" w:type="auto"/>
            <w:shd w:val="clear" w:color="auto" w:fill="auto"/>
            <w:tcMar>
              <w:top w:w="40" w:type="dxa"/>
              <w:bottom w:w="40" w:type="dxa"/>
              <w:right w:w="40" w:type="dxa"/>
            </w:tcMar>
            <w:vAlign w:val="bottom"/>
          </w:tcPr>
          <w:p w14:paraId="4ACE511F"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512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121"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1,452</w:t>
            </w:r>
          </w:p>
        </w:tc>
        <w:tc>
          <w:tcPr>
            <w:tcW w:w="0" w:type="auto"/>
            <w:shd w:val="clear" w:color="auto" w:fill="auto"/>
            <w:vAlign w:val="bottom"/>
          </w:tcPr>
          <w:p w14:paraId="4ACE512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12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12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2,179</w:t>
            </w:r>
          </w:p>
        </w:tc>
        <w:tc>
          <w:tcPr>
            <w:tcW w:w="0" w:type="auto"/>
            <w:shd w:val="clear" w:color="auto" w:fill="auto"/>
            <w:vAlign w:val="bottom"/>
          </w:tcPr>
          <w:p w14:paraId="4ACE512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12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12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(527</w:t>
            </w:r>
          </w:p>
        </w:tc>
        <w:tc>
          <w:tcPr>
            <w:tcW w:w="0" w:type="auto"/>
            <w:shd w:val="clear" w:color="auto" w:fill="auto"/>
            <w:tcMar>
              <w:top w:w="40" w:type="dxa"/>
              <w:bottom w:w="40" w:type="dxa"/>
              <w:right w:w="40" w:type="dxa"/>
            </w:tcMar>
            <w:vAlign w:val="bottom"/>
          </w:tcPr>
          <w:p w14:paraId="4ACE512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512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12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1,652</w:t>
            </w:r>
          </w:p>
        </w:tc>
        <w:tc>
          <w:tcPr>
            <w:tcW w:w="0" w:type="auto"/>
            <w:shd w:val="clear" w:color="auto" w:fill="auto"/>
            <w:vAlign w:val="bottom"/>
          </w:tcPr>
          <w:p w14:paraId="4ACE512B" w14:textId="77777777" w:rsidR="006F587A" w:rsidRDefault="006F587A">
            <w:pPr>
              <w:textAlignment w:val="bottom"/>
              <w:rPr>
                <w:rFonts w:ascii="Times New Roman" w:hAnsi="Times New Roman"/>
                <w:sz w:val="20"/>
                <w:szCs w:val="20"/>
              </w:rPr>
            </w:pPr>
          </w:p>
        </w:tc>
      </w:tr>
      <w:tr w:rsidR="006F587A" w14:paraId="4ACE5140" w14:textId="77777777">
        <w:tc>
          <w:tcPr>
            <w:tcW w:w="0" w:type="auto"/>
            <w:shd w:val="clear" w:color="auto" w:fill="auto"/>
            <w:tcMar>
              <w:top w:w="40" w:type="dxa"/>
              <w:left w:w="40" w:type="dxa"/>
              <w:bottom w:w="40" w:type="dxa"/>
              <w:right w:w="40" w:type="dxa"/>
            </w:tcMar>
            <w:vAlign w:val="bottom"/>
          </w:tcPr>
          <w:p w14:paraId="4ACE512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Licensed</w:t>
            </w:r>
            <w:r>
              <w:rPr>
                <w:rFonts w:ascii="Arial" w:eastAsia="宋体" w:hAnsi="Arial" w:cs="Arial"/>
                <w:color w:val="333333"/>
                <w:sz w:val="18"/>
                <w:szCs w:val="18"/>
              </w:rPr>
              <w:t xml:space="preserve"> technology and patents</w:t>
            </w:r>
          </w:p>
        </w:tc>
        <w:tc>
          <w:tcPr>
            <w:tcW w:w="0" w:type="auto"/>
            <w:shd w:val="clear" w:color="auto" w:fill="auto"/>
            <w:tcMar>
              <w:top w:w="40" w:type="dxa"/>
              <w:left w:w="40" w:type="dxa"/>
              <w:bottom w:w="40" w:type="dxa"/>
              <w:right w:w="40" w:type="dxa"/>
            </w:tcMar>
            <w:vAlign w:val="bottom"/>
          </w:tcPr>
          <w:p w14:paraId="4ACE512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12F"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2,975</w:t>
            </w:r>
          </w:p>
        </w:tc>
        <w:tc>
          <w:tcPr>
            <w:tcW w:w="0" w:type="auto"/>
            <w:shd w:val="clear" w:color="auto" w:fill="auto"/>
            <w:vAlign w:val="bottom"/>
          </w:tcPr>
          <w:p w14:paraId="4ACE513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13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132"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(1,455</w:t>
            </w:r>
          </w:p>
        </w:tc>
        <w:tc>
          <w:tcPr>
            <w:tcW w:w="0" w:type="auto"/>
            <w:shd w:val="clear" w:color="auto" w:fill="auto"/>
            <w:tcMar>
              <w:top w:w="40" w:type="dxa"/>
              <w:bottom w:w="40" w:type="dxa"/>
              <w:right w:w="40" w:type="dxa"/>
            </w:tcMar>
            <w:vAlign w:val="bottom"/>
          </w:tcPr>
          <w:p w14:paraId="4ACE5133"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513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135"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1,520</w:t>
            </w:r>
          </w:p>
        </w:tc>
        <w:tc>
          <w:tcPr>
            <w:tcW w:w="0" w:type="auto"/>
            <w:shd w:val="clear" w:color="auto" w:fill="auto"/>
            <w:vAlign w:val="bottom"/>
          </w:tcPr>
          <w:p w14:paraId="4ACE513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13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13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2,932</w:t>
            </w:r>
          </w:p>
        </w:tc>
        <w:tc>
          <w:tcPr>
            <w:tcW w:w="0" w:type="auto"/>
            <w:shd w:val="clear" w:color="auto" w:fill="auto"/>
            <w:vAlign w:val="bottom"/>
          </w:tcPr>
          <w:p w14:paraId="4ACE513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13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13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(1,406</w:t>
            </w:r>
          </w:p>
        </w:tc>
        <w:tc>
          <w:tcPr>
            <w:tcW w:w="0" w:type="auto"/>
            <w:shd w:val="clear" w:color="auto" w:fill="auto"/>
            <w:tcMar>
              <w:top w:w="40" w:type="dxa"/>
              <w:bottom w:w="40" w:type="dxa"/>
              <w:right w:w="40" w:type="dxa"/>
            </w:tcMar>
            <w:vAlign w:val="bottom"/>
          </w:tcPr>
          <w:p w14:paraId="4ACE513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513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13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1,526</w:t>
            </w:r>
          </w:p>
        </w:tc>
        <w:tc>
          <w:tcPr>
            <w:tcW w:w="0" w:type="auto"/>
            <w:shd w:val="clear" w:color="auto" w:fill="auto"/>
            <w:vAlign w:val="bottom"/>
          </w:tcPr>
          <w:p w14:paraId="4ACE513F" w14:textId="77777777" w:rsidR="006F587A" w:rsidRDefault="006F587A">
            <w:pPr>
              <w:textAlignment w:val="bottom"/>
              <w:rPr>
                <w:rFonts w:ascii="Times New Roman" w:hAnsi="Times New Roman"/>
                <w:sz w:val="20"/>
                <w:szCs w:val="20"/>
              </w:rPr>
            </w:pPr>
          </w:p>
        </w:tc>
      </w:tr>
      <w:tr w:rsidR="006F587A" w14:paraId="4ACE5154" w14:textId="77777777">
        <w:tc>
          <w:tcPr>
            <w:tcW w:w="0" w:type="auto"/>
            <w:shd w:val="clear" w:color="auto" w:fill="auto"/>
            <w:tcMar>
              <w:top w:w="40" w:type="dxa"/>
              <w:left w:w="40" w:type="dxa"/>
              <w:bottom w:w="40" w:type="dxa"/>
              <w:right w:w="40" w:type="dxa"/>
            </w:tcMar>
            <w:vAlign w:val="bottom"/>
          </w:tcPr>
          <w:p w14:paraId="4ACE5141"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In-proce</w:t>
            </w:r>
            <w:r>
              <w:rPr>
                <w:rFonts w:ascii="Arial" w:eastAsia="宋体" w:hAnsi="Arial" w:cs="Arial"/>
                <w:color w:val="333333"/>
                <w:sz w:val="18"/>
                <w:szCs w:val="18"/>
              </w:rPr>
              <w:t>ss R&amp;D</w:t>
            </w:r>
          </w:p>
        </w:tc>
        <w:tc>
          <w:tcPr>
            <w:tcW w:w="0" w:type="auto"/>
            <w:shd w:val="clear" w:color="auto" w:fill="auto"/>
            <w:tcMar>
              <w:top w:w="40" w:type="dxa"/>
              <w:left w:w="40" w:type="dxa"/>
              <w:bottom w:w="40" w:type="dxa"/>
              <w:right w:w="40" w:type="dxa"/>
            </w:tcMar>
            <w:vAlign w:val="bottom"/>
          </w:tcPr>
          <w:p w14:paraId="4ACE514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14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1,664</w:t>
            </w:r>
          </w:p>
        </w:tc>
        <w:tc>
          <w:tcPr>
            <w:tcW w:w="0" w:type="auto"/>
            <w:shd w:val="clear" w:color="auto" w:fill="auto"/>
            <w:vAlign w:val="bottom"/>
          </w:tcPr>
          <w:p w14:paraId="4ACE514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14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146"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514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14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149"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1,664</w:t>
            </w:r>
          </w:p>
        </w:tc>
        <w:tc>
          <w:tcPr>
            <w:tcW w:w="0" w:type="auto"/>
            <w:shd w:val="clear" w:color="auto" w:fill="auto"/>
            <w:vAlign w:val="bottom"/>
          </w:tcPr>
          <w:p w14:paraId="4ACE514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14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14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1,497</w:t>
            </w:r>
          </w:p>
        </w:tc>
        <w:tc>
          <w:tcPr>
            <w:tcW w:w="0" w:type="auto"/>
            <w:shd w:val="clear" w:color="auto" w:fill="auto"/>
            <w:vAlign w:val="bottom"/>
          </w:tcPr>
          <w:p w14:paraId="4ACE514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14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14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15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15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15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1,497</w:t>
            </w:r>
          </w:p>
        </w:tc>
        <w:tc>
          <w:tcPr>
            <w:tcW w:w="0" w:type="auto"/>
            <w:shd w:val="clear" w:color="auto" w:fill="auto"/>
            <w:vAlign w:val="bottom"/>
          </w:tcPr>
          <w:p w14:paraId="4ACE5153" w14:textId="77777777" w:rsidR="006F587A" w:rsidRDefault="006F587A">
            <w:pPr>
              <w:textAlignment w:val="bottom"/>
              <w:rPr>
                <w:rFonts w:ascii="Times New Roman" w:hAnsi="Times New Roman"/>
                <w:sz w:val="20"/>
                <w:szCs w:val="20"/>
              </w:rPr>
            </w:pPr>
          </w:p>
        </w:tc>
      </w:tr>
      <w:tr w:rsidR="006F587A" w14:paraId="4ACE5168" w14:textId="77777777">
        <w:tc>
          <w:tcPr>
            <w:tcW w:w="0" w:type="auto"/>
            <w:shd w:val="clear" w:color="auto" w:fill="auto"/>
            <w:tcMar>
              <w:top w:w="40" w:type="dxa"/>
              <w:left w:w="40" w:type="dxa"/>
              <w:bottom w:w="40" w:type="dxa"/>
              <w:right w:w="40" w:type="dxa"/>
            </w:tcMar>
            <w:vAlign w:val="bottom"/>
          </w:tcPr>
          <w:p w14:paraId="4ACE515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Other non-amortizing intangibles</w:t>
            </w:r>
          </w:p>
        </w:tc>
        <w:tc>
          <w:tcPr>
            <w:tcW w:w="0" w:type="auto"/>
            <w:shd w:val="clear" w:color="auto" w:fill="auto"/>
            <w:tcMar>
              <w:top w:w="40" w:type="dxa"/>
              <w:left w:w="40" w:type="dxa"/>
              <w:bottom w:w="40" w:type="dxa"/>
              <w:right w:w="40" w:type="dxa"/>
            </w:tcMar>
            <w:vAlign w:val="bottom"/>
          </w:tcPr>
          <w:p w14:paraId="4ACE515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157"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585</w:t>
            </w:r>
          </w:p>
        </w:tc>
        <w:tc>
          <w:tcPr>
            <w:tcW w:w="0" w:type="auto"/>
            <w:shd w:val="clear" w:color="auto" w:fill="auto"/>
            <w:vAlign w:val="bottom"/>
          </w:tcPr>
          <w:p w14:paraId="4ACE515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15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15A"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515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15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15D"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585</w:t>
            </w:r>
          </w:p>
        </w:tc>
        <w:tc>
          <w:tcPr>
            <w:tcW w:w="0" w:type="auto"/>
            <w:shd w:val="clear" w:color="auto" w:fill="auto"/>
            <w:vAlign w:val="bottom"/>
          </w:tcPr>
          <w:p w14:paraId="4ACE515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15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160"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571</w:t>
            </w:r>
          </w:p>
        </w:tc>
        <w:tc>
          <w:tcPr>
            <w:tcW w:w="0" w:type="auto"/>
            <w:shd w:val="clear" w:color="auto" w:fill="auto"/>
            <w:vAlign w:val="bottom"/>
          </w:tcPr>
          <w:p w14:paraId="4ACE516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16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163"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16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16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16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571</w:t>
            </w:r>
          </w:p>
        </w:tc>
        <w:tc>
          <w:tcPr>
            <w:tcW w:w="0" w:type="auto"/>
            <w:shd w:val="clear" w:color="auto" w:fill="auto"/>
            <w:vAlign w:val="bottom"/>
          </w:tcPr>
          <w:p w14:paraId="4ACE5167" w14:textId="77777777" w:rsidR="006F587A" w:rsidRDefault="006F587A">
            <w:pPr>
              <w:textAlignment w:val="bottom"/>
              <w:rPr>
                <w:rFonts w:ascii="Times New Roman" w:hAnsi="Times New Roman"/>
                <w:sz w:val="20"/>
                <w:szCs w:val="20"/>
              </w:rPr>
            </w:pPr>
          </w:p>
        </w:tc>
      </w:tr>
      <w:tr w:rsidR="006F587A" w14:paraId="4ACE5182" w14:textId="77777777">
        <w:tc>
          <w:tcPr>
            <w:tcW w:w="0" w:type="auto"/>
            <w:shd w:val="clear" w:color="auto" w:fill="auto"/>
            <w:tcMar>
              <w:top w:w="40" w:type="dxa"/>
              <w:left w:w="40" w:type="dxa"/>
              <w:bottom w:w="40" w:type="dxa"/>
              <w:right w:w="40" w:type="dxa"/>
            </w:tcMar>
            <w:vAlign w:val="bottom"/>
          </w:tcPr>
          <w:p w14:paraId="4ACE5169"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Total identified intangible assets</w:t>
            </w:r>
          </w:p>
        </w:tc>
        <w:tc>
          <w:tcPr>
            <w:tcW w:w="0" w:type="auto"/>
            <w:shd w:val="clear" w:color="auto" w:fill="auto"/>
            <w:tcMar>
              <w:top w:w="40" w:type="dxa"/>
              <w:left w:w="40" w:type="dxa"/>
              <w:bottom w:w="40" w:type="dxa"/>
              <w:right w:w="40" w:type="dxa"/>
            </w:tcMar>
            <w:vAlign w:val="bottom"/>
          </w:tcPr>
          <w:p w14:paraId="4ACE516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16B"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16C"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16,791</w:t>
            </w:r>
          </w:p>
        </w:tc>
        <w:tc>
          <w:tcPr>
            <w:tcW w:w="0" w:type="auto"/>
            <w:tcBorders>
              <w:top w:val="single" w:sz="8" w:space="0" w:color="333333"/>
              <w:bottom w:val="double" w:sz="6" w:space="0" w:color="333333"/>
            </w:tcBorders>
            <w:shd w:val="clear" w:color="auto" w:fill="auto"/>
            <w:vAlign w:val="bottom"/>
          </w:tcPr>
          <w:p w14:paraId="4ACE516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16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16F"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170"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(5,964</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4ACE5171"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left w:w="40" w:type="dxa"/>
              <w:bottom w:w="40" w:type="dxa"/>
              <w:right w:w="40" w:type="dxa"/>
            </w:tcMar>
            <w:vAlign w:val="bottom"/>
          </w:tcPr>
          <w:p w14:paraId="4ACE517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173"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174"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10,827</w:t>
            </w:r>
          </w:p>
        </w:tc>
        <w:tc>
          <w:tcPr>
            <w:tcW w:w="0" w:type="auto"/>
            <w:tcBorders>
              <w:top w:val="single" w:sz="8" w:space="0" w:color="333333"/>
              <w:bottom w:val="double" w:sz="6" w:space="0" w:color="333333"/>
            </w:tcBorders>
            <w:shd w:val="clear" w:color="auto" w:fill="auto"/>
            <w:vAlign w:val="bottom"/>
          </w:tcPr>
          <w:p w14:paraId="4ACE517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17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177"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178"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16,790</w:t>
            </w:r>
          </w:p>
        </w:tc>
        <w:tc>
          <w:tcPr>
            <w:tcW w:w="0" w:type="auto"/>
            <w:tcBorders>
              <w:top w:val="single" w:sz="8" w:space="0" w:color="333333"/>
              <w:bottom w:val="double" w:sz="6" w:space="0" w:color="333333"/>
            </w:tcBorders>
            <w:shd w:val="clear" w:color="auto" w:fill="auto"/>
            <w:vAlign w:val="bottom"/>
          </w:tcPr>
          <w:p w14:paraId="4ACE517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17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17B"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17C"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(4,954</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4ACE517D"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4ACE517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17F"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180"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11,836</w:t>
            </w:r>
          </w:p>
        </w:tc>
        <w:tc>
          <w:tcPr>
            <w:tcW w:w="0" w:type="auto"/>
            <w:tcBorders>
              <w:top w:val="single" w:sz="8" w:space="0" w:color="333333"/>
              <w:bottom w:val="double" w:sz="6" w:space="0" w:color="333333"/>
            </w:tcBorders>
            <w:shd w:val="clear" w:color="auto" w:fill="auto"/>
            <w:vAlign w:val="bottom"/>
          </w:tcPr>
          <w:p w14:paraId="4ACE5181" w14:textId="77777777" w:rsidR="006F587A" w:rsidRDefault="006F587A">
            <w:pPr>
              <w:textAlignment w:val="bottom"/>
              <w:rPr>
                <w:rFonts w:ascii="Times New Roman" w:hAnsi="Times New Roman"/>
                <w:sz w:val="20"/>
                <w:szCs w:val="20"/>
              </w:rPr>
            </w:pPr>
          </w:p>
        </w:tc>
      </w:tr>
    </w:tbl>
    <w:p w14:paraId="4ACE5183" w14:textId="77777777" w:rsidR="006F587A" w:rsidRDefault="006F587A">
      <w:pPr>
        <w:spacing w:line="288" w:lineRule="auto"/>
        <w:rPr>
          <w:rFonts w:ascii="Times New Roman" w:hAnsi="Times New Roman"/>
          <w:sz w:val="20"/>
          <w:szCs w:val="20"/>
        </w:rPr>
      </w:pPr>
    </w:p>
    <w:p w14:paraId="4ACE5184"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Amortization expenses recorded for identified intangible assets in the Consolidated </w:t>
      </w:r>
      <w:r>
        <w:rPr>
          <w:rFonts w:ascii="Arial" w:eastAsia="宋体" w:hAnsi="Arial" w:cs="Arial"/>
          <w:color w:val="333333"/>
          <w:sz w:val="18"/>
          <w:szCs w:val="18"/>
        </w:rPr>
        <w:t>Statements of Income for each period and the weighted average useful life were as follows:</w:t>
      </w:r>
    </w:p>
    <w:tbl>
      <w:tblPr>
        <w:tblW w:w="5000" w:type="pct"/>
        <w:jc w:val="center"/>
        <w:tblCellMar>
          <w:left w:w="0" w:type="dxa"/>
          <w:right w:w="0" w:type="dxa"/>
        </w:tblCellMar>
        <w:tblLook w:val="04A0" w:firstRow="1" w:lastRow="0" w:firstColumn="1" w:lastColumn="0" w:noHBand="0" w:noVBand="1"/>
      </w:tblPr>
      <w:tblGrid>
        <w:gridCol w:w="2280"/>
        <w:gridCol w:w="130"/>
        <w:gridCol w:w="1781"/>
        <w:gridCol w:w="130"/>
        <w:gridCol w:w="142"/>
        <w:gridCol w:w="702"/>
        <w:gridCol w:w="64"/>
        <w:gridCol w:w="130"/>
        <w:gridCol w:w="142"/>
        <w:gridCol w:w="675"/>
        <w:gridCol w:w="64"/>
        <w:gridCol w:w="130"/>
        <w:gridCol w:w="142"/>
        <w:gridCol w:w="675"/>
        <w:gridCol w:w="64"/>
        <w:gridCol w:w="130"/>
        <w:gridCol w:w="925"/>
      </w:tblGrid>
      <w:tr w:rsidR="006F587A" w14:paraId="4ACE5186" w14:textId="77777777">
        <w:trPr>
          <w:jc w:val="center"/>
        </w:trPr>
        <w:tc>
          <w:tcPr>
            <w:tcW w:w="0" w:type="auto"/>
            <w:gridSpan w:val="17"/>
            <w:shd w:val="clear" w:color="auto" w:fill="auto"/>
            <w:vAlign w:val="center"/>
          </w:tcPr>
          <w:p w14:paraId="4ACE5185" w14:textId="77777777" w:rsidR="006F587A" w:rsidRDefault="006F587A">
            <w:pPr>
              <w:rPr>
                <w:rFonts w:ascii="Times New Roman" w:hAnsi="Times New Roman"/>
                <w:sz w:val="20"/>
                <w:szCs w:val="20"/>
              </w:rPr>
            </w:pPr>
          </w:p>
        </w:tc>
      </w:tr>
      <w:tr w:rsidR="006F587A" w14:paraId="4ACE5198" w14:textId="77777777">
        <w:trPr>
          <w:jc w:val="center"/>
        </w:trPr>
        <w:tc>
          <w:tcPr>
            <w:tcW w:w="1400" w:type="pct"/>
            <w:shd w:val="clear" w:color="auto" w:fill="auto"/>
            <w:vAlign w:val="center"/>
          </w:tcPr>
          <w:p w14:paraId="4ACE5187" w14:textId="77777777" w:rsidR="006F587A" w:rsidRDefault="006F587A">
            <w:pPr>
              <w:rPr>
                <w:rFonts w:ascii="Times New Roman" w:hAnsi="Times New Roman"/>
                <w:sz w:val="20"/>
                <w:szCs w:val="20"/>
              </w:rPr>
            </w:pPr>
          </w:p>
        </w:tc>
        <w:tc>
          <w:tcPr>
            <w:tcW w:w="50" w:type="pct"/>
            <w:shd w:val="clear" w:color="auto" w:fill="auto"/>
            <w:vAlign w:val="center"/>
          </w:tcPr>
          <w:p w14:paraId="4ACE5188" w14:textId="77777777" w:rsidR="006F587A" w:rsidRDefault="006F587A">
            <w:pPr>
              <w:rPr>
                <w:rFonts w:ascii="Times New Roman" w:hAnsi="Times New Roman"/>
                <w:sz w:val="20"/>
                <w:szCs w:val="20"/>
              </w:rPr>
            </w:pPr>
          </w:p>
        </w:tc>
        <w:tc>
          <w:tcPr>
            <w:tcW w:w="1100" w:type="pct"/>
            <w:shd w:val="clear" w:color="auto" w:fill="auto"/>
            <w:vAlign w:val="center"/>
          </w:tcPr>
          <w:p w14:paraId="4ACE5189" w14:textId="77777777" w:rsidR="006F587A" w:rsidRDefault="006F587A">
            <w:pPr>
              <w:rPr>
                <w:rFonts w:ascii="Times New Roman" w:hAnsi="Times New Roman"/>
                <w:sz w:val="20"/>
                <w:szCs w:val="20"/>
              </w:rPr>
            </w:pPr>
          </w:p>
        </w:tc>
        <w:tc>
          <w:tcPr>
            <w:tcW w:w="50" w:type="pct"/>
            <w:shd w:val="clear" w:color="auto" w:fill="auto"/>
            <w:vAlign w:val="center"/>
          </w:tcPr>
          <w:p w14:paraId="4ACE518A" w14:textId="77777777" w:rsidR="006F587A" w:rsidRDefault="006F587A">
            <w:pPr>
              <w:rPr>
                <w:rFonts w:ascii="Times New Roman" w:hAnsi="Times New Roman"/>
                <w:sz w:val="20"/>
                <w:szCs w:val="20"/>
              </w:rPr>
            </w:pPr>
          </w:p>
        </w:tc>
        <w:tc>
          <w:tcPr>
            <w:tcW w:w="50" w:type="pct"/>
            <w:shd w:val="clear" w:color="auto" w:fill="auto"/>
            <w:vAlign w:val="center"/>
          </w:tcPr>
          <w:p w14:paraId="4ACE518B" w14:textId="77777777" w:rsidR="006F587A" w:rsidRDefault="006F587A">
            <w:pPr>
              <w:rPr>
                <w:rFonts w:ascii="Times New Roman" w:hAnsi="Times New Roman"/>
                <w:sz w:val="20"/>
                <w:szCs w:val="20"/>
              </w:rPr>
            </w:pPr>
          </w:p>
        </w:tc>
        <w:tc>
          <w:tcPr>
            <w:tcW w:w="450" w:type="pct"/>
            <w:shd w:val="clear" w:color="auto" w:fill="auto"/>
            <w:vAlign w:val="center"/>
          </w:tcPr>
          <w:p w14:paraId="4ACE518C" w14:textId="77777777" w:rsidR="006F587A" w:rsidRDefault="006F587A">
            <w:pPr>
              <w:rPr>
                <w:rFonts w:ascii="Times New Roman" w:hAnsi="Times New Roman"/>
                <w:sz w:val="20"/>
                <w:szCs w:val="20"/>
              </w:rPr>
            </w:pPr>
          </w:p>
        </w:tc>
        <w:tc>
          <w:tcPr>
            <w:tcW w:w="50" w:type="pct"/>
            <w:shd w:val="clear" w:color="auto" w:fill="auto"/>
            <w:vAlign w:val="center"/>
          </w:tcPr>
          <w:p w14:paraId="4ACE518D" w14:textId="77777777" w:rsidR="006F587A" w:rsidRDefault="006F587A">
            <w:pPr>
              <w:rPr>
                <w:rFonts w:ascii="Times New Roman" w:hAnsi="Times New Roman"/>
                <w:sz w:val="20"/>
                <w:szCs w:val="20"/>
              </w:rPr>
            </w:pPr>
          </w:p>
        </w:tc>
        <w:tc>
          <w:tcPr>
            <w:tcW w:w="50" w:type="pct"/>
            <w:shd w:val="clear" w:color="auto" w:fill="auto"/>
            <w:vAlign w:val="center"/>
          </w:tcPr>
          <w:p w14:paraId="4ACE518E" w14:textId="77777777" w:rsidR="006F587A" w:rsidRDefault="006F587A">
            <w:pPr>
              <w:rPr>
                <w:rFonts w:ascii="Times New Roman" w:hAnsi="Times New Roman"/>
                <w:sz w:val="20"/>
                <w:szCs w:val="20"/>
              </w:rPr>
            </w:pPr>
          </w:p>
        </w:tc>
        <w:tc>
          <w:tcPr>
            <w:tcW w:w="50" w:type="pct"/>
            <w:shd w:val="clear" w:color="auto" w:fill="auto"/>
            <w:vAlign w:val="center"/>
          </w:tcPr>
          <w:p w14:paraId="4ACE518F" w14:textId="77777777" w:rsidR="006F587A" w:rsidRDefault="006F587A">
            <w:pPr>
              <w:rPr>
                <w:rFonts w:ascii="Times New Roman" w:hAnsi="Times New Roman"/>
                <w:sz w:val="20"/>
                <w:szCs w:val="20"/>
              </w:rPr>
            </w:pPr>
          </w:p>
        </w:tc>
        <w:tc>
          <w:tcPr>
            <w:tcW w:w="450" w:type="pct"/>
            <w:shd w:val="clear" w:color="auto" w:fill="auto"/>
            <w:vAlign w:val="center"/>
          </w:tcPr>
          <w:p w14:paraId="4ACE5190" w14:textId="77777777" w:rsidR="006F587A" w:rsidRDefault="006F587A">
            <w:pPr>
              <w:rPr>
                <w:rFonts w:ascii="Times New Roman" w:hAnsi="Times New Roman"/>
                <w:sz w:val="20"/>
                <w:szCs w:val="20"/>
              </w:rPr>
            </w:pPr>
          </w:p>
        </w:tc>
        <w:tc>
          <w:tcPr>
            <w:tcW w:w="50" w:type="pct"/>
            <w:shd w:val="clear" w:color="auto" w:fill="auto"/>
            <w:vAlign w:val="center"/>
          </w:tcPr>
          <w:p w14:paraId="4ACE5191" w14:textId="77777777" w:rsidR="006F587A" w:rsidRDefault="006F587A">
            <w:pPr>
              <w:rPr>
                <w:rFonts w:ascii="Times New Roman" w:hAnsi="Times New Roman"/>
                <w:sz w:val="20"/>
                <w:szCs w:val="20"/>
              </w:rPr>
            </w:pPr>
          </w:p>
        </w:tc>
        <w:tc>
          <w:tcPr>
            <w:tcW w:w="50" w:type="pct"/>
            <w:shd w:val="clear" w:color="auto" w:fill="auto"/>
            <w:vAlign w:val="center"/>
          </w:tcPr>
          <w:p w14:paraId="4ACE5192" w14:textId="77777777" w:rsidR="006F587A" w:rsidRDefault="006F587A">
            <w:pPr>
              <w:rPr>
                <w:rFonts w:ascii="Times New Roman" w:hAnsi="Times New Roman"/>
                <w:sz w:val="20"/>
                <w:szCs w:val="20"/>
              </w:rPr>
            </w:pPr>
          </w:p>
        </w:tc>
        <w:tc>
          <w:tcPr>
            <w:tcW w:w="50" w:type="pct"/>
            <w:shd w:val="clear" w:color="auto" w:fill="auto"/>
            <w:vAlign w:val="center"/>
          </w:tcPr>
          <w:p w14:paraId="4ACE5193" w14:textId="77777777" w:rsidR="006F587A" w:rsidRDefault="006F587A">
            <w:pPr>
              <w:rPr>
                <w:rFonts w:ascii="Times New Roman" w:hAnsi="Times New Roman"/>
                <w:sz w:val="20"/>
                <w:szCs w:val="20"/>
              </w:rPr>
            </w:pPr>
          </w:p>
        </w:tc>
        <w:tc>
          <w:tcPr>
            <w:tcW w:w="450" w:type="pct"/>
            <w:shd w:val="clear" w:color="auto" w:fill="auto"/>
            <w:vAlign w:val="center"/>
          </w:tcPr>
          <w:p w14:paraId="4ACE5194" w14:textId="77777777" w:rsidR="006F587A" w:rsidRDefault="006F587A">
            <w:pPr>
              <w:rPr>
                <w:rFonts w:ascii="Times New Roman" w:hAnsi="Times New Roman"/>
                <w:sz w:val="20"/>
                <w:szCs w:val="20"/>
              </w:rPr>
            </w:pPr>
          </w:p>
        </w:tc>
        <w:tc>
          <w:tcPr>
            <w:tcW w:w="50" w:type="pct"/>
            <w:shd w:val="clear" w:color="auto" w:fill="auto"/>
            <w:vAlign w:val="center"/>
          </w:tcPr>
          <w:p w14:paraId="4ACE5195" w14:textId="77777777" w:rsidR="006F587A" w:rsidRDefault="006F587A">
            <w:pPr>
              <w:rPr>
                <w:rFonts w:ascii="Times New Roman" w:hAnsi="Times New Roman"/>
                <w:sz w:val="20"/>
                <w:szCs w:val="20"/>
              </w:rPr>
            </w:pPr>
          </w:p>
        </w:tc>
        <w:tc>
          <w:tcPr>
            <w:tcW w:w="50" w:type="pct"/>
            <w:shd w:val="clear" w:color="auto" w:fill="auto"/>
            <w:vAlign w:val="center"/>
          </w:tcPr>
          <w:p w14:paraId="4ACE5196" w14:textId="77777777" w:rsidR="006F587A" w:rsidRDefault="006F587A">
            <w:pPr>
              <w:rPr>
                <w:rFonts w:ascii="Times New Roman" w:hAnsi="Times New Roman"/>
                <w:sz w:val="20"/>
                <w:szCs w:val="20"/>
              </w:rPr>
            </w:pPr>
          </w:p>
        </w:tc>
        <w:tc>
          <w:tcPr>
            <w:tcW w:w="600" w:type="pct"/>
            <w:shd w:val="clear" w:color="auto" w:fill="auto"/>
            <w:vAlign w:val="center"/>
          </w:tcPr>
          <w:p w14:paraId="4ACE5197" w14:textId="77777777" w:rsidR="006F587A" w:rsidRDefault="006F587A">
            <w:pPr>
              <w:rPr>
                <w:rFonts w:ascii="Times New Roman" w:hAnsi="Times New Roman"/>
                <w:sz w:val="20"/>
                <w:szCs w:val="20"/>
              </w:rPr>
            </w:pPr>
          </w:p>
        </w:tc>
      </w:tr>
      <w:tr w:rsidR="006F587A" w14:paraId="4ACE51A4" w14:textId="77777777">
        <w:trPr>
          <w:jc w:val="center"/>
        </w:trPr>
        <w:tc>
          <w:tcPr>
            <w:tcW w:w="0" w:type="auto"/>
            <w:tcBorders>
              <w:bottom w:val="single" w:sz="8" w:space="0" w:color="0071C5"/>
            </w:tcBorders>
            <w:shd w:val="clear" w:color="auto" w:fill="auto"/>
            <w:tcMar>
              <w:top w:w="40" w:type="dxa"/>
              <w:left w:w="40" w:type="dxa"/>
              <w:bottom w:w="40" w:type="dxa"/>
              <w:right w:w="40" w:type="dxa"/>
            </w:tcMar>
            <w:vAlign w:val="bottom"/>
          </w:tcPr>
          <w:p w14:paraId="4ACE5199"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Years Ended (In Millions)</w:t>
            </w:r>
          </w:p>
        </w:tc>
        <w:tc>
          <w:tcPr>
            <w:tcW w:w="0" w:type="auto"/>
            <w:shd w:val="clear" w:color="auto" w:fill="auto"/>
            <w:tcMar>
              <w:top w:w="40" w:type="dxa"/>
              <w:left w:w="40" w:type="dxa"/>
              <w:bottom w:w="40" w:type="dxa"/>
              <w:right w:w="40" w:type="dxa"/>
            </w:tcMar>
            <w:vAlign w:val="bottom"/>
          </w:tcPr>
          <w:p w14:paraId="4ACE519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71C5"/>
            </w:tcBorders>
            <w:shd w:val="clear" w:color="auto" w:fill="auto"/>
            <w:tcMar>
              <w:top w:w="40" w:type="dxa"/>
              <w:left w:w="40" w:type="dxa"/>
              <w:bottom w:w="40" w:type="dxa"/>
              <w:right w:w="40" w:type="dxa"/>
            </w:tcMar>
            <w:vAlign w:val="bottom"/>
          </w:tcPr>
          <w:p w14:paraId="4ACE519B"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Location</w:t>
            </w:r>
          </w:p>
        </w:tc>
        <w:tc>
          <w:tcPr>
            <w:tcW w:w="0" w:type="auto"/>
            <w:shd w:val="clear" w:color="auto" w:fill="auto"/>
            <w:tcMar>
              <w:top w:w="40" w:type="dxa"/>
              <w:left w:w="40" w:type="dxa"/>
              <w:bottom w:w="40" w:type="dxa"/>
              <w:right w:w="40" w:type="dxa"/>
            </w:tcMar>
            <w:vAlign w:val="bottom"/>
          </w:tcPr>
          <w:p w14:paraId="4ACE519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19D"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28, </w:t>
            </w:r>
            <w:r>
              <w:rPr>
                <w:rFonts w:ascii="Arial" w:eastAsia="宋体" w:hAnsi="Arial" w:cs="Arial"/>
                <w:b/>
                <w:bCs/>
                <w:color w:val="333333"/>
                <w:sz w:val="18"/>
                <w:szCs w:val="18"/>
              </w:rPr>
              <w:br/>
              <w:t>2019</w:t>
            </w:r>
          </w:p>
        </w:tc>
        <w:tc>
          <w:tcPr>
            <w:tcW w:w="0" w:type="auto"/>
            <w:shd w:val="clear" w:color="auto" w:fill="auto"/>
            <w:tcMar>
              <w:top w:w="40" w:type="dxa"/>
              <w:left w:w="40" w:type="dxa"/>
              <w:bottom w:w="40" w:type="dxa"/>
              <w:right w:w="40" w:type="dxa"/>
            </w:tcMar>
            <w:vAlign w:val="bottom"/>
          </w:tcPr>
          <w:p w14:paraId="4ACE519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19F"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29, </w:t>
            </w:r>
            <w:r>
              <w:rPr>
                <w:rFonts w:ascii="Arial" w:eastAsia="宋体" w:hAnsi="Arial" w:cs="Arial"/>
                <w:b/>
                <w:bCs/>
                <w:color w:val="333333"/>
                <w:sz w:val="18"/>
                <w:szCs w:val="18"/>
              </w:rPr>
              <w:br/>
              <w:t>2018</w:t>
            </w:r>
          </w:p>
        </w:tc>
        <w:tc>
          <w:tcPr>
            <w:tcW w:w="0" w:type="auto"/>
            <w:shd w:val="clear" w:color="auto" w:fill="auto"/>
            <w:tcMar>
              <w:top w:w="40" w:type="dxa"/>
              <w:left w:w="40" w:type="dxa"/>
              <w:bottom w:w="40" w:type="dxa"/>
              <w:right w:w="40" w:type="dxa"/>
            </w:tcMar>
            <w:vAlign w:val="bottom"/>
          </w:tcPr>
          <w:p w14:paraId="4ACE51A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1A1"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30, </w:t>
            </w:r>
            <w:r>
              <w:rPr>
                <w:rFonts w:ascii="Arial" w:eastAsia="宋体" w:hAnsi="Arial" w:cs="Arial"/>
                <w:b/>
                <w:bCs/>
                <w:color w:val="333333"/>
                <w:sz w:val="18"/>
                <w:szCs w:val="18"/>
              </w:rPr>
              <w:br/>
              <w:t>2017</w:t>
            </w:r>
          </w:p>
        </w:tc>
        <w:tc>
          <w:tcPr>
            <w:tcW w:w="0" w:type="auto"/>
            <w:shd w:val="clear" w:color="auto" w:fill="auto"/>
            <w:tcMar>
              <w:top w:w="40" w:type="dxa"/>
              <w:left w:w="40" w:type="dxa"/>
              <w:bottom w:w="40" w:type="dxa"/>
              <w:right w:w="40" w:type="dxa"/>
            </w:tcMar>
            <w:vAlign w:val="bottom"/>
          </w:tcPr>
          <w:p w14:paraId="4ACE51A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71C5"/>
            </w:tcBorders>
            <w:shd w:val="clear" w:color="auto" w:fill="auto"/>
            <w:tcMar>
              <w:top w:w="40" w:type="dxa"/>
              <w:left w:w="40" w:type="dxa"/>
              <w:bottom w:w="40" w:type="dxa"/>
              <w:right w:w="40" w:type="dxa"/>
            </w:tcMar>
            <w:vAlign w:val="bottom"/>
          </w:tcPr>
          <w:p w14:paraId="4ACE51A3"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Weighted Average Useful Life</w:t>
            </w:r>
            <w:r>
              <w:rPr>
                <w:rFonts w:ascii="Arial" w:eastAsia="宋体" w:hAnsi="Arial" w:cs="Arial"/>
                <w:b/>
                <w:bCs/>
                <w:color w:val="333333"/>
                <w:sz w:val="12"/>
                <w:szCs w:val="12"/>
              </w:rPr>
              <w:t>1</w:t>
            </w:r>
          </w:p>
        </w:tc>
      </w:tr>
      <w:tr w:rsidR="006F587A" w14:paraId="4ACE51B6" w14:textId="77777777">
        <w:trPr>
          <w:jc w:val="center"/>
        </w:trPr>
        <w:tc>
          <w:tcPr>
            <w:tcW w:w="0" w:type="auto"/>
            <w:shd w:val="clear" w:color="auto" w:fill="auto"/>
            <w:tcMar>
              <w:top w:w="40" w:type="dxa"/>
              <w:left w:w="40" w:type="dxa"/>
              <w:bottom w:w="40" w:type="dxa"/>
              <w:right w:w="40" w:type="dxa"/>
            </w:tcMar>
            <w:vAlign w:val="bottom"/>
          </w:tcPr>
          <w:p w14:paraId="4ACE51A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Developed </w:t>
            </w:r>
            <w:r>
              <w:rPr>
                <w:rFonts w:ascii="Arial" w:eastAsia="宋体" w:hAnsi="Arial" w:cs="Arial"/>
                <w:color w:val="333333"/>
                <w:sz w:val="18"/>
                <w:szCs w:val="18"/>
              </w:rPr>
              <w:t>technology</w:t>
            </w:r>
          </w:p>
        </w:tc>
        <w:tc>
          <w:tcPr>
            <w:tcW w:w="0" w:type="auto"/>
            <w:shd w:val="clear" w:color="auto" w:fill="auto"/>
            <w:tcMar>
              <w:top w:w="40" w:type="dxa"/>
              <w:left w:w="40" w:type="dxa"/>
              <w:bottom w:w="40" w:type="dxa"/>
              <w:right w:w="40" w:type="dxa"/>
            </w:tcMar>
            <w:vAlign w:val="bottom"/>
          </w:tcPr>
          <w:p w14:paraId="4ACE51A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1A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Cost of sales</w:t>
            </w:r>
          </w:p>
        </w:tc>
        <w:tc>
          <w:tcPr>
            <w:tcW w:w="0" w:type="auto"/>
            <w:shd w:val="clear" w:color="auto" w:fill="auto"/>
            <w:tcMar>
              <w:top w:w="40" w:type="dxa"/>
              <w:left w:w="40" w:type="dxa"/>
              <w:bottom w:w="40" w:type="dxa"/>
              <w:right w:w="40" w:type="dxa"/>
            </w:tcMar>
            <w:vAlign w:val="bottom"/>
          </w:tcPr>
          <w:p w14:paraId="4ACE51A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51A9"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tcBorders>
              <w:top w:val="single" w:sz="8" w:space="0" w:color="0071C5"/>
            </w:tcBorders>
            <w:shd w:val="clear" w:color="auto" w:fill="auto"/>
            <w:tcMar>
              <w:top w:w="40" w:type="dxa"/>
              <w:bottom w:w="40" w:type="dxa"/>
            </w:tcMar>
            <w:vAlign w:val="bottom"/>
          </w:tcPr>
          <w:p w14:paraId="4ACE51AA"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1,124</w:t>
            </w:r>
          </w:p>
        </w:tc>
        <w:tc>
          <w:tcPr>
            <w:tcW w:w="0" w:type="auto"/>
            <w:tcBorders>
              <w:top w:val="single" w:sz="8" w:space="0" w:color="0071C5"/>
            </w:tcBorders>
            <w:shd w:val="clear" w:color="auto" w:fill="auto"/>
            <w:vAlign w:val="bottom"/>
          </w:tcPr>
          <w:p w14:paraId="4ACE51A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1A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51A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tcMar>
            <w:vAlign w:val="bottom"/>
          </w:tcPr>
          <w:p w14:paraId="4ACE51A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1,105</w:t>
            </w:r>
          </w:p>
        </w:tc>
        <w:tc>
          <w:tcPr>
            <w:tcW w:w="0" w:type="auto"/>
            <w:tcBorders>
              <w:top w:val="single" w:sz="8" w:space="0" w:color="0071C5"/>
            </w:tcBorders>
            <w:shd w:val="clear" w:color="auto" w:fill="auto"/>
            <w:vAlign w:val="bottom"/>
          </w:tcPr>
          <w:p w14:paraId="4ACE51A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1B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1B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51B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912</w:t>
            </w:r>
          </w:p>
        </w:tc>
        <w:tc>
          <w:tcPr>
            <w:tcW w:w="0" w:type="auto"/>
            <w:shd w:val="clear" w:color="auto" w:fill="auto"/>
            <w:vAlign w:val="bottom"/>
          </w:tcPr>
          <w:p w14:paraId="4ACE51B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1B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1B5" w14:textId="77777777" w:rsidR="006F587A" w:rsidRDefault="007B2B61">
            <w:pPr>
              <w:jc w:val="center"/>
              <w:textAlignment w:val="bottom"/>
              <w:rPr>
                <w:rFonts w:ascii="Times New Roman" w:hAnsi="Times New Roman"/>
                <w:sz w:val="18"/>
                <w:szCs w:val="18"/>
              </w:rPr>
            </w:pPr>
            <w:r>
              <w:rPr>
                <w:rFonts w:ascii="Arial" w:eastAsia="宋体" w:hAnsi="Arial" w:cs="Arial"/>
                <w:color w:val="0071C5"/>
                <w:sz w:val="18"/>
                <w:szCs w:val="18"/>
              </w:rPr>
              <w:t>9 years</w:t>
            </w:r>
          </w:p>
        </w:tc>
      </w:tr>
      <w:tr w:rsidR="006F587A" w14:paraId="4ACE51C5" w14:textId="77777777">
        <w:trPr>
          <w:jc w:val="center"/>
        </w:trPr>
        <w:tc>
          <w:tcPr>
            <w:tcW w:w="0" w:type="auto"/>
            <w:shd w:val="clear" w:color="auto" w:fill="auto"/>
            <w:tcMar>
              <w:top w:w="40" w:type="dxa"/>
              <w:left w:w="40" w:type="dxa"/>
              <w:bottom w:w="40" w:type="dxa"/>
              <w:right w:w="40" w:type="dxa"/>
            </w:tcMar>
            <w:vAlign w:val="center"/>
          </w:tcPr>
          <w:p w14:paraId="4ACE51B7" w14:textId="77777777" w:rsidR="006F587A" w:rsidRDefault="007B2B61">
            <w:pPr>
              <w:textAlignment w:val="center"/>
              <w:rPr>
                <w:rFonts w:ascii="Times New Roman" w:hAnsi="Times New Roman"/>
                <w:sz w:val="18"/>
                <w:szCs w:val="18"/>
              </w:rPr>
            </w:pPr>
            <w:r>
              <w:rPr>
                <w:rFonts w:ascii="Arial" w:eastAsia="宋体" w:hAnsi="Arial" w:cs="Arial"/>
                <w:color w:val="333333"/>
                <w:sz w:val="18"/>
                <w:szCs w:val="18"/>
              </w:rPr>
              <w:t>Customer relationships and brands</w:t>
            </w:r>
          </w:p>
        </w:tc>
        <w:tc>
          <w:tcPr>
            <w:tcW w:w="0" w:type="auto"/>
            <w:shd w:val="clear" w:color="auto" w:fill="auto"/>
            <w:tcMar>
              <w:top w:w="40" w:type="dxa"/>
              <w:left w:w="40" w:type="dxa"/>
              <w:bottom w:w="40" w:type="dxa"/>
              <w:right w:w="40" w:type="dxa"/>
            </w:tcMar>
            <w:vAlign w:val="bottom"/>
          </w:tcPr>
          <w:p w14:paraId="4ACE51B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1B9"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Amortization of acquisition-related intangibles</w:t>
            </w:r>
          </w:p>
        </w:tc>
        <w:tc>
          <w:tcPr>
            <w:tcW w:w="0" w:type="auto"/>
            <w:shd w:val="clear" w:color="auto" w:fill="auto"/>
            <w:tcMar>
              <w:top w:w="40" w:type="dxa"/>
              <w:left w:w="40" w:type="dxa"/>
              <w:bottom w:w="40" w:type="dxa"/>
              <w:right w:w="40" w:type="dxa"/>
            </w:tcMar>
            <w:vAlign w:val="bottom"/>
          </w:tcPr>
          <w:p w14:paraId="4ACE51B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1BB"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200</w:t>
            </w:r>
          </w:p>
        </w:tc>
        <w:tc>
          <w:tcPr>
            <w:tcW w:w="0" w:type="auto"/>
            <w:shd w:val="clear" w:color="auto" w:fill="auto"/>
            <w:vAlign w:val="bottom"/>
          </w:tcPr>
          <w:p w14:paraId="4ACE51B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1B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1B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200</w:t>
            </w:r>
          </w:p>
        </w:tc>
        <w:tc>
          <w:tcPr>
            <w:tcW w:w="0" w:type="auto"/>
            <w:shd w:val="clear" w:color="auto" w:fill="auto"/>
            <w:vAlign w:val="bottom"/>
          </w:tcPr>
          <w:p w14:paraId="4ACE51B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1C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1C1"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177</w:t>
            </w:r>
          </w:p>
        </w:tc>
        <w:tc>
          <w:tcPr>
            <w:tcW w:w="0" w:type="auto"/>
            <w:shd w:val="clear" w:color="auto" w:fill="auto"/>
            <w:vAlign w:val="bottom"/>
          </w:tcPr>
          <w:p w14:paraId="4ACE51C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1C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1C4" w14:textId="77777777" w:rsidR="006F587A" w:rsidRDefault="007B2B61">
            <w:pPr>
              <w:jc w:val="center"/>
              <w:textAlignment w:val="bottom"/>
              <w:rPr>
                <w:rFonts w:ascii="Times New Roman" w:hAnsi="Times New Roman"/>
                <w:sz w:val="18"/>
                <w:szCs w:val="18"/>
              </w:rPr>
            </w:pPr>
            <w:r>
              <w:rPr>
                <w:rFonts w:ascii="Arial" w:eastAsia="宋体" w:hAnsi="Arial" w:cs="Arial"/>
                <w:color w:val="0071C5"/>
                <w:sz w:val="18"/>
                <w:szCs w:val="18"/>
              </w:rPr>
              <w:t>11 years</w:t>
            </w:r>
          </w:p>
        </w:tc>
      </w:tr>
      <w:tr w:rsidR="006F587A" w14:paraId="4ACE51D4" w14:textId="77777777">
        <w:trPr>
          <w:jc w:val="center"/>
        </w:trPr>
        <w:tc>
          <w:tcPr>
            <w:tcW w:w="0" w:type="auto"/>
            <w:shd w:val="clear" w:color="auto" w:fill="auto"/>
            <w:tcMar>
              <w:top w:w="40" w:type="dxa"/>
              <w:left w:w="40" w:type="dxa"/>
              <w:bottom w:w="40" w:type="dxa"/>
              <w:right w:w="40" w:type="dxa"/>
            </w:tcMar>
            <w:vAlign w:val="bottom"/>
          </w:tcPr>
          <w:p w14:paraId="4ACE51C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Licensed technology and patents</w:t>
            </w:r>
          </w:p>
        </w:tc>
        <w:tc>
          <w:tcPr>
            <w:tcW w:w="0" w:type="auto"/>
            <w:shd w:val="clear" w:color="auto" w:fill="auto"/>
            <w:tcMar>
              <w:top w:w="40" w:type="dxa"/>
              <w:left w:w="40" w:type="dxa"/>
              <w:bottom w:w="40" w:type="dxa"/>
              <w:right w:w="40" w:type="dxa"/>
            </w:tcMar>
            <w:vAlign w:val="bottom"/>
          </w:tcPr>
          <w:p w14:paraId="4ACE51C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1C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Cost of sales</w:t>
            </w:r>
          </w:p>
        </w:tc>
        <w:tc>
          <w:tcPr>
            <w:tcW w:w="0" w:type="auto"/>
            <w:shd w:val="clear" w:color="auto" w:fill="auto"/>
            <w:tcMar>
              <w:top w:w="40" w:type="dxa"/>
              <w:left w:w="40" w:type="dxa"/>
              <w:bottom w:w="40" w:type="dxa"/>
              <w:right w:w="40" w:type="dxa"/>
            </w:tcMar>
            <w:vAlign w:val="bottom"/>
          </w:tcPr>
          <w:p w14:paraId="4ACE51C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1CA"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298</w:t>
            </w:r>
          </w:p>
        </w:tc>
        <w:tc>
          <w:tcPr>
            <w:tcW w:w="0" w:type="auto"/>
            <w:shd w:val="clear" w:color="auto" w:fill="auto"/>
            <w:vAlign w:val="bottom"/>
          </w:tcPr>
          <w:p w14:paraId="4ACE51C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1C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1CD"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260</w:t>
            </w:r>
          </w:p>
        </w:tc>
        <w:tc>
          <w:tcPr>
            <w:tcW w:w="0" w:type="auto"/>
            <w:shd w:val="clear" w:color="auto" w:fill="auto"/>
            <w:vAlign w:val="bottom"/>
          </w:tcPr>
          <w:p w14:paraId="4ACE51C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1C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1D0"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288</w:t>
            </w:r>
          </w:p>
        </w:tc>
        <w:tc>
          <w:tcPr>
            <w:tcW w:w="0" w:type="auto"/>
            <w:shd w:val="clear" w:color="auto" w:fill="auto"/>
            <w:vAlign w:val="bottom"/>
          </w:tcPr>
          <w:p w14:paraId="4ACE51D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1D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1D3" w14:textId="77777777" w:rsidR="006F587A" w:rsidRDefault="007B2B61">
            <w:pPr>
              <w:jc w:val="center"/>
              <w:textAlignment w:val="bottom"/>
              <w:rPr>
                <w:rFonts w:ascii="Times New Roman" w:hAnsi="Times New Roman"/>
                <w:sz w:val="18"/>
                <w:szCs w:val="18"/>
              </w:rPr>
            </w:pPr>
            <w:r>
              <w:rPr>
                <w:rFonts w:ascii="Arial" w:eastAsia="宋体" w:hAnsi="Arial" w:cs="Arial"/>
                <w:color w:val="0071C5"/>
                <w:sz w:val="18"/>
                <w:szCs w:val="18"/>
              </w:rPr>
              <w:t>12 years</w:t>
            </w:r>
          </w:p>
        </w:tc>
      </w:tr>
      <w:tr w:rsidR="006F587A" w14:paraId="4ACE51E6" w14:textId="77777777">
        <w:trPr>
          <w:jc w:val="center"/>
        </w:trPr>
        <w:tc>
          <w:tcPr>
            <w:tcW w:w="0" w:type="auto"/>
            <w:shd w:val="clear" w:color="auto" w:fill="auto"/>
            <w:tcMar>
              <w:top w:w="40" w:type="dxa"/>
              <w:left w:w="40" w:type="dxa"/>
              <w:bottom w:w="40" w:type="dxa"/>
              <w:right w:w="40" w:type="dxa"/>
            </w:tcMar>
            <w:vAlign w:val="bottom"/>
          </w:tcPr>
          <w:p w14:paraId="4ACE51D5"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 xml:space="preserve">Total amortization </w:t>
            </w:r>
            <w:r>
              <w:rPr>
                <w:rFonts w:ascii="Arial" w:eastAsia="宋体" w:hAnsi="Arial" w:cs="Arial"/>
                <w:b/>
                <w:bCs/>
                <w:color w:val="333333"/>
                <w:sz w:val="18"/>
                <w:szCs w:val="18"/>
              </w:rPr>
              <w:lastRenderedPageBreak/>
              <w:t>expenses</w:t>
            </w:r>
          </w:p>
        </w:tc>
        <w:tc>
          <w:tcPr>
            <w:tcW w:w="0" w:type="auto"/>
            <w:shd w:val="clear" w:color="auto" w:fill="auto"/>
            <w:tcMar>
              <w:top w:w="40" w:type="dxa"/>
              <w:left w:w="40" w:type="dxa"/>
              <w:bottom w:w="40" w:type="dxa"/>
              <w:right w:w="40" w:type="dxa"/>
            </w:tcMar>
            <w:vAlign w:val="bottom"/>
          </w:tcPr>
          <w:p w14:paraId="4ACE51D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lastRenderedPageBreak/>
              <w:t> </w:t>
            </w:r>
          </w:p>
        </w:tc>
        <w:tc>
          <w:tcPr>
            <w:tcW w:w="0" w:type="auto"/>
            <w:shd w:val="clear" w:color="auto" w:fill="auto"/>
            <w:tcMar>
              <w:top w:w="40" w:type="dxa"/>
              <w:left w:w="40" w:type="dxa"/>
              <w:bottom w:w="40" w:type="dxa"/>
              <w:right w:w="40" w:type="dxa"/>
            </w:tcMar>
            <w:vAlign w:val="bottom"/>
          </w:tcPr>
          <w:p w14:paraId="4ACE51D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1D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1D9"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1DA"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1,622</w:t>
            </w:r>
          </w:p>
        </w:tc>
        <w:tc>
          <w:tcPr>
            <w:tcW w:w="0" w:type="auto"/>
            <w:tcBorders>
              <w:top w:val="single" w:sz="8" w:space="0" w:color="333333"/>
              <w:bottom w:val="double" w:sz="6" w:space="0" w:color="333333"/>
            </w:tcBorders>
            <w:shd w:val="clear" w:color="auto" w:fill="auto"/>
            <w:vAlign w:val="bottom"/>
          </w:tcPr>
          <w:p w14:paraId="4ACE51D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1D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1DD"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1DE"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1,565</w:t>
            </w:r>
          </w:p>
        </w:tc>
        <w:tc>
          <w:tcPr>
            <w:tcW w:w="0" w:type="auto"/>
            <w:tcBorders>
              <w:top w:val="single" w:sz="8" w:space="0" w:color="333333"/>
              <w:bottom w:val="double" w:sz="6" w:space="0" w:color="333333"/>
            </w:tcBorders>
            <w:shd w:val="clear" w:color="auto" w:fill="auto"/>
            <w:vAlign w:val="bottom"/>
          </w:tcPr>
          <w:p w14:paraId="4ACE51D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1E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1E1"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1E2"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1,377</w:t>
            </w:r>
          </w:p>
        </w:tc>
        <w:tc>
          <w:tcPr>
            <w:tcW w:w="0" w:type="auto"/>
            <w:tcBorders>
              <w:top w:val="single" w:sz="8" w:space="0" w:color="333333"/>
              <w:bottom w:val="double" w:sz="6" w:space="0" w:color="333333"/>
            </w:tcBorders>
            <w:shd w:val="clear" w:color="auto" w:fill="auto"/>
            <w:vAlign w:val="bottom"/>
          </w:tcPr>
          <w:p w14:paraId="4ACE51E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1E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1E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bl>
    <w:p w14:paraId="4ACE51E7"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5800"/>
      </w:tblGrid>
      <w:tr w:rsidR="006F587A" w14:paraId="4ACE51EA" w14:textId="77777777">
        <w:trPr>
          <w:tblCellSpacing w:w="0" w:type="dxa"/>
        </w:trPr>
        <w:tc>
          <w:tcPr>
            <w:tcW w:w="720" w:type="dxa"/>
            <w:shd w:val="clear" w:color="auto" w:fill="auto"/>
            <w:vAlign w:val="center"/>
          </w:tcPr>
          <w:p w14:paraId="4ACE51E8" w14:textId="77777777" w:rsidR="006F587A" w:rsidRDefault="006F587A">
            <w:pPr>
              <w:rPr>
                <w:rFonts w:ascii="Times New Roman" w:hAnsi="Times New Roman"/>
                <w:sz w:val="20"/>
                <w:szCs w:val="20"/>
              </w:rPr>
            </w:pPr>
          </w:p>
        </w:tc>
        <w:tc>
          <w:tcPr>
            <w:tcW w:w="0" w:type="auto"/>
            <w:shd w:val="clear" w:color="auto" w:fill="auto"/>
            <w:vAlign w:val="center"/>
          </w:tcPr>
          <w:p w14:paraId="4ACE51E9" w14:textId="77777777" w:rsidR="006F587A" w:rsidRDefault="006F587A">
            <w:pPr>
              <w:rPr>
                <w:rFonts w:ascii="Times New Roman" w:hAnsi="Times New Roman"/>
                <w:sz w:val="20"/>
                <w:szCs w:val="20"/>
              </w:rPr>
            </w:pPr>
          </w:p>
        </w:tc>
      </w:tr>
      <w:tr w:rsidR="006F587A" w14:paraId="4ACE51ED" w14:textId="77777777">
        <w:trPr>
          <w:tblCellSpacing w:w="0" w:type="dxa"/>
        </w:trPr>
        <w:tc>
          <w:tcPr>
            <w:tcW w:w="0" w:type="auto"/>
            <w:shd w:val="clear" w:color="auto" w:fill="auto"/>
          </w:tcPr>
          <w:p w14:paraId="4ACE51EB"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0"/>
                <w:szCs w:val="10"/>
              </w:rPr>
              <w:t>1</w:t>
            </w:r>
            <w:r>
              <w:rPr>
                <w:rFonts w:ascii="Arial" w:eastAsia="宋体" w:hAnsi="Arial" w:cs="Arial"/>
                <w:i/>
                <w:iCs/>
                <w:color w:val="333333"/>
                <w:sz w:val="16"/>
                <w:szCs w:val="16"/>
              </w:rPr>
              <w:t> </w:t>
            </w:r>
          </w:p>
        </w:tc>
        <w:tc>
          <w:tcPr>
            <w:tcW w:w="0" w:type="auto"/>
            <w:shd w:val="clear" w:color="auto" w:fill="auto"/>
          </w:tcPr>
          <w:p w14:paraId="4ACE51EC"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6"/>
                <w:szCs w:val="16"/>
              </w:rPr>
              <w:t xml:space="preserve">Represents weighted average useful life in years of intangible assets during 2019. </w:t>
            </w:r>
          </w:p>
        </w:tc>
      </w:tr>
    </w:tbl>
    <w:p w14:paraId="4ACE51EE" w14:textId="77777777" w:rsidR="006F587A" w:rsidRDefault="006F587A">
      <w:pPr>
        <w:spacing w:line="288" w:lineRule="auto"/>
        <w:ind w:hanging="240"/>
        <w:rPr>
          <w:rFonts w:ascii="Times New Roman" w:hAnsi="Times New Roman"/>
          <w:sz w:val="16"/>
          <w:szCs w:val="16"/>
        </w:rPr>
      </w:pPr>
    </w:p>
    <w:p w14:paraId="4ACE51EF"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expect future amortization expense for the next five years and thereafter to be as follows:</w:t>
      </w:r>
    </w:p>
    <w:tbl>
      <w:tblPr>
        <w:tblW w:w="5000" w:type="pct"/>
        <w:jc w:val="center"/>
        <w:tblCellMar>
          <w:left w:w="0" w:type="dxa"/>
          <w:right w:w="0" w:type="dxa"/>
        </w:tblCellMar>
        <w:tblLook w:val="04A0" w:firstRow="1" w:lastRow="0" w:firstColumn="1" w:lastColumn="0" w:noHBand="0" w:noVBand="1"/>
      </w:tblPr>
      <w:tblGrid>
        <w:gridCol w:w="2421"/>
        <w:gridCol w:w="130"/>
        <w:gridCol w:w="141"/>
        <w:gridCol w:w="510"/>
        <w:gridCol w:w="12"/>
        <w:gridCol w:w="130"/>
        <w:gridCol w:w="141"/>
        <w:gridCol w:w="510"/>
        <w:gridCol w:w="12"/>
        <w:gridCol w:w="130"/>
        <w:gridCol w:w="141"/>
        <w:gridCol w:w="510"/>
        <w:gridCol w:w="12"/>
        <w:gridCol w:w="130"/>
        <w:gridCol w:w="141"/>
        <w:gridCol w:w="510"/>
        <w:gridCol w:w="12"/>
        <w:gridCol w:w="130"/>
        <w:gridCol w:w="142"/>
        <w:gridCol w:w="510"/>
        <w:gridCol w:w="53"/>
        <w:gridCol w:w="130"/>
        <w:gridCol w:w="142"/>
        <w:gridCol w:w="748"/>
        <w:gridCol w:w="106"/>
        <w:gridCol w:w="130"/>
        <w:gridCol w:w="141"/>
        <w:gridCol w:w="469"/>
        <w:gridCol w:w="12"/>
      </w:tblGrid>
      <w:tr w:rsidR="006F587A" w14:paraId="4ACE51F1" w14:textId="77777777">
        <w:trPr>
          <w:jc w:val="center"/>
        </w:trPr>
        <w:tc>
          <w:tcPr>
            <w:tcW w:w="0" w:type="auto"/>
            <w:gridSpan w:val="29"/>
            <w:shd w:val="clear" w:color="auto" w:fill="auto"/>
            <w:vAlign w:val="center"/>
          </w:tcPr>
          <w:p w14:paraId="4ACE51F0" w14:textId="77777777" w:rsidR="006F587A" w:rsidRDefault="006F587A">
            <w:pPr>
              <w:rPr>
                <w:rFonts w:ascii="Times New Roman" w:hAnsi="Times New Roman"/>
                <w:sz w:val="20"/>
                <w:szCs w:val="20"/>
              </w:rPr>
            </w:pPr>
          </w:p>
        </w:tc>
      </w:tr>
      <w:tr w:rsidR="006F587A" w14:paraId="4ACE520F" w14:textId="77777777">
        <w:trPr>
          <w:jc w:val="center"/>
        </w:trPr>
        <w:tc>
          <w:tcPr>
            <w:tcW w:w="1500" w:type="pct"/>
            <w:shd w:val="clear" w:color="auto" w:fill="auto"/>
            <w:vAlign w:val="center"/>
          </w:tcPr>
          <w:p w14:paraId="4ACE51F2" w14:textId="77777777" w:rsidR="006F587A" w:rsidRDefault="006F587A">
            <w:pPr>
              <w:rPr>
                <w:rFonts w:ascii="Times New Roman" w:hAnsi="Times New Roman"/>
                <w:sz w:val="20"/>
                <w:szCs w:val="20"/>
              </w:rPr>
            </w:pPr>
          </w:p>
        </w:tc>
        <w:tc>
          <w:tcPr>
            <w:tcW w:w="50" w:type="pct"/>
            <w:shd w:val="clear" w:color="auto" w:fill="auto"/>
            <w:vAlign w:val="center"/>
          </w:tcPr>
          <w:p w14:paraId="4ACE51F3" w14:textId="77777777" w:rsidR="006F587A" w:rsidRDefault="006F587A">
            <w:pPr>
              <w:rPr>
                <w:rFonts w:ascii="Times New Roman" w:hAnsi="Times New Roman"/>
                <w:sz w:val="20"/>
                <w:szCs w:val="20"/>
              </w:rPr>
            </w:pPr>
          </w:p>
        </w:tc>
        <w:tc>
          <w:tcPr>
            <w:tcW w:w="50" w:type="pct"/>
            <w:shd w:val="clear" w:color="auto" w:fill="auto"/>
            <w:vAlign w:val="center"/>
          </w:tcPr>
          <w:p w14:paraId="4ACE51F4" w14:textId="77777777" w:rsidR="006F587A" w:rsidRDefault="006F587A">
            <w:pPr>
              <w:rPr>
                <w:rFonts w:ascii="Times New Roman" w:hAnsi="Times New Roman"/>
                <w:sz w:val="20"/>
                <w:szCs w:val="20"/>
              </w:rPr>
            </w:pPr>
          </w:p>
        </w:tc>
        <w:tc>
          <w:tcPr>
            <w:tcW w:w="350" w:type="pct"/>
            <w:shd w:val="clear" w:color="auto" w:fill="auto"/>
            <w:vAlign w:val="center"/>
          </w:tcPr>
          <w:p w14:paraId="4ACE51F5" w14:textId="77777777" w:rsidR="006F587A" w:rsidRDefault="006F587A">
            <w:pPr>
              <w:rPr>
                <w:rFonts w:ascii="Times New Roman" w:hAnsi="Times New Roman"/>
                <w:sz w:val="20"/>
                <w:szCs w:val="20"/>
              </w:rPr>
            </w:pPr>
          </w:p>
        </w:tc>
        <w:tc>
          <w:tcPr>
            <w:tcW w:w="50" w:type="pct"/>
            <w:shd w:val="clear" w:color="auto" w:fill="auto"/>
            <w:vAlign w:val="center"/>
          </w:tcPr>
          <w:p w14:paraId="4ACE51F6" w14:textId="77777777" w:rsidR="006F587A" w:rsidRDefault="006F587A">
            <w:pPr>
              <w:rPr>
                <w:rFonts w:ascii="Times New Roman" w:hAnsi="Times New Roman"/>
                <w:sz w:val="20"/>
                <w:szCs w:val="20"/>
              </w:rPr>
            </w:pPr>
          </w:p>
        </w:tc>
        <w:tc>
          <w:tcPr>
            <w:tcW w:w="50" w:type="pct"/>
            <w:shd w:val="clear" w:color="auto" w:fill="auto"/>
            <w:vAlign w:val="center"/>
          </w:tcPr>
          <w:p w14:paraId="4ACE51F7" w14:textId="77777777" w:rsidR="006F587A" w:rsidRDefault="006F587A">
            <w:pPr>
              <w:rPr>
                <w:rFonts w:ascii="Times New Roman" w:hAnsi="Times New Roman"/>
                <w:sz w:val="20"/>
                <w:szCs w:val="20"/>
              </w:rPr>
            </w:pPr>
          </w:p>
        </w:tc>
        <w:tc>
          <w:tcPr>
            <w:tcW w:w="50" w:type="pct"/>
            <w:shd w:val="clear" w:color="auto" w:fill="auto"/>
            <w:vAlign w:val="center"/>
          </w:tcPr>
          <w:p w14:paraId="4ACE51F8" w14:textId="77777777" w:rsidR="006F587A" w:rsidRDefault="006F587A">
            <w:pPr>
              <w:rPr>
                <w:rFonts w:ascii="Times New Roman" w:hAnsi="Times New Roman"/>
                <w:sz w:val="20"/>
                <w:szCs w:val="20"/>
              </w:rPr>
            </w:pPr>
          </w:p>
        </w:tc>
        <w:tc>
          <w:tcPr>
            <w:tcW w:w="350" w:type="pct"/>
            <w:shd w:val="clear" w:color="auto" w:fill="auto"/>
            <w:vAlign w:val="center"/>
          </w:tcPr>
          <w:p w14:paraId="4ACE51F9" w14:textId="77777777" w:rsidR="006F587A" w:rsidRDefault="006F587A">
            <w:pPr>
              <w:rPr>
                <w:rFonts w:ascii="Times New Roman" w:hAnsi="Times New Roman"/>
                <w:sz w:val="20"/>
                <w:szCs w:val="20"/>
              </w:rPr>
            </w:pPr>
          </w:p>
        </w:tc>
        <w:tc>
          <w:tcPr>
            <w:tcW w:w="50" w:type="pct"/>
            <w:shd w:val="clear" w:color="auto" w:fill="auto"/>
            <w:vAlign w:val="center"/>
          </w:tcPr>
          <w:p w14:paraId="4ACE51FA" w14:textId="77777777" w:rsidR="006F587A" w:rsidRDefault="006F587A">
            <w:pPr>
              <w:rPr>
                <w:rFonts w:ascii="Times New Roman" w:hAnsi="Times New Roman"/>
                <w:sz w:val="20"/>
                <w:szCs w:val="20"/>
              </w:rPr>
            </w:pPr>
          </w:p>
        </w:tc>
        <w:tc>
          <w:tcPr>
            <w:tcW w:w="50" w:type="pct"/>
            <w:shd w:val="clear" w:color="auto" w:fill="auto"/>
            <w:vAlign w:val="center"/>
          </w:tcPr>
          <w:p w14:paraId="4ACE51FB" w14:textId="77777777" w:rsidR="006F587A" w:rsidRDefault="006F587A">
            <w:pPr>
              <w:rPr>
                <w:rFonts w:ascii="Times New Roman" w:hAnsi="Times New Roman"/>
                <w:sz w:val="20"/>
                <w:szCs w:val="20"/>
              </w:rPr>
            </w:pPr>
          </w:p>
        </w:tc>
        <w:tc>
          <w:tcPr>
            <w:tcW w:w="50" w:type="pct"/>
            <w:shd w:val="clear" w:color="auto" w:fill="auto"/>
            <w:vAlign w:val="center"/>
          </w:tcPr>
          <w:p w14:paraId="4ACE51FC" w14:textId="77777777" w:rsidR="006F587A" w:rsidRDefault="006F587A">
            <w:pPr>
              <w:rPr>
                <w:rFonts w:ascii="Times New Roman" w:hAnsi="Times New Roman"/>
                <w:sz w:val="20"/>
                <w:szCs w:val="20"/>
              </w:rPr>
            </w:pPr>
          </w:p>
        </w:tc>
        <w:tc>
          <w:tcPr>
            <w:tcW w:w="350" w:type="pct"/>
            <w:shd w:val="clear" w:color="auto" w:fill="auto"/>
            <w:vAlign w:val="center"/>
          </w:tcPr>
          <w:p w14:paraId="4ACE51FD" w14:textId="77777777" w:rsidR="006F587A" w:rsidRDefault="006F587A">
            <w:pPr>
              <w:rPr>
                <w:rFonts w:ascii="Times New Roman" w:hAnsi="Times New Roman"/>
                <w:sz w:val="20"/>
                <w:szCs w:val="20"/>
              </w:rPr>
            </w:pPr>
          </w:p>
        </w:tc>
        <w:tc>
          <w:tcPr>
            <w:tcW w:w="50" w:type="pct"/>
            <w:shd w:val="clear" w:color="auto" w:fill="auto"/>
            <w:vAlign w:val="center"/>
          </w:tcPr>
          <w:p w14:paraId="4ACE51FE" w14:textId="77777777" w:rsidR="006F587A" w:rsidRDefault="006F587A">
            <w:pPr>
              <w:rPr>
                <w:rFonts w:ascii="Times New Roman" w:hAnsi="Times New Roman"/>
                <w:sz w:val="20"/>
                <w:szCs w:val="20"/>
              </w:rPr>
            </w:pPr>
          </w:p>
        </w:tc>
        <w:tc>
          <w:tcPr>
            <w:tcW w:w="50" w:type="pct"/>
            <w:shd w:val="clear" w:color="auto" w:fill="auto"/>
            <w:vAlign w:val="center"/>
          </w:tcPr>
          <w:p w14:paraId="4ACE51FF" w14:textId="77777777" w:rsidR="006F587A" w:rsidRDefault="006F587A">
            <w:pPr>
              <w:rPr>
                <w:rFonts w:ascii="Times New Roman" w:hAnsi="Times New Roman"/>
                <w:sz w:val="20"/>
                <w:szCs w:val="20"/>
              </w:rPr>
            </w:pPr>
          </w:p>
        </w:tc>
        <w:tc>
          <w:tcPr>
            <w:tcW w:w="50" w:type="pct"/>
            <w:shd w:val="clear" w:color="auto" w:fill="auto"/>
            <w:vAlign w:val="center"/>
          </w:tcPr>
          <w:p w14:paraId="4ACE5200" w14:textId="77777777" w:rsidR="006F587A" w:rsidRDefault="006F587A">
            <w:pPr>
              <w:rPr>
                <w:rFonts w:ascii="Times New Roman" w:hAnsi="Times New Roman"/>
                <w:sz w:val="20"/>
                <w:szCs w:val="20"/>
              </w:rPr>
            </w:pPr>
          </w:p>
        </w:tc>
        <w:tc>
          <w:tcPr>
            <w:tcW w:w="350" w:type="pct"/>
            <w:shd w:val="clear" w:color="auto" w:fill="auto"/>
            <w:vAlign w:val="center"/>
          </w:tcPr>
          <w:p w14:paraId="4ACE5201" w14:textId="77777777" w:rsidR="006F587A" w:rsidRDefault="006F587A">
            <w:pPr>
              <w:rPr>
                <w:rFonts w:ascii="Times New Roman" w:hAnsi="Times New Roman"/>
                <w:sz w:val="20"/>
                <w:szCs w:val="20"/>
              </w:rPr>
            </w:pPr>
          </w:p>
        </w:tc>
        <w:tc>
          <w:tcPr>
            <w:tcW w:w="50" w:type="pct"/>
            <w:shd w:val="clear" w:color="auto" w:fill="auto"/>
            <w:vAlign w:val="center"/>
          </w:tcPr>
          <w:p w14:paraId="4ACE5202" w14:textId="77777777" w:rsidR="006F587A" w:rsidRDefault="006F587A">
            <w:pPr>
              <w:rPr>
                <w:rFonts w:ascii="Times New Roman" w:hAnsi="Times New Roman"/>
                <w:sz w:val="20"/>
                <w:szCs w:val="20"/>
              </w:rPr>
            </w:pPr>
          </w:p>
        </w:tc>
        <w:tc>
          <w:tcPr>
            <w:tcW w:w="50" w:type="pct"/>
            <w:shd w:val="clear" w:color="auto" w:fill="auto"/>
            <w:vAlign w:val="center"/>
          </w:tcPr>
          <w:p w14:paraId="4ACE5203" w14:textId="77777777" w:rsidR="006F587A" w:rsidRDefault="006F587A">
            <w:pPr>
              <w:rPr>
                <w:rFonts w:ascii="Times New Roman" w:hAnsi="Times New Roman"/>
                <w:sz w:val="20"/>
                <w:szCs w:val="20"/>
              </w:rPr>
            </w:pPr>
          </w:p>
        </w:tc>
        <w:tc>
          <w:tcPr>
            <w:tcW w:w="50" w:type="pct"/>
            <w:shd w:val="clear" w:color="auto" w:fill="auto"/>
            <w:vAlign w:val="center"/>
          </w:tcPr>
          <w:p w14:paraId="4ACE5204" w14:textId="77777777" w:rsidR="006F587A" w:rsidRDefault="006F587A">
            <w:pPr>
              <w:rPr>
                <w:rFonts w:ascii="Times New Roman" w:hAnsi="Times New Roman"/>
                <w:sz w:val="20"/>
                <w:szCs w:val="20"/>
              </w:rPr>
            </w:pPr>
          </w:p>
        </w:tc>
        <w:tc>
          <w:tcPr>
            <w:tcW w:w="350" w:type="pct"/>
            <w:shd w:val="clear" w:color="auto" w:fill="auto"/>
            <w:vAlign w:val="center"/>
          </w:tcPr>
          <w:p w14:paraId="4ACE5205" w14:textId="77777777" w:rsidR="006F587A" w:rsidRDefault="006F587A">
            <w:pPr>
              <w:rPr>
                <w:rFonts w:ascii="Times New Roman" w:hAnsi="Times New Roman"/>
                <w:sz w:val="20"/>
                <w:szCs w:val="20"/>
              </w:rPr>
            </w:pPr>
          </w:p>
        </w:tc>
        <w:tc>
          <w:tcPr>
            <w:tcW w:w="50" w:type="pct"/>
            <w:shd w:val="clear" w:color="auto" w:fill="auto"/>
            <w:vAlign w:val="center"/>
          </w:tcPr>
          <w:p w14:paraId="4ACE5206" w14:textId="77777777" w:rsidR="006F587A" w:rsidRDefault="006F587A">
            <w:pPr>
              <w:rPr>
                <w:rFonts w:ascii="Times New Roman" w:hAnsi="Times New Roman"/>
                <w:sz w:val="20"/>
                <w:szCs w:val="20"/>
              </w:rPr>
            </w:pPr>
          </w:p>
        </w:tc>
        <w:tc>
          <w:tcPr>
            <w:tcW w:w="50" w:type="pct"/>
            <w:shd w:val="clear" w:color="auto" w:fill="auto"/>
            <w:vAlign w:val="center"/>
          </w:tcPr>
          <w:p w14:paraId="4ACE5207" w14:textId="77777777" w:rsidR="006F587A" w:rsidRDefault="006F587A">
            <w:pPr>
              <w:rPr>
                <w:rFonts w:ascii="Times New Roman" w:hAnsi="Times New Roman"/>
                <w:sz w:val="20"/>
                <w:szCs w:val="20"/>
              </w:rPr>
            </w:pPr>
          </w:p>
        </w:tc>
        <w:tc>
          <w:tcPr>
            <w:tcW w:w="50" w:type="pct"/>
            <w:shd w:val="clear" w:color="auto" w:fill="auto"/>
            <w:vAlign w:val="center"/>
          </w:tcPr>
          <w:p w14:paraId="4ACE5208" w14:textId="77777777" w:rsidR="006F587A" w:rsidRDefault="006F587A">
            <w:pPr>
              <w:rPr>
                <w:rFonts w:ascii="Times New Roman" w:hAnsi="Times New Roman"/>
                <w:sz w:val="20"/>
                <w:szCs w:val="20"/>
              </w:rPr>
            </w:pPr>
          </w:p>
        </w:tc>
        <w:tc>
          <w:tcPr>
            <w:tcW w:w="350" w:type="pct"/>
            <w:shd w:val="clear" w:color="auto" w:fill="auto"/>
            <w:vAlign w:val="center"/>
          </w:tcPr>
          <w:p w14:paraId="4ACE5209" w14:textId="77777777" w:rsidR="006F587A" w:rsidRDefault="006F587A">
            <w:pPr>
              <w:rPr>
                <w:rFonts w:ascii="Times New Roman" w:hAnsi="Times New Roman"/>
                <w:sz w:val="20"/>
                <w:szCs w:val="20"/>
              </w:rPr>
            </w:pPr>
          </w:p>
        </w:tc>
        <w:tc>
          <w:tcPr>
            <w:tcW w:w="50" w:type="pct"/>
            <w:shd w:val="clear" w:color="auto" w:fill="auto"/>
            <w:vAlign w:val="center"/>
          </w:tcPr>
          <w:p w14:paraId="4ACE520A" w14:textId="77777777" w:rsidR="006F587A" w:rsidRDefault="006F587A">
            <w:pPr>
              <w:rPr>
                <w:rFonts w:ascii="Times New Roman" w:hAnsi="Times New Roman"/>
                <w:sz w:val="20"/>
                <w:szCs w:val="20"/>
              </w:rPr>
            </w:pPr>
          </w:p>
        </w:tc>
        <w:tc>
          <w:tcPr>
            <w:tcW w:w="50" w:type="pct"/>
            <w:shd w:val="clear" w:color="auto" w:fill="auto"/>
            <w:vAlign w:val="center"/>
          </w:tcPr>
          <w:p w14:paraId="4ACE520B" w14:textId="77777777" w:rsidR="006F587A" w:rsidRDefault="006F587A">
            <w:pPr>
              <w:rPr>
                <w:rFonts w:ascii="Times New Roman" w:hAnsi="Times New Roman"/>
                <w:sz w:val="20"/>
                <w:szCs w:val="20"/>
              </w:rPr>
            </w:pPr>
          </w:p>
        </w:tc>
        <w:tc>
          <w:tcPr>
            <w:tcW w:w="50" w:type="pct"/>
            <w:shd w:val="clear" w:color="auto" w:fill="auto"/>
            <w:vAlign w:val="center"/>
          </w:tcPr>
          <w:p w14:paraId="4ACE520C" w14:textId="77777777" w:rsidR="006F587A" w:rsidRDefault="006F587A">
            <w:pPr>
              <w:rPr>
                <w:rFonts w:ascii="Times New Roman" w:hAnsi="Times New Roman"/>
                <w:sz w:val="20"/>
                <w:szCs w:val="20"/>
              </w:rPr>
            </w:pPr>
          </w:p>
        </w:tc>
        <w:tc>
          <w:tcPr>
            <w:tcW w:w="350" w:type="pct"/>
            <w:shd w:val="clear" w:color="auto" w:fill="auto"/>
            <w:vAlign w:val="center"/>
          </w:tcPr>
          <w:p w14:paraId="4ACE520D" w14:textId="77777777" w:rsidR="006F587A" w:rsidRDefault="006F587A">
            <w:pPr>
              <w:rPr>
                <w:rFonts w:ascii="Times New Roman" w:hAnsi="Times New Roman"/>
                <w:sz w:val="20"/>
                <w:szCs w:val="20"/>
              </w:rPr>
            </w:pPr>
          </w:p>
        </w:tc>
        <w:tc>
          <w:tcPr>
            <w:tcW w:w="50" w:type="pct"/>
            <w:shd w:val="clear" w:color="auto" w:fill="auto"/>
            <w:vAlign w:val="center"/>
          </w:tcPr>
          <w:p w14:paraId="4ACE520E" w14:textId="77777777" w:rsidR="006F587A" w:rsidRDefault="006F587A">
            <w:pPr>
              <w:rPr>
                <w:rFonts w:ascii="Times New Roman" w:hAnsi="Times New Roman"/>
                <w:sz w:val="20"/>
                <w:szCs w:val="20"/>
              </w:rPr>
            </w:pPr>
          </w:p>
        </w:tc>
      </w:tr>
      <w:tr w:rsidR="006F587A" w14:paraId="4ACE521F" w14:textId="77777777">
        <w:trPr>
          <w:jc w:val="center"/>
        </w:trPr>
        <w:tc>
          <w:tcPr>
            <w:tcW w:w="0" w:type="auto"/>
            <w:tcBorders>
              <w:bottom w:val="single" w:sz="8" w:space="0" w:color="0071C5"/>
            </w:tcBorders>
            <w:shd w:val="clear" w:color="auto" w:fill="auto"/>
            <w:tcMar>
              <w:top w:w="40" w:type="dxa"/>
              <w:left w:w="40" w:type="dxa"/>
              <w:bottom w:w="40" w:type="dxa"/>
              <w:right w:w="40" w:type="dxa"/>
            </w:tcMar>
            <w:vAlign w:val="bottom"/>
          </w:tcPr>
          <w:p w14:paraId="4ACE521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21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212"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2020</w:t>
            </w:r>
          </w:p>
        </w:tc>
        <w:tc>
          <w:tcPr>
            <w:tcW w:w="0" w:type="auto"/>
            <w:shd w:val="clear" w:color="auto" w:fill="auto"/>
            <w:tcMar>
              <w:top w:w="40" w:type="dxa"/>
              <w:left w:w="40" w:type="dxa"/>
              <w:bottom w:w="40" w:type="dxa"/>
              <w:right w:w="40" w:type="dxa"/>
            </w:tcMar>
            <w:vAlign w:val="bottom"/>
          </w:tcPr>
          <w:p w14:paraId="4ACE521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214"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2021</w:t>
            </w:r>
          </w:p>
        </w:tc>
        <w:tc>
          <w:tcPr>
            <w:tcW w:w="0" w:type="auto"/>
            <w:shd w:val="clear" w:color="auto" w:fill="auto"/>
            <w:tcMar>
              <w:top w:w="40" w:type="dxa"/>
              <w:left w:w="40" w:type="dxa"/>
              <w:bottom w:w="40" w:type="dxa"/>
              <w:right w:w="40" w:type="dxa"/>
            </w:tcMar>
            <w:vAlign w:val="bottom"/>
          </w:tcPr>
          <w:p w14:paraId="4ACE521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216"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2022</w:t>
            </w:r>
          </w:p>
        </w:tc>
        <w:tc>
          <w:tcPr>
            <w:tcW w:w="0" w:type="auto"/>
            <w:shd w:val="clear" w:color="auto" w:fill="auto"/>
            <w:tcMar>
              <w:top w:w="40" w:type="dxa"/>
              <w:left w:w="40" w:type="dxa"/>
              <w:bottom w:w="40" w:type="dxa"/>
              <w:right w:w="40" w:type="dxa"/>
            </w:tcMar>
            <w:vAlign w:val="bottom"/>
          </w:tcPr>
          <w:p w14:paraId="4ACE521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218"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2023</w:t>
            </w:r>
          </w:p>
        </w:tc>
        <w:tc>
          <w:tcPr>
            <w:tcW w:w="0" w:type="auto"/>
            <w:shd w:val="clear" w:color="auto" w:fill="auto"/>
            <w:tcMar>
              <w:top w:w="40" w:type="dxa"/>
              <w:left w:w="40" w:type="dxa"/>
              <w:bottom w:w="40" w:type="dxa"/>
              <w:right w:w="40" w:type="dxa"/>
            </w:tcMar>
            <w:vAlign w:val="bottom"/>
          </w:tcPr>
          <w:p w14:paraId="4ACE521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21A"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2024</w:t>
            </w:r>
          </w:p>
        </w:tc>
        <w:tc>
          <w:tcPr>
            <w:tcW w:w="0" w:type="auto"/>
            <w:shd w:val="clear" w:color="auto" w:fill="auto"/>
            <w:tcMar>
              <w:top w:w="40" w:type="dxa"/>
              <w:left w:w="40" w:type="dxa"/>
              <w:bottom w:w="40" w:type="dxa"/>
              <w:right w:w="40" w:type="dxa"/>
            </w:tcMar>
            <w:vAlign w:val="bottom"/>
          </w:tcPr>
          <w:p w14:paraId="4ACE521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21C"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Thereafter</w:t>
            </w:r>
          </w:p>
        </w:tc>
        <w:tc>
          <w:tcPr>
            <w:tcW w:w="0" w:type="auto"/>
            <w:shd w:val="clear" w:color="auto" w:fill="auto"/>
            <w:tcMar>
              <w:top w:w="40" w:type="dxa"/>
              <w:left w:w="40" w:type="dxa"/>
              <w:bottom w:w="40" w:type="dxa"/>
              <w:right w:w="40" w:type="dxa"/>
            </w:tcMar>
            <w:vAlign w:val="bottom"/>
          </w:tcPr>
          <w:p w14:paraId="4ACE521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21E"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Total</w:t>
            </w:r>
          </w:p>
        </w:tc>
      </w:tr>
      <w:tr w:rsidR="006F587A" w14:paraId="4ACE523D" w14:textId="77777777">
        <w:trPr>
          <w:jc w:val="center"/>
        </w:trPr>
        <w:tc>
          <w:tcPr>
            <w:tcW w:w="0" w:type="auto"/>
            <w:shd w:val="clear" w:color="auto" w:fill="auto"/>
            <w:tcMar>
              <w:top w:w="40" w:type="dxa"/>
              <w:left w:w="40" w:type="dxa"/>
              <w:bottom w:w="40" w:type="dxa"/>
              <w:right w:w="40" w:type="dxa"/>
            </w:tcMar>
            <w:vAlign w:val="bottom"/>
          </w:tcPr>
          <w:p w14:paraId="4ACE5220"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Future amortization expenses</w:t>
            </w:r>
          </w:p>
        </w:tc>
        <w:tc>
          <w:tcPr>
            <w:tcW w:w="0" w:type="auto"/>
            <w:shd w:val="clear" w:color="auto" w:fill="auto"/>
            <w:tcMar>
              <w:top w:w="40" w:type="dxa"/>
              <w:left w:w="40" w:type="dxa"/>
              <w:bottom w:w="40" w:type="dxa"/>
              <w:right w:w="40" w:type="dxa"/>
            </w:tcMar>
            <w:vAlign w:val="bottom"/>
          </w:tcPr>
          <w:p w14:paraId="4ACE522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222"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522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1,652</w:t>
            </w:r>
          </w:p>
        </w:tc>
        <w:tc>
          <w:tcPr>
            <w:tcW w:w="0" w:type="auto"/>
            <w:shd w:val="clear" w:color="auto" w:fill="auto"/>
            <w:vAlign w:val="bottom"/>
          </w:tcPr>
          <w:p w14:paraId="4ACE522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22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226"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5227"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1,567</w:t>
            </w:r>
          </w:p>
        </w:tc>
        <w:tc>
          <w:tcPr>
            <w:tcW w:w="0" w:type="auto"/>
            <w:shd w:val="clear" w:color="auto" w:fill="auto"/>
            <w:vAlign w:val="bottom"/>
          </w:tcPr>
          <w:p w14:paraId="4ACE522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22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22A"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522B"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1,443</w:t>
            </w:r>
          </w:p>
        </w:tc>
        <w:tc>
          <w:tcPr>
            <w:tcW w:w="0" w:type="auto"/>
            <w:shd w:val="clear" w:color="auto" w:fill="auto"/>
            <w:vAlign w:val="bottom"/>
          </w:tcPr>
          <w:p w14:paraId="4ACE522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22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22E"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522F"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1,344</w:t>
            </w:r>
          </w:p>
        </w:tc>
        <w:tc>
          <w:tcPr>
            <w:tcW w:w="0" w:type="auto"/>
            <w:shd w:val="clear" w:color="auto" w:fill="auto"/>
            <w:vAlign w:val="bottom"/>
          </w:tcPr>
          <w:p w14:paraId="4ACE523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23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232"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523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996</w:t>
            </w:r>
          </w:p>
        </w:tc>
        <w:tc>
          <w:tcPr>
            <w:tcW w:w="0" w:type="auto"/>
            <w:shd w:val="clear" w:color="auto" w:fill="auto"/>
            <w:vAlign w:val="bottom"/>
          </w:tcPr>
          <w:p w14:paraId="4ACE523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23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236"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5237"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1,576</w:t>
            </w:r>
          </w:p>
        </w:tc>
        <w:tc>
          <w:tcPr>
            <w:tcW w:w="0" w:type="auto"/>
            <w:shd w:val="clear" w:color="auto" w:fill="auto"/>
            <w:vAlign w:val="bottom"/>
          </w:tcPr>
          <w:p w14:paraId="4ACE523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23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23A"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bottom w:w="40" w:type="dxa"/>
            </w:tcMar>
            <w:vAlign w:val="bottom"/>
          </w:tcPr>
          <w:p w14:paraId="4ACE523B"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8,578</w:t>
            </w:r>
          </w:p>
        </w:tc>
        <w:tc>
          <w:tcPr>
            <w:tcW w:w="0" w:type="auto"/>
            <w:shd w:val="clear" w:color="auto" w:fill="auto"/>
            <w:vAlign w:val="bottom"/>
          </w:tcPr>
          <w:p w14:paraId="4ACE523C" w14:textId="77777777" w:rsidR="006F587A" w:rsidRDefault="006F587A">
            <w:pPr>
              <w:textAlignment w:val="bottom"/>
              <w:rPr>
                <w:rFonts w:ascii="Times New Roman" w:hAnsi="Times New Roman"/>
                <w:sz w:val="20"/>
                <w:szCs w:val="20"/>
              </w:rPr>
            </w:pPr>
          </w:p>
        </w:tc>
      </w:tr>
    </w:tbl>
    <w:p w14:paraId="4ACE523E" w14:textId="77777777" w:rsidR="006F587A" w:rsidRDefault="006F587A">
      <w:pPr>
        <w:spacing w:line="288" w:lineRule="auto"/>
        <w:jc w:val="cente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1080"/>
        <w:gridCol w:w="7226"/>
      </w:tblGrid>
      <w:tr w:rsidR="006F587A" w14:paraId="4ACE5240" w14:textId="77777777">
        <w:tc>
          <w:tcPr>
            <w:tcW w:w="0" w:type="auto"/>
            <w:gridSpan w:val="2"/>
            <w:shd w:val="clear" w:color="auto" w:fill="auto"/>
            <w:vAlign w:val="center"/>
          </w:tcPr>
          <w:p w14:paraId="4ACE523F" w14:textId="77777777" w:rsidR="006F587A" w:rsidRDefault="006F587A">
            <w:pPr>
              <w:rPr>
                <w:rFonts w:ascii="Times New Roman" w:hAnsi="Times New Roman"/>
                <w:sz w:val="20"/>
                <w:szCs w:val="20"/>
              </w:rPr>
            </w:pPr>
          </w:p>
        </w:tc>
      </w:tr>
      <w:tr w:rsidR="006F587A" w14:paraId="4ACE5243" w14:textId="77777777">
        <w:tc>
          <w:tcPr>
            <w:tcW w:w="650" w:type="pct"/>
            <w:shd w:val="clear" w:color="auto" w:fill="auto"/>
            <w:vAlign w:val="center"/>
          </w:tcPr>
          <w:p w14:paraId="4ACE5241" w14:textId="77777777" w:rsidR="006F587A" w:rsidRDefault="006F587A">
            <w:pPr>
              <w:rPr>
                <w:rFonts w:ascii="Times New Roman" w:hAnsi="Times New Roman"/>
                <w:sz w:val="20"/>
                <w:szCs w:val="20"/>
              </w:rPr>
            </w:pPr>
          </w:p>
        </w:tc>
        <w:tc>
          <w:tcPr>
            <w:tcW w:w="4350" w:type="pct"/>
            <w:shd w:val="clear" w:color="auto" w:fill="auto"/>
            <w:vAlign w:val="center"/>
          </w:tcPr>
          <w:p w14:paraId="4ACE5242" w14:textId="77777777" w:rsidR="006F587A" w:rsidRDefault="006F587A">
            <w:pPr>
              <w:rPr>
                <w:rFonts w:ascii="Times New Roman" w:hAnsi="Times New Roman"/>
                <w:sz w:val="20"/>
                <w:szCs w:val="20"/>
              </w:rPr>
            </w:pPr>
          </w:p>
        </w:tc>
      </w:tr>
      <w:tr w:rsidR="006F587A" w14:paraId="4ACE5246" w14:textId="77777777">
        <w:tc>
          <w:tcPr>
            <w:tcW w:w="0" w:type="auto"/>
            <w:tcBorders>
              <w:bottom w:val="single" w:sz="8" w:space="0" w:color="0071C5"/>
            </w:tcBorders>
            <w:shd w:val="clear" w:color="auto" w:fill="0071C5"/>
            <w:tcMar>
              <w:top w:w="40" w:type="dxa"/>
              <w:left w:w="40" w:type="dxa"/>
              <w:bottom w:w="40" w:type="dxa"/>
              <w:right w:w="40" w:type="dxa"/>
            </w:tcMar>
            <w:vAlign w:val="bottom"/>
          </w:tcPr>
          <w:p w14:paraId="4ACE5244" w14:textId="77777777" w:rsidR="006F587A" w:rsidRDefault="007B2B61">
            <w:pPr>
              <w:textAlignment w:val="bottom"/>
              <w:rPr>
                <w:rFonts w:ascii="Times New Roman" w:hAnsi="Times New Roman"/>
                <w:sz w:val="28"/>
                <w:szCs w:val="28"/>
              </w:rPr>
            </w:pPr>
            <w:r>
              <w:rPr>
                <w:rFonts w:ascii="Arial" w:eastAsia="宋体" w:hAnsi="Arial" w:cs="Arial"/>
                <w:b/>
                <w:bCs/>
                <w:color w:val="FFFFFF"/>
                <w:sz w:val="28"/>
                <w:szCs w:val="28"/>
                <w:shd w:val="clear" w:color="auto" w:fill="0071C5"/>
              </w:rPr>
              <w:t xml:space="preserve">NOTE 14 : </w:t>
            </w:r>
          </w:p>
        </w:tc>
        <w:tc>
          <w:tcPr>
            <w:tcW w:w="0" w:type="auto"/>
            <w:tcBorders>
              <w:bottom w:val="single" w:sz="8" w:space="0" w:color="0071C5"/>
            </w:tcBorders>
            <w:shd w:val="clear" w:color="auto" w:fill="auto"/>
            <w:tcMar>
              <w:top w:w="40" w:type="dxa"/>
              <w:left w:w="40" w:type="dxa"/>
              <w:bottom w:w="40" w:type="dxa"/>
              <w:right w:w="40" w:type="dxa"/>
            </w:tcMar>
            <w:vAlign w:val="bottom"/>
          </w:tcPr>
          <w:p w14:paraId="4ACE5245" w14:textId="77777777" w:rsidR="006F587A" w:rsidRDefault="007B2B61">
            <w:pPr>
              <w:textAlignment w:val="bottom"/>
              <w:rPr>
                <w:rFonts w:ascii="Times New Roman" w:hAnsi="Times New Roman"/>
                <w:sz w:val="28"/>
                <w:szCs w:val="28"/>
              </w:rPr>
            </w:pPr>
            <w:r>
              <w:rPr>
                <w:rFonts w:ascii="Arial" w:eastAsia="宋体" w:hAnsi="Arial" w:cs="Arial"/>
                <w:b/>
                <w:bCs/>
                <w:color w:val="0071C5"/>
                <w:sz w:val="28"/>
                <w:szCs w:val="28"/>
              </w:rPr>
              <w:t>BORROWINGS</w:t>
            </w:r>
          </w:p>
        </w:tc>
      </w:tr>
    </w:tbl>
    <w:p w14:paraId="4ACE5247" w14:textId="77777777" w:rsidR="006F587A" w:rsidRDefault="006F587A">
      <w:pPr>
        <w:spacing w:line="288" w:lineRule="auto"/>
        <w:rPr>
          <w:rFonts w:ascii="Times New Roman" w:hAnsi="Times New Roman"/>
          <w:sz w:val="28"/>
          <w:szCs w:val="28"/>
        </w:rPr>
      </w:pPr>
    </w:p>
    <w:p w14:paraId="4ACE5248" w14:textId="77777777" w:rsidR="006F587A" w:rsidRDefault="007B2B61">
      <w:pPr>
        <w:spacing w:line="288" w:lineRule="auto"/>
        <w:rPr>
          <w:rFonts w:ascii="Times New Roman" w:hAnsi="Times New Roman"/>
        </w:rPr>
      </w:pPr>
      <w:r>
        <w:rPr>
          <w:rFonts w:ascii="Arial" w:eastAsia="宋体" w:hAnsi="Arial" w:cs="Arial"/>
          <w:b/>
          <w:bCs/>
          <w:color w:val="0071C5"/>
        </w:rPr>
        <w:t>SHORT-TERM DEBT</w:t>
      </w:r>
    </w:p>
    <w:p w14:paraId="4ACE5249"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As of December 28, 2019, short-term debt was $3.7 billion, primarily comprised of our current </w:t>
      </w:r>
      <w:r>
        <w:rPr>
          <w:rFonts w:ascii="Arial" w:eastAsia="宋体" w:hAnsi="Arial" w:cs="Arial"/>
          <w:color w:val="333333"/>
          <w:sz w:val="18"/>
          <w:szCs w:val="18"/>
        </w:rPr>
        <w:t>portion of long-term debt. As of December 29, 2018, short-term debt was $1.3 billion, comprised of $761 million current portion of long-term debt and $500 million commercial paper and drafts payable.</w:t>
      </w:r>
    </w:p>
    <w:p w14:paraId="4ACE524A"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Our current portion of long-term debt includes our </w:t>
      </w:r>
      <w:r>
        <w:rPr>
          <w:rFonts w:ascii="Arial" w:eastAsia="宋体" w:hAnsi="Arial" w:cs="Arial"/>
          <w:color w:val="333333"/>
          <w:sz w:val="18"/>
          <w:szCs w:val="18"/>
        </w:rPr>
        <w:t>2009 Debentures, as well as debt classified as short-term based on contractual maturity.</w:t>
      </w:r>
    </w:p>
    <w:p w14:paraId="4ACE524B"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have an ongoing authorization from our Board of Directors to borrow up to $10.0 billion under our commercial paper program.</w:t>
      </w:r>
    </w:p>
    <w:p w14:paraId="4ACE524C" w14:textId="77777777" w:rsidR="006F587A" w:rsidRDefault="006F587A">
      <w:pPr>
        <w:spacing w:line="288" w:lineRule="auto"/>
        <w:rPr>
          <w:rFonts w:ascii="Times New Roman" w:hAnsi="Times New Roman"/>
          <w:sz w:val="18"/>
          <w:szCs w:val="18"/>
        </w:rPr>
      </w:pPr>
    </w:p>
    <w:p w14:paraId="4ACE524D" w14:textId="77777777" w:rsidR="006F587A" w:rsidRDefault="006F587A">
      <w:pPr>
        <w:spacing w:line="288" w:lineRule="auto"/>
        <w:rPr>
          <w:rFonts w:ascii="Times New Roman" w:hAnsi="Times New Roman"/>
          <w:sz w:val="18"/>
          <w:szCs w:val="18"/>
        </w:rPr>
      </w:pPr>
    </w:p>
    <w:p w14:paraId="4ACE524E"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5250" w14:textId="77777777">
        <w:tc>
          <w:tcPr>
            <w:tcW w:w="0" w:type="auto"/>
            <w:gridSpan w:val="3"/>
            <w:shd w:val="clear" w:color="auto" w:fill="auto"/>
            <w:vAlign w:val="center"/>
          </w:tcPr>
          <w:p w14:paraId="4ACE524F" w14:textId="77777777" w:rsidR="006F587A" w:rsidRDefault="006F587A">
            <w:pPr>
              <w:rPr>
                <w:rFonts w:ascii="Times New Roman" w:hAnsi="Times New Roman"/>
                <w:sz w:val="20"/>
                <w:szCs w:val="20"/>
              </w:rPr>
            </w:pPr>
          </w:p>
        </w:tc>
      </w:tr>
      <w:tr w:rsidR="006F587A" w14:paraId="4ACE5254" w14:textId="77777777">
        <w:tc>
          <w:tcPr>
            <w:tcW w:w="1300" w:type="pct"/>
            <w:shd w:val="clear" w:color="auto" w:fill="auto"/>
            <w:vAlign w:val="center"/>
          </w:tcPr>
          <w:p w14:paraId="4ACE5251" w14:textId="77777777" w:rsidR="006F587A" w:rsidRDefault="006F587A">
            <w:pPr>
              <w:rPr>
                <w:rFonts w:ascii="Times New Roman" w:hAnsi="Times New Roman"/>
                <w:sz w:val="20"/>
                <w:szCs w:val="20"/>
              </w:rPr>
            </w:pPr>
          </w:p>
        </w:tc>
        <w:tc>
          <w:tcPr>
            <w:tcW w:w="1600" w:type="pct"/>
            <w:shd w:val="clear" w:color="auto" w:fill="auto"/>
            <w:vAlign w:val="center"/>
          </w:tcPr>
          <w:p w14:paraId="4ACE5252" w14:textId="77777777" w:rsidR="006F587A" w:rsidRDefault="006F587A">
            <w:pPr>
              <w:rPr>
                <w:rFonts w:ascii="Times New Roman" w:hAnsi="Times New Roman"/>
                <w:sz w:val="20"/>
                <w:szCs w:val="20"/>
              </w:rPr>
            </w:pPr>
          </w:p>
        </w:tc>
        <w:tc>
          <w:tcPr>
            <w:tcW w:w="2100" w:type="pct"/>
            <w:shd w:val="clear" w:color="auto" w:fill="auto"/>
            <w:vAlign w:val="center"/>
          </w:tcPr>
          <w:p w14:paraId="4ACE5253" w14:textId="77777777" w:rsidR="006F587A" w:rsidRDefault="006F587A">
            <w:pPr>
              <w:rPr>
                <w:rFonts w:ascii="Times New Roman" w:hAnsi="Times New Roman"/>
                <w:sz w:val="20"/>
                <w:szCs w:val="20"/>
              </w:rPr>
            </w:pPr>
          </w:p>
        </w:tc>
      </w:tr>
      <w:tr w:rsidR="006F587A" w14:paraId="4ACE5258" w14:textId="77777777">
        <w:tc>
          <w:tcPr>
            <w:tcW w:w="0" w:type="auto"/>
            <w:tcBorders>
              <w:top w:val="single" w:sz="8" w:space="0" w:color="0071C5"/>
            </w:tcBorders>
            <w:shd w:val="clear" w:color="auto" w:fill="auto"/>
            <w:tcMar>
              <w:top w:w="40" w:type="dxa"/>
              <w:left w:w="40" w:type="dxa"/>
              <w:bottom w:w="40" w:type="dxa"/>
              <w:right w:w="40" w:type="dxa"/>
            </w:tcMar>
            <w:vAlign w:val="bottom"/>
          </w:tcPr>
          <w:p w14:paraId="4ACE5255" w14:textId="77777777" w:rsidR="006F587A" w:rsidRDefault="007B2B61">
            <w:pPr>
              <w:textAlignment w:val="bottom"/>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DFF" wp14:editId="4ACE6E00">
                  <wp:extent cx="304800" cy="304800"/>
                  <wp:effectExtent l="0" t="0" r="0" b="0"/>
                  <wp:docPr id="202" name="图片 324"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324"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left w:val="single" w:sz="36" w:space="0" w:color="0071C5"/>
            </w:tcBorders>
            <w:shd w:val="clear" w:color="auto" w:fill="auto"/>
            <w:tcMar>
              <w:top w:w="40" w:type="dxa"/>
              <w:left w:w="40" w:type="dxa"/>
              <w:bottom w:w="40" w:type="dxa"/>
              <w:right w:w="40" w:type="dxa"/>
            </w:tcMar>
            <w:vAlign w:val="bottom"/>
          </w:tcPr>
          <w:p w14:paraId="4ACE5256" w14:textId="77777777" w:rsidR="006F587A" w:rsidRDefault="007B2B61">
            <w:pPr>
              <w:textAlignment w:val="bottom"/>
              <w:rPr>
                <w:rFonts w:ascii="Times New Roman" w:hAnsi="Times New Roman"/>
                <w:sz w:val="16"/>
                <w:szCs w:val="16"/>
              </w:rPr>
            </w:pPr>
            <w:r>
              <w:rPr>
                <w:rFonts w:ascii="Arial" w:eastAsia="宋体" w:hAnsi="Arial" w:cs="Arial"/>
                <w:color w:val="333333"/>
                <w:sz w:val="16"/>
                <w:szCs w:val="16"/>
              </w:rPr>
              <w:t> Notes to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5257"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93</w:t>
            </w:r>
          </w:p>
        </w:tc>
      </w:tr>
    </w:tbl>
    <w:p w14:paraId="4ACE5259" w14:textId="77777777" w:rsidR="006F587A" w:rsidRDefault="007B2B61">
      <w:r>
        <w:pict w14:anchorId="4ACE6E01">
          <v:rect id="_x0000_i1119" style="width:415.3pt;height:1.5pt" o:hralign="center" o:hrstd="t" o:hr="t" fillcolor="#a0a0a0" stroked="f"/>
        </w:pict>
      </w:r>
    </w:p>
    <w:p w14:paraId="4ACE525A" w14:textId="77777777" w:rsidR="006F587A" w:rsidRDefault="007B2B61">
      <w:pPr>
        <w:spacing w:line="288" w:lineRule="auto"/>
        <w:jc w:val="right"/>
        <w:rPr>
          <w:rFonts w:ascii="Times New Roman" w:hAnsi="Times New Roman"/>
          <w:sz w:val="16"/>
          <w:szCs w:val="16"/>
        </w:rPr>
      </w:pPr>
      <w:hyperlink r:id="rId158" w:anchor="s9DB683E2CF52561EB8A73BE37F5BF9BE" w:history="1">
        <w:r>
          <w:rPr>
            <w:rStyle w:val="a5"/>
            <w:rFonts w:ascii="Arial" w:eastAsia="宋体" w:hAnsi="Arial" w:cs="Arial"/>
            <w:b/>
            <w:bCs/>
            <w:sz w:val="16"/>
            <w:szCs w:val="16"/>
          </w:rPr>
          <w:t>Table of Contents</w:t>
        </w:r>
      </w:hyperlink>
    </w:p>
    <w:p w14:paraId="4ACE525B" w14:textId="77777777" w:rsidR="006F587A" w:rsidRDefault="006F587A">
      <w:pPr>
        <w:spacing w:line="288" w:lineRule="auto"/>
        <w:jc w:val="right"/>
        <w:rPr>
          <w:rFonts w:ascii="Times New Roman" w:hAnsi="Times New Roman"/>
          <w:sz w:val="16"/>
          <w:szCs w:val="16"/>
        </w:rPr>
      </w:pPr>
    </w:p>
    <w:p w14:paraId="4ACE525C" w14:textId="77777777" w:rsidR="006F587A" w:rsidRDefault="006F587A">
      <w:pPr>
        <w:rPr>
          <w:rFonts w:ascii="Times New Roman" w:hAnsi="Times New Roman"/>
          <w:sz w:val="20"/>
          <w:szCs w:val="20"/>
        </w:rPr>
      </w:pPr>
    </w:p>
    <w:p w14:paraId="4ACE525D" w14:textId="77777777" w:rsidR="006F587A" w:rsidRDefault="007B2B61">
      <w:pPr>
        <w:spacing w:line="288" w:lineRule="auto"/>
        <w:rPr>
          <w:rFonts w:ascii="Times New Roman" w:hAnsi="Times New Roman"/>
        </w:rPr>
      </w:pPr>
      <w:r>
        <w:rPr>
          <w:rFonts w:ascii="Arial" w:eastAsia="宋体" w:hAnsi="Arial" w:cs="Arial"/>
          <w:b/>
          <w:bCs/>
          <w:color w:val="0071C5"/>
        </w:rPr>
        <w:t>LONG-TERM DEBT</w:t>
      </w:r>
    </w:p>
    <w:tbl>
      <w:tblPr>
        <w:tblW w:w="5000" w:type="pct"/>
        <w:tblCellMar>
          <w:left w:w="0" w:type="dxa"/>
          <w:right w:w="0" w:type="dxa"/>
        </w:tblCellMar>
        <w:tblLook w:val="04A0" w:firstRow="1" w:lastRow="0" w:firstColumn="1" w:lastColumn="0" w:noHBand="0" w:noVBand="1"/>
      </w:tblPr>
      <w:tblGrid>
        <w:gridCol w:w="4994"/>
        <w:gridCol w:w="130"/>
        <w:gridCol w:w="924"/>
        <w:gridCol w:w="130"/>
        <w:gridCol w:w="141"/>
        <w:gridCol w:w="758"/>
        <w:gridCol w:w="100"/>
        <w:gridCol w:w="130"/>
        <w:gridCol w:w="141"/>
        <w:gridCol w:w="758"/>
        <w:gridCol w:w="100"/>
      </w:tblGrid>
      <w:tr w:rsidR="006F587A" w14:paraId="4ACE525F" w14:textId="77777777">
        <w:tc>
          <w:tcPr>
            <w:tcW w:w="0" w:type="auto"/>
            <w:gridSpan w:val="11"/>
            <w:shd w:val="clear" w:color="auto" w:fill="auto"/>
            <w:vAlign w:val="center"/>
          </w:tcPr>
          <w:p w14:paraId="4ACE525E" w14:textId="77777777" w:rsidR="006F587A" w:rsidRDefault="006F587A">
            <w:pPr>
              <w:rPr>
                <w:rFonts w:ascii="Times New Roman" w:hAnsi="Times New Roman"/>
                <w:sz w:val="20"/>
                <w:szCs w:val="20"/>
              </w:rPr>
            </w:pPr>
          </w:p>
        </w:tc>
      </w:tr>
      <w:tr w:rsidR="006F587A" w14:paraId="4ACE526B" w14:textId="77777777">
        <w:tc>
          <w:tcPr>
            <w:tcW w:w="3050" w:type="pct"/>
            <w:shd w:val="clear" w:color="auto" w:fill="auto"/>
            <w:vAlign w:val="center"/>
          </w:tcPr>
          <w:p w14:paraId="4ACE5260" w14:textId="77777777" w:rsidR="006F587A" w:rsidRDefault="006F587A">
            <w:pPr>
              <w:rPr>
                <w:rFonts w:ascii="Times New Roman" w:hAnsi="Times New Roman"/>
                <w:sz w:val="20"/>
                <w:szCs w:val="20"/>
              </w:rPr>
            </w:pPr>
          </w:p>
        </w:tc>
        <w:tc>
          <w:tcPr>
            <w:tcW w:w="50" w:type="pct"/>
            <w:shd w:val="clear" w:color="auto" w:fill="auto"/>
            <w:vAlign w:val="center"/>
          </w:tcPr>
          <w:p w14:paraId="4ACE5261" w14:textId="77777777" w:rsidR="006F587A" w:rsidRDefault="006F587A">
            <w:pPr>
              <w:rPr>
                <w:rFonts w:ascii="Times New Roman" w:hAnsi="Times New Roman"/>
                <w:sz w:val="20"/>
                <w:szCs w:val="20"/>
              </w:rPr>
            </w:pPr>
          </w:p>
        </w:tc>
        <w:tc>
          <w:tcPr>
            <w:tcW w:w="600" w:type="pct"/>
            <w:shd w:val="clear" w:color="auto" w:fill="auto"/>
            <w:vAlign w:val="center"/>
          </w:tcPr>
          <w:p w14:paraId="4ACE5262" w14:textId="77777777" w:rsidR="006F587A" w:rsidRDefault="006F587A">
            <w:pPr>
              <w:rPr>
                <w:rFonts w:ascii="Times New Roman" w:hAnsi="Times New Roman"/>
                <w:sz w:val="20"/>
                <w:szCs w:val="20"/>
              </w:rPr>
            </w:pPr>
          </w:p>
        </w:tc>
        <w:tc>
          <w:tcPr>
            <w:tcW w:w="50" w:type="pct"/>
            <w:shd w:val="clear" w:color="auto" w:fill="auto"/>
            <w:vAlign w:val="center"/>
          </w:tcPr>
          <w:p w14:paraId="4ACE5263" w14:textId="77777777" w:rsidR="006F587A" w:rsidRDefault="006F587A">
            <w:pPr>
              <w:rPr>
                <w:rFonts w:ascii="Times New Roman" w:hAnsi="Times New Roman"/>
                <w:sz w:val="20"/>
                <w:szCs w:val="20"/>
              </w:rPr>
            </w:pPr>
          </w:p>
        </w:tc>
        <w:tc>
          <w:tcPr>
            <w:tcW w:w="50" w:type="pct"/>
            <w:shd w:val="clear" w:color="auto" w:fill="auto"/>
            <w:vAlign w:val="center"/>
          </w:tcPr>
          <w:p w14:paraId="4ACE5264" w14:textId="77777777" w:rsidR="006F587A" w:rsidRDefault="006F587A">
            <w:pPr>
              <w:rPr>
                <w:rFonts w:ascii="Times New Roman" w:hAnsi="Times New Roman"/>
                <w:sz w:val="20"/>
                <w:szCs w:val="20"/>
              </w:rPr>
            </w:pPr>
          </w:p>
        </w:tc>
        <w:tc>
          <w:tcPr>
            <w:tcW w:w="500" w:type="pct"/>
            <w:shd w:val="clear" w:color="auto" w:fill="auto"/>
            <w:vAlign w:val="center"/>
          </w:tcPr>
          <w:p w14:paraId="4ACE5265" w14:textId="77777777" w:rsidR="006F587A" w:rsidRDefault="006F587A">
            <w:pPr>
              <w:rPr>
                <w:rFonts w:ascii="Times New Roman" w:hAnsi="Times New Roman"/>
                <w:sz w:val="20"/>
                <w:szCs w:val="20"/>
              </w:rPr>
            </w:pPr>
          </w:p>
        </w:tc>
        <w:tc>
          <w:tcPr>
            <w:tcW w:w="50" w:type="pct"/>
            <w:shd w:val="clear" w:color="auto" w:fill="auto"/>
            <w:vAlign w:val="center"/>
          </w:tcPr>
          <w:p w14:paraId="4ACE5266" w14:textId="77777777" w:rsidR="006F587A" w:rsidRDefault="006F587A">
            <w:pPr>
              <w:rPr>
                <w:rFonts w:ascii="Times New Roman" w:hAnsi="Times New Roman"/>
                <w:sz w:val="20"/>
                <w:szCs w:val="20"/>
              </w:rPr>
            </w:pPr>
          </w:p>
        </w:tc>
        <w:tc>
          <w:tcPr>
            <w:tcW w:w="50" w:type="pct"/>
            <w:shd w:val="clear" w:color="auto" w:fill="auto"/>
            <w:vAlign w:val="center"/>
          </w:tcPr>
          <w:p w14:paraId="4ACE5267" w14:textId="77777777" w:rsidR="006F587A" w:rsidRDefault="006F587A">
            <w:pPr>
              <w:rPr>
                <w:rFonts w:ascii="Times New Roman" w:hAnsi="Times New Roman"/>
                <w:sz w:val="20"/>
                <w:szCs w:val="20"/>
              </w:rPr>
            </w:pPr>
          </w:p>
        </w:tc>
        <w:tc>
          <w:tcPr>
            <w:tcW w:w="50" w:type="pct"/>
            <w:shd w:val="clear" w:color="auto" w:fill="auto"/>
            <w:vAlign w:val="center"/>
          </w:tcPr>
          <w:p w14:paraId="4ACE5268" w14:textId="77777777" w:rsidR="006F587A" w:rsidRDefault="006F587A">
            <w:pPr>
              <w:rPr>
                <w:rFonts w:ascii="Times New Roman" w:hAnsi="Times New Roman"/>
                <w:sz w:val="20"/>
                <w:szCs w:val="20"/>
              </w:rPr>
            </w:pPr>
          </w:p>
        </w:tc>
        <w:tc>
          <w:tcPr>
            <w:tcW w:w="500" w:type="pct"/>
            <w:shd w:val="clear" w:color="auto" w:fill="auto"/>
            <w:vAlign w:val="center"/>
          </w:tcPr>
          <w:p w14:paraId="4ACE5269" w14:textId="77777777" w:rsidR="006F587A" w:rsidRDefault="006F587A">
            <w:pPr>
              <w:rPr>
                <w:rFonts w:ascii="Times New Roman" w:hAnsi="Times New Roman"/>
                <w:sz w:val="20"/>
                <w:szCs w:val="20"/>
              </w:rPr>
            </w:pPr>
          </w:p>
        </w:tc>
        <w:tc>
          <w:tcPr>
            <w:tcW w:w="50" w:type="pct"/>
            <w:shd w:val="clear" w:color="auto" w:fill="auto"/>
            <w:vAlign w:val="center"/>
          </w:tcPr>
          <w:p w14:paraId="4ACE526A" w14:textId="77777777" w:rsidR="006F587A" w:rsidRDefault="006F587A">
            <w:pPr>
              <w:rPr>
                <w:rFonts w:ascii="Times New Roman" w:hAnsi="Times New Roman"/>
                <w:sz w:val="20"/>
                <w:szCs w:val="20"/>
              </w:rPr>
            </w:pPr>
          </w:p>
        </w:tc>
      </w:tr>
      <w:tr w:rsidR="006F587A" w14:paraId="4ACE5271" w14:textId="77777777">
        <w:tc>
          <w:tcPr>
            <w:tcW w:w="0" w:type="auto"/>
            <w:shd w:val="clear" w:color="auto" w:fill="auto"/>
            <w:tcMar>
              <w:top w:w="40" w:type="dxa"/>
              <w:left w:w="40" w:type="dxa"/>
              <w:bottom w:w="40" w:type="dxa"/>
              <w:right w:w="40" w:type="dxa"/>
            </w:tcMar>
            <w:vAlign w:val="bottom"/>
          </w:tcPr>
          <w:p w14:paraId="4ACE526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26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0071C5"/>
            </w:tcBorders>
            <w:shd w:val="clear" w:color="auto" w:fill="auto"/>
            <w:tcMar>
              <w:top w:w="40" w:type="dxa"/>
              <w:left w:w="40" w:type="dxa"/>
              <w:bottom w:w="40" w:type="dxa"/>
              <w:right w:w="40" w:type="dxa"/>
            </w:tcMar>
            <w:vAlign w:val="bottom"/>
          </w:tcPr>
          <w:p w14:paraId="4ACE526E"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28, </w:t>
            </w:r>
            <w:r>
              <w:rPr>
                <w:rFonts w:ascii="Arial" w:eastAsia="宋体" w:hAnsi="Arial" w:cs="Arial"/>
                <w:b/>
                <w:bCs/>
                <w:color w:val="333333"/>
                <w:sz w:val="18"/>
                <w:szCs w:val="18"/>
              </w:rPr>
              <w:br/>
              <w:t>2019</w:t>
            </w:r>
          </w:p>
        </w:tc>
        <w:tc>
          <w:tcPr>
            <w:tcW w:w="0" w:type="auto"/>
            <w:shd w:val="clear" w:color="auto" w:fill="auto"/>
            <w:tcMar>
              <w:top w:w="40" w:type="dxa"/>
              <w:left w:w="40" w:type="dxa"/>
              <w:bottom w:w="40" w:type="dxa"/>
              <w:right w:w="40" w:type="dxa"/>
            </w:tcMar>
            <w:vAlign w:val="bottom"/>
          </w:tcPr>
          <w:p w14:paraId="4ACE526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270"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29, </w:t>
            </w:r>
            <w:r>
              <w:rPr>
                <w:rFonts w:ascii="Arial" w:eastAsia="宋体" w:hAnsi="Arial" w:cs="Arial"/>
                <w:b/>
                <w:bCs/>
                <w:color w:val="333333"/>
                <w:sz w:val="18"/>
                <w:szCs w:val="18"/>
              </w:rPr>
              <w:br/>
              <w:t>2018</w:t>
            </w:r>
          </w:p>
        </w:tc>
      </w:tr>
      <w:tr w:rsidR="006F587A" w14:paraId="4ACE5279"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5272"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4ACE527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71C5"/>
            </w:tcBorders>
            <w:shd w:val="clear" w:color="auto" w:fill="auto"/>
            <w:tcMar>
              <w:top w:w="40" w:type="dxa"/>
              <w:left w:w="40" w:type="dxa"/>
              <w:bottom w:w="40" w:type="dxa"/>
              <w:right w:w="40" w:type="dxa"/>
            </w:tcMar>
            <w:vAlign w:val="bottom"/>
          </w:tcPr>
          <w:p w14:paraId="4ACE5274"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Effective Interest Rate</w:t>
            </w:r>
          </w:p>
        </w:tc>
        <w:tc>
          <w:tcPr>
            <w:tcW w:w="0" w:type="auto"/>
            <w:shd w:val="clear" w:color="auto" w:fill="auto"/>
            <w:tcMar>
              <w:top w:w="40" w:type="dxa"/>
              <w:left w:w="40" w:type="dxa"/>
              <w:bottom w:w="40" w:type="dxa"/>
              <w:right w:w="40" w:type="dxa"/>
            </w:tcMar>
            <w:vAlign w:val="bottom"/>
          </w:tcPr>
          <w:p w14:paraId="4ACE527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276"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Amount</w:t>
            </w:r>
          </w:p>
        </w:tc>
        <w:tc>
          <w:tcPr>
            <w:tcW w:w="0" w:type="auto"/>
            <w:shd w:val="clear" w:color="auto" w:fill="auto"/>
            <w:tcMar>
              <w:top w:w="40" w:type="dxa"/>
              <w:left w:w="40" w:type="dxa"/>
              <w:bottom w:w="40" w:type="dxa"/>
              <w:right w:w="40" w:type="dxa"/>
            </w:tcMar>
            <w:vAlign w:val="bottom"/>
          </w:tcPr>
          <w:p w14:paraId="4ACE527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278"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Amount</w:t>
            </w:r>
          </w:p>
        </w:tc>
      </w:tr>
      <w:tr w:rsidR="006F587A" w14:paraId="4ACE5281" w14:textId="77777777">
        <w:tc>
          <w:tcPr>
            <w:tcW w:w="0" w:type="auto"/>
            <w:shd w:val="clear" w:color="auto" w:fill="auto"/>
            <w:tcMar>
              <w:top w:w="40" w:type="dxa"/>
              <w:left w:w="40" w:type="dxa"/>
              <w:bottom w:w="40" w:type="dxa"/>
              <w:right w:w="40" w:type="dxa"/>
            </w:tcMar>
          </w:tcPr>
          <w:p w14:paraId="4ACE527A"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Floating-rate senior notes:</w:t>
            </w:r>
          </w:p>
        </w:tc>
        <w:tc>
          <w:tcPr>
            <w:tcW w:w="0" w:type="auto"/>
            <w:shd w:val="clear" w:color="auto" w:fill="auto"/>
            <w:tcMar>
              <w:top w:w="40" w:type="dxa"/>
              <w:left w:w="40" w:type="dxa"/>
              <w:bottom w:w="40" w:type="dxa"/>
              <w:right w:w="40" w:type="dxa"/>
            </w:tcMar>
            <w:vAlign w:val="bottom"/>
          </w:tcPr>
          <w:p w14:paraId="4ACE527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27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27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27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27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28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528D" w14:textId="77777777">
        <w:tc>
          <w:tcPr>
            <w:tcW w:w="0" w:type="auto"/>
            <w:shd w:val="clear" w:color="auto" w:fill="auto"/>
            <w:tcMar>
              <w:top w:w="40" w:type="dxa"/>
              <w:left w:w="240" w:type="dxa"/>
              <w:bottom w:w="40" w:type="dxa"/>
              <w:right w:w="40" w:type="dxa"/>
            </w:tcMar>
            <w:vAlign w:val="bottom"/>
          </w:tcPr>
          <w:p w14:paraId="4ACE528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Three-month LIBOR plus 0.08%, due May 2020 </w:t>
            </w:r>
          </w:p>
        </w:tc>
        <w:tc>
          <w:tcPr>
            <w:tcW w:w="0" w:type="auto"/>
            <w:shd w:val="clear" w:color="auto" w:fill="auto"/>
            <w:tcMar>
              <w:top w:w="40" w:type="dxa"/>
              <w:left w:w="40" w:type="dxa"/>
              <w:bottom w:w="40" w:type="dxa"/>
              <w:right w:w="40" w:type="dxa"/>
            </w:tcMar>
            <w:vAlign w:val="bottom"/>
          </w:tcPr>
          <w:p w14:paraId="4ACE528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284" w14:textId="77777777" w:rsidR="006F587A" w:rsidRDefault="007B2B61">
            <w:pPr>
              <w:jc w:val="center"/>
              <w:textAlignment w:val="bottom"/>
              <w:rPr>
                <w:rFonts w:ascii="Times New Roman" w:hAnsi="Times New Roman"/>
                <w:sz w:val="18"/>
                <w:szCs w:val="18"/>
              </w:rPr>
            </w:pPr>
            <w:r>
              <w:rPr>
                <w:rFonts w:ascii="Arial" w:eastAsia="宋体" w:hAnsi="Arial" w:cs="Arial"/>
                <w:color w:val="0071C5"/>
                <w:sz w:val="18"/>
                <w:szCs w:val="18"/>
              </w:rPr>
              <w:t>2.56%</w:t>
            </w:r>
          </w:p>
        </w:tc>
        <w:tc>
          <w:tcPr>
            <w:tcW w:w="0" w:type="auto"/>
            <w:shd w:val="clear" w:color="auto" w:fill="auto"/>
            <w:tcMar>
              <w:top w:w="40" w:type="dxa"/>
              <w:left w:w="40" w:type="dxa"/>
              <w:bottom w:w="40" w:type="dxa"/>
              <w:right w:w="40" w:type="dxa"/>
            </w:tcMar>
            <w:vAlign w:val="bottom"/>
          </w:tcPr>
          <w:p w14:paraId="4ACE528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286"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5287"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700</w:t>
            </w:r>
          </w:p>
        </w:tc>
        <w:tc>
          <w:tcPr>
            <w:tcW w:w="0" w:type="auto"/>
            <w:shd w:val="clear" w:color="auto" w:fill="auto"/>
            <w:vAlign w:val="bottom"/>
          </w:tcPr>
          <w:p w14:paraId="4ACE528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28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28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528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700</w:t>
            </w:r>
          </w:p>
        </w:tc>
        <w:tc>
          <w:tcPr>
            <w:tcW w:w="0" w:type="auto"/>
            <w:shd w:val="clear" w:color="auto" w:fill="auto"/>
            <w:vAlign w:val="bottom"/>
          </w:tcPr>
          <w:p w14:paraId="4ACE528C" w14:textId="77777777" w:rsidR="006F587A" w:rsidRDefault="006F587A">
            <w:pPr>
              <w:textAlignment w:val="bottom"/>
              <w:rPr>
                <w:rFonts w:ascii="Times New Roman" w:hAnsi="Times New Roman"/>
                <w:sz w:val="20"/>
                <w:szCs w:val="20"/>
              </w:rPr>
            </w:pPr>
          </w:p>
        </w:tc>
      </w:tr>
      <w:tr w:rsidR="006F587A" w14:paraId="4ACE5297" w14:textId="77777777">
        <w:tc>
          <w:tcPr>
            <w:tcW w:w="0" w:type="auto"/>
            <w:shd w:val="clear" w:color="auto" w:fill="auto"/>
            <w:tcMar>
              <w:top w:w="40" w:type="dxa"/>
              <w:left w:w="240" w:type="dxa"/>
              <w:bottom w:w="40" w:type="dxa"/>
              <w:right w:w="40" w:type="dxa"/>
            </w:tcMar>
            <w:vAlign w:val="bottom"/>
          </w:tcPr>
          <w:p w14:paraId="4ACE528E"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Three-month LIBOR plus 0.35%, due May 2022</w:t>
            </w:r>
          </w:p>
        </w:tc>
        <w:tc>
          <w:tcPr>
            <w:tcW w:w="0" w:type="auto"/>
            <w:shd w:val="clear" w:color="auto" w:fill="auto"/>
            <w:tcMar>
              <w:top w:w="40" w:type="dxa"/>
              <w:left w:w="40" w:type="dxa"/>
              <w:bottom w:w="40" w:type="dxa"/>
              <w:right w:w="40" w:type="dxa"/>
            </w:tcMar>
            <w:vAlign w:val="bottom"/>
          </w:tcPr>
          <w:p w14:paraId="4ACE528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290" w14:textId="77777777" w:rsidR="006F587A" w:rsidRDefault="007B2B61">
            <w:pPr>
              <w:jc w:val="center"/>
              <w:textAlignment w:val="bottom"/>
              <w:rPr>
                <w:rFonts w:ascii="Times New Roman" w:hAnsi="Times New Roman"/>
                <w:sz w:val="18"/>
                <w:szCs w:val="18"/>
              </w:rPr>
            </w:pPr>
            <w:r>
              <w:rPr>
                <w:rFonts w:ascii="Arial" w:eastAsia="宋体" w:hAnsi="Arial" w:cs="Arial"/>
                <w:color w:val="0071C5"/>
                <w:sz w:val="18"/>
                <w:szCs w:val="18"/>
              </w:rPr>
              <w:t>2.82%</w:t>
            </w:r>
          </w:p>
        </w:tc>
        <w:tc>
          <w:tcPr>
            <w:tcW w:w="0" w:type="auto"/>
            <w:shd w:val="clear" w:color="auto" w:fill="auto"/>
            <w:tcMar>
              <w:top w:w="40" w:type="dxa"/>
              <w:left w:w="40" w:type="dxa"/>
              <w:bottom w:w="40" w:type="dxa"/>
              <w:right w:w="40" w:type="dxa"/>
            </w:tcMar>
            <w:vAlign w:val="bottom"/>
          </w:tcPr>
          <w:p w14:paraId="4ACE529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292"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800</w:t>
            </w:r>
          </w:p>
        </w:tc>
        <w:tc>
          <w:tcPr>
            <w:tcW w:w="0" w:type="auto"/>
            <w:shd w:val="clear" w:color="auto" w:fill="auto"/>
            <w:vAlign w:val="bottom"/>
          </w:tcPr>
          <w:p w14:paraId="4ACE529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29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295"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800</w:t>
            </w:r>
          </w:p>
        </w:tc>
        <w:tc>
          <w:tcPr>
            <w:tcW w:w="0" w:type="auto"/>
            <w:shd w:val="clear" w:color="auto" w:fill="auto"/>
            <w:vAlign w:val="bottom"/>
          </w:tcPr>
          <w:p w14:paraId="4ACE5296" w14:textId="77777777" w:rsidR="006F587A" w:rsidRDefault="006F587A">
            <w:pPr>
              <w:textAlignment w:val="bottom"/>
              <w:rPr>
                <w:rFonts w:ascii="Times New Roman" w:hAnsi="Times New Roman"/>
                <w:sz w:val="20"/>
                <w:szCs w:val="20"/>
              </w:rPr>
            </w:pPr>
          </w:p>
        </w:tc>
      </w:tr>
      <w:tr w:rsidR="006F587A" w14:paraId="4ACE529F" w14:textId="77777777">
        <w:tc>
          <w:tcPr>
            <w:tcW w:w="0" w:type="auto"/>
            <w:shd w:val="clear" w:color="auto" w:fill="auto"/>
            <w:tcMar>
              <w:top w:w="40" w:type="dxa"/>
              <w:left w:w="40" w:type="dxa"/>
              <w:bottom w:w="40" w:type="dxa"/>
              <w:right w:w="40" w:type="dxa"/>
            </w:tcMar>
          </w:tcPr>
          <w:p w14:paraId="4ACE5298"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Fixed-rate senior notes:</w:t>
            </w:r>
          </w:p>
        </w:tc>
        <w:tc>
          <w:tcPr>
            <w:tcW w:w="0" w:type="auto"/>
            <w:shd w:val="clear" w:color="auto" w:fill="auto"/>
            <w:tcMar>
              <w:top w:w="40" w:type="dxa"/>
              <w:left w:w="40" w:type="dxa"/>
              <w:bottom w:w="40" w:type="dxa"/>
              <w:right w:w="40" w:type="dxa"/>
            </w:tcMar>
            <w:vAlign w:val="bottom"/>
          </w:tcPr>
          <w:p w14:paraId="4ACE529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29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29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29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29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29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52A9" w14:textId="77777777">
        <w:tc>
          <w:tcPr>
            <w:tcW w:w="0" w:type="auto"/>
            <w:shd w:val="clear" w:color="auto" w:fill="auto"/>
            <w:tcMar>
              <w:top w:w="40" w:type="dxa"/>
              <w:left w:w="240" w:type="dxa"/>
              <w:bottom w:w="40" w:type="dxa"/>
              <w:right w:w="40" w:type="dxa"/>
            </w:tcMar>
            <w:vAlign w:val="bottom"/>
          </w:tcPr>
          <w:p w14:paraId="4ACE52A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3.25%, due </w:t>
            </w:r>
            <w:r>
              <w:rPr>
                <w:rFonts w:ascii="Arial" w:eastAsia="宋体" w:hAnsi="Arial" w:cs="Arial"/>
                <w:color w:val="333333"/>
                <w:sz w:val="18"/>
                <w:szCs w:val="18"/>
              </w:rPr>
              <w:t>December 2019</w:t>
            </w:r>
            <w:r>
              <w:rPr>
                <w:rFonts w:ascii="Arial" w:eastAsia="宋体" w:hAnsi="Arial" w:cs="Arial"/>
                <w:color w:val="333333"/>
                <w:sz w:val="12"/>
                <w:szCs w:val="12"/>
              </w:rPr>
              <w:t>1</w:t>
            </w:r>
          </w:p>
        </w:tc>
        <w:tc>
          <w:tcPr>
            <w:tcW w:w="0" w:type="auto"/>
            <w:shd w:val="clear" w:color="auto" w:fill="auto"/>
            <w:tcMar>
              <w:top w:w="40" w:type="dxa"/>
              <w:left w:w="40" w:type="dxa"/>
              <w:bottom w:w="40" w:type="dxa"/>
              <w:right w:w="40" w:type="dxa"/>
            </w:tcMar>
            <w:vAlign w:val="bottom"/>
          </w:tcPr>
          <w:p w14:paraId="4ACE52A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2A2" w14:textId="77777777" w:rsidR="006F587A" w:rsidRDefault="007B2B61">
            <w:pPr>
              <w:jc w:val="cente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52A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2A4"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52A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2A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2A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177</w:t>
            </w:r>
          </w:p>
        </w:tc>
        <w:tc>
          <w:tcPr>
            <w:tcW w:w="0" w:type="auto"/>
            <w:shd w:val="clear" w:color="auto" w:fill="auto"/>
            <w:vAlign w:val="bottom"/>
          </w:tcPr>
          <w:p w14:paraId="4ACE52A8" w14:textId="77777777" w:rsidR="006F587A" w:rsidRDefault="006F587A">
            <w:pPr>
              <w:textAlignment w:val="bottom"/>
              <w:rPr>
                <w:rFonts w:ascii="Times New Roman" w:hAnsi="Times New Roman"/>
                <w:sz w:val="20"/>
                <w:szCs w:val="20"/>
              </w:rPr>
            </w:pPr>
          </w:p>
        </w:tc>
      </w:tr>
      <w:tr w:rsidR="006F587A" w14:paraId="4ACE52B3" w14:textId="77777777">
        <w:tc>
          <w:tcPr>
            <w:tcW w:w="0" w:type="auto"/>
            <w:shd w:val="clear" w:color="auto" w:fill="auto"/>
            <w:tcMar>
              <w:top w:w="40" w:type="dxa"/>
              <w:left w:w="240" w:type="dxa"/>
              <w:bottom w:w="40" w:type="dxa"/>
              <w:right w:w="40" w:type="dxa"/>
            </w:tcMar>
            <w:vAlign w:val="bottom"/>
          </w:tcPr>
          <w:p w14:paraId="4ACE52A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1.85%, due May 2020</w:t>
            </w:r>
          </w:p>
        </w:tc>
        <w:tc>
          <w:tcPr>
            <w:tcW w:w="0" w:type="auto"/>
            <w:shd w:val="clear" w:color="auto" w:fill="auto"/>
            <w:tcMar>
              <w:top w:w="40" w:type="dxa"/>
              <w:left w:w="40" w:type="dxa"/>
              <w:bottom w:w="40" w:type="dxa"/>
              <w:right w:w="40" w:type="dxa"/>
            </w:tcMar>
            <w:vAlign w:val="bottom"/>
          </w:tcPr>
          <w:p w14:paraId="4ACE52A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2AC" w14:textId="77777777" w:rsidR="006F587A" w:rsidRDefault="007B2B61">
            <w:pPr>
              <w:jc w:val="center"/>
              <w:textAlignment w:val="bottom"/>
              <w:rPr>
                <w:rFonts w:ascii="Times New Roman" w:hAnsi="Times New Roman"/>
                <w:sz w:val="18"/>
                <w:szCs w:val="18"/>
              </w:rPr>
            </w:pPr>
            <w:r>
              <w:rPr>
                <w:rFonts w:ascii="Arial" w:eastAsia="宋体" w:hAnsi="Arial" w:cs="Arial"/>
                <w:color w:val="0071C5"/>
                <w:sz w:val="18"/>
                <w:szCs w:val="18"/>
              </w:rPr>
              <w:t>1.89%</w:t>
            </w:r>
          </w:p>
        </w:tc>
        <w:tc>
          <w:tcPr>
            <w:tcW w:w="0" w:type="auto"/>
            <w:shd w:val="clear" w:color="auto" w:fill="auto"/>
            <w:tcMar>
              <w:top w:w="40" w:type="dxa"/>
              <w:left w:w="40" w:type="dxa"/>
              <w:bottom w:w="40" w:type="dxa"/>
              <w:right w:w="40" w:type="dxa"/>
            </w:tcMar>
            <w:vAlign w:val="bottom"/>
          </w:tcPr>
          <w:p w14:paraId="4ACE52A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2AE"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1,000</w:t>
            </w:r>
          </w:p>
        </w:tc>
        <w:tc>
          <w:tcPr>
            <w:tcW w:w="0" w:type="auto"/>
            <w:shd w:val="clear" w:color="auto" w:fill="auto"/>
            <w:vAlign w:val="bottom"/>
          </w:tcPr>
          <w:p w14:paraId="4ACE52A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2B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2B1"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1,000</w:t>
            </w:r>
          </w:p>
        </w:tc>
        <w:tc>
          <w:tcPr>
            <w:tcW w:w="0" w:type="auto"/>
            <w:shd w:val="clear" w:color="auto" w:fill="auto"/>
            <w:vAlign w:val="bottom"/>
          </w:tcPr>
          <w:p w14:paraId="4ACE52B2" w14:textId="77777777" w:rsidR="006F587A" w:rsidRDefault="006F587A">
            <w:pPr>
              <w:textAlignment w:val="bottom"/>
              <w:rPr>
                <w:rFonts w:ascii="Times New Roman" w:hAnsi="Times New Roman"/>
                <w:sz w:val="20"/>
                <w:szCs w:val="20"/>
              </w:rPr>
            </w:pPr>
          </w:p>
        </w:tc>
      </w:tr>
      <w:tr w:rsidR="006F587A" w14:paraId="4ACE52BD" w14:textId="77777777">
        <w:tc>
          <w:tcPr>
            <w:tcW w:w="0" w:type="auto"/>
            <w:shd w:val="clear" w:color="auto" w:fill="auto"/>
            <w:tcMar>
              <w:top w:w="40" w:type="dxa"/>
              <w:left w:w="240" w:type="dxa"/>
              <w:bottom w:w="40" w:type="dxa"/>
              <w:right w:w="40" w:type="dxa"/>
            </w:tcMar>
            <w:vAlign w:val="bottom"/>
          </w:tcPr>
          <w:p w14:paraId="4ACE52B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2.45%, due July 2020</w:t>
            </w:r>
          </w:p>
        </w:tc>
        <w:tc>
          <w:tcPr>
            <w:tcW w:w="0" w:type="auto"/>
            <w:shd w:val="clear" w:color="auto" w:fill="auto"/>
            <w:tcMar>
              <w:top w:w="40" w:type="dxa"/>
              <w:left w:w="40" w:type="dxa"/>
              <w:bottom w:w="40" w:type="dxa"/>
              <w:right w:w="40" w:type="dxa"/>
            </w:tcMar>
            <w:vAlign w:val="bottom"/>
          </w:tcPr>
          <w:p w14:paraId="4ACE52B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2B6" w14:textId="77777777" w:rsidR="006F587A" w:rsidRDefault="007B2B61">
            <w:pPr>
              <w:jc w:val="center"/>
              <w:textAlignment w:val="bottom"/>
              <w:rPr>
                <w:rFonts w:ascii="Times New Roman" w:hAnsi="Times New Roman"/>
                <w:sz w:val="18"/>
                <w:szCs w:val="18"/>
              </w:rPr>
            </w:pPr>
            <w:r>
              <w:rPr>
                <w:rFonts w:ascii="Arial" w:eastAsia="宋体" w:hAnsi="Arial" w:cs="Arial"/>
                <w:color w:val="0071C5"/>
                <w:sz w:val="18"/>
                <w:szCs w:val="18"/>
              </w:rPr>
              <w:t>2.49%</w:t>
            </w:r>
          </w:p>
        </w:tc>
        <w:tc>
          <w:tcPr>
            <w:tcW w:w="0" w:type="auto"/>
            <w:shd w:val="clear" w:color="auto" w:fill="auto"/>
            <w:tcMar>
              <w:top w:w="40" w:type="dxa"/>
              <w:left w:w="40" w:type="dxa"/>
              <w:bottom w:w="40" w:type="dxa"/>
              <w:right w:w="40" w:type="dxa"/>
            </w:tcMar>
            <w:vAlign w:val="bottom"/>
          </w:tcPr>
          <w:p w14:paraId="4ACE52B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2B8"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1,750</w:t>
            </w:r>
          </w:p>
        </w:tc>
        <w:tc>
          <w:tcPr>
            <w:tcW w:w="0" w:type="auto"/>
            <w:shd w:val="clear" w:color="auto" w:fill="auto"/>
            <w:vAlign w:val="bottom"/>
          </w:tcPr>
          <w:p w14:paraId="4ACE52B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2B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2B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1,750</w:t>
            </w:r>
          </w:p>
        </w:tc>
        <w:tc>
          <w:tcPr>
            <w:tcW w:w="0" w:type="auto"/>
            <w:shd w:val="clear" w:color="auto" w:fill="auto"/>
            <w:vAlign w:val="bottom"/>
          </w:tcPr>
          <w:p w14:paraId="4ACE52BC" w14:textId="77777777" w:rsidR="006F587A" w:rsidRDefault="006F587A">
            <w:pPr>
              <w:textAlignment w:val="bottom"/>
              <w:rPr>
                <w:rFonts w:ascii="Times New Roman" w:hAnsi="Times New Roman"/>
                <w:sz w:val="20"/>
                <w:szCs w:val="20"/>
              </w:rPr>
            </w:pPr>
          </w:p>
        </w:tc>
      </w:tr>
      <w:tr w:rsidR="006F587A" w14:paraId="4ACE52C7" w14:textId="77777777">
        <w:tc>
          <w:tcPr>
            <w:tcW w:w="0" w:type="auto"/>
            <w:shd w:val="clear" w:color="auto" w:fill="auto"/>
            <w:tcMar>
              <w:top w:w="40" w:type="dxa"/>
              <w:left w:w="240" w:type="dxa"/>
              <w:bottom w:w="40" w:type="dxa"/>
              <w:right w:w="40" w:type="dxa"/>
            </w:tcMar>
            <w:vAlign w:val="bottom"/>
          </w:tcPr>
          <w:p w14:paraId="4ACE52BE"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lastRenderedPageBreak/>
              <w:t>1.70%, due May 2021</w:t>
            </w:r>
          </w:p>
        </w:tc>
        <w:tc>
          <w:tcPr>
            <w:tcW w:w="0" w:type="auto"/>
            <w:shd w:val="clear" w:color="auto" w:fill="auto"/>
            <w:tcMar>
              <w:top w:w="40" w:type="dxa"/>
              <w:left w:w="40" w:type="dxa"/>
              <w:bottom w:w="40" w:type="dxa"/>
              <w:right w:w="40" w:type="dxa"/>
            </w:tcMar>
            <w:vAlign w:val="bottom"/>
          </w:tcPr>
          <w:p w14:paraId="4ACE52B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2C0" w14:textId="77777777" w:rsidR="006F587A" w:rsidRDefault="007B2B61">
            <w:pPr>
              <w:jc w:val="center"/>
              <w:textAlignment w:val="bottom"/>
              <w:rPr>
                <w:rFonts w:ascii="Times New Roman" w:hAnsi="Times New Roman"/>
                <w:sz w:val="18"/>
                <w:szCs w:val="18"/>
              </w:rPr>
            </w:pPr>
            <w:r>
              <w:rPr>
                <w:rFonts w:ascii="Arial" w:eastAsia="宋体" w:hAnsi="Arial" w:cs="Arial"/>
                <w:color w:val="0071C5"/>
                <w:sz w:val="18"/>
                <w:szCs w:val="18"/>
              </w:rPr>
              <w:t>1.79%</w:t>
            </w:r>
          </w:p>
        </w:tc>
        <w:tc>
          <w:tcPr>
            <w:tcW w:w="0" w:type="auto"/>
            <w:shd w:val="clear" w:color="auto" w:fill="auto"/>
            <w:tcMar>
              <w:top w:w="40" w:type="dxa"/>
              <w:left w:w="40" w:type="dxa"/>
              <w:bottom w:w="40" w:type="dxa"/>
              <w:right w:w="40" w:type="dxa"/>
            </w:tcMar>
            <w:vAlign w:val="bottom"/>
          </w:tcPr>
          <w:p w14:paraId="4ACE52C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2C2"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500</w:t>
            </w:r>
          </w:p>
        </w:tc>
        <w:tc>
          <w:tcPr>
            <w:tcW w:w="0" w:type="auto"/>
            <w:shd w:val="clear" w:color="auto" w:fill="auto"/>
            <w:vAlign w:val="bottom"/>
          </w:tcPr>
          <w:p w14:paraId="4ACE52C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2C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2C5"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500</w:t>
            </w:r>
          </w:p>
        </w:tc>
        <w:tc>
          <w:tcPr>
            <w:tcW w:w="0" w:type="auto"/>
            <w:shd w:val="clear" w:color="auto" w:fill="auto"/>
            <w:vAlign w:val="bottom"/>
          </w:tcPr>
          <w:p w14:paraId="4ACE52C6" w14:textId="77777777" w:rsidR="006F587A" w:rsidRDefault="006F587A">
            <w:pPr>
              <w:textAlignment w:val="bottom"/>
              <w:rPr>
                <w:rFonts w:ascii="Times New Roman" w:hAnsi="Times New Roman"/>
                <w:sz w:val="20"/>
                <w:szCs w:val="20"/>
              </w:rPr>
            </w:pPr>
          </w:p>
        </w:tc>
      </w:tr>
      <w:tr w:rsidR="006F587A" w14:paraId="4ACE52D1" w14:textId="77777777">
        <w:tc>
          <w:tcPr>
            <w:tcW w:w="0" w:type="auto"/>
            <w:shd w:val="clear" w:color="auto" w:fill="auto"/>
            <w:tcMar>
              <w:top w:w="40" w:type="dxa"/>
              <w:left w:w="240" w:type="dxa"/>
              <w:bottom w:w="40" w:type="dxa"/>
              <w:right w:w="40" w:type="dxa"/>
            </w:tcMar>
            <w:vAlign w:val="bottom"/>
          </w:tcPr>
          <w:p w14:paraId="4ACE52C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3.30%, due October 2021</w:t>
            </w:r>
          </w:p>
        </w:tc>
        <w:tc>
          <w:tcPr>
            <w:tcW w:w="0" w:type="auto"/>
            <w:shd w:val="clear" w:color="auto" w:fill="auto"/>
            <w:tcMar>
              <w:top w:w="40" w:type="dxa"/>
              <w:left w:w="40" w:type="dxa"/>
              <w:bottom w:w="40" w:type="dxa"/>
              <w:right w:w="40" w:type="dxa"/>
            </w:tcMar>
            <w:vAlign w:val="bottom"/>
          </w:tcPr>
          <w:p w14:paraId="4ACE52C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2CA" w14:textId="77777777" w:rsidR="006F587A" w:rsidRDefault="007B2B61">
            <w:pPr>
              <w:jc w:val="center"/>
              <w:textAlignment w:val="bottom"/>
              <w:rPr>
                <w:rFonts w:ascii="Times New Roman" w:hAnsi="Times New Roman"/>
                <w:sz w:val="18"/>
                <w:szCs w:val="18"/>
              </w:rPr>
            </w:pPr>
            <w:r>
              <w:rPr>
                <w:rFonts w:ascii="Arial" w:eastAsia="宋体" w:hAnsi="Arial" w:cs="Arial"/>
                <w:color w:val="0071C5"/>
                <w:sz w:val="18"/>
                <w:szCs w:val="18"/>
              </w:rPr>
              <w:t>3.71%</w:t>
            </w:r>
          </w:p>
        </w:tc>
        <w:tc>
          <w:tcPr>
            <w:tcW w:w="0" w:type="auto"/>
            <w:shd w:val="clear" w:color="auto" w:fill="auto"/>
            <w:tcMar>
              <w:top w:w="40" w:type="dxa"/>
              <w:left w:w="40" w:type="dxa"/>
              <w:bottom w:w="40" w:type="dxa"/>
              <w:right w:w="40" w:type="dxa"/>
            </w:tcMar>
            <w:vAlign w:val="bottom"/>
          </w:tcPr>
          <w:p w14:paraId="4ACE52C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2CC"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2,000</w:t>
            </w:r>
          </w:p>
        </w:tc>
        <w:tc>
          <w:tcPr>
            <w:tcW w:w="0" w:type="auto"/>
            <w:shd w:val="clear" w:color="auto" w:fill="auto"/>
            <w:vAlign w:val="bottom"/>
          </w:tcPr>
          <w:p w14:paraId="4ACE52C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2C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2C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2,000</w:t>
            </w:r>
          </w:p>
        </w:tc>
        <w:tc>
          <w:tcPr>
            <w:tcW w:w="0" w:type="auto"/>
            <w:shd w:val="clear" w:color="auto" w:fill="auto"/>
            <w:vAlign w:val="bottom"/>
          </w:tcPr>
          <w:p w14:paraId="4ACE52D0" w14:textId="77777777" w:rsidR="006F587A" w:rsidRDefault="006F587A">
            <w:pPr>
              <w:textAlignment w:val="bottom"/>
              <w:rPr>
                <w:rFonts w:ascii="Times New Roman" w:hAnsi="Times New Roman"/>
                <w:sz w:val="20"/>
                <w:szCs w:val="20"/>
              </w:rPr>
            </w:pPr>
          </w:p>
        </w:tc>
      </w:tr>
      <w:tr w:rsidR="006F587A" w14:paraId="4ACE52DB" w14:textId="77777777">
        <w:tc>
          <w:tcPr>
            <w:tcW w:w="0" w:type="auto"/>
            <w:shd w:val="clear" w:color="auto" w:fill="auto"/>
            <w:tcMar>
              <w:top w:w="40" w:type="dxa"/>
              <w:left w:w="240" w:type="dxa"/>
              <w:bottom w:w="40" w:type="dxa"/>
              <w:right w:w="40" w:type="dxa"/>
            </w:tcMar>
            <w:vAlign w:val="bottom"/>
          </w:tcPr>
          <w:p w14:paraId="4ACE52D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2.35%, due May 2022</w:t>
            </w:r>
          </w:p>
        </w:tc>
        <w:tc>
          <w:tcPr>
            <w:tcW w:w="0" w:type="auto"/>
            <w:shd w:val="clear" w:color="auto" w:fill="auto"/>
            <w:tcMar>
              <w:top w:w="40" w:type="dxa"/>
              <w:left w:w="40" w:type="dxa"/>
              <w:bottom w:w="40" w:type="dxa"/>
              <w:right w:w="40" w:type="dxa"/>
            </w:tcMar>
            <w:vAlign w:val="bottom"/>
          </w:tcPr>
          <w:p w14:paraId="4ACE52D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2D4" w14:textId="77777777" w:rsidR="006F587A" w:rsidRDefault="007B2B61">
            <w:pPr>
              <w:jc w:val="center"/>
              <w:textAlignment w:val="bottom"/>
              <w:rPr>
                <w:rFonts w:ascii="Times New Roman" w:hAnsi="Times New Roman"/>
                <w:sz w:val="18"/>
                <w:szCs w:val="18"/>
              </w:rPr>
            </w:pPr>
            <w:r>
              <w:rPr>
                <w:rFonts w:ascii="Arial" w:eastAsia="宋体" w:hAnsi="Arial" w:cs="Arial"/>
                <w:color w:val="0071C5"/>
                <w:sz w:val="18"/>
                <w:szCs w:val="18"/>
              </w:rPr>
              <w:t>2.74%</w:t>
            </w:r>
          </w:p>
        </w:tc>
        <w:tc>
          <w:tcPr>
            <w:tcW w:w="0" w:type="auto"/>
            <w:shd w:val="clear" w:color="auto" w:fill="auto"/>
            <w:tcMar>
              <w:top w:w="40" w:type="dxa"/>
              <w:left w:w="40" w:type="dxa"/>
              <w:bottom w:w="40" w:type="dxa"/>
              <w:right w:w="40" w:type="dxa"/>
            </w:tcMar>
            <w:vAlign w:val="bottom"/>
          </w:tcPr>
          <w:p w14:paraId="4ACE52D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2D6"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750</w:t>
            </w:r>
          </w:p>
        </w:tc>
        <w:tc>
          <w:tcPr>
            <w:tcW w:w="0" w:type="auto"/>
            <w:shd w:val="clear" w:color="auto" w:fill="auto"/>
            <w:vAlign w:val="bottom"/>
          </w:tcPr>
          <w:p w14:paraId="4ACE52D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2D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2D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750</w:t>
            </w:r>
          </w:p>
        </w:tc>
        <w:tc>
          <w:tcPr>
            <w:tcW w:w="0" w:type="auto"/>
            <w:shd w:val="clear" w:color="auto" w:fill="auto"/>
            <w:vAlign w:val="bottom"/>
          </w:tcPr>
          <w:p w14:paraId="4ACE52DA" w14:textId="77777777" w:rsidR="006F587A" w:rsidRDefault="006F587A">
            <w:pPr>
              <w:textAlignment w:val="bottom"/>
              <w:rPr>
                <w:rFonts w:ascii="Times New Roman" w:hAnsi="Times New Roman"/>
                <w:sz w:val="20"/>
                <w:szCs w:val="20"/>
              </w:rPr>
            </w:pPr>
          </w:p>
        </w:tc>
      </w:tr>
      <w:tr w:rsidR="006F587A" w14:paraId="4ACE52E5" w14:textId="77777777">
        <w:tc>
          <w:tcPr>
            <w:tcW w:w="0" w:type="auto"/>
            <w:shd w:val="clear" w:color="auto" w:fill="auto"/>
            <w:tcMar>
              <w:top w:w="40" w:type="dxa"/>
              <w:left w:w="240" w:type="dxa"/>
              <w:bottom w:w="40" w:type="dxa"/>
              <w:right w:w="40" w:type="dxa"/>
            </w:tcMar>
            <w:vAlign w:val="bottom"/>
          </w:tcPr>
          <w:p w14:paraId="4ACE52D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3.10%, due July 2022</w:t>
            </w:r>
          </w:p>
        </w:tc>
        <w:tc>
          <w:tcPr>
            <w:tcW w:w="0" w:type="auto"/>
            <w:shd w:val="clear" w:color="auto" w:fill="auto"/>
            <w:tcMar>
              <w:top w:w="40" w:type="dxa"/>
              <w:left w:w="40" w:type="dxa"/>
              <w:bottom w:w="40" w:type="dxa"/>
              <w:right w:w="40" w:type="dxa"/>
            </w:tcMar>
            <w:vAlign w:val="bottom"/>
          </w:tcPr>
          <w:p w14:paraId="4ACE52D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2DE" w14:textId="77777777" w:rsidR="006F587A" w:rsidRDefault="007B2B61">
            <w:pPr>
              <w:jc w:val="center"/>
              <w:textAlignment w:val="bottom"/>
              <w:rPr>
                <w:rFonts w:ascii="Times New Roman" w:hAnsi="Times New Roman"/>
                <w:sz w:val="18"/>
                <w:szCs w:val="18"/>
              </w:rPr>
            </w:pPr>
            <w:r>
              <w:rPr>
                <w:rFonts w:ascii="Arial" w:eastAsia="宋体" w:hAnsi="Arial" w:cs="Arial"/>
                <w:color w:val="0071C5"/>
                <w:sz w:val="18"/>
                <w:szCs w:val="18"/>
              </w:rPr>
              <w:t>3.50%</w:t>
            </w:r>
          </w:p>
        </w:tc>
        <w:tc>
          <w:tcPr>
            <w:tcW w:w="0" w:type="auto"/>
            <w:shd w:val="clear" w:color="auto" w:fill="auto"/>
            <w:tcMar>
              <w:top w:w="40" w:type="dxa"/>
              <w:left w:w="40" w:type="dxa"/>
              <w:bottom w:w="40" w:type="dxa"/>
              <w:right w:w="40" w:type="dxa"/>
            </w:tcMar>
            <w:vAlign w:val="bottom"/>
          </w:tcPr>
          <w:p w14:paraId="4ACE52D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2E0"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1,000</w:t>
            </w:r>
          </w:p>
        </w:tc>
        <w:tc>
          <w:tcPr>
            <w:tcW w:w="0" w:type="auto"/>
            <w:shd w:val="clear" w:color="auto" w:fill="auto"/>
            <w:vAlign w:val="bottom"/>
          </w:tcPr>
          <w:p w14:paraId="4ACE52E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2E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2E3"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1,000</w:t>
            </w:r>
          </w:p>
        </w:tc>
        <w:tc>
          <w:tcPr>
            <w:tcW w:w="0" w:type="auto"/>
            <w:shd w:val="clear" w:color="auto" w:fill="auto"/>
            <w:vAlign w:val="bottom"/>
          </w:tcPr>
          <w:p w14:paraId="4ACE52E4" w14:textId="77777777" w:rsidR="006F587A" w:rsidRDefault="006F587A">
            <w:pPr>
              <w:textAlignment w:val="bottom"/>
              <w:rPr>
                <w:rFonts w:ascii="Times New Roman" w:hAnsi="Times New Roman"/>
                <w:sz w:val="20"/>
                <w:szCs w:val="20"/>
              </w:rPr>
            </w:pPr>
          </w:p>
        </w:tc>
      </w:tr>
      <w:tr w:rsidR="006F587A" w14:paraId="4ACE52EF" w14:textId="77777777">
        <w:tc>
          <w:tcPr>
            <w:tcW w:w="0" w:type="auto"/>
            <w:shd w:val="clear" w:color="auto" w:fill="auto"/>
            <w:tcMar>
              <w:top w:w="40" w:type="dxa"/>
              <w:left w:w="240" w:type="dxa"/>
              <w:bottom w:w="40" w:type="dxa"/>
              <w:right w:w="40" w:type="dxa"/>
            </w:tcMar>
            <w:vAlign w:val="bottom"/>
          </w:tcPr>
          <w:p w14:paraId="4ACE52E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4.00%, due December 2022</w:t>
            </w:r>
            <w:r>
              <w:rPr>
                <w:rFonts w:ascii="Arial" w:eastAsia="宋体" w:hAnsi="Arial" w:cs="Arial"/>
                <w:color w:val="333333"/>
                <w:sz w:val="12"/>
                <w:szCs w:val="12"/>
              </w:rPr>
              <w:t>1</w:t>
            </w:r>
          </w:p>
        </w:tc>
        <w:tc>
          <w:tcPr>
            <w:tcW w:w="0" w:type="auto"/>
            <w:shd w:val="clear" w:color="auto" w:fill="auto"/>
            <w:tcMar>
              <w:top w:w="40" w:type="dxa"/>
              <w:left w:w="40" w:type="dxa"/>
              <w:bottom w:w="40" w:type="dxa"/>
              <w:right w:w="40" w:type="dxa"/>
            </w:tcMar>
            <w:vAlign w:val="bottom"/>
          </w:tcPr>
          <w:p w14:paraId="4ACE52E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2E8" w14:textId="77777777" w:rsidR="006F587A" w:rsidRDefault="007B2B61">
            <w:pPr>
              <w:jc w:val="center"/>
              <w:textAlignment w:val="bottom"/>
              <w:rPr>
                <w:rFonts w:ascii="Times New Roman" w:hAnsi="Times New Roman"/>
                <w:sz w:val="18"/>
                <w:szCs w:val="18"/>
              </w:rPr>
            </w:pPr>
            <w:r>
              <w:rPr>
                <w:rFonts w:ascii="Arial" w:eastAsia="宋体" w:hAnsi="Arial" w:cs="Arial"/>
                <w:color w:val="0071C5"/>
                <w:sz w:val="18"/>
                <w:szCs w:val="18"/>
              </w:rPr>
              <w:t>2.97%</w:t>
            </w:r>
          </w:p>
        </w:tc>
        <w:tc>
          <w:tcPr>
            <w:tcW w:w="0" w:type="auto"/>
            <w:shd w:val="clear" w:color="auto" w:fill="auto"/>
            <w:tcMar>
              <w:top w:w="40" w:type="dxa"/>
              <w:left w:w="40" w:type="dxa"/>
              <w:bottom w:w="40" w:type="dxa"/>
              <w:right w:w="40" w:type="dxa"/>
            </w:tcMar>
            <w:vAlign w:val="bottom"/>
          </w:tcPr>
          <w:p w14:paraId="4ACE52E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2EA"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382</w:t>
            </w:r>
          </w:p>
        </w:tc>
        <w:tc>
          <w:tcPr>
            <w:tcW w:w="0" w:type="auto"/>
            <w:shd w:val="clear" w:color="auto" w:fill="auto"/>
            <w:vAlign w:val="bottom"/>
          </w:tcPr>
          <w:p w14:paraId="4ACE52E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2E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2ED"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389</w:t>
            </w:r>
          </w:p>
        </w:tc>
        <w:tc>
          <w:tcPr>
            <w:tcW w:w="0" w:type="auto"/>
            <w:shd w:val="clear" w:color="auto" w:fill="auto"/>
            <w:vAlign w:val="bottom"/>
          </w:tcPr>
          <w:p w14:paraId="4ACE52EE" w14:textId="77777777" w:rsidR="006F587A" w:rsidRDefault="006F587A">
            <w:pPr>
              <w:textAlignment w:val="bottom"/>
              <w:rPr>
                <w:rFonts w:ascii="Times New Roman" w:hAnsi="Times New Roman"/>
                <w:sz w:val="20"/>
                <w:szCs w:val="20"/>
              </w:rPr>
            </w:pPr>
          </w:p>
        </w:tc>
      </w:tr>
      <w:tr w:rsidR="006F587A" w14:paraId="4ACE52F9" w14:textId="77777777">
        <w:tc>
          <w:tcPr>
            <w:tcW w:w="0" w:type="auto"/>
            <w:shd w:val="clear" w:color="auto" w:fill="auto"/>
            <w:tcMar>
              <w:top w:w="40" w:type="dxa"/>
              <w:left w:w="240" w:type="dxa"/>
              <w:bottom w:w="40" w:type="dxa"/>
              <w:right w:w="40" w:type="dxa"/>
            </w:tcMar>
            <w:vAlign w:val="bottom"/>
          </w:tcPr>
          <w:p w14:paraId="4ACE52F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2.70%, due December 2022</w:t>
            </w:r>
          </w:p>
        </w:tc>
        <w:tc>
          <w:tcPr>
            <w:tcW w:w="0" w:type="auto"/>
            <w:shd w:val="clear" w:color="auto" w:fill="auto"/>
            <w:tcMar>
              <w:top w:w="40" w:type="dxa"/>
              <w:left w:w="40" w:type="dxa"/>
              <w:bottom w:w="40" w:type="dxa"/>
              <w:right w:w="40" w:type="dxa"/>
            </w:tcMar>
            <w:vAlign w:val="bottom"/>
          </w:tcPr>
          <w:p w14:paraId="4ACE52F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2F2" w14:textId="77777777" w:rsidR="006F587A" w:rsidRDefault="007B2B61">
            <w:pPr>
              <w:jc w:val="center"/>
              <w:textAlignment w:val="bottom"/>
              <w:rPr>
                <w:rFonts w:ascii="Times New Roman" w:hAnsi="Times New Roman"/>
                <w:sz w:val="18"/>
                <w:szCs w:val="18"/>
              </w:rPr>
            </w:pPr>
            <w:r>
              <w:rPr>
                <w:rFonts w:ascii="Arial" w:eastAsia="宋体" w:hAnsi="Arial" w:cs="Arial"/>
                <w:color w:val="0071C5"/>
                <w:sz w:val="18"/>
                <w:szCs w:val="18"/>
              </w:rPr>
              <w:t>3.09%</w:t>
            </w:r>
          </w:p>
        </w:tc>
        <w:tc>
          <w:tcPr>
            <w:tcW w:w="0" w:type="auto"/>
            <w:shd w:val="clear" w:color="auto" w:fill="auto"/>
            <w:tcMar>
              <w:top w:w="40" w:type="dxa"/>
              <w:left w:w="40" w:type="dxa"/>
              <w:bottom w:w="40" w:type="dxa"/>
              <w:right w:w="40" w:type="dxa"/>
            </w:tcMar>
            <w:vAlign w:val="bottom"/>
          </w:tcPr>
          <w:p w14:paraId="4ACE52F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2F4"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1,500</w:t>
            </w:r>
          </w:p>
        </w:tc>
        <w:tc>
          <w:tcPr>
            <w:tcW w:w="0" w:type="auto"/>
            <w:shd w:val="clear" w:color="auto" w:fill="auto"/>
            <w:vAlign w:val="bottom"/>
          </w:tcPr>
          <w:p w14:paraId="4ACE52F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2F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2F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1,500</w:t>
            </w:r>
          </w:p>
        </w:tc>
        <w:tc>
          <w:tcPr>
            <w:tcW w:w="0" w:type="auto"/>
            <w:shd w:val="clear" w:color="auto" w:fill="auto"/>
            <w:vAlign w:val="bottom"/>
          </w:tcPr>
          <w:p w14:paraId="4ACE52F8" w14:textId="77777777" w:rsidR="006F587A" w:rsidRDefault="006F587A">
            <w:pPr>
              <w:textAlignment w:val="bottom"/>
              <w:rPr>
                <w:rFonts w:ascii="Times New Roman" w:hAnsi="Times New Roman"/>
                <w:sz w:val="20"/>
                <w:szCs w:val="20"/>
              </w:rPr>
            </w:pPr>
          </w:p>
        </w:tc>
      </w:tr>
      <w:tr w:rsidR="006F587A" w14:paraId="4ACE5303" w14:textId="77777777">
        <w:tc>
          <w:tcPr>
            <w:tcW w:w="0" w:type="auto"/>
            <w:shd w:val="clear" w:color="auto" w:fill="auto"/>
            <w:tcMar>
              <w:top w:w="40" w:type="dxa"/>
              <w:left w:w="240" w:type="dxa"/>
              <w:bottom w:w="40" w:type="dxa"/>
              <w:right w:w="40" w:type="dxa"/>
            </w:tcMar>
            <w:vAlign w:val="bottom"/>
          </w:tcPr>
          <w:p w14:paraId="4ACE52F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4.10%, due November 2023</w:t>
            </w:r>
          </w:p>
        </w:tc>
        <w:tc>
          <w:tcPr>
            <w:tcW w:w="0" w:type="auto"/>
            <w:shd w:val="clear" w:color="auto" w:fill="auto"/>
            <w:tcMar>
              <w:top w:w="40" w:type="dxa"/>
              <w:left w:w="40" w:type="dxa"/>
              <w:bottom w:w="40" w:type="dxa"/>
              <w:right w:w="40" w:type="dxa"/>
            </w:tcMar>
            <w:vAlign w:val="bottom"/>
          </w:tcPr>
          <w:p w14:paraId="4ACE52F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2FC" w14:textId="77777777" w:rsidR="006F587A" w:rsidRDefault="007B2B61">
            <w:pPr>
              <w:jc w:val="center"/>
              <w:textAlignment w:val="bottom"/>
              <w:rPr>
                <w:rFonts w:ascii="Times New Roman" w:hAnsi="Times New Roman"/>
                <w:sz w:val="18"/>
                <w:szCs w:val="18"/>
              </w:rPr>
            </w:pPr>
            <w:r>
              <w:rPr>
                <w:rFonts w:ascii="Arial" w:eastAsia="宋体" w:hAnsi="Arial" w:cs="Arial"/>
                <w:color w:val="0071C5"/>
                <w:sz w:val="18"/>
                <w:szCs w:val="18"/>
              </w:rPr>
              <w:t>3.22%</w:t>
            </w:r>
          </w:p>
        </w:tc>
        <w:tc>
          <w:tcPr>
            <w:tcW w:w="0" w:type="auto"/>
            <w:shd w:val="clear" w:color="auto" w:fill="auto"/>
            <w:tcMar>
              <w:top w:w="40" w:type="dxa"/>
              <w:left w:w="40" w:type="dxa"/>
              <w:bottom w:w="40" w:type="dxa"/>
              <w:right w:w="40" w:type="dxa"/>
            </w:tcMar>
            <w:vAlign w:val="bottom"/>
          </w:tcPr>
          <w:p w14:paraId="4ACE52F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2FE"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400</w:t>
            </w:r>
          </w:p>
        </w:tc>
        <w:tc>
          <w:tcPr>
            <w:tcW w:w="0" w:type="auto"/>
            <w:shd w:val="clear" w:color="auto" w:fill="auto"/>
            <w:vAlign w:val="bottom"/>
          </w:tcPr>
          <w:p w14:paraId="4ACE52F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30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301"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400</w:t>
            </w:r>
          </w:p>
        </w:tc>
        <w:tc>
          <w:tcPr>
            <w:tcW w:w="0" w:type="auto"/>
            <w:shd w:val="clear" w:color="auto" w:fill="auto"/>
            <w:vAlign w:val="bottom"/>
          </w:tcPr>
          <w:p w14:paraId="4ACE5302" w14:textId="77777777" w:rsidR="006F587A" w:rsidRDefault="006F587A">
            <w:pPr>
              <w:textAlignment w:val="bottom"/>
              <w:rPr>
                <w:rFonts w:ascii="Times New Roman" w:hAnsi="Times New Roman"/>
                <w:sz w:val="20"/>
                <w:szCs w:val="20"/>
              </w:rPr>
            </w:pPr>
          </w:p>
        </w:tc>
      </w:tr>
      <w:tr w:rsidR="006F587A" w14:paraId="4ACE530D" w14:textId="77777777">
        <w:tc>
          <w:tcPr>
            <w:tcW w:w="0" w:type="auto"/>
            <w:shd w:val="clear" w:color="auto" w:fill="auto"/>
            <w:tcMar>
              <w:top w:w="40" w:type="dxa"/>
              <w:left w:w="240" w:type="dxa"/>
              <w:bottom w:w="40" w:type="dxa"/>
              <w:right w:w="40" w:type="dxa"/>
            </w:tcMar>
            <w:vAlign w:val="bottom"/>
          </w:tcPr>
          <w:p w14:paraId="4ACE530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2.88%, due May 2024</w:t>
            </w:r>
          </w:p>
        </w:tc>
        <w:tc>
          <w:tcPr>
            <w:tcW w:w="0" w:type="auto"/>
            <w:shd w:val="clear" w:color="auto" w:fill="auto"/>
            <w:tcMar>
              <w:top w:w="40" w:type="dxa"/>
              <w:left w:w="40" w:type="dxa"/>
              <w:bottom w:w="40" w:type="dxa"/>
              <w:right w:w="40" w:type="dxa"/>
            </w:tcMar>
            <w:vAlign w:val="bottom"/>
          </w:tcPr>
          <w:p w14:paraId="4ACE530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306" w14:textId="77777777" w:rsidR="006F587A" w:rsidRDefault="007B2B61">
            <w:pPr>
              <w:jc w:val="center"/>
              <w:textAlignment w:val="bottom"/>
              <w:rPr>
                <w:rFonts w:ascii="Times New Roman" w:hAnsi="Times New Roman"/>
                <w:sz w:val="18"/>
                <w:szCs w:val="18"/>
              </w:rPr>
            </w:pPr>
            <w:r>
              <w:rPr>
                <w:rFonts w:ascii="Arial" w:eastAsia="宋体" w:hAnsi="Arial" w:cs="Arial"/>
                <w:color w:val="0071C5"/>
                <w:sz w:val="18"/>
                <w:szCs w:val="18"/>
              </w:rPr>
              <w:t>3.07%</w:t>
            </w:r>
          </w:p>
        </w:tc>
        <w:tc>
          <w:tcPr>
            <w:tcW w:w="0" w:type="auto"/>
            <w:shd w:val="clear" w:color="auto" w:fill="auto"/>
            <w:tcMar>
              <w:top w:w="40" w:type="dxa"/>
              <w:left w:w="40" w:type="dxa"/>
              <w:bottom w:w="40" w:type="dxa"/>
              <w:right w:w="40" w:type="dxa"/>
            </w:tcMar>
            <w:vAlign w:val="bottom"/>
          </w:tcPr>
          <w:p w14:paraId="4ACE530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308"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1,250</w:t>
            </w:r>
          </w:p>
        </w:tc>
        <w:tc>
          <w:tcPr>
            <w:tcW w:w="0" w:type="auto"/>
            <w:shd w:val="clear" w:color="auto" w:fill="auto"/>
            <w:vAlign w:val="bottom"/>
          </w:tcPr>
          <w:p w14:paraId="4ACE530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30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30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1,250</w:t>
            </w:r>
          </w:p>
        </w:tc>
        <w:tc>
          <w:tcPr>
            <w:tcW w:w="0" w:type="auto"/>
            <w:shd w:val="clear" w:color="auto" w:fill="auto"/>
            <w:vAlign w:val="bottom"/>
          </w:tcPr>
          <w:p w14:paraId="4ACE530C" w14:textId="77777777" w:rsidR="006F587A" w:rsidRDefault="006F587A">
            <w:pPr>
              <w:textAlignment w:val="bottom"/>
              <w:rPr>
                <w:rFonts w:ascii="Times New Roman" w:hAnsi="Times New Roman"/>
                <w:sz w:val="20"/>
                <w:szCs w:val="20"/>
              </w:rPr>
            </w:pPr>
          </w:p>
        </w:tc>
      </w:tr>
      <w:tr w:rsidR="006F587A" w14:paraId="4ACE5317" w14:textId="77777777">
        <w:tc>
          <w:tcPr>
            <w:tcW w:w="0" w:type="auto"/>
            <w:shd w:val="clear" w:color="auto" w:fill="auto"/>
            <w:tcMar>
              <w:top w:w="40" w:type="dxa"/>
              <w:left w:w="240" w:type="dxa"/>
              <w:bottom w:w="40" w:type="dxa"/>
              <w:right w:w="40" w:type="dxa"/>
            </w:tcMar>
            <w:vAlign w:val="bottom"/>
          </w:tcPr>
          <w:p w14:paraId="4ACE530E"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2.70%, due June 2024</w:t>
            </w:r>
          </w:p>
        </w:tc>
        <w:tc>
          <w:tcPr>
            <w:tcW w:w="0" w:type="auto"/>
            <w:shd w:val="clear" w:color="auto" w:fill="auto"/>
            <w:tcMar>
              <w:top w:w="40" w:type="dxa"/>
              <w:left w:w="40" w:type="dxa"/>
              <w:bottom w:w="40" w:type="dxa"/>
              <w:right w:w="40" w:type="dxa"/>
            </w:tcMar>
            <w:vAlign w:val="bottom"/>
          </w:tcPr>
          <w:p w14:paraId="4ACE530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310" w14:textId="77777777" w:rsidR="006F587A" w:rsidRDefault="007B2B61">
            <w:pPr>
              <w:jc w:val="center"/>
              <w:textAlignment w:val="bottom"/>
              <w:rPr>
                <w:rFonts w:ascii="Times New Roman" w:hAnsi="Times New Roman"/>
                <w:sz w:val="18"/>
                <w:szCs w:val="18"/>
              </w:rPr>
            </w:pPr>
            <w:r>
              <w:rPr>
                <w:rFonts w:ascii="Arial" w:eastAsia="宋体" w:hAnsi="Arial" w:cs="Arial"/>
                <w:color w:val="0071C5"/>
                <w:sz w:val="18"/>
                <w:szCs w:val="18"/>
              </w:rPr>
              <w:t>2.84%</w:t>
            </w:r>
          </w:p>
        </w:tc>
        <w:tc>
          <w:tcPr>
            <w:tcW w:w="0" w:type="auto"/>
            <w:shd w:val="clear" w:color="auto" w:fill="auto"/>
            <w:tcMar>
              <w:top w:w="40" w:type="dxa"/>
              <w:left w:w="40" w:type="dxa"/>
              <w:bottom w:w="40" w:type="dxa"/>
              <w:right w:w="40" w:type="dxa"/>
            </w:tcMar>
            <w:vAlign w:val="bottom"/>
          </w:tcPr>
          <w:p w14:paraId="4ACE531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312"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600</w:t>
            </w:r>
          </w:p>
        </w:tc>
        <w:tc>
          <w:tcPr>
            <w:tcW w:w="0" w:type="auto"/>
            <w:shd w:val="clear" w:color="auto" w:fill="auto"/>
            <w:vAlign w:val="bottom"/>
          </w:tcPr>
          <w:p w14:paraId="4ACE531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31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315"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600</w:t>
            </w:r>
          </w:p>
        </w:tc>
        <w:tc>
          <w:tcPr>
            <w:tcW w:w="0" w:type="auto"/>
            <w:shd w:val="clear" w:color="auto" w:fill="auto"/>
            <w:vAlign w:val="bottom"/>
          </w:tcPr>
          <w:p w14:paraId="4ACE5316" w14:textId="77777777" w:rsidR="006F587A" w:rsidRDefault="006F587A">
            <w:pPr>
              <w:textAlignment w:val="bottom"/>
              <w:rPr>
                <w:rFonts w:ascii="Times New Roman" w:hAnsi="Times New Roman"/>
                <w:sz w:val="20"/>
                <w:szCs w:val="20"/>
              </w:rPr>
            </w:pPr>
          </w:p>
        </w:tc>
      </w:tr>
      <w:tr w:rsidR="006F587A" w14:paraId="4ACE5321" w14:textId="77777777">
        <w:tc>
          <w:tcPr>
            <w:tcW w:w="0" w:type="auto"/>
            <w:shd w:val="clear" w:color="auto" w:fill="auto"/>
            <w:tcMar>
              <w:top w:w="40" w:type="dxa"/>
              <w:left w:w="240" w:type="dxa"/>
              <w:bottom w:w="40" w:type="dxa"/>
              <w:right w:w="40" w:type="dxa"/>
            </w:tcMar>
            <w:vAlign w:val="bottom"/>
          </w:tcPr>
          <w:p w14:paraId="4ACE531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3.70%, due July 2025</w:t>
            </w:r>
          </w:p>
        </w:tc>
        <w:tc>
          <w:tcPr>
            <w:tcW w:w="0" w:type="auto"/>
            <w:shd w:val="clear" w:color="auto" w:fill="auto"/>
            <w:tcMar>
              <w:top w:w="40" w:type="dxa"/>
              <w:left w:w="40" w:type="dxa"/>
              <w:bottom w:w="40" w:type="dxa"/>
              <w:right w:w="40" w:type="dxa"/>
            </w:tcMar>
            <w:vAlign w:val="bottom"/>
          </w:tcPr>
          <w:p w14:paraId="4ACE531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31A" w14:textId="77777777" w:rsidR="006F587A" w:rsidRDefault="007B2B61">
            <w:pPr>
              <w:jc w:val="center"/>
              <w:textAlignment w:val="bottom"/>
              <w:rPr>
                <w:rFonts w:ascii="Times New Roman" w:hAnsi="Times New Roman"/>
                <w:sz w:val="18"/>
                <w:szCs w:val="18"/>
              </w:rPr>
            </w:pPr>
            <w:r>
              <w:rPr>
                <w:rFonts w:ascii="Arial" w:eastAsia="宋体" w:hAnsi="Arial" w:cs="Arial"/>
                <w:color w:val="0071C5"/>
                <w:sz w:val="18"/>
                <w:szCs w:val="18"/>
              </w:rPr>
              <w:t>4.44%</w:t>
            </w:r>
          </w:p>
        </w:tc>
        <w:tc>
          <w:tcPr>
            <w:tcW w:w="0" w:type="auto"/>
            <w:shd w:val="clear" w:color="auto" w:fill="auto"/>
            <w:tcMar>
              <w:top w:w="40" w:type="dxa"/>
              <w:left w:w="40" w:type="dxa"/>
              <w:bottom w:w="40" w:type="dxa"/>
              <w:right w:w="40" w:type="dxa"/>
            </w:tcMar>
            <w:vAlign w:val="bottom"/>
          </w:tcPr>
          <w:p w14:paraId="4ACE531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31C"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2,250</w:t>
            </w:r>
          </w:p>
        </w:tc>
        <w:tc>
          <w:tcPr>
            <w:tcW w:w="0" w:type="auto"/>
            <w:shd w:val="clear" w:color="auto" w:fill="auto"/>
            <w:vAlign w:val="bottom"/>
          </w:tcPr>
          <w:p w14:paraId="4ACE531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31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31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2,250</w:t>
            </w:r>
          </w:p>
        </w:tc>
        <w:tc>
          <w:tcPr>
            <w:tcW w:w="0" w:type="auto"/>
            <w:shd w:val="clear" w:color="auto" w:fill="auto"/>
            <w:vAlign w:val="bottom"/>
          </w:tcPr>
          <w:p w14:paraId="4ACE5320" w14:textId="77777777" w:rsidR="006F587A" w:rsidRDefault="006F587A">
            <w:pPr>
              <w:textAlignment w:val="bottom"/>
              <w:rPr>
                <w:rFonts w:ascii="Times New Roman" w:hAnsi="Times New Roman"/>
                <w:sz w:val="20"/>
                <w:szCs w:val="20"/>
              </w:rPr>
            </w:pPr>
          </w:p>
        </w:tc>
      </w:tr>
      <w:tr w:rsidR="006F587A" w14:paraId="4ACE532B" w14:textId="77777777">
        <w:tc>
          <w:tcPr>
            <w:tcW w:w="0" w:type="auto"/>
            <w:shd w:val="clear" w:color="auto" w:fill="auto"/>
            <w:tcMar>
              <w:top w:w="40" w:type="dxa"/>
              <w:left w:w="240" w:type="dxa"/>
              <w:bottom w:w="40" w:type="dxa"/>
              <w:right w:w="40" w:type="dxa"/>
            </w:tcMar>
            <w:vAlign w:val="bottom"/>
          </w:tcPr>
          <w:p w14:paraId="4ACE532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2.60%, due May 2026</w:t>
            </w:r>
          </w:p>
        </w:tc>
        <w:tc>
          <w:tcPr>
            <w:tcW w:w="0" w:type="auto"/>
            <w:shd w:val="clear" w:color="auto" w:fill="auto"/>
            <w:tcMar>
              <w:top w:w="40" w:type="dxa"/>
              <w:left w:w="40" w:type="dxa"/>
              <w:bottom w:w="40" w:type="dxa"/>
              <w:right w:w="40" w:type="dxa"/>
            </w:tcMar>
            <w:vAlign w:val="bottom"/>
          </w:tcPr>
          <w:p w14:paraId="4ACE532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324" w14:textId="77777777" w:rsidR="006F587A" w:rsidRDefault="007B2B61">
            <w:pPr>
              <w:jc w:val="center"/>
              <w:textAlignment w:val="bottom"/>
              <w:rPr>
                <w:rFonts w:ascii="Times New Roman" w:hAnsi="Times New Roman"/>
                <w:sz w:val="18"/>
                <w:szCs w:val="18"/>
              </w:rPr>
            </w:pPr>
            <w:r>
              <w:rPr>
                <w:rFonts w:ascii="Arial" w:eastAsia="宋体" w:hAnsi="Arial" w:cs="Arial"/>
                <w:color w:val="0071C5"/>
                <w:sz w:val="18"/>
                <w:szCs w:val="18"/>
              </w:rPr>
              <w:t>2.91%</w:t>
            </w:r>
          </w:p>
        </w:tc>
        <w:tc>
          <w:tcPr>
            <w:tcW w:w="0" w:type="auto"/>
            <w:shd w:val="clear" w:color="auto" w:fill="auto"/>
            <w:tcMar>
              <w:top w:w="40" w:type="dxa"/>
              <w:left w:w="40" w:type="dxa"/>
              <w:bottom w:w="40" w:type="dxa"/>
              <w:right w:w="40" w:type="dxa"/>
            </w:tcMar>
            <w:vAlign w:val="bottom"/>
          </w:tcPr>
          <w:p w14:paraId="4ACE532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326"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1,000</w:t>
            </w:r>
          </w:p>
        </w:tc>
        <w:tc>
          <w:tcPr>
            <w:tcW w:w="0" w:type="auto"/>
            <w:shd w:val="clear" w:color="auto" w:fill="auto"/>
            <w:vAlign w:val="bottom"/>
          </w:tcPr>
          <w:p w14:paraId="4ACE532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32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32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1,000</w:t>
            </w:r>
          </w:p>
        </w:tc>
        <w:tc>
          <w:tcPr>
            <w:tcW w:w="0" w:type="auto"/>
            <w:shd w:val="clear" w:color="auto" w:fill="auto"/>
            <w:vAlign w:val="bottom"/>
          </w:tcPr>
          <w:p w14:paraId="4ACE532A" w14:textId="77777777" w:rsidR="006F587A" w:rsidRDefault="006F587A">
            <w:pPr>
              <w:textAlignment w:val="bottom"/>
              <w:rPr>
                <w:rFonts w:ascii="Times New Roman" w:hAnsi="Times New Roman"/>
                <w:sz w:val="20"/>
                <w:szCs w:val="20"/>
              </w:rPr>
            </w:pPr>
          </w:p>
        </w:tc>
      </w:tr>
      <w:tr w:rsidR="006F587A" w14:paraId="4ACE5335" w14:textId="77777777">
        <w:tc>
          <w:tcPr>
            <w:tcW w:w="0" w:type="auto"/>
            <w:shd w:val="clear" w:color="auto" w:fill="auto"/>
            <w:tcMar>
              <w:top w:w="40" w:type="dxa"/>
              <w:left w:w="240" w:type="dxa"/>
              <w:bottom w:w="40" w:type="dxa"/>
              <w:right w:w="40" w:type="dxa"/>
            </w:tcMar>
            <w:vAlign w:val="bottom"/>
          </w:tcPr>
          <w:p w14:paraId="4ACE532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3.15%, due May 2027</w:t>
            </w:r>
          </w:p>
        </w:tc>
        <w:tc>
          <w:tcPr>
            <w:tcW w:w="0" w:type="auto"/>
            <w:shd w:val="clear" w:color="auto" w:fill="auto"/>
            <w:tcMar>
              <w:top w:w="40" w:type="dxa"/>
              <w:left w:w="40" w:type="dxa"/>
              <w:bottom w:w="40" w:type="dxa"/>
              <w:right w:w="40" w:type="dxa"/>
            </w:tcMar>
            <w:vAlign w:val="bottom"/>
          </w:tcPr>
          <w:p w14:paraId="4ACE532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32E" w14:textId="77777777" w:rsidR="006F587A" w:rsidRDefault="007B2B61">
            <w:pPr>
              <w:jc w:val="center"/>
              <w:textAlignment w:val="bottom"/>
              <w:rPr>
                <w:rFonts w:ascii="Times New Roman" w:hAnsi="Times New Roman"/>
                <w:sz w:val="18"/>
                <w:szCs w:val="18"/>
              </w:rPr>
            </w:pPr>
            <w:r>
              <w:rPr>
                <w:rFonts w:ascii="Arial" w:eastAsia="宋体" w:hAnsi="Arial" w:cs="Arial"/>
                <w:color w:val="0071C5"/>
                <w:sz w:val="18"/>
                <w:szCs w:val="18"/>
              </w:rPr>
              <w:t>3.48%</w:t>
            </w:r>
          </w:p>
        </w:tc>
        <w:tc>
          <w:tcPr>
            <w:tcW w:w="0" w:type="auto"/>
            <w:shd w:val="clear" w:color="auto" w:fill="auto"/>
            <w:tcMar>
              <w:top w:w="40" w:type="dxa"/>
              <w:left w:w="40" w:type="dxa"/>
              <w:bottom w:w="40" w:type="dxa"/>
              <w:right w:w="40" w:type="dxa"/>
            </w:tcMar>
            <w:vAlign w:val="bottom"/>
          </w:tcPr>
          <w:p w14:paraId="4ACE532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330"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1,000</w:t>
            </w:r>
          </w:p>
        </w:tc>
        <w:tc>
          <w:tcPr>
            <w:tcW w:w="0" w:type="auto"/>
            <w:shd w:val="clear" w:color="auto" w:fill="auto"/>
            <w:vAlign w:val="bottom"/>
          </w:tcPr>
          <w:p w14:paraId="4ACE533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33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333"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1,000</w:t>
            </w:r>
          </w:p>
        </w:tc>
        <w:tc>
          <w:tcPr>
            <w:tcW w:w="0" w:type="auto"/>
            <w:shd w:val="clear" w:color="auto" w:fill="auto"/>
            <w:vAlign w:val="bottom"/>
          </w:tcPr>
          <w:p w14:paraId="4ACE5334" w14:textId="77777777" w:rsidR="006F587A" w:rsidRDefault="006F587A">
            <w:pPr>
              <w:textAlignment w:val="bottom"/>
              <w:rPr>
                <w:rFonts w:ascii="Times New Roman" w:hAnsi="Times New Roman"/>
                <w:sz w:val="20"/>
                <w:szCs w:val="20"/>
              </w:rPr>
            </w:pPr>
          </w:p>
        </w:tc>
      </w:tr>
      <w:tr w:rsidR="006F587A" w14:paraId="4ACE533F" w14:textId="77777777">
        <w:tc>
          <w:tcPr>
            <w:tcW w:w="0" w:type="auto"/>
            <w:shd w:val="clear" w:color="auto" w:fill="auto"/>
            <w:tcMar>
              <w:top w:w="40" w:type="dxa"/>
              <w:left w:w="240" w:type="dxa"/>
              <w:bottom w:w="40" w:type="dxa"/>
              <w:right w:w="40" w:type="dxa"/>
            </w:tcMar>
            <w:vAlign w:val="bottom"/>
          </w:tcPr>
          <w:p w14:paraId="4ACE533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2.45%, due November 2029</w:t>
            </w:r>
          </w:p>
        </w:tc>
        <w:tc>
          <w:tcPr>
            <w:tcW w:w="0" w:type="auto"/>
            <w:shd w:val="clear" w:color="auto" w:fill="auto"/>
            <w:tcMar>
              <w:top w:w="40" w:type="dxa"/>
              <w:left w:w="40" w:type="dxa"/>
              <w:bottom w:w="40" w:type="dxa"/>
              <w:right w:w="40" w:type="dxa"/>
            </w:tcMar>
            <w:vAlign w:val="bottom"/>
          </w:tcPr>
          <w:p w14:paraId="4ACE533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338" w14:textId="77777777" w:rsidR="006F587A" w:rsidRDefault="007B2B61">
            <w:pPr>
              <w:jc w:val="center"/>
              <w:textAlignment w:val="bottom"/>
              <w:rPr>
                <w:rFonts w:ascii="Times New Roman" w:hAnsi="Times New Roman"/>
                <w:sz w:val="18"/>
                <w:szCs w:val="18"/>
              </w:rPr>
            </w:pPr>
            <w:r>
              <w:rPr>
                <w:rFonts w:ascii="Arial" w:eastAsia="宋体" w:hAnsi="Arial" w:cs="Arial"/>
                <w:color w:val="0071C5"/>
                <w:sz w:val="18"/>
                <w:szCs w:val="18"/>
              </w:rPr>
              <w:t>2.48%</w:t>
            </w:r>
          </w:p>
        </w:tc>
        <w:tc>
          <w:tcPr>
            <w:tcW w:w="0" w:type="auto"/>
            <w:shd w:val="clear" w:color="auto" w:fill="auto"/>
            <w:tcMar>
              <w:top w:w="40" w:type="dxa"/>
              <w:left w:w="40" w:type="dxa"/>
              <w:bottom w:w="40" w:type="dxa"/>
              <w:right w:w="40" w:type="dxa"/>
            </w:tcMar>
            <w:vAlign w:val="bottom"/>
          </w:tcPr>
          <w:p w14:paraId="4ACE533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33A"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1,250</w:t>
            </w:r>
          </w:p>
        </w:tc>
        <w:tc>
          <w:tcPr>
            <w:tcW w:w="0" w:type="auto"/>
            <w:shd w:val="clear" w:color="auto" w:fill="auto"/>
            <w:vAlign w:val="bottom"/>
          </w:tcPr>
          <w:p w14:paraId="4ACE533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33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33D"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33E" w14:textId="77777777" w:rsidR="006F587A" w:rsidRDefault="006F587A">
            <w:pPr>
              <w:textAlignment w:val="bottom"/>
              <w:rPr>
                <w:rFonts w:ascii="Times New Roman" w:hAnsi="Times New Roman"/>
                <w:sz w:val="20"/>
                <w:szCs w:val="20"/>
              </w:rPr>
            </w:pPr>
          </w:p>
        </w:tc>
      </w:tr>
      <w:tr w:rsidR="006F587A" w14:paraId="4ACE5349" w14:textId="77777777">
        <w:tc>
          <w:tcPr>
            <w:tcW w:w="0" w:type="auto"/>
            <w:shd w:val="clear" w:color="auto" w:fill="auto"/>
            <w:tcMar>
              <w:top w:w="40" w:type="dxa"/>
              <w:left w:w="240" w:type="dxa"/>
              <w:bottom w:w="40" w:type="dxa"/>
              <w:right w:w="40" w:type="dxa"/>
            </w:tcMar>
            <w:vAlign w:val="bottom"/>
          </w:tcPr>
          <w:p w14:paraId="4ACE534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4.00%, due </w:t>
            </w:r>
            <w:r>
              <w:rPr>
                <w:rFonts w:ascii="Arial" w:eastAsia="宋体" w:hAnsi="Arial" w:cs="Arial"/>
                <w:color w:val="333333"/>
                <w:sz w:val="18"/>
                <w:szCs w:val="18"/>
              </w:rPr>
              <w:t>December 2032</w:t>
            </w:r>
          </w:p>
        </w:tc>
        <w:tc>
          <w:tcPr>
            <w:tcW w:w="0" w:type="auto"/>
            <w:shd w:val="clear" w:color="auto" w:fill="auto"/>
            <w:tcMar>
              <w:top w:w="40" w:type="dxa"/>
              <w:left w:w="40" w:type="dxa"/>
              <w:bottom w:w="40" w:type="dxa"/>
              <w:right w:w="40" w:type="dxa"/>
            </w:tcMar>
            <w:vAlign w:val="bottom"/>
          </w:tcPr>
          <w:p w14:paraId="4ACE534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342" w14:textId="77777777" w:rsidR="006F587A" w:rsidRDefault="007B2B61">
            <w:pPr>
              <w:jc w:val="center"/>
              <w:textAlignment w:val="bottom"/>
              <w:rPr>
                <w:rFonts w:ascii="Times New Roman" w:hAnsi="Times New Roman"/>
                <w:sz w:val="18"/>
                <w:szCs w:val="18"/>
              </w:rPr>
            </w:pPr>
            <w:r>
              <w:rPr>
                <w:rFonts w:ascii="Arial" w:eastAsia="宋体" w:hAnsi="Arial" w:cs="Arial"/>
                <w:color w:val="0071C5"/>
                <w:sz w:val="18"/>
                <w:szCs w:val="18"/>
              </w:rPr>
              <w:t>3.56%</w:t>
            </w:r>
          </w:p>
        </w:tc>
        <w:tc>
          <w:tcPr>
            <w:tcW w:w="0" w:type="auto"/>
            <w:shd w:val="clear" w:color="auto" w:fill="auto"/>
            <w:tcMar>
              <w:top w:w="40" w:type="dxa"/>
              <w:left w:w="40" w:type="dxa"/>
              <w:bottom w:w="40" w:type="dxa"/>
              <w:right w:w="40" w:type="dxa"/>
            </w:tcMar>
            <w:vAlign w:val="bottom"/>
          </w:tcPr>
          <w:p w14:paraId="4ACE534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344"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750</w:t>
            </w:r>
          </w:p>
        </w:tc>
        <w:tc>
          <w:tcPr>
            <w:tcW w:w="0" w:type="auto"/>
            <w:shd w:val="clear" w:color="auto" w:fill="auto"/>
            <w:vAlign w:val="bottom"/>
          </w:tcPr>
          <w:p w14:paraId="4ACE534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34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34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750</w:t>
            </w:r>
          </w:p>
        </w:tc>
        <w:tc>
          <w:tcPr>
            <w:tcW w:w="0" w:type="auto"/>
            <w:shd w:val="clear" w:color="auto" w:fill="auto"/>
            <w:vAlign w:val="bottom"/>
          </w:tcPr>
          <w:p w14:paraId="4ACE5348" w14:textId="77777777" w:rsidR="006F587A" w:rsidRDefault="006F587A">
            <w:pPr>
              <w:textAlignment w:val="bottom"/>
              <w:rPr>
                <w:rFonts w:ascii="Times New Roman" w:hAnsi="Times New Roman"/>
                <w:sz w:val="20"/>
                <w:szCs w:val="20"/>
              </w:rPr>
            </w:pPr>
          </w:p>
        </w:tc>
      </w:tr>
      <w:tr w:rsidR="006F587A" w14:paraId="4ACE5353" w14:textId="77777777">
        <w:tc>
          <w:tcPr>
            <w:tcW w:w="0" w:type="auto"/>
            <w:shd w:val="clear" w:color="auto" w:fill="auto"/>
            <w:tcMar>
              <w:top w:w="40" w:type="dxa"/>
              <w:left w:w="240" w:type="dxa"/>
              <w:bottom w:w="40" w:type="dxa"/>
              <w:right w:w="40" w:type="dxa"/>
            </w:tcMar>
            <w:vAlign w:val="bottom"/>
          </w:tcPr>
          <w:p w14:paraId="4ACE534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4.80%, due October 2041</w:t>
            </w:r>
          </w:p>
        </w:tc>
        <w:tc>
          <w:tcPr>
            <w:tcW w:w="0" w:type="auto"/>
            <w:shd w:val="clear" w:color="auto" w:fill="auto"/>
            <w:tcMar>
              <w:top w:w="40" w:type="dxa"/>
              <w:left w:w="40" w:type="dxa"/>
              <w:bottom w:w="40" w:type="dxa"/>
              <w:right w:w="40" w:type="dxa"/>
            </w:tcMar>
            <w:vAlign w:val="bottom"/>
          </w:tcPr>
          <w:p w14:paraId="4ACE534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34C" w14:textId="77777777" w:rsidR="006F587A" w:rsidRDefault="007B2B61">
            <w:pPr>
              <w:jc w:val="center"/>
              <w:textAlignment w:val="bottom"/>
              <w:rPr>
                <w:rFonts w:ascii="Times New Roman" w:hAnsi="Times New Roman"/>
                <w:sz w:val="18"/>
                <w:szCs w:val="18"/>
              </w:rPr>
            </w:pPr>
            <w:r>
              <w:rPr>
                <w:rFonts w:ascii="Arial" w:eastAsia="宋体" w:hAnsi="Arial" w:cs="Arial"/>
                <w:color w:val="0071C5"/>
                <w:sz w:val="18"/>
                <w:szCs w:val="18"/>
              </w:rPr>
              <w:t>4.31%</w:t>
            </w:r>
          </w:p>
        </w:tc>
        <w:tc>
          <w:tcPr>
            <w:tcW w:w="0" w:type="auto"/>
            <w:shd w:val="clear" w:color="auto" w:fill="auto"/>
            <w:tcMar>
              <w:top w:w="40" w:type="dxa"/>
              <w:left w:w="40" w:type="dxa"/>
              <w:bottom w:w="40" w:type="dxa"/>
              <w:right w:w="40" w:type="dxa"/>
            </w:tcMar>
            <w:vAlign w:val="bottom"/>
          </w:tcPr>
          <w:p w14:paraId="4ACE534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34E"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802</w:t>
            </w:r>
          </w:p>
        </w:tc>
        <w:tc>
          <w:tcPr>
            <w:tcW w:w="0" w:type="auto"/>
            <w:shd w:val="clear" w:color="auto" w:fill="auto"/>
            <w:vAlign w:val="bottom"/>
          </w:tcPr>
          <w:p w14:paraId="4ACE534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35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351"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802</w:t>
            </w:r>
          </w:p>
        </w:tc>
        <w:tc>
          <w:tcPr>
            <w:tcW w:w="0" w:type="auto"/>
            <w:shd w:val="clear" w:color="auto" w:fill="auto"/>
            <w:vAlign w:val="bottom"/>
          </w:tcPr>
          <w:p w14:paraId="4ACE5352" w14:textId="77777777" w:rsidR="006F587A" w:rsidRDefault="006F587A">
            <w:pPr>
              <w:textAlignment w:val="bottom"/>
              <w:rPr>
                <w:rFonts w:ascii="Times New Roman" w:hAnsi="Times New Roman"/>
                <w:sz w:val="20"/>
                <w:szCs w:val="20"/>
              </w:rPr>
            </w:pPr>
          </w:p>
        </w:tc>
      </w:tr>
      <w:tr w:rsidR="006F587A" w14:paraId="4ACE535D" w14:textId="77777777">
        <w:tc>
          <w:tcPr>
            <w:tcW w:w="0" w:type="auto"/>
            <w:shd w:val="clear" w:color="auto" w:fill="auto"/>
            <w:tcMar>
              <w:top w:w="40" w:type="dxa"/>
              <w:left w:w="240" w:type="dxa"/>
              <w:bottom w:w="40" w:type="dxa"/>
              <w:right w:w="40" w:type="dxa"/>
            </w:tcMar>
            <w:vAlign w:val="bottom"/>
          </w:tcPr>
          <w:p w14:paraId="4ACE535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4.25%, due December 2042</w:t>
            </w:r>
          </w:p>
        </w:tc>
        <w:tc>
          <w:tcPr>
            <w:tcW w:w="0" w:type="auto"/>
            <w:shd w:val="clear" w:color="auto" w:fill="auto"/>
            <w:tcMar>
              <w:top w:w="40" w:type="dxa"/>
              <w:left w:w="40" w:type="dxa"/>
              <w:bottom w:w="40" w:type="dxa"/>
              <w:right w:w="40" w:type="dxa"/>
            </w:tcMar>
            <w:vAlign w:val="bottom"/>
          </w:tcPr>
          <w:p w14:paraId="4ACE535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356" w14:textId="77777777" w:rsidR="006F587A" w:rsidRDefault="007B2B61">
            <w:pPr>
              <w:jc w:val="center"/>
              <w:textAlignment w:val="bottom"/>
              <w:rPr>
                <w:rFonts w:ascii="Times New Roman" w:hAnsi="Times New Roman"/>
                <w:sz w:val="18"/>
                <w:szCs w:val="18"/>
              </w:rPr>
            </w:pPr>
            <w:r>
              <w:rPr>
                <w:rFonts w:ascii="Arial" w:eastAsia="宋体" w:hAnsi="Arial" w:cs="Arial"/>
                <w:color w:val="0071C5"/>
                <w:sz w:val="18"/>
                <w:szCs w:val="18"/>
              </w:rPr>
              <w:t>3.74%</w:t>
            </w:r>
          </w:p>
        </w:tc>
        <w:tc>
          <w:tcPr>
            <w:tcW w:w="0" w:type="auto"/>
            <w:shd w:val="clear" w:color="auto" w:fill="auto"/>
            <w:tcMar>
              <w:top w:w="40" w:type="dxa"/>
              <w:left w:w="40" w:type="dxa"/>
              <w:bottom w:w="40" w:type="dxa"/>
              <w:right w:w="40" w:type="dxa"/>
            </w:tcMar>
            <w:vAlign w:val="bottom"/>
          </w:tcPr>
          <w:p w14:paraId="4ACE535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358"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567</w:t>
            </w:r>
          </w:p>
        </w:tc>
        <w:tc>
          <w:tcPr>
            <w:tcW w:w="0" w:type="auto"/>
            <w:shd w:val="clear" w:color="auto" w:fill="auto"/>
            <w:vAlign w:val="bottom"/>
          </w:tcPr>
          <w:p w14:paraId="4ACE535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35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35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567</w:t>
            </w:r>
          </w:p>
        </w:tc>
        <w:tc>
          <w:tcPr>
            <w:tcW w:w="0" w:type="auto"/>
            <w:shd w:val="clear" w:color="auto" w:fill="auto"/>
            <w:vAlign w:val="bottom"/>
          </w:tcPr>
          <w:p w14:paraId="4ACE535C" w14:textId="77777777" w:rsidR="006F587A" w:rsidRDefault="006F587A">
            <w:pPr>
              <w:textAlignment w:val="bottom"/>
              <w:rPr>
                <w:rFonts w:ascii="Times New Roman" w:hAnsi="Times New Roman"/>
                <w:sz w:val="20"/>
                <w:szCs w:val="20"/>
              </w:rPr>
            </w:pPr>
          </w:p>
        </w:tc>
      </w:tr>
      <w:tr w:rsidR="006F587A" w14:paraId="4ACE5367" w14:textId="77777777">
        <w:tc>
          <w:tcPr>
            <w:tcW w:w="0" w:type="auto"/>
            <w:shd w:val="clear" w:color="auto" w:fill="auto"/>
            <w:tcMar>
              <w:top w:w="40" w:type="dxa"/>
              <w:left w:w="240" w:type="dxa"/>
              <w:bottom w:w="40" w:type="dxa"/>
              <w:right w:w="40" w:type="dxa"/>
            </w:tcMar>
            <w:vAlign w:val="bottom"/>
          </w:tcPr>
          <w:p w14:paraId="4ACE535E"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4.90%, due July 2045</w:t>
            </w:r>
          </w:p>
        </w:tc>
        <w:tc>
          <w:tcPr>
            <w:tcW w:w="0" w:type="auto"/>
            <w:shd w:val="clear" w:color="auto" w:fill="auto"/>
            <w:tcMar>
              <w:top w:w="40" w:type="dxa"/>
              <w:left w:w="40" w:type="dxa"/>
              <w:bottom w:w="40" w:type="dxa"/>
              <w:right w:w="40" w:type="dxa"/>
            </w:tcMar>
            <w:vAlign w:val="bottom"/>
          </w:tcPr>
          <w:p w14:paraId="4ACE535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360" w14:textId="77777777" w:rsidR="006F587A" w:rsidRDefault="007B2B61">
            <w:pPr>
              <w:jc w:val="center"/>
              <w:textAlignment w:val="bottom"/>
              <w:rPr>
                <w:rFonts w:ascii="Times New Roman" w:hAnsi="Times New Roman"/>
                <w:sz w:val="18"/>
                <w:szCs w:val="18"/>
              </w:rPr>
            </w:pPr>
            <w:r>
              <w:rPr>
                <w:rFonts w:ascii="Arial" w:eastAsia="宋体" w:hAnsi="Arial" w:cs="Arial"/>
                <w:color w:val="0071C5"/>
                <w:sz w:val="18"/>
                <w:szCs w:val="18"/>
              </w:rPr>
              <w:t>4.41%</w:t>
            </w:r>
          </w:p>
        </w:tc>
        <w:tc>
          <w:tcPr>
            <w:tcW w:w="0" w:type="auto"/>
            <w:shd w:val="clear" w:color="auto" w:fill="auto"/>
            <w:tcMar>
              <w:top w:w="40" w:type="dxa"/>
              <w:left w:w="40" w:type="dxa"/>
              <w:bottom w:w="40" w:type="dxa"/>
              <w:right w:w="40" w:type="dxa"/>
            </w:tcMar>
            <w:vAlign w:val="bottom"/>
          </w:tcPr>
          <w:p w14:paraId="4ACE536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362"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772</w:t>
            </w:r>
          </w:p>
        </w:tc>
        <w:tc>
          <w:tcPr>
            <w:tcW w:w="0" w:type="auto"/>
            <w:shd w:val="clear" w:color="auto" w:fill="auto"/>
            <w:vAlign w:val="bottom"/>
          </w:tcPr>
          <w:p w14:paraId="4ACE536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36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365"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772</w:t>
            </w:r>
          </w:p>
        </w:tc>
        <w:tc>
          <w:tcPr>
            <w:tcW w:w="0" w:type="auto"/>
            <w:shd w:val="clear" w:color="auto" w:fill="auto"/>
            <w:vAlign w:val="bottom"/>
          </w:tcPr>
          <w:p w14:paraId="4ACE5366" w14:textId="77777777" w:rsidR="006F587A" w:rsidRDefault="006F587A">
            <w:pPr>
              <w:textAlignment w:val="bottom"/>
              <w:rPr>
                <w:rFonts w:ascii="Times New Roman" w:hAnsi="Times New Roman"/>
                <w:sz w:val="20"/>
                <w:szCs w:val="20"/>
              </w:rPr>
            </w:pPr>
          </w:p>
        </w:tc>
      </w:tr>
      <w:tr w:rsidR="006F587A" w14:paraId="4ACE5371" w14:textId="77777777">
        <w:tc>
          <w:tcPr>
            <w:tcW w:w="0" w:type="auto"/>
            <w:shd w:val="clear" w:color="auto" w:fill="auto"/>
            <w:tcMar>
              <w:top w:w="40" w:type="dxa"/>
              <w:left w:w="240" w:type="dxa"/>
              <w:bottom w:w="40" w:type="dxa"/>
              <w:right w:w="40" w:type="dxa"/>
            </w:tcMar>
            <w:vAlign w:val="bottom"/>
          </w:tcPr>
          <w:p w14:paraId="4ACE536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4.70%, due December 2045</w:t>
            </w:r>
          </w:p>
        </w:tc>
        <w:tc>
          <w:tcPr>
            <w:tcW w:w="0" w:type="auto"/>
            <w:shd w:val="clear" w:color="auto" w:fill="auto"/>
            <w:tcMar>
              <w:top w:w="40" w:type="dxa"/>
              <w:left w:w="40" w:type="dxa"/>
              <w:bottom w:w="40" w:type="dxa"/>
              <w:right w:w="40" w:type="dxa"/>
            </w:tcMar>
            <w:vAlign w:val="bottom"/>
          </w:tcPr>
          <w:p w14:paraId="4ACE536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36A" w14:textId="77777777" w:rsidR="006F587A" w:rsidRDefault="007B2B61">
            <w:pPr>
              <w:jc w:val="cente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536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36C"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536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36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36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915</w:t>
            </w:r>
          </w:p>
        </w:tc>
        <w:tc>
          <w:tcPr>
            <w:tcW w:w="0" w:type="auto"/>
            <w:shd w:val="clear" w:color="auto" w:fill="auto"/>
            <w:vAlign w:val="bottom"/>
          </w:tcPr>
          <w:p w14:paraId="4ACE5370" w14:textId="77777777" w:rsidR="006F587A" w:rsidRDefault="006F587A">
            <w:pPr>
              <w:textAlignment w:val="bottom"/>
              <w:rPr>
                <w:rFonts w:ascii="Times New Roman" w:hAnsi="Times New Roman"/>
                <w:sz w:val="20"/>
                <w:szCs w:val="20"/>
              </w:rPr>
            </w:pPr>
          </w:p>
        </w:tc>
      </w:tr>
      <w:tr w:rsidR="006F587A" w14:paraId="4ACE537B" w14:textId="77777777">
        <w:tc>
          <w:tcPr>
            <w:tcW w:w="0" w:type="auto"/>
            <w:shd w:val="clear" w:color="auto" w:fill="auto"/>
            <w:tcMar>
              <w:top w:w="40" w:type="dxa"/>
              <w:left w:w="240" w:type="dxa"/>
              <w:bottom w:w="40" w:type="dxa"/>
              <w:right w:w="40" w:type="dxa"/>
            </w:tcMar>
            <w:vAlign w:val="bottom"/>
          </w:tcPr>
          <w:p w14:paraId="4ACE537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4.10%, due May 2046</w:t>
            </w:r>
          </w:p>
        </w:tc>
        <w:tc>
          <w:tcPr>
            <w:tcW w:w="0" w:type="auto"/>
            <w:shd w:val="clear" w:color="auto" w:fill="auto"/>
            <w:tcMar>
              <w:top w:w="40" w:type="dxa"/>
              <w:left w:w="40" w:type="dxa"/>
              <w:bottom w:w="40" w:type="dxa"/>
              <w:right w:w="40" w:type="dxa"/>
            </w:tcMar>
            <w:vAlign w:val="bottom"/>
          </w:tcPr>
          <w:p w14:paraId="4ACE537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374" w14:textId="77777777" w:rsidR="006F587A" w:rsidRDefault="007B2B61">
            <w:pPr>
              <w:jc w:val="center"/>
              <w:textAlignment w:val="bottom"/>
              <w:rPr>
                <w:rFonts w:ascii="Times New Roman" w:hAnsi="Times New Roman"/>
                <w:sz w:val="18"/>
                <w:szCs w:val="18"/>
              </w:rPr>
            </w:pPr>
            <w:r>
              <w:rPr>
                <w:rFonts w:ascii="Arial" w:eastAsia="宋体" w:hAnsi="Arial" w:cs="Arial"/>
                <w:color w:val="0071C5"/>
                <w:sz w:val="18"/>
                <w:szCs w:val="18"/>
              </w:rPr>
              <w:t>3.68%</w:t>
            </w:r>
          </w:p>
        </w:tc>
        <w:tc>
          <w:tcPr>
            <w:tcW w:w="0" w:type="auto"/>
            <w:shd w:val="clear" w:color="auto" w:fill="auto"/>
            <w:tcMar>
              <w:top w:w="40" w:type="dxa"/>
              <w:left w:w="40" w:type="dxa"/>
              <w:bottom w:w="40" w:type="dxa"/>
              <w:right w:w="40" w:type="dxa"/>
            </w:tcMar>
            <w:vAlign w:val="bottom"/>
          </w:tcPr>
          <w:p w14:paraId="4ACE537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376"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1,250</w:t>
            </w:r>
          </w:p>
        </w:tc>
        <w:tc>
          <w:tcPr>
            <w:tcW w:w="0" w:type="auto"/>
            <w:shd w:val="clear" w:color="auto" w:fill="auto"/>
            <w:vAlign w:val="bottom"/>
          </w:tcPr>
          <w:p w14:paraId="4ACE537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37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37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1,250</w:t>
            </w:r>
          </w:p>
        </w:tc>
        <w:tc>
          <w:tcPr>
            <w:tcW w:w="0" w:type="auto"/>
            <w:shd w:val="clear" w:color="auto" w:fill="auto"/>
            <w:vAlign w:val="bottom"/>
          </w:tcPr>
          <w:p w14:paraId="4ACE537A" w14:textId="77777777" w:rsidR="006F587A" w:rsidRDefault="006F587A">
            <w:pPr>
              <w:textAlignment w:val="bottom"/>
              <w:rPr>
                <w:rFonts w:ascii="Times New Roman" w:hAnsi="Times New Roman"/>
                <w:sz w:val="20"/>
                <w:szCs w:val="20"/>
              </w:rPr>
            </w:pPr>
          </w:p>
        </w:tc>
      </w:tr>
      <w:tr w:rsidR="006F587A" w14:paraId="4ACE5385" w14:textId="77777777">
        <w:tc>
          <w:tcPr>
            <w:tcW w:w="0" w:type="auto"/>
            <w:shd w:val="clear" w:color="auto" w:fill="auto"/>
            <w:tcMar>
              <w:top w:w="40" w:type="dxa"/>
              <w:left w:w="240" w:type="dxa"/>
              <w:bottom w:w="40" w:type="dxa"/>
              <w:right w:w="40" w:type="dxa"/>
            </w:tcMar>
            <w:vAlign w:val="bottom"/>
          </w:tcPr>
          <w:p w14:paraId="4ACE537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4.10%, due May 2047</w:t>
            </w:r>
          </w:p>
        </w:tc>
        <w:tc>
          <w:tcPr>
            <w:tcW w:w="0" w:type="auto"/>
            <w:shd w:val="clear" w:color="auto" w:fill="auto"/>
            <w:tcMar>
              <w:top w:w="40" w:type="dxa"/>
              <w:left w:w="40" w:type="dxa"/>
              <w:bottom w:w="40" w:type="dxa"/>
              <w:right w:w="40" w:type="dxa"/>
            </w:tcMar>
            <w:vAlign w:val="bottom"/>
          </w:tcPr>
          <w:p w14:paraId="4ACE537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37E" w14:textId="77777777" w:rsidR="006F587A" w:rsidRDefault="007B2B61">
            <w:pPr>
              <w:jc w:val="center"/>
              <w:textAlignment w:val="bottom"/>
              <w:rPr>
                <w:rFonts w:ascii="Times New Roman" w:hAnsi="Times New Roman"/>
                <w:sz w:val="18"/>
                <w:szCs w:val="18"/>
              </w:rPr>
            </w:pPr>
            <w:r>
              <w:rPr>
                <w:rFonts w:ascii="Arial" w:eastAsia="宋体" w:hAnsi="Arial" w:cs="Arial"/>
                <w:color w:val="0071C5"/>
                <w:sz w:val="18"/>
                <w:szCs w:val="18"/>
              </w:rPr>
              <w:t>3.64%</w:t>
            </w:r>
          </w:p>
        </w:tc>
        <w:tc>
          <w:tcPr>
            <w:tcW w:w="0" w:type="auto"/>
            <w:shd w:val="clear" w:color="auto" w:fill="auto"/>
            <w:tcMar>
              <w:top w:w="40" w:type="dxa"/>
              <w:left w:w="40" w:type="dxa"/>
              <w:bottom w:w="40" w:type="dxa"/>
              <w:right w:w="40" w:type="dxa"/>
            </w:tcMar>
            <w:vAlign w:val="bottom"/>
          </w:tcPr>
          <w:p w14:paraId="4ACE537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380"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1,000</w:t>
            </w:r>
          </w:p>
        </w:tc>
        <w:tc>
          <w:tcPr>
            <w:tcW w:w="0" w:type="auto"/>
            <w:shd w:val="clear" w:color="auto" w:fill="auto"/>
            <w:vAlign w:val="bottom"/>
          </w:tcPr>
          <w:p w14:paraId="4ACE538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38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383"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1,000</w:t>
            </w:r>
          </w:p>
        </w:tc>
        <w:tc>
          <w:tcPr>
            <w:tcW w:w="0" w:type="auto"/>
            <w:shd w:val="clear" w:color="auto" w:fill="auto"/>
            <w:vAlign w:val="bottom"/>
          </w:tcPr>
          <w:p w14:paraId="4ACE5384" w14:textId="77777777" w:rsidR="006F587A" w:rsidRDefault="006F587A">
            <w:pPr>
              <w:textAlignment w:val="bottom"/>
              <w:rPr>
                <w:rFonts w:ascii="Times New Roman" w:hAnsi="Times New Roman"/>
                <w:sz w:val="20"/>
                <w:szCs w:val="20"/>
              </w:rPr>
            </w:pPr>
          </w:p>
        </w:tc>
      </w:tr>
      <w:tr w:rsidR="006F587A" w14:paraId="4ACE538F" w14:textId="77777777">
        <w:tc>
          <w:tcPr>
            <w:tcW w:w="0" w:type="auto"/>
            <w:shd w:val="clear" w:color="auto" w:fill="auto"/>
            <w:tcMar>
              <w:top w:w="40" w:type="dxa"/>
              <w:left w:w="240" w:type="dxa"/>
              <w:bottom w:w="40" w:type="dxa"/>
              <w:right w:w="40" w:type="dxa"/>
            </w:tcMar>
            <w:vAlign w:val="bottom"/>
          </w:tcPr>
          <w:p w14:paraId="4ACE538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4.10%, due August 2047</w:t>
            </w:r>
          </w:p>
        </w:tc>
        <w:tc>
          <w:tcPr>
            <w:tcW w:w="0" w:type="auto"/>
            <w:shd w:val="clear" w:color="auto" w:fill="auto"/>
            <w:tcMar>
              <w:top w:w="40" w:type="dxa"/>
              <w:left w:w="40" w:type="dxa"/>
              <w:bottom w:w="40" w:type="dxa"/>
              <w:right w:w="40" w:type="dxa"/>
            </w:tcMar>
            <w:vAlign w:val="bottom"/>
          </w:tcPr>
          <w:p w14:paraId="4ACE538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388" w14:textId="77777777" w:rsidR="006F587A" w:rsidRDefault="007B2B61">
            <w:pPr>
              <w:jc w:val="center"/>
              <w:textAlignment w:val="bottom"/>
              <w:rPr>
                <w:rFonts w:ascii="Times New Roman" w:hAnsi="Times New Roman"/>
                <w:sz w:val="18"/>
                <w:szCs w:val="18"/>
              </w:rPr>
            </w:pPr>
            <w:r>
              <w:rPr>
                <w:rFonts w:ascii="Arial" w:eastAsia="宋体" w:hAnsi="Arial" w:cs="Arial"/>
                <w:color w:val="0071C5"/>
                <w:sz w:val="18"/>
                <w:szCs w:val="18"/>
              </w:rPr>
              <w:t>3.20%</w:t>
            </w:r>
          </w:p>
        </w:tc>
        <w:tc>
          <w:tcPr>
            <w:tcW w:w="0" w:type="auto"/>
            <w:shd w:val="clear" w:color="auto" w:fill="auto"/>
            <w:tcMar>
              <w:top w:w="40" w:type="dxa"/>
              <w:left w:w="40" w:type="dxa"/>
              <w:bottom w:w="40" w:type="dxa"/>
              <w:right w:w="40" w:type="dxa"/>
            </w:tcMar>
            <w:vAlign w:val="bottom"/>
          </w:tcPr>
          <w:p w14:paraId="4ACE538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38A"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640</w:t>
            </w:r>
          </w:p>
        </w:tc>
        <w:tc>
          <w:tcPr>
            <w:tcW w:w="0" w:type="auto"/>
            <w:shd w:val="clear" w:color="auto" w:fill="auto"/>
            <w:vAlign w:val="bottom"/>
          </w:tcPr>
          <w:p w14:paraId="4ACE538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38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38D"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640</w:t>
            </w:r>
          </w:p>
        </w:tc>
        <w:tc>
          <w:tcPr>
            <w:tcW w:w="0" w:type="auto"/>
            <w:shd w:val="clear" w:color="auto" w:fill="auto"/>
            <w:vAlign w:val="bottom"/>
          </w:tcPr>
          <w:p w14:paraId="4ACE538E" w14:textId="77777777" w:rsidR="006F587A" w:rsidRDefault="006F587A">
            <w:pPr>
              <w:textAlignment w:val="bottom"/>
              <w:rPr>
                <w:rFonts w:ascii="Times New Roman" w:hAnsi="Times New Roman"/>
                <w:sz w:val="20"/>
                <w:szCs w:val="20"/>
              </w:rPr>
            </w:pPr>
          </w:p>
        </w:tc>
      </w:tr>
      <w:tr w:rsidR="006F587A" w14:paraId="4ACE5399" w14:textId="77777777">
        <w:tc>
          <w:tcPr>
            <w:tcW w:w="0" w:type="auto"/>
            <w:shd w:val="clear" w:color="auto" w:fill="auto"/>
            <w:tcMar>
              <w:top w:w="40" w:type="dxa"/>
              <w:left w:w="240" w:type="dxa"/>
              <w:bottom w:w="40" w:type="dxa"/>
              <w:right w:w="40" w:type="dxa"/>
            </w:tcMar>
            <w:vAlign w:val="bottom"/>
          </w:tcPr>
          <w:p w14:paraId="4ACE539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3.73%, due December 2047 </w:t>
            </w:r>
          </w:p>
        </w:tc>
        <w:tc>
          <w:tcPr>
            <w:tcW w:w="0" w:type="auto"/>
            <w:shd w:val="clear" w:color="auto" w:fill="auto"/>
            <w:tcMar>
              <w:top w:w="40" w:type="dxa"/>
              <w:left w:w="40" w:type="dxa"/>
              <w:bottom w:w="40" w:type="dxa"/>
              <w:right w:w="40" w:type="dxa"/>
            </w:tcMar>
            <w:vAlign w:val="bottom"/>
          </w:tcPr>
          <w:p w14:paraId="4ACE539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392" w14:textId="77777777" w:rsidR="006F587A" w:rsidRDefault="007B2B61">
            <w:pPr>
              <w:jc w:val="center"/>
              <w:textAlignment w:val="bottom"/>
              <w:rPr>
                <w:rFonts w:ascii="Times New Roman" w:hAnsi="Times New Roman"/>
                <w:sz w:val="18"/>
                <w:szCs w:val="18"/>
              </w:rPr>
            </w:pPr>
            <w:r>
              <w:rPr>
                <w:rFonts w:ascii="Arial" w:eastAsia="宋体" w:hAnsi="Arial" w:cs="Arial"/>
                <w:color w:val="0071C5"/>
                <w:sz w:val="18"/>
                <w:szCs w:val="18"/>
              </w:rPr>
              <w:t>4.07%</w:t>
            </w:r>
          </w:p>
        </w:tc>
        <w:tc>
          <w:tcPr>
            <w:tcW w:w="0" w:type="auto"/>
            <w:shd w:val="clear" w:color="auto" w:fill="auto"/>
            <w:tcMar>
              <w:top w:w="40" w:type="dxa"/>
              <w:left w:w="40" w:type="dxa"/>
              <w:bottom w:w="40" w:type="dxa"/>
              <w:right w:w="40" w:type="dxa"/>
            </w:tcMar>
            <w:vAlign w:val="bottom"/>
          </w:tcPr>
          <w:p w14:paraId="4ACE539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394"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1,967</w:t>
            </w:r>
          </w:p>
        </w:tc>
        <w:tc>
          <w:tcPr>
            <w:tcW w:w="0" w:type="auto"/>
            <w:shd w:val="clear" w:color="auto" w:fill="auto"/>
            <w:vAlign w:val="bottom"/>
          </w:tcPr>
          <w:p w14:paraId="4ACE539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39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39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1,967</w:t>
            </w:r>
          </w:p>
        </w:tc>
        <w:tc>
          <w:tcPr>
            <w:tcW w:w="0" w:type="auto"/>
            <w:shd w:val="clear" w:color="auto" w:fill="auto"/>
            <w:vAlign w:val="bottom"/>
          </w:tcPr>
          <w:p w14:paraId="4ACE5398" w14:textId="77777777" w:rsidR="006F587A" w:rsidRDefault="006F587A">
            <w:pPr>
              <w:textAlignment w:val="bottom"/>
              <w:rPr>
                <w:rFonts w:ascii="Times New Roman" w:hAnsi="Times New Roman"/>
                <w:sz w:val="20"/>
                <w:szCs w:val="20"/>
              </w:rPr>
            </w:pPr>
          </w:p>
        </w:tc>
      </w:tr>
      <w:tr w:rsidR="006F587A" w14:paraId="4ACE53A3" w14:textId="77777777">
        <w:tc>
          <w:tcPr>
            <w:tcW w:w="0" w:type="auto"/>
            <w:shd w:val="clear" w:color="auto" w:fill="auto"/>
            <w:tcMar>
              <w:top w:w="40" w:type="dxa"/>
              <w:left w:w="240" w:type="dxa"/>
              <w:bottom w:w="40" w:type="dxa"/>
              <w:right w:w="40" w:type="dxa"/>
            </w:tcMar>
            <w:vAlign w:val="bottom"/>
          </w:tcPr>
          <w:p w14:paraId="4ACE539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3.25%, due November 2049</w:t>
            </w:r>
          </w:p>
        </w:tc>
        <w:tc>
          <w:tcPr>
            <w:tcW w:w="0" w:type="auto"/>
            <w:shd w:val="clear" w:color="auto" w:fill="auto"/>
            <w:tcMar>
              <w:top w:w="40" w:type="dxa"/>
              <w:left w:w="40" w:type="dxa"/>
              <w:bottom w:w="40" w:type="dxa"/>
              <w:right w:w="40" w:type="dxa"/>
            </w:tcMar>
            <w:vAlign w:val="bottom"/>
          </w:tcPr>
          <w:p w14:paraId="4ACE539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39C" w14:textId="77777777" w:rsidR="006F587A" w:rsidRDefault="007B2B61">
            <w:pPr>
              <w:jc w:val="center"/>
              <w:textAlignment w:val="bottom"/>
              <w:rPr>
                <w:rFonts w:ascii="Times New Roman" w:hAnsi="Times New Roman"/>
                <w:sz w:val="18"/>
                <w:szCs w:val="18"/>
              </w:rPr>
            </w:pPr>
            <w:r>
              <w:rPr>
                <w:rFonts w:ascii="Arial" w:eastAsia="宋体" w:hAnsi="Arial" w:cs="Arial"/>
                <w:color w:val="0071C5"/>
                <w:sz w:val="18"/>
                <w:szCs w:val="18"/>
              </w:rPr>
              <w:t>3.26%</w:t>
            </w:r>
          </w:p>
        </w:tc>
        <w:tc>
          <w:tcPr>
            <w:tcW w:w="0" w:type="auto"/>
            <w:shd w:val="clear" w:color="auto" w:fill="auto"/>
            <w:tcMar>
              <w:top w:w="40" w:type="dxa"/>
              <w:left w:w="40" w:type="dxa"/>
              <w:bottom w:w="40" w:type="dxa"/>
              <w:right w:w="40" w:type="dxa"/>
            </w:tcMar>
            <w:vAlign w:val="bottom"/>
          </w:tcPr>
          <w:p w14:paraId="4ACE539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39E"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1,500</w:t>
            </w:r>
          </w:p>
        </w:tc>
        <w:tc>
          <w:tcPr>
            <w:tcW w:w="0" w:type="auto"/>
            <w:shd w:val="clear" w:color="auto" w:fill="auto"/>
            <w:vAlign w:val="bottom"/>
          </w:tcPr>
          <w:p w14:paraId="4ACE539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3A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3A1"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3A2" w14:textId="77777777" w:rsidR="006F587A" w:rsidRDefault="006F587A">
            <w:pPr>
              <w:textAlignment w:val="bottom"/>
              <w:rPr>
                <w:rFonts w:ascii="Times New Roman" w:hAnsi="Times New Roman"/>
                <w:sz w:val="20"/>
                <w:szCs w:val="20"/>
              </w:rPr>
            </w:pPr>
          </w:p>
        </w:tc>
      </w:tr>
      <w:tr w:rsidR="006F587A" w14:paraId="4ACE53AB" w14:textId="77777777">
        <w:tc>
          <w:tcPr>
            <w:tcW w:w="0" w:type="auto"/>
            <w:shd w:val="clear" w:color="auto" w:fill="auto"/>
            <w:tcMar>
              <w:top w:w="40" w:type="dxa"/>
              <w:left w:w="40" w:type="dxa"/>
              <w:bottom w:w="40" w:type="dxa"/>
              <w:right w:w="40" w:type="dxa"/>
            </w:tcMar>
            <w:vAlign w:val="bottom"/>
          </w:tcPr>
          <w:p w14:paraId="4ACE53A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Oregon and Arizona bonds:</w:t>
            </w:r>
          </w:p>
        </w:tc>
        <w:tc>
          <w:tcPr>
            <w:tcW w:w="0" w:type="auto"/>
            <w:shd w:val="clear" w:color="auto" w:fill="auto"/>
            <w:tcMar>
              <w:top w:w="40" w:type="dxa"/>
              <w:left w:w="40" w:type="dxa"/>
              <w:bottom w:w="40" w:type="dxa"/>
              <w:right w:w="40" w:type="dxa"/>
            </w:tcMar>
            <w:vAlign w:val="bottom"/>
          </w:tcPr>
          <w:p w14:paraId="4ACE53A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3A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3A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3A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3A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3A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53B5" w14:textId="77777777">
        <w:tc>
          <w:tcPr>
            <w:tcW w:w="0" w:type="auto"/>
            <w:shd w:val="clear" w:color="auto" w:fill="auto"/>
            <w:tcMar>
              <w:top w:w="40" w:type="dxa"/>
              <w:left w:w="240" w:type="dxa"/>
              <w:bottom w:w="40" w:type="dxa"/>
              <w:right w:w="40" w:type="dxa"/>
            </w:tcMar>
            <w:vAlign w:val="bottom"/>
          </w:tcPr>
          <w:p w14:paraId="4ACE53A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2.40% - 2.70%, due December 2035 - 2040</w:t>
            </w:r>
          </w:p>
        </w:tc>
        <w:tc>
          <w:tcPr>
            <w:tcW w:w="0" w:type="auto"/>
            <w:shd w:val="clear" w:color="auto" w:fill="auto"/>
            <w:tcMar>
              <w:top w:w="40" w:type="dxa"/>
              <w:left w:w="40" w:type="dxa"/>
              <w:bottom w:w="40" w:type="dxa"/>
              <w:right w:w="40" w:type="dxa"/>
            </w:tcMar>
            <w:vAlign w:val="bottom"/>
          </w:tcPr>
          <w:p w14:paraId="4ACE53A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3AE" w14:textId="77777777" w:rsidR="006F587A" w:rsidRDefault="007B2B61">
            <w:pPr>
              <w:jc w:val="center"/>
              <w:textAlignment w:val="bottom"/>
              <w:rPr>
                <w:rFonts w:ascii="Times New Roman" w:hAnsi="Times New Roman"/>
                <w:sz w:val="18"/>
                <w:szCs w:val="18"/>
              </w:rPr>
            </w:pPr>
            <w:r>
              <w:rPr>
                <w:rFonts w:ascii="Arial" w:eastAsia="宋体" w:hAnsi="Arial" w:cs="Arial"/>
                <w:color w:val="0071C5"/>
                <w:sz w:val="18"/>
                <w:szCs w:val="18"/>
              </w:rPr>
              <w:t>2.48%</w:t>
            </w:r>
          </w:p>
        </w:tc>
        <w:tc>
          <w:tcPr>
            <w:tcW w:w="0" w:type="auto"/>
            <w:shd w:val="clear" w:color="auto" w:fill="auto"/>
            <w:tcMar>
              <w:top w:w="40" w:type="dxa"/>
              <w:left w:w="40" w:type="dxa"/>
              <w:bottom w:w="40" w:type="dxa"/>
              <w:right w:w="40" w:type="dxa"/>
            </w:tcMar>
            <w:vAlign w:val="bottom"/>
          </w:tcPr>
          <w:p w14:paraId="4ACE53A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3B0"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423</w:t>
            </w:r>
          </w:p>
        </w:tc>
        <w:tc>
          <w:tcPr>
            <w:tcW w:w="0" w:type="auto"/>
            <w:shd w:val="clear" w:color="auto" w:fill="auto"/>
            <w:vAlign w:val="bottom"/>
          </w:tcPr>
          <w:p w14:paraId="4ACE53B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3B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3B3"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423</w:t>
            </w:r>
          </w:p>
        </w:tc>
        <w:tc>
          <w:tcPr>
            <w:tcW w:w="0" w:type="auto"/>
            <w:shd w:val="clear" w:color="auto" w:fill="auto"/>
            <w:vAlign w:val="bottom"/>
          </w:tcPr>
          <w:p w14:paraId="4ACE53B4" w14:textId="77777777" w:rsidR="006F587A" w:rsidRDefault="006F587A">
            <w:pPr>
              <w:textAlignment w:val="bottom"/>
              <w:rPr>
                <w:rFonts w:ascii="Times New Roman" w:hAnsi="Times New Roman"/>
                <w:sz w:val="20"/>
                <w:szCs w:val="20"/>
              </w:rPr>
            </w:pPr>
          </w:p>
        </w:tc>
      </w:tr>
      <w:tr w:rsidR="006F587A" w14:paraId="4ACE53BF" w14:textId="77777777">
        <w:tc>
          <w:tcPr>
            <w:tcW w:w="0" w:type="auto"/>
            <w:shd w:val="clear" w:color="auto" w:fill="auto"/>
            <w:tcMar>
              <w:top w:w="40" w:type="dxa"/>
              <w:left w:w="240" w:type="dxa"/>
              <w:bottom w:w="40" w:type="dxa"/>
              <w:right w:w="40" w:type="dxa"/>
            </w:tcMar>
            <w:vAlign w:val="bottom"/>
          </w:tcPr>
          <w:p w14:paraId="4ACE53B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5.00%, due March 2049</w:t>
            </w:r>
          </w:p>
        </w:tc>
        <w:tc>
          <w:tcPr>
            <w:tcW w:w="0" w:type="auto"/>
            <w:shd w:val="clear" w:color="auto" w:fill="auto"/>
            <w:tcMar>
              <w:top w:w="40" w:type="dxa"/>
              <w:left w:w="40" w:type="dxa"/>
              <w:bottom w:w="40" w:type="dxa"/>
              <w:right w:w="40" w:type="dxa"/>
            </w:tcMar>
            <w:vAlign w:val="bottom"/>
          </w:tcPr>
          <w:p w14:paraId="4ACE53B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3B8" w14:textId="77777777" w:rsidR="006F587A" w:rsidRDefault="007B2B61">
            <w:pPr>
              <w:jc w:val="center"/>
              <w:textAlignment w:val="bottom"/>
              <w:rPr>
                <w:rFonts w:ascii="Times New Roman" w:hAnsi="Times New Roman"/>
                <w:sz w:val="18"/>
                <w:szCs w:val="18"/>
              </w:rPr>
            </w:pPr>
            <w:r>
              <w:rPr>
                <w:rFonts w:ascii="Arial" w:eastAsia="宋体" w:hAnsi="Arial" w:cs="Arial"/>
                <w:color w:val="0071C5"/>
                <w:sz w:val="18"/>
                <w:szCs w:val="18"/>
              </w:rPr>
              <w:t>2.88%</w:t>
            </w:r>
          </w:p>
        </w:tc>
        <w:tc>
          <w:tcPr>
            <w:tcW w:w="0" w:type="auto"/>
            <w:shd w:val="clear" w:color="auto" w:fill="auto"/>
            <w:tcMar>
              <w:top w:w="40" w:type="dxa"/>
              <w:left w:w="40" w:type="dxa"/>
              <w:bottom w:w="40" w:type="dxa"/>
              <w:right w:w="40" w:type="dxa"/>
            </w:tcMar>
            <w:vAlign w:val="bottom"/>
          </w:tcPr>
          <w:p w14:paraId="4ACE53B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3BA"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138</w:t>
            </w:r>
          </w:p>
        </w:tc>
        <w:tc>
          <w:tcPr>
            <w:tcW w:w="0" w:type="auto"/>
            <w:shd w:val="clear" w:color="auto" w:fill="auto"/>
            <w:vAlign w:val="bottom"/>
          </w:tcPr>
          <w:p w14:paraId="4ACE53B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3B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3BD"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3BE" w14:textId="77777777" w:rsidR="006F587A" w:rsidRDefault="006F587A">
            <w:pPr>
              <w:textAlignment w:val="bottom"/>
              <w:rPr>
                <w:rFonts w:ascii="Times New Roman" w:hAnsi="Times New Roman"/>
                <w:sz w:val="20"/>
                <w:szCs w:val="20"/>
              </w:rPr>
            </w:pPr>
          </w:p>
        </w:tc>
      </w:tr>
      <w:tr w:rsidR="006F587A" w14:paraId="4ACE53C9" w14:textId="77777777">
        <w:tc>
          <w:tcPr>
            <w:tcW w:w="0" w:type="auto"/>
            <w:shd w:val="clear" w:color="auto" w:fill="auto"/>
            <w:tcMar>
              <w:top w:w="40" w:type="dxa"/>
              <w:left w:w="240" w:type="dxa"/>
              <w:bottom w:w="40" w:type="dxa"/>
              <w:right w:w="40" w:type="dxa"/>
            </w:tcMar>
            <w:vAlign w:val="bottom"/>
          </w:tcPr>
          <w:p w14:paraId="4ACE53C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5.00%, due June 2049</w:t>
            </w:r>
          </w:p>
        </w:tc>
        <w:tc>
          <w:tcPr>
            <w:tcW w:w="0" w:type="auto"/>
            <w:shd w:val="clear" w:color="auto" w:fill="auto"/>
            <w:tcMar>
              <w:top w:w="40" w:type="dxa"/>
              <w:left w:w="40" w:type="dxa"/>
              <w:bottom w:w="40" w:type="dxa"/>
              <w:right w:w="40" w:type="dxa"/>
            </w:tcMar>
            <w:vAlign w:val="bottom"/>
          </w:tcPr>
          <w:p w14:paraId="4ACE53C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3C2" w14:textId="77777777" w:rsidR="006F587A" w:rsidRDefault="007B2B61">
            <w:pPr>
              <w:jc w:val="center"/>
              <w:textAlignment w:val="bottom"/>
              <w:rPr>
                <w:rFonts w:ascii="Times New Roman" w:hAnsi="Times New Roman"/>
                <w:sz w:val="18"/>
                <w:szCs w:val="18"/>
              </w:rPr>
            </w:pPr>
            <w:r>
              <w:rPr>
                <w:rFonts w:ascii="Arial" w:eastAsia="宋体" w:hAnsi="Arial" w:cs="Arial"/>
                <w:color w:val="0071C5"/>
                <w:sz w:val="18"/>
                <w:szCs w:val="18"/>
              </w:rPr>
              <w:t>2.48%</w:t>
            </w:r>
          </w:p>
        </w:tc>
        <w:tc>
          <w:tcPr>
            <w:tcW w:w="0" w:type="auto"/>
            <w:shd w:val="clear" w:color="auto" w:fill="auto"/>
            <w:tcMar>
              <w:top w:w="40" w:type="dxa"/>
              <w:left w:w="40" w:type="dxa"/>
              <w:bottom w:w="40" w:type="dxa"/>
              <w:right w:w="40" w:type="dxa"/>
            </w:tcMar>
            <w:vAlign w:val="bottom"/>
          </w:tcPr>
          <w:p w14:paraId="4ACE53C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3C4"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438</w:t>
            </w:r>
          </w:p>
        </w:tc>
        <w:tc>
          <w:tcPr>
            <w:tcW w:w="0" w:type="auto"/>
            <w:shd w:val="clear" w:color="auto" w:fill="auto"/>
            <w:vAlign w:val="bottom"/>
          </w:tcPr>
          <w:p w14:paraId="4ACE53C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3C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3C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3C8" w14:textId="77777777" w:rsidR="006F587A" w:rsidRDefault="006F587A">
            <w:pPr>
              <w:textAlignment w:val="bottom"/>
              <w:rPr>
                <w:rFonts w:ascii="Times New Roman" w:hAnsi="Times New Roman"/>
                <w:sz w:val="20"/>
                <w:szCs w:val="20"/>
              </w:rPr>
            </w:pPr>
          </w:p>
        </w:tc>
      </w:tr>
      <w:tr w:rsidR="006F587A" w14:paraId="4ACE53D1" w14:textId="77777777">
        <w:tc>
          <w:tcPr>
            <w:tcW w:w="0" w:type="auto"/>
            <w:shd w:val="clear" w:color="auto" w:fill="auto"/>
            <w:tcMar>
              <w:top w:w="40" w:type="dxa"/>
              <w:left w:w="40" w:type="dxa"/>
              <w:bottom w:w="40" w:type="dxa"/>
              <w:right w:w="40" w:type="dxa"/>
            </w:tcMar>
            <w:vAlign w:val="bottom"/>
          </w:tcPr>
          <w:p w14:paraId="4ACE53C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Junior subordinated convertible debentures:</w:t>
            </w:r>
          </w:p>
        </w:tc>
        <w:tc>
          <w:tcPr>
            <w:tcW w:w="0" w:type="auto"/>
            <w:shd w:val="clear" w:color="auto" w:fill="auto"/>
            <w:tcMar>
              <w:top w:w="40" w:type="dxa"/>
              <w:left w:w="40" w:type="dxa"/>
              <w:bottom w:w="40" w:type="dxa"/>
              <w:right w:w="40" w:type="dxa"/>
            </w:tcMar>
            <w:vAlign w:val="bottom"/>
          </w:tcPr>
          <w:p w14:paraId="4ACE53C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3C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3C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3C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3C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3D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53DB" w14:textId="77777777">
        <w:tc>
          <w:tcPr>
            <w:tcW w:w="0" w:type="auto"/>
            <w:shd w:val="clear" w:color="auto" w:fill="auto"/>
            <w:tcMar>
              <w:top w:w="40" w:type="dxa"/>
              <w:left w:w="240" w:type="dxa"/>
              <w:bottom w:w="40" w:type="dxa"/>
              <w:right w:w="40" w:type="dxa"/>
            </w:tcMar>
            <w:vAlign w:val="bottom"/>
          </w:tcPr>
          <w:p w14:paraId="4ACE53D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3.25%, due August 2039</w:t>
            </w:r>
            <w:r>
              <w:rPr>
                <w:rFonts w:ascii="Arial" w:eastAsia="宋体" w:hAnsi="Arial" w:cs="Arial"/>
                <w:color w:val="333333"/>
                <w:sz w:val="12"/>
                <w:szCs w:val="12"/>
              </w:rPr>
              <w:t>2</w:t>
            </w:r>
          </w:p>
        </w:tc>
        <w:tc>
          <w:tcPr>
            <w:tcW w:w="0" w:type="auto"/>
            <w:shd w:val="clear" w:color="auto" w:fill="auto"/>
            <w:tcMar>
              <w:top w:w="40" w:type="dxa"/>
              <w:left w:w="40" w:type="dxa"/>
              <w:bottom w:w="40" w:type="dxa"/>
              <w:right w:w="40" w:type="dxa"/>
            </w:tcMar>
            <w:vAlign w:val="bottom"/>
          </w:tcPr>
          <w:p w14:paraId="4ACE53D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3D4" w14:textId="77777777" w:rsidR="006F587A" w:rsidRDefault="007B2B61">
            <w:pPr>
              <w:jc w:val="center"/>
              <w:textAlignment w:val="bottom"/>
              <w:rPr>
                <w:rFonts w:ascii="Times New Roman" w:hAnsi="Times New Roman"/>
                <w:sz w:val="18"/>
                <w:szCs w:val="18"/>
              </w:rPr>
            </w:pPr>
            <w:r>
              <w:rPr>
                <w:rFonts w:ascii="Arial" w:eastAsia="宋体" w:hAnsi="Arial" w:cs="Arial"/>
                <w:color w:val="0071C5"/>
                <w:sz w:val="18"/>
                <w:szCs w:val="18"/>
              </w:rPr>
              <w:t>3.37%</w:t>
            </w:r>
          </w:p>
        </w:tc>
        <w:tc>
          <w:tcPr>
            <w:tcW w:w="0" w:type="auto"/>
            <w:shd w:val="clear" w:color="auto" w:fill="auto"/>
            <w:tcMar>
              <w:top w:w="40" w:type="dxa"/>
              <w:left w:w="40" w:type="dxa"/>
              <w:bottom w:w="40" w:type="dxa"/>
              <w:right w:w="40" w:type="dxa"/>
            </w:tcMar>
            <w:vAlign w:val="bottom"/>
          </w:tcPr>
          <w:p w14:paraId="4ACE53D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3D6"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372</w:t>
            </w:r>
          </w:p>
        </w:tc>
        <w:tc>
          <w:tcPr>
            <w:tcW w:w="0" w:type="auto"/>
            <w:shd w:val="clear" w:color="auto" w:fill="auto"/>
            <w:vAlign w:val="bottom"/>
          </w:tcPr>
          <w:p w14:paraId="4ACE53D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3D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3D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988</w:t>
            </w:r>
          </w:p>
        </w:tc>
        <w:tc>
          <w:tcPr>
            <w:tcW w:w="0" w:type="auto"/>
            <w:shd w:val="clear" w:color="auto" w:fill="auto"/>
            <w:vAlign w:val="bottom"/>
          </w:tcPr>
          <w:p w14:paraId="4ACE53DA" w14:textId="77777777" w:rsidR="006F587A" w:rsidRDefault="006F587A">
            <w:pPr>
              <w:textAlignment w:val="bottom"/>
              <w:rPr>
                <w:rFonts w:ascii="Times New Roman" w:hAnsi="Times New Roman"/>
                <w:sz w:val="20"/>
                <w:szCs w:val="20"/>
              </w:rPr>
            </w:pPr>
          </w:p>
        </w:tc>
      </w:tr>
      <w:tr w:rsidR="006F587A" w14:paraId="4ACE53E5" w14:textId="77777777">
        <w:tc>
          <w:tcPr>
            <w:tcW w:w="0" w:type="auto"/>
            <w:shd w:val="clear" w:color="auto" w:fill="auto"/>
            <w:tcMar>
              <w:top w:w="40" w:type="dxa"/>
              <w:left w:w="40" w:type="dxa"/>
              <w:bottom w:w="40" w:type="dxa"/>
              <w:right w:w="40" w:type="dxa"/>
            </w:tcMar>
            <w:vAlign w:val="bottom"/>
          </w:tcPr>
          <w:p w14:paraId="4ACE53DC"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Total senior notes and other borrowings</w:t>
            </w:r>
          </w:p>
        </w:tc>
        <w:tc>
          <w:tcPr>
            <w:tcW w:w="0" w:type="auto"/>
            <w:shd w:val="clear" w:color="auto" w:fill="auto"/>
            <w:tcMar>
              <w:top w:w="40" w:type="dxa"/>
              <w:left w:w="40" w:type="dxa"/>
              <w:bottom w:w="40" w:type="dxa"/>
              <w:right w:w="40" w:type="dxa"/>
            </w:tcMar>
            <w:vAlign w:val="bottom"/>
          </w:tcPr>
          <w:p w14:paraId="4ACE53D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3D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3D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53E0"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28,751</w:t>
            </w:r>
          </w:p>
        </w:tc>
        <w:tc>
          <w:tcPr>
            <w:tcW w:w="0" w:type="auto"/>
            <w:tcBorders>
              <w:top w:val="single" w:sz="8" w:space="0" w:color="333333"/>
              <w:bottom w:val="single" w:sz="8" w:space="0" w:color="333333"/>
            </w:tcBorders>
            <w:shd w:val="clear" w:color="auto" w:fill="auto"/>
            <w:vAlign w:val="bottom"/>
          </w:tcPr>
          <w:p w14:paraId="4ACE53E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3E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53E3"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27,140</w:t>
            </w:r>
          </w:p>
        </w:tc>
        <w:tc>
          <w:tcPr>
            <w:tcW w:w="0" w:type="auto"/>
            <w:tcBorders>
              <w:top w:val="single" w:sz="8" w:space="0" w:color="333333"/>
              <w:bottom w:val="single" w:sz="8" w:space="0" w:color="333333"/>
            </w:tcBorders>
            <w:shd w:val="clear" w:color="auto" w:fill="auto"/>
            <w:vAlign w:val="bottom"/>
          </w:tcPr>
          <w:p w14:paraId="4ACE53E4" w14:textId="77777777" w:rsidR="006F587A" w:rsidRDefault="006F587A">
            <w:pPr>
              <w:textAlignment w:val="bottom"/>
              <w:rPr>
                <w:rFonts w:ascii="Times New Roman" w:hAnsi="Times New Roman"/>
                <w:sz w:val="20"/>
                <w:szCs w:val="20"/>
              </w:rPr>
            </w:pPr>
          </w:p>
        </w:tc>
      </w:tr>
      <w:tr w:rsidR="006F587A" w14:paraId="4ACE53EF" w14:textId="77777777">
        <w:tc>
          <w:tcPr>
            <w:tcW w:w="0" w:type="auto"/>
            <w:shd w:val="clear" w:color="auto" w:fill="auto"/>
            <w:tcMar>
              <w:top w:w="40" w:type="dxa"/>
              <w:left w:w="240" w:type="dxa"/>
              <w:bottom w:w="40" w:type="dxa"/>
              <w:right w:w="40" w:type="dxa"/>
            </w:tcMar>
          </w:tcPr>
          <w:p w14:paraId="4ACE53E6"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Unamortized premium/discount and issuance costs</w:t>
            </w:r>
          </w:p>
        </w:tc>
        <w:tc>
          <w:tcPr>
            <w:tcW w:w="0" w:type="auto"/>
            <w:shd w:val="clear" w:color="auto" w:fill="auto"/>
            <w:tcMar>
              <w:top w:w="40" w:type="dxa"/>
              <w:left w:w="40" w:type="dxa"/>
              <w:bottom w:w="40" w:type="dxa"/>
              <w:right w:w="40" w:type="dxa"/>
            </w:tcMar>
            <w:vAlign w:val="bottom"/>
          </w:tcPr>
          <w:p w14:paraId="4ACE53E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3E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3E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3EA"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(529</w:t>
            </w:r>
          </w:p>
        </w:tc>
        <w:tc>
          <w:tcPr>
            <w:tcW w:w="0" w:type="auto"/>
            <w:shd w:val="clear" w:color="auto" w:fill="auto"/>
            <w:tcMar>
              <w:top w:w="40" w:type="dxa"/>
              <w:bottom w:w="40" w:type="dxa"/>
              <w:right w:w="40" w:type="dxa"/>
            </w:tcMar>
            <w:vAlign w:val="bottom"/>
          </w:tcPr>
          <w:p w14:paraId="4ACE53EB"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53E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3ED"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(891</w:t>
            </w:r>
          </w:p>
        </w:tc>
        <w:tc>
          <w:tcPr>
            <w:tcW w:w="0" w:type="auto"/>
            <w:shd w:val="clear" w:color="auto" w:fill="auto"/>
            <w:tcMar>
              <w:top w:w="40" w:type="dxa"/>
              <w:bottom w:w="40" w:type="dxa"/>
              <w:right w:w="40" w:type="dxa"/>
            </w:tcMar>
            <w:vAlign w:val="bottom"/>
          </w:tcPr>
          <w:p w14:paraId="4ACE53EE"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53F9" w14:textId="77777777">
        <w:tc>
          <w:tcPr>
            <w:tcW w:w="0" w:type="auto"/>
            <w:shd w:val="clear" w:color="auto" w:fill="auto"/>
            <w:tcMar>
              <w:top w:w="40" w:type="dxa"/>
              <w:left w:w="240" w:type="dxa"/>
              <w:bottom w:w="40" w:type="dxa"/>
              <w:right w:w="40" w:type="dxa"/>
            </w:tcMar>
          </w:tcPr>
          <w:p w14:paraId="4ACE53F0"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Hedge accounting fair value adjustments</w:t>
            </w:r>
          </w:p>
        </w:tc>
        <w:tc>
          <w:tcPr>
            <w:tcW w:w="0" w:type="auto"/>
            <w:shd w:val="clear" w:color="auto" w:fill="auto"/>
            <w:tcMar>
              <w:top w:w="40" w:type="dxa"/>
              <w:left w:w="40" w:type="dxa"/>
              <w:bottom w:w="40" w:type="dxa"/>
              <w:right w:w="40" w:type="dxa"/>
            </w:tcMar>
            <w:vAlign w:val="bottom"/>
          </w:tcPr>
          <w:p w14:paraId="4ACE53F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3F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3F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3F4"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781</w:t>
            </w:r>
          </w:p>
        </w:tc>
        <w:tc>
          <w:tcPr>
            <w:tcW w:w="0" w:type="auto"/>
            <w:shd w:val="clear" w:color="auto" w:fill="auto"/>
            <w:vAlign w:val="bottom"/>
          </w:tcPr>
          <w:p w14:paraId="4ACE53F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3F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3F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(390</w:t>
            </w:r>
          </w:p>
        </w:tc>
        <w:tc>
          <w:tcPr>
            <w:tcW w:w="0" w:type="auto"/>
            <w:shd w:val="clear" w:color="auto" w:fill="auto"/>
            <w:tcMar>
              <w:top w:w="40" w:type="dxa"/>
              <w:bottom w:w="40" w:type="dxa"/>
              <w:right w:w="40" w:type="dxa"/>
            </w:tcMar>
            <w:vAlign w:val="bottom"/>
          </w:tcPr>
          <w:p w14:paraId="4ACE53F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5403" w14:textId="77777777">
        <w:tc>
          <w:tcPr>
            <w:tcW w:w="0" w:type="auto"/>
            <w:shd w:val="clear" w:color="auto" w:fill="auto"/>
            <w:tcMar>
              <w:top w:w="40" w:type="dxa"/>
              <w:left w:w="40" w:type="dxa"/>
              <w:bottom w:w="40" w:type="dxa"/>
              <w:right w:w="40" w:type="dxa"/>
            </w:tcMar>
          </w:tcPr>
          <w:p w14:paraId="4ACE53FA" w14:textId="77777777" w:rsidR="006F587A" w:rsidRDefault="007B2B61">
            <w:pPr>
              <w:textAlignment w:val="top"/>
              <w:rPr>
                <w:rFonts w:ascii="Times New Roman" w:hAnsi="Times New Roman"/>
                <w:sz w:val="18"/>
                <w:szCs w:val="18"/>
              </w:rPr>
            </w:pPr>
            <w:r>
              <w:rPr>
                <w:rFonts w:ascii="Arial" w:eastAsia="宋体" w:hAnsi="Arial" w:cs="Arial"/>
                <w:b/>
                <w:bCs/>
                <w:color w:val="333333"/>
                <w:sz w:val="18"/>
                <w:szCs w:val="18"/>
              </w:rPr>
              <w:t>Long-term debt</w:t>
            </w:r>
          </w:p>
        </w:tc>
        <w:tc>
          <w:tcPr>
            <w:tcW w:w="0" w:type="auto"/>
            <w:shd w:val="clear" w:color="auto" w:fill="auto"/>
            <w:tcMar>
              <w:top w:w="40" w:type="dxa"/>
              <w:left w:w="40" w:type="dxa"/>
              <w:bottom w:w="40" w:type="dxa"/>
              <w:right w:w="40" w:type="dxa"/>
            </w:tcMar>
            <w:vAlign w:val="bottom"/>
          </w:tcPr>
          <w:p w14:paraId="4ACE53F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3F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3F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53FE"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29,003</w:t>
            </w:r>
          </w:p>
        </w:tc>
        <w:tc>
          <w:tcPr>
            <w:tcW w:w="0" w:type="auto"/>
            <w:tcBorders>
              <w:top w:val="single" w:sz="8" w:space="0" w:color="333333"/>
              <w:bottom w:val="single" w:sz="8" w:space="0" w:color="333333"/>
            </w:tcBorders>
            <w:shd w:val="clear" w:color="auto" w:fill="auto"/>
            <w:vAlign w:val="bottom"/>
          </w:tcPr>
          <w:p w14:paraId="4ACE53F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40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5401"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25,859</w:t>
            </w:r>
          </w:p>
        </w:tc>
        <w:tc>
          <w:tcPr>
            <w:tcW w:w="0" w:type="auto"/>
            <w:tcBorders>
              <w:top w:val="single" w:sz="8" w:space="0" w:color="333333"/>
              <w:bottom w:val="single" w:sz="8" w:space="0" w:color="333333"/>
            </w:tcBorders>
            <w:shd w:val="clear" w:color="auto" w:fill="auto"/>
            <w:vAlign w:val="bottom"/>
          </w:tcPr>
          <w:p w14:paraId="4ACE5402" w14:textId="77777777" w:rsidR="006F587A" w:rsidRDefault="006F587A">
            <w:pPr>
              <w:textAlignment w:val="bottom"/>
              <w:rPr>
                <w:rFonts w:ascii="Times New Roman" w:hAnsi="Times New Roman"/>
                <w:sz w:val="20"/>
                <w:szCs w:val="20"/>
              </w:rPr>
            </w:pPr>
          </w:p>
        </w:tc>
      </w:tr>
      <w:tr w:rsidR="006F587A" w14:paraId="4ACE540D" w14:textId="77777777">
        <w:tc>
          <w:tcPr>
            <w:tcW w:w="0" w:type="auto"/>
            <w:shd w:val="clear" w:color="auto" w:fill="auto"/>
            <w:tcMar>
              <w:top w:w="40" w:type="dxa"/>
              <w:left w:w="240" w:type="dxa"/>
              <w:bottom w:w="40" w:type="dxa"/>
              <w:right w:w="40" w:type="dxa"/>
            </w:tcMar>
          </w:tcPr>
          <w:p w14:paraId="4ACE5404"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 xml:space="preserve">Current </w:t>
            </w:r>
            <w:r>
              <w:rPr>
                <w:rFonts w:ascii="Arial" w:eastAsia="宋体" w:hAnsi="Arial" w:cs="Arial"/>
                <w:color w:val="333333"/>
                <w:sz w:val="18"/>
                <w:szCs w:val="18"/>
              </w:rPr>
              <w:t>portion of long-term debt</w:t>
            </w:r>
          </w:p>
        </w:tc>
        <w:tc>
          <w:tcPr>
            <w:tcW w:w="0" w:type="auto"/>
            <w:shd w:val="clear" w:color="auto" w:fill="auto"/>
            <w:tcMar>
              <w:top w:w="40" w:type="dxa"/>
              <w:left w:w="40" w:type="dxa"/>
              <w:bottom w:w="40" w:type="dxa"/>
              <w:right w:w="40" w:type="dxa"/>
            </w:tcMar>
            <w:vAlign w:val="bottom"/>
          </w:tcPr>
          <w:p w14:paraId="4ACE540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40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40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408"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(3,695</w:t>
            </w:r>
          </w:p>
        </w:tc>
        <w:tc>
          <w:tcPr>
            <w:tcW w:w="0" w:type="auto"/>
            <w:shd w:val="clear" w:color="auto" w:fill="auto"/>
            <w:tcMar>
              <w:top w:w="40" w:type="dxa"/>
              <w:bottom w:w="40" w:type="dxa"/>
              <w:right w:w="40" w:type="dxa"/>
            </w:tcMar>
            <w:vAlign w:val="bottom"/>
          </w:tcPr>
          <w:p w14:paraId="4ACE5409"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540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40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(761</w:t>
            </w:r>
          </w:p>
        </w:tc>
        <w:tc>
          <w:tcPr>
            <w:tcW w:w="0" w:type="auto"/>
            <w:shd w:val="clear" w:color="auto" w:fill="auto"/>
            <w:tcMar>
              <w:top w:w="40" w:type="dxa"/>
              <w:bottom w:w="40" w:type="dxa"/>
              <w:right w:w="40" w:type="dxa"/>
            </w:tcMar>
            <w:vAlign w:val="bottom"/>
          </w:tcPr>
          <w:p w14:paraId="4ACE540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5419" w14:textId="77777777">
        <w:tc>
          <w:tcPr>
            <w:tcW w:w="0" w:type="auto"/>
            <w:shd w:val="clear" w:color="auto" w:fill="auto"/>
            <w:tcMar>
              <w:top w:w="40" w:type="dxa"/>
              <w:left w:w="40" w:type="dxa"/>
              <w:bottom w:w="40" w:type="dxa"/>
              <w:right w:w="40" w:type="dxa"/>
            </w:tcMar>
          </w:tcPr>
          <w:p w14:paraId="4ACE540E" w14:textId="77777777" w:rsidR="006F587A" w:rsidRDefault="007B2B61">
            <w:pPr>
              <w:textAlignment w:val="top"/>
              <w:rPr>
                <w:rFonts w:ascii="Times New Roman" w:hAnsi="Times New Roman"/>
                <w:sz w:val="18"/>
                <w:szCs w:val="18"/>
              </w:rPr>
            </w:pPr>
            <w:r>
              <w:rPr>
                <w:rFonts w:ascii="Arial" w:eastAsia="宋体" w:hAnsi="Arial" w:cs="Arial"/>
                <w:b/>
                <w:bCs/>
                <w:color w:val="333333"/>
                <w:sz w:val="18"/>
                <w:szCs w:val="18"/>
              </w:rPr>
              <w:t>Total long-term debt</w:t>
            </w:r>
          </w:p>
        </w:tc>
        <w:tc>
          <w:tcPr>
            <w:tcW w:w="0" w:type="auto"/>
            <w:shd w:val="clear" w:color="auto" w:fill="auto"/>
            <w:tcMar>
              <w:top w:w="40" w:type="dxa"/>
              <w:left w:w="40" w:type="dxa"/>
              <w:bottom w:w="40" w:type="dxa"/>
              <w:right w:w="40" w:type="dxa"/>
            </w:tcMar>
            <w:vAlign w:val="bottom"/>
          </w:tcPr>
          <w:p w14:paraId="4ACE540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41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41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412"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413"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25,308</w:t>
            </w:r>
          </w:p>
        </w:tc>
        <w:tc>
          <w:tcPr>
            <w:tcW w:w="0" w:type="auto"/>
            <w:tcBorders>
              <w:top w:val="single" w:sz="8" w:space="0" w:color="333333"/>
              <w:bottom w:val="double" w:sz="6" w:space="0" w:color="333333"/>
            </w:tcBorders>
            <w:shd w:val="clear" w:color="auto" w:fill="auto"/>
            <w:vAlign w:val="bottom"/>
          </w:tcPr>
          <w:p w14:paraId="4ACE541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41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416"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417"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25,098</w:t>
            </w:r>
          </w:p>
        </w:tc>
        <w:tc>
          <w:tcPr>
            <w:tcW w:w="0" w:type="auto"/>
            <w:tcBorders>
              <w:top w:val="single" w:sz="8" w:space="0" w:color="333333"/>
              <w:bottom w:val="double" w:sz="6" w:space="0" w:color="333333"/>
            </w:tcBorders>
            <w:shd w:val="clear" w:color="auto" w:fill="auto"/>
            <w:vAlign w:val="bottom"/>
          </w:tcPr>
          <w:p w14:paraId="4ACE5418" w14:textId="77777777" w:rsidR="006F587A" w:rsidRDefault="006F587A">
            <w:pPr>
              <w:textAlignment w:val="bottom"/>
              <w:rPr>
                <w:rFonts w:ascii="Times New Roman" w:hAnsi="Times New Roman"/>
                <w:sz w:val="20"/>
                <w:szCs w:val="20"/>
              </w:rPr>
            </w:pPr>
          </w:p>
        </w:tc>
      </w:tr>
    </w:tbl>
    <w:p w14:paraId="4ACE541A" w14:textId="77777777" w:rsidR="006F587A" w:rsidRDefault="006F587A">
      <w:pPr>
        <w:spacing w:line="288" w:lineRule="auto"/>
        <w:rPr>
          <w:rFonts w:ascii="Times New Roman" w:hAnsi="Times New Roman"/>
          <w:sz w:val="20"/>
          <w:szCs w:val="20"/>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6F587A" w14:paraId="4ACE541D" w14:textId="77777777">
        <w:trPr>
          <w:tblCellSpacing w:w="0" w:type="dxa"/>
        </w:trPr>
        <w:tc>
          <w:tcPr>
            <w:tcW w:w="720" w:type="dxa"/>
            <w:shd w:val="clear" w:color="auto" w:fill="auto"/>
            <w:vAlign w:val="center"/>
          </w:tcPr>
          <w:p w14:paraId="4ACE541B" w14:textId="77777777" w:rsidR="006F587A" w:rsidRDefault="006F587A">
            <w:pPr>
              <w:rPr>
                <w:rFonts w:ascii="Times New Roman" w:hAnsi="Times New Roman"/>
                <w:sz w:val="20"/>
                <w:szCs w:val="20"/>
              </w:rPr>
            </w:pPr>
          </w:p>
        </w:tc>
        <w:tc>
          <w:tcPr>
            <w:tcW w:w="0" w:type="auto"/>
            <w:shd w:val="clear" w:color="auto" w:fill="auto"/>
            <w:vAlign w:val="center"/>
          </w:tcPr>
          <w:p w14:paraId="4ACE541C" w14:textId="77777777" w:rsidR="006F587A" w:rsidRDefault="006F587A">
            <w:pPr>
              <w:rPr>
                <w:rFonts w:ascii="Times New Roman" w:hAnsi="Times New Roman"/>
                <w:sz w:val="20"/>
                <w:szCs w:val="20"/>
              </w:rPr>
            </w:pPr>
          </w:p>
        </w:tc>
      </w:tr>
      <w:tr w:rsidR="006F587A" w14:paraId="4ACE5420" w14:textId="77777777">
        <w:trPr>
          <w:tblCellSpacing w:w="0" w:type="dxa"/>
        </w:trPr>
        <w:tc>
          <w:tcPr>
            <w:tcW w:w="0" w:type="auto"/>
            <w:shd w:val="clear" w:color="auto" w:fill="auto"/>
          </w:tcPr>
          <w:p w14:paraId="4ACE541E"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0"/>
                <w:szCs w:val="10"/>
              </w:rPr>
              <w:t>1</w:t>
            </w:r>
            <w:r>
              <w:rPr>
                <w:rFonts w:ascii="Arial" w:eastAsia="宋体" w:hAnsi="Arial" w:cs="Arial"/>
                <w:i/>
                <w:iCs/>
                <w:color w:val="333333"/>
                <w:sz w:val="16"/>
                <w:szCs w:val="16"/>
              </w:rPr>
              <w:t> </w:t>
            </w:r>
          </w:p>
        </w:tc>
        <w:tc>
          <w:tcPr>
            <w:tcW w:w="0" w:type="auto"/>
            <w:shd w:val="clear" w:color="auto" w:fill="auto"/>
          </w:tcPr>
          <w:p w14:paraId="4ACE541F"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6"/>
                <w:szCs w:val="16"/>
              </w:rPr>
              <w:t xml:space="preserve">To manage foreign currency risk associated with the Australian-dollar-denominated notes issued in 2015, we entered into currency interest rate </w:t>
            </w:r>
            <w:r>
              <w:rPr>
                <w:rFonts w:ascii="Arial" w:eastAsia="宋体" w:hAnsi="Arial" w:cs="Arial"/>
                <w:i/>
                <w:iCs/>
                <w:color w:val="333333"/>
                <w:sz w:val="16"/>
                <w:szCs w:val="16"/>
              </w:rPr>
              <w:t>swaps with an aggregate notional amount of $577 million, which effectively converted these notes to U.S.-dollar-denominated notes. For further discussion on our currency interest rate swaps, see "Note 17: Derivative Financial Instruments." Principal and un</w:t>
            </w:r>
            <w:r>
              <w:rPr>
                <w:rFonts w:ascii="Arial" w:eastAsia="宋体" w:hAnsi="Arial" w:cs="Arial"/>
                <w:i/>
                <w:iCs/>
                <w:color w:val="333333"/>
                <w:sz w:val="16"/>
                <w:szCs w:val="16"/>
              </w:rPr>
              <w:t>amortized discount/issuance costs for the Australian-dollar-denominated notes in the table above were calculated using foreign currency exchange rates as of December 28, 2019 and December 29, 2018.</w:t>
            </w:r>
          </w:p>
        </w:tc>
      </w:tr>
    </w:tbl>
    <w:p w14:paraId="4ACE5421" w14:textId="77777777" w:rsidR="006F587A" w:rsidRDefault="006F587A">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5168"/>
      </w:tblGrid>
      <w:tr w:rsidR="006F587A" w14:paraId="4ACE5424" w14:textId="77777777">
        <w:trPr>
          <w:tblCellSpacing w:w="0" w:type="dxa"/>
        </w:trPr>
        <w:tc>
          <w:tcPr>
            <w:tcW w:w="720" w:type="dxa"/>
            <w:shd w:val="clear" w:color="auto" w:fill="auto"/>
            <w:vAlign w:val="center"/>
          </w:tcPr>
          <w:p w14:paraId="4ACE5422" w14:textId="77777777" w:rsidR="006F587A" w:rsidRDefault="006F587A">
            <w:pPr>
              <w:rPr>
                <w:rFonts w:ascii="Times New Roman" w:hAnsi="Times New Roman"/>
                <w:sz w:val="20"/>
                <w:szCs w:val="20"/>
              </w:rPr>
            </w:pPr>
          </w:p>
        </w:tc>
        <w:tc>
          <w:tcPr>
            <w:tcW w:w="0" w:type="auto"/>
            <w:shd w:val="clear" w:color="auto" w:fill="auto"/>
            <w:vAlign w:val="center"/>
          </w:tcPr>
          <w:p w14:paraId="4ACE5423" w14:textId="77777777" w:rsidR="006F587A" w:rsidRDefault="006F587A">
            <w:pPr>
              <w:rPr>
                <w:rFonts w:ascii="Times New Roman" w:hAnsi="Times New Roman"/>
                <w:sz w:val="20"/>
                <w:szCs w:val="20"/>
              </w:rPr>
            </w:pPr>
          </w:p>
        </w:tc>
      </w:tr>
      <w:tr w:rsidR="006F587A" w14:paraId="4ACE5427" w14:textId="77777777">
        <w:trPr>
          <w:tblCellSpacing w:w="0" w:type="dxa"/>
        </w:trPr>
        <w:tc>
          <w:tcPr>
            <w:tcW w:w="0" w:type="auto"/>
            <w:shd w:val="clear" w:color="auto" w:fill="auto"/>
          </w:tcPr>
          <w:p w14:paraId="4ACE5425"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0"/>
                <w:szCs w:val="10"/>
              </w:rPr>
              <w:t>2</w:t>
            </w:r>
            <w:r>
              <w:rPr>
                <w:rFonts w:ascii="Arial" w:eastAsia="宋体" w:hAnsi="Arial" w:cs="Arial"/>
                <w:i/>
                <w:iCs/>
                <w:color w:val="333333"/>
                <w:sz w:val="16"/>
                <w:szCs w:val="16"/>
              </w:rPr>
              <w:t> </w:t>
            </w:r>
          </w:p>
        </w:tc>
        <w:tc>
          <w:tcPr>
            <w:tcW w:w="0" w:type="auto"/>
            <w:shd w:val="clear" w:color="auto" w:fill="auto"/>
          </w:tcPr>
          <w:p w14:paraId="4ACE5426"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6"/>
                <w:szCs w:val="16"/>
              </w:rPr>
              <w:t xml:space="preserve">Effective interest rate for the year ended </w:t>
            </w:r>
            <w:r>
              <w:rPr>
                <w:rFonts w:ascii="Arial" w:eastAsia="宋体" w:hAnsi="Arial" w:cs="Arial"/>
                <w:i/>
                <w:iCs/>
                <w:color w:val="333333"/>
                <w:sz w:val="16"/>
                <w:szCs w:val="16"/>
              </w:rPr>
              <w:t>December 29, 2018 was 3.42%.</w:t>
            </w:r>
          </w:p>
        </w:tc>
      </w:tr>
    </w:tbl>
    <w:p w14:paraId="4ACE5428" w14:textId="77777777" w:rsidR="006F587A" w:rsidRDefault="006F587A">
      <w:pPr>
        <w:spacing w:line="288" w:lineRule="auto"/>
        <w:rPr>
          <w:rFonts w:ascii="Times New Roman" w:hAnsi="Times New Roman"/>
          <w:sz w:val="18"/>
          <w:szCs w:val="18"/>
        </w:rPr>
      </w:pPr>
    </w:p>
    <w:p w14:paraId="4ACE5429"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542B" w14:textId="77777777">
        <w:tc>
          <w:tcPr>
            <w:tcW w:w="0" w:type="auto"/>
            <w:gridSpan w:val="3"/>
            <w:shd w:val="clear" w:color="auto" w:fill="auto"/>
            <w:vAlign w:val="center"/>
          </w:tcPr>
          <w:p w14:paraId="4ACE542A" w14:textId="77777777" w:rsidR="006F587A" w:rsidRDefault="006F587A">
            <w:pPr>
              <w:rPr>
                <w:rFonts w:ascii="Times New Roman" w:hAnsi="Times New Roman"/>
                <w:sz w:val="20"/>
                <w:szCs w:val="20"/>
              </w:rPr>
            </w:pPr>
          </w:p>
        </w:tc>
      </w:tr>
      <w:tr w:rsidR="006F587A" w14:paraId="4ACE542F" w14:textId="77777777">
        <w:tc>
          <w:tcPr>
            <w:tcW w:w="1300" w:type="pct"/>
            <w:shd w:val="clear" w:color="auto" w:fill="auto"/>
            <w:vAlign w:val="center"/>
          </w:tcPr>
          <w:p w14:paraId="4ACE542C" w14:textId="77777777" w:rsidR="006F587A" w:rsidRDefault="006F587A">
            <w:pPr>
              <w:rPr>
                <w:rFonts w:ascii="Times New Roman" w:hAnsi="Times New Roman"/>
                <w:sz w:val="20"/>
                <w:szCs w:val="20"/>
              </w:rPr>
            </w:pPr>
          </w:p>
        </w:tc>
        <w:tc>
          <w:tcPr>
            <w:tcW w:w="1600" w:type="pct"/>
            <w:shd w:val="clear" w:color="auto" w:fill="auto"/>
            <w:vAlign w:val="center"/>
          </w:tcPr>
          <w:p w14:paraId="4ACE542D" w14:textId="77777777" w:rsidR="006F587A" w:rsidRDefault="006F587A">
            <w:pPr>
              <w:rPr>
                <w:rFonts w:ascii="Times New Roman" w:hAnsi="Times New Roman"/>
                <w:sz w:val="20"/>
                <w:szCs w:val="20"/>
              </w:rPr>
            </w:pPr>
          </w:p>
        </w:tc>
        <w:tc>
          <w:tcPr>
            <w:tcW w:w="2100" w:type="pct"/>
            <w:shd w:val="clear" w:color="auto" w:fill="auto"/>
            <w:vAlign w:val="center"/>
          </w:tcPr>
          <w:p w14:paraId="4ACE542E" w14:textId="77777777" w:rsidR="006F587A" w:rsidRDefault="006F587A">
            <w:pPr>
              <w:rPr>
                <w:rFonts w:ascii="Times New Roman" w:hAnsi="Times New Roman"/>
                <w:sz w:val="20"/>
                <w:szCs w:val="20"/>
              </w:rPr>
            </w:pPr>
          </w:p>
        </w:tc>
      </w:tr>
      <w:tr w:rsidR="006F587A" w14:paraId="4ACE5433" w14:textId="77777777">
        <w:tc>
          <w:tcPr>
            <w:tcW w:w="0" w:type="auto"/>
            <w:tcBorders>
              <w:top w:val="single" w:sz="8" w:space="0" w:color="0071C5"/>
            </w:tcBorders>
            <w:shd w:val="clear" w:color="auto" w:fill="auto"/>
            <w:tcMar>
              <w:top w:w="40" w:type="dxa"/>
              <w:left w:w="40" w:type="dxa"/>
              <w:bottom w:w="40" w:type="dxa"/>
              <w:right w:w="40" w:type="dxa"/>
            </w:tcMar>
            <w:vAlign w:val="bottom"/>
          </w:tcPr>
          <w:p w14:paraId="4ACE5430" w14:textId="77777777" w:rsidR="006F587A" w:rsidRDefault="007B2B61">
            <w:pPr>
              <w:textAlignment w:val="bottom"/>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E02" wp14:editId="4ACE6E03">
                  <wp:extent cx="304800" cy="304800"/>
                  <wp:effectExtent l="0" t="0" r="0" b="0"/>
                  <wp:docPr id="203" name="图片 326"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326"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left w:val="single" w:sz="36" w:space="0" w:color="0071C5"/>
            </w:tcBorders>
            <w:shd w:val="clear" w:color="auto" w:fill="auto"/>
            <w:tcMar>
              <w:top w:w="40" w:type="dxa"/>
              <w:left w:w="40" w:type="dxa"/>
              <w:bottom w:w="40" w:type="dxa"/>
              <w:right w:w="40" w:type="dxa"/>
            </w:tcMar>
            <w:vAlign w:val="bottom"/>
          </w:tcPr>
          <w:p w14:paraId="4ACE5431" w14:textId="77777777" w:rsidR="006F587A" w:rsidRDefault="007B2B61">
            <w:pPr>
              <w:textAlignment w:val="bottom"/>
              <w:rPr>
                <w:rFonts w:ascii="Times New Roman" w:hAnsi="Times New Roman"/>
                <w:sz w:val="16"/>
                <w:szCs w:val="16"/>
              </w:rPr>
            </w:pPr>
            <w:r>
              <w:rPr>
                <w:rFonts w:ascii="Arial" w:eastAsia="宋体" w:hAnsi="Arial" w:cs="Arial"/>
                <w:color w:val="333333"/>
                <w:sz w:val="16"/>
                <w:szCs w:val="16"/>
              </w:rPr>
              <w:t> Notes to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5432"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94</w:t>
            </w:r>
          </w:p>
        </w:tc>
      </w:tr>
    </w:tbl>
    <w:p w14:paraId="4ACE5434" w14:textId="77777777" w:rsidR="006F587A" w:rsidRDefault="007B2B61">
      <w:r>
        <w:pict w14:anchorId="4ACE6E04">
          <v:rect id="_x0000_i1120" style="width:415.3pt;height:1.5pt" o:hralign="center" o:hrstd="t" o:hr="t" fillcolor="#a0a0a0" stroked="f"/>
        </w:pict>
      </w:r>
    </w:p>
    <w:p w14:paraId="4ACE5435" w14:textId="77777777" w:rsidR="006F587A" w:rsidRDefault="007B2B61">
      <w:pPr>
        <w:spacing w:line="288" w:lineRule="auto"/>
        <w:jc w:val="right"/>
        <w:rPr>
          <w:rFonts w:ascii="Times New Roman" w:hAnsi="Times New Roman"/>
          <w:sz w:val="16"/>
          <w:szCs w:val="16"/>
        </w:rPr>
      </w:pPr>
      <w:hyperlink r:id="rId159" w:anchor="s9DB683E2CF52561EB8A73BE37F5BF9BE" w:history="1">
        <w:r>
          <w:rPr>
            <w:rStyle w:val="a5"/>
            <w:rFonts w:ascii="Arial" w:eastAsia="宋体" w:hAnsi="Arial" w:cs="Arial"/>
            <w:b/>
            <w:bCs/>
            <w:sz w:val="16"/>
            <w:szCs w:val="16"/>
          </w:rPr>
          <w:t>Table of Contents</w:t>
        </w:r>
      </w:hyperlink>
    </w:p>
    <w:p w14:paraId="4ACE5436" w14:textId="77777777" w:rsidR="006F587A" w:rsidRDefault="006F587A">
      <w:pPr>
        <w:spacing w:line="288" w:lineRule="auto"/>
        <w:jc w:val="right"/>
        <w:rPr>
          <w:rFonts w:ascii="Times New Roman" w:hAnsi="Times New Roman"/>
          <w:sz w:val="16"/>
          <w:szCs w:val="16"/>
        </w:rPr>
      </w:pPr>
    </w:p>
    <w:p w14:paraId="4ACE5437" w14:textId="77777777" w:rsidR="006F587A" w:rsidRDefault="006F587A">
      <w:pPr>
        <w:rPr>
          <w:rFonts w:ascii="Times New Roman" w:hAnsi="Times New Roman"/>
          <w:sz w:val="20"/>
          <w:szCs w:val="20"/>
        </w:rPr>
      </w:pPr>
    </w:p>
    <w:p w14:paraId="4ACE5438"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The fair value of our convertible debentures is determined using discounted cash flow models with observable market inputs, and takes into consideration variables such as interest rate changes, comparable instruments, subordination discount, and credit-rat</w:t>
      </w:r>
      <w:r>
        <w:rPr>
          <w:rFonts w:ascii="Arial" w:eastAsia="宋体" w:hAnsi="Arial" w:cs="Arial"/>
          <w:color w:val="333333"/>
          <w:sz w:val="18"/>
          <w:szCs w:val="18"/>
        </w:rPr>
        <w:t>ing changes. As of December 28, 2019 and December 29, 2018, the fair value of short- and long-term debt (excluding commercial paper and drafts payable) was $30.6 billion and $27.1 billion, respectively. These liabilities are classified as Level 2 within th</w:t>
      </w:r>
      <w:r>
        <w:rPr>
          <w:rFonts w:ascii="Arial" w:eastAsia="宋体" w:hAnsi="Arial" w:cs="Arial"/>
          <w:color w:val="333333"/>
          <w:sz w:val="18"/>
          <w:szCs w:val="18"/>
        </w:rPr>
        <w:t xml:space="preserve">e fair value hierarchy, based on the nature of the fair value inputs. </w:t>
      </w:r>
    </w:p>
    <w:p w14:paraId="4ACE5439" w14:textId="77777777" w:rsidR="006F587A" w:rsidRDefault="007B2B61">
      <w:pPr>
        <w:spacing w:line="288" w:lineRule="auto"/>
        <w:rPr>
          <w:rFonts w:ascii="Times New Roman" w:hAnsi="Times New Roman"/>
          <w:sz w:val="20"/>
          <w:szCs w:val="20"/>
        </w:rPr>
      </w:pPr>
      <w:r>
        <w:rPr>
          <w:rFonts w:ascii="Arial" w:eastAsia="宋体" w:hAnsi="Arial" w:cs="Arial"/>
          <w:b/>
          <w:bCs/>
          <w:color w:val="333333"/>
          <w:sz w:val="20"/>
          <w:szCs w:val="20"/>
        </w:rPr>
        <w:t>Senior Notes</w:t>
      </w:r>
    </w:p>
    <w:p w14:paraId="4ACE543A"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During </w:t>
      </w:r>
      <w:r>
        <w:rPr>
          <w:rFonts w:ascii="Arial" w:eastAsia="宋体" w:hAnsi="Arial" w:cs="Arial"/>
          <w:color w:val="333333"/>
          <w:sz w:val="18"/>
          <w:szCs w:val="18"/>
        </w:rPr>
        <w:t>2019</w:t>
      </w:r>
      <w:r>
        <w:rPr>
          <w:rFonts w:ascii="Arial" w:eastAsia="宋体" w:hAnsi="Arial" w:cs="Arial"/>
          <w:color w:val="333333"/>
          <w:sz w:val="18"/>
          <w:szCs w:val="18"/>
        </w:rPr>
        <w:t>, we issued a total of $2.8 billion aggregate principal amount of senior notes. Net proceeds from the offering are being used for general corporate purposes, whi</w:t>
      </w:r>
      <w:r>
        <w:rPr>
          <w:rFonts w:ascii="Arial" w:eastAsia="宋体" w:hAnsi="Arial" w:cs="Arial"/>
          <w:color w:val="333333"/>
          <w:sz w:val="18"/>
          <w:szCs w:val="18"/>
        </w:rPr>
        <w:t xml:space="preserve">ch may include refinancing outstanding debt and repurchasing shares of our common stock. </w:t>
      </w:r>
    </w:p>
    <w:p w14:paraId="4ACE543B"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In 2019, we redeemed our $915 million, 4.70% senior notes due December 2045.</w:t>
      </w:r>
    </w:p>
    <w:p w14:paraId="4ACE543C"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Our floating-rate senior notes pay interest quarterly and our fixed-rate senior notes pay</w:t>
      </w:r>
      <w:r>
        <w:rPr>
          <w:rFonts w:ascii="Arial" w:eastAsia="宋体" w:hAnsi="Arial" w:cs="Arial"/>
          <w:color w:val="333333"/>
          <w:sz w:val="18"/>
          <w:szCs w:val="18"/>
        </w:rPr>
        <w:t xml:space="preserve"> interest semiannually. We may redeem the fixed-rate notes prior to their maturity at our option at specified redemption prices and subject to certain restrictions. The obligations under the notes rank equally in right of payment with all of our other exis</w:t>
      </w:r>
      <w:r>
        <w:rPr>
          <w:rFonts w:ascii="Arial" w:eastAsia="宋体" w:hAnsi="Arial" w:cs="Arial"/>
          <w:color w:val="333333"/>
          <w:sz w:val="18"/>
          <w:szCs w:val="18"/>
        </w:rPr>
        <w:t>ting and future senior unsecured indebtedness and will effectively rank junior to all liabilities of our subsidiaries.</w:t>
      </w:r>
    </w:p>
    <w:p w14:paraId="4ACE543D" w14:textId="77777777" w:rsidR="006F587A" w:rsidRDefault="007B2B61">
      <w:pPr>
        <w:spacing w:line="288" w:lineRule="auto"/>
        <w:rPr>
          <w:rFonts w:ascii="Times New Roman" w:hAnsi="Times New Roman"/>
          <w:sz w:val="20"/>
          <w:szCs w:val="20"/>
        </w:rPr>
      </w:pPr>
      <w:r>
        <w:rPr>
          <w:rFonts w:ascii="Arial" w:eastAsia="宋体" w:hAnsi="Arial" w:cs="Arial"/>
          <w:b/>
          <w:bCs/>
          <w:color w:val="333333"/>
          <w:sz w:val="20"/>
          <w:szCs w:val="20"/>
        </w:rPr>
        <w:t>Oregon and Arizona Bonds</w:t>
      </w:r>
    </w:p>
    <w:p w14:paraId="4ACE543E"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In 2019</w:t>
      </w:r>
      <w:r>
        <w:rPr>
          <w:rFonts w:ascii="Arial" w:eastAsia="宋体" w:hAnsi="Arial" w:cs="Arial"/>
          <w:color w:val="333333"/>
          <w:sz w:val="18"/>
          <w:szCs w:val="18"/>
        </w:rPr>
        <w:t xml:space="preserve">, we received proceeds of $648 million in aggregate from the sale of the 2019 Arizona Bonds and the 2019 </w:t>
      </w:r>
      <w:r>
        <w:rPr>
          <w:rFonts w:ascii="Arial" w:eastAsia="宋体" w:hAnsi="Arial" w:cs="Arial"/>
          <w:color w:val="333333"/>
          <w:sz w:val="18"/>
          <w:szCs w:val="18"/>
        </w:rPr>
        <w:t>Oregon Bonds. The bonds are our unsecured general obligations in accordance with loan agreements we entered into with the Industrial Development Authority of the City of Chandler, Arizona and the State of Oregon Business Development Commission. The bonds m</w:t>
      </w:r>
      <w:r>
        <w:rPr>
          <w:rFonts w:ascii="Arial" w:eastAsia="宋体" w:hAnsi="Arial" w:cs="Arial"/>
          <w:color w:val="333333"/>
          <w:sz w:val="18"/>
          <w:szCs w:val="18"/>
        </w:rPr>
        <w:t>ature in 2049 and carry an interest rate of 5.00%. The 2019 Arizona Bonds and the 2019 Oregon Bonds are subject to mandatory tender in June 2024 and March 2022, respectively, at which time we can re-market the bonds as either fixed-rate bonds for a specifi</w:t>
      </w:r>
      <w:r>
        <w:rPr>
          <w:rFonts w:ascii="Arial" w:eastAsia="宋体" w:hAnsi="Arial" w:cs="Arial"/>
          <w:color w:val="333333"/>
          <w:sz w:val="18"/>
          <w:szCs w:val="18"/>
        </w:rPr>
        <w:t>ed period or as variable-rate bonds until another fixed-rate period is selected or until their final maturity date.</w:t>
      </w:r>
    </w:p>
    <w:p w14:paraId="4ACE543F"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In 2018, we remarketed $423 million principal of the 2018 Arizona Bonds and the 2018 Oregon Bonds. The bonds are our unsecured general oblig</w:t>
      </w:r>
      <w:r>
        <w:rPr>
          <w:rFonts w:ascii="Arial" w:eastAsia="宋体" w:hAnsi="Arial" w:cs="Arial"/>
          <w:color w:val="333333"/>
          <w:sz w:val="18"/>
          <w:szCs w:val="18"/>
        </w:rPr>
        <w:t>ations in accordance with loan agreements we entered into with the Industrial Development Authority of the City of Chandler, Arizona and the State of Oregon Business Development Commission. The bonds mature between 2035 and 2040 and carry interest rates of</w:t>
      </w:r>
      <w:r>
        <w:rPr>
          <w:rFonts w:ascii="Arial" w:eastAsia="宋体" w:hAnsi="Arial" w:cs="Arial"/>
          <w:color w:val="333333"/>
          <w:sz w:val="18"/>
          <w:szCs w:val="18"/>
        </w:rPr>
        <w:t xml:space="preserve"> 2.40% - 2.70%. Each series of the 2018 Arizona Bonds and the 2018 Oregon Bonds is subject to mandatory tender in August 2023, at which time we can remarket the bonds as either fixed-rate bonds for a specified period, or as variable-rate bonds until anothe</w:t>
      </w:r>
      <w:r>
        <w:rPr>
          <w:rFonts w:ascii="Arial" w:eastAsia="宋体" w:hAnsi="Arial" w:cs="Arial"/>
          <w:color w:val="333333"/>
          <w:sz w:val="18"/>
          <w:szCs w:val="18"/>
        </w:rPr>
        <w:t>r fixed-rate period is selected or their final maturity date.</w:t>
      </w:r>
    </w:p>
    <w:p w14:paraId="4ACE5440" w14:textId="77777777" w:rsidR="006F587A" w:rsidRDefault="007B2B61">
      <w:pPr>
        <w:spacing w:line="288" w:lineRule="auto"/>
        <w:rPr>
          <w:rFonts w:ascii="Times New Roman" w:hAnsi="Times New Roman"/>
          <w:sz w:val="20"/>
          <w:szCs w:val="20"/>
        </w:rPr>
      </w:pPr>
      <w:r>
        <w:rPr>
          <w:rFonts w:ascii="Arial" w:eastAsia="宋体" w:hAnsi="Arial" w:cs="Arial"/>
          <w:b/>
          <w:bCs/>
          <w:color w:val="333333"/>
          <w:sz w:val="20"/>
          <w:szCs w:val="20"/>
        </w:rPr>
        <w:t>Convertible Debentures</w:t>
      </w:r>
    </w:p>
    <w:p w14:paraId="4ACE5441"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In 2009, we issued the 2009 Debentures, which pay a fixed rate of interest semiannually. In 2019, we paid $1.5 billion in cash to satisfy conversion obligations for $615 m</w:t>
      </w:r>
      <w:r>
        <w:rPr>
          <w:rFonts w:ascii="Arial" w:eastAsia="宋体" w:hAnsi="Arial" w:cs="Arial"/>
          <w:color w:val="333333"/>
          <w:sz w:val="18"/>
          <w:szCs w:val="18"/>
        </w:rPr>
        <w:t xml:space="preserve">illion in principal, resulting in a cumulative loss of $156 million in interest and other, net, and $1.0 billion as a reduction to stockholders' equity related to the conversion feature. </w:t>
      </w:r>
    </w:p>
    <w:p w14:paraId="4ACE5442"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The 2009 Debentures are convertible, subject to certain conditions. </w:t>
      </w:r>
      <w:r>
        <w:rPr>
          <w:rFonts w:ascii="Arial" w:eastAsia="宋体" w:hAnsi="Arial" w:cs="Arial"/>
          <w:color w:val="333333"/>
          <w:sz w:val="18"/>
          <w:szCs w:val="18"/>
        </w:rPr>
        <w:t>Holders can surrender the 2009 Debentures for conversion if the closing price of Intel common stock has been at least 130% of the conversion price then in effect for at least 20 trading days during the 30 consecutive trading-day period ending on the last t</w:t>
      </w:r>
      <w:r>
        <w:rPr>
          <w:rFonts w:ascii="Arial" w:eastAsia="宋体" w:hAnsi="Arial" w:cs="Arial"/>
          <w:color w:val="333333"/>
          <w:sz w:val="18"/>
          <w:szCs w:val="18"/>
        </w:rPr>
        <w:t>rading day of the preceding fiscal quarter. We settle conversion of the 2009 Debentures in cash up to the face value, and any amount in excess of face value is settled in cash or stock at our option. As of August 5, 2019, we can redeem, for cash, all or pa</w:t>
      </w:r>
      <w:r>
        <w:rPr>
          <w:rFonts w:ascii="Arial" w:eastAsia="宋体" w:hAnsi="Arial" w:cs="Arial"/>
          <w:color w:val="333333"/>
          <w:sz w:val="18"/>
          <w:szCs w:val="18"/>
        </w:rPr>
        <w:t xml:space="preserve">rt of the 2009 Debentures for the principal amount, plus any accrued and unpaid interest, if the closing price of Intel common stock has </w:t>
      </w:r>
      <w:r>
        <w:rPr>
          <w:rFonts w:ascii="Arial" w:eastAsia="宋体" w:hAnsi="Arial" w:cs="Arial"/>
          <w:color w:val="333333"/>
          <w:sz w:val="18"/>
          <w:szCs w:val="18"/>
        </w:rPr>
        <w:lastRenderedPageBreak/>
        <w:t>been at least 150% of the conversion price then in effect for at least 20 trading days during any 30 consecutive tradin</w:t>
      </w:r>
      <w:r>
        <w:rPr>
          <w:rFonts w:ascii="Arial" w:eastAsia="宋体" w:hAnsi="Arial" w:cs="Arial"/>
          <w:color w:val="333333"/>
          <w:sz w:val="18"/>
          <w:szCs w:val="18"/>
        </w:rPr>
        <w:t xml:space="preserve">g-day period. In November 2019, we issued a notice of redemption for the remaining $372 million of 2009 Debentures with a redemption date of January 9, 2020. During the fourth quarter of 2019, the closing stock price conversion right condition of the 2009 </w:t>
      </w:r>
      <w:r>
        <w:rPr>
          <w:rFonts w:ascii="Arial" w:eastAsia="宋体" w:hAnsi="Arial" w:cs="Arial"/>
          <w:color w:val="333333"/>
          <w:sz w:val="18"/>
          <w:szCs w:val="18"/>
        </w:rPr>
        <w:t>Debentures continued to be met and therefore the debentures are convertible at the option of the holders until January 6, 2020, prior to our redemption. Our 2009 Debentures required settlement of the principal amount of the debt in cash upon conversion.</w:t>
      </w:r>
    </w:p>
    <w:p w14:paraId="4ACE5443"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As</w:t>
      </w:r>
      <w:r>
        <w:rPr>
          <w:rFonts w:ascii="Arial" w:eastAsia="宋体" w:hAnsi="Arial" w:cs="Arial"/>
          <w:color w:val="333333"/>
          <w:sz w:val="18"/>
          <w:szCs w:val="18"/>
        </w:rPr>
        <w:t xml:space="preserve"> a result, the $217 million carrying amount of the 2009 Debentures was classified as short-term debt on our Consolidated Balance Sheet as of December 28, 2019 ($569 million as of December 29, 2018). The excess of the amount required to be settled in cash i</w:t>
      </w:r>
      <w:r>
        <w:rPr>
          <w:rFonts w:ascii="Arial" w:eastAsia="宋体" w:hAnsi="Arial" w:cs="Arial"/>
          <w:color w:val="333333"/>
          <w:sz w:val="18"/>
          <w:szCs w:val="18"/>
        </w:rPr>
        <w:t xml:space="preserve">f converted over the carrying amount of the 2009 Debentures of $155 million has been classified as temporary equity on our Consolidated Balance Sheet as of December 28, 2019 ($419 million as of December 29, 2018). </w:t>
      </w:r>
    </w:p>
    <w:p w14:paraId="4ACE5444"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The 2009 Debentures are subordinated in r</w:t>
      </w:r>
      <w:r>
        <w:rPr>
          <w:rFonts w:ascii="Arial" w:eastAsia="宋体" w:hAnsi="Arial" w:cs="Arial"/>
          <w:color w:val="333333"/>
          <w:sz w:val="18"/>
          <w:szCs w:val="18"/>
        </w:rPr>
        <w:t xml:space="preserve">ight of payment to any existing and future senior debt and to the other liabilities of our subsidiaries. We have concluded that the 2009 Debentures are not conventional convertible debt instruments and that the embedded stock conversion options qualify as </w:t>
      </w:r>
      <w:r>
        <w:rPr>
          <w:rFonts w:ascii="Arial" w:eastAsia="宋体" w:hAnsi="Arial" w:cs="Arial"/>
          <w:color w:val="333333"/>
          <w:sz w:val="18"/>
          <w:szCs w:val="18"/>
        </w:rPr>
        <w:t>derivatives. In addition, we have concluded that the embedded conversion options would be classified in stockholders' equity if they were freestanding derivative instruments and are not accounted for separately as derivative liabilities.</w:t>
      </w:r>
    </w:p>
    <w:p w14:paraId="4ACE5445" w14:textId="77777777" w:rsidR="006F587A" w:rsidRDefault="006F587A">
      <w:pPr>
        <w:spacing w:line="288" w:lineRule="auto"/>
        <w:rPr>
          <w:rFonts w:ascii="Times New Roman" w:hAnsi="Times New Roman"/>
          <w:sz w:val="18"/>
          <w:szCs w:val="18"/>
        </w:rPr>
      </w:pPr>
    </w:p>
    <w:p w14:paraId="4ACE5446"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5448" w14:textId="77777777">
        <w:tc>
          <w:tcPr>
            <w:tcW w:w="0" w:type="auto"/>
            <w:gridSpan w:val="3"/>
            <w:shd w:val="clear" w:color="auto" w:fill="auto"/>
            <w:vAlign w:val="center"/>
          </w:tcPr>
          <w:p w14:paraId="4ACE5447" w14:textId="77777777" w:rsidR="006F587A" w:rsidRDefault="006F587A">
            <w:pPr>
              <w:rPr>
                <w:rFonts w:ascii="Times New Roman" w:hAnsi="Times New Roman"/>
                <w:sz w:val="20"/>
                <w:szCs w:val="20"/>
              </w:rPr>
            </w:pPr>
          </w:p>
        </w:tc>
      </w:tr>
      <w:tr w:rsidR="006F587A" w14:paraId="4ACE544C" w14:textId="77777777">
        <w:tc>
          <w:tcPr>
            <w:tcW w:w="1300" w:type="pct"/>
            <w:shd w:val="clear" w:color="auto" w:fill="auto"/>
            <w:vAlign w:val="center"/>
          </w:tcPr>
          <w:p w14:paraId="4ACE5449" w14:textId="77777777" w:rsidR="006F587A" w:rsidRDefault="006F587A">
            <w:pPr>
              <w:rPr>
                <w:rFonts w:ascii="Times New Roman" w:hAnsi="Times New Roman"/>
                <w:sz w:val="20"/>
                <w:szCs w:val="20"/>
              </w:rPr>
            </w:pPr>
          </w:p>
        </w:tc>
        <w:tc>
          <w:tcPr>
            <w:tcW w:w="1600" w:type="pct"/>
            <w:shd w:val="clear" w:color="auto" w:fill="auto"/>
            <w:vAlign w:val="center"/>
          </w:tcPr>
          <w:p w14:paraId="4ACE544A" w14:textId="77777777" w:rsidR="006F587A" w:rsidRDefault="006F587A">
            <w:pPr>
              <w:rPr>
                <w:rFonts w:ascii="Times New Roman" w:hAnsi="Times New Roman"/>
                <w:sz w:val="20"/>
                <w:szCs w:val="20"/>
              </w:rPr>
            </w:pPr>
          </w:p>
        </w:tc>
        <w:tc>
          <w:tcPr>
            <w:tcW w:w="2100" w:type="pct"/>
            <w:shd w:val="clear" w:color="auto" w:fill="auto"/>
            <w:vAlign w:val="center"/>
          </w:tcPr>
          <w:p w14:paraId="4ACE544B" w14:textId="77777777" w:rsidR="006F587A" w:rsidRDefault="006F587A">
            <w:pPr>
              <w:rPr>
                <w:rFonts w:ascii="Times New Roman" w:hAnsi="Times New Roman"/>
                <w:sz w:val="20"/>
                <w:szCs w:val="20"/>
              </w:rPr>
            </w:pPr>
          </w:p>
        </w:tc>
      </w:tr>
      <w:tr w:rsidR="006F587A" w14:paraId="4ACE5450" w14:textId="77777777">
        <w:tc>
          <w:tcPr>
            <w:tcW w:w="0" w:type="auto"/>
            <w:tcBorders>
              <w:top w:val="single" w:sz="8" w:space="0" w:color="0071C5"/>
            </w:tcBorders>
            <w:shd w:val="clear" w:color="auto" w:fill="auto"/>
            <w:tcMar>
              <w:top w:w="40" w:type="dxa"/>
              <w:left w:w="40" w:type="dxa"/>
              <w:bottom w:w="40" w:type="dxa"/>
              <w:right w:w="40" w:type="dxa"/>
            </w:tcMar>
            <w:vAlign w:val="bottom"/>
          </w:tcPr>
          <w:p w14:paraId="4ACE544D" w14:textId="77777777" w:rsidR="006F587A" w:rsidRDefault="007B2B61">
            <w:pPr>
              <w:textAlignment w:val="bottom"/>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E05" wp14:editId="4ACE6E06">
                  <wp:extent cx="304800" cy="304800"/>
                  <wp:effectExtent l="0" t="0" r="0" b="0"/>
                  <wp:docPr id="211" name="图片 328"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328"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left w:val="single" w:sz="36" w:space="0" w:color="0071C5"/>
            </w:tcBorders>
            <w:shd w:val="clear" w:color="auto" w:fill="auto"/>
            <w:tcMar>
              <w:top w:w="40" w:type="dxa"/>
              <w:left w:w="40" w:type="dxa"/>
              <w:bottom w:w="40" w:type="dxa"/>
              <w:right w:w="40" w:type="dxa"/>
            </w:tcMar>
            <w:vAlign w:val="bottom"/>
          </w:tcPr>
          <w:p w14:paraId="4ACE544E" w14:textId="77777777" w:rsidR="006F587A" w:rsidRDefault="007B2B61">
            <w:pPr>
              <w:textAlignment w:val="bottom"/>
              <w:rPr>
                <w:rFonts w:ascii="Times New Roman" w:hAnsi="Times New Roman"/>
                <w:sz w:val="16"/>
                <w:szCs w:val="16"/>
              </w:rPr>
            </w:pPr>
            <w:r>
              <w:rPr>
                <w:rFonts w:ascii="Arial" w:eastAsia="宋体" w:hAnsi="Arial" w:cs="Arial"/>
                <w:color w:val="333333"/>
                <w:sz w:val="16"/>
                <w:szCs w:val="16"/>
              </w:rPr>
              <w:t> Notes to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544F"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95</w:t>
            </w:r>
          </w:p>
        </w:tc>
      </w:tr>
    </w:tbl>
    <w:p w14:paraId="4ACE5451" w14:textId="77777777" w:rsidR="006F587A" w:rsidRDefault="007B2B61">
      <w:r>
        <w:pict w14:anchorId="4ACE6E07">
          <v:rect id="_x0000_i1121" style="width:415.3pt;height:1.5pt" o:hralign="center" o:hrstd="t" o:hr="t" fillcolor="#a0a0a0" stroked="f"/>
        </w:pict>
      </w:r>
    </w:p>
    <w:p w14:paraId="4ACE5452" w14:textId="77777777" w:rsidR="006F587A" w:rsidRDefault="007B2B61">
      <w:pPr>
        <w:spacing w:line="288" w:lineRule="auto"/>
        <w:jc w:val="right"/>
        <w:rPr>
          <w:rFonts w:ascii="Times New Roman" w:hAnsi="Times New Roman"/>
          <w:sz w:val="16"/>
          <w:szCs w:val="16"/>
        </w:rPr>
      </w:pPr>
      <w:hyperlink r:id="rId160" w:anchor="s9DB683E2CF52561EB8A73BE37F5BF9BE" w:history="1">
        <w:r>
          <w:rPr>
            <w:rStyle w:val="a5"/>
            <w:rFonts w:ascii="Arial" w:eastAsia="宋体" w:hAnsi="Arial" w:cs="Arial"/>
            <w:b/>
            <w:bCs/>
            <w:sz w:val="16"/>
            <w:szCs w:val="16"/>
          </w:rPr>
          <w:t>Table of Contents</w:t>
        </w:r>
      </w:hyperlink>
    </w:p>
    <w:p w14:paraId="4ACE5453" w14:textId="77777777" w:rsidR="006F587A" w:rsidRDefault="006F587A">
      <w:pPr>
        <w:spacing w:line="288" w:lineRule="auto"/>
        <w:jc w:val="right"/>
        <w:rPr>
          <w:rFonts w:ascii="Times New Roman" w:hAnsi="Times New Roman"/>
          <w:sz w:val="16"/>
          <w:szCs w:val="16"/>
        </w:rPr>
      </w:pPr>
    </w:p>
    <w:p w14:paraId="4ACE5454"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6097"/>
        <w:gridCol w:w="130"/>
        <w:gridCol w:w="142"/>
        <w:gridCol w:w="782"/>
        <w:gridCol w:w="59"/>
        <w:gridCol w:w="130"/>
        <w:gridCol w:w="142"/>
        <w:gridCol w:w="765"/>
        <w:gridCol w:w="59"/>
      </w:tblGrid>
      <w:tr w:rsidR="006F587A" w14:paraId="4ACE5456" w14:textId="77777777">
        <w:tc>
          <w:tcPr>
            <w:tcW w:w="0" w:type="auto"/>
            <w:gridSpan w:val="9"/>
            <w:shd w:val="clear" w:color="auto" w:fill="auto"/>
            <w:vAlign w:val="center"/>
          </w:tcPr>
          <w:p w14:paraId="4ACE5455" w14:textId="77777777" w:rsidR="006F587A" w:rsidRDefault="006F587A">
            <w:pPr>
              <w:rPr>
                <w:rFonts w:ascii="Times New Roman" w:hAnsi="Times New Roman"/>
                <w:sz w:val="20"/>
                <w:szCs w:val="20"/>
              </w:rPr>
            </w:pPr>
          </w:p>
        </w:tc>
      </w:tr>
      <w:tr w:rsidR="006F587A" w14:paraId="4ACE5460" w14:textId="77777777">
        <w:tc>
          <w:tcPr>
            <w:tcW w:w="3700" w:type="pct"/>
            <w:shd w:val="clear" w:color="auto" w:fill="auto"/>
            <w:vAlign w:val="center"/>
          </w:tcPr>
          <w:p w14:paraId="4ACE5457" w14:textId="77777777" w:rsidR="006F587A" w:rsidRDefault="006F587A">
            <w:pPr>
              <w:rPr>
                <w:rFonts w:ascii="Times New Roman" w:hAnsi="Times New Roman"/>
                <w:sz w:val="20"/>
                <w:szCs w:val="20"/>
              </w:rPr>
            </w:pPr>
          </w:p>
        </w:tc>
        <w:tc>
          <w:tcPr>
            <w:tcW w:w="50" w:type="pct"/>
            <w:shd w:val="clear" w:color="auto" w:fill="auto"/>
            <w:vAlign w:val="center"/>
          </w:tcPr>
          <w:p w14:paraId="4ACE5458" w14:textId="77777777" w:rsidR="006F587A" w:rsidRDefault="006F587A">
            <w:pPr>
              <w:rPr>
                <w:rFonts w:ascii="Times New Roman" w:hAnsi="Times New Roman"/>
                <w:sz w:val="20"/>
                <w:szCs w:val="20"/>
              </w:rPr>
            </w:pPr>
          </w:p>
        </w:tc>
        <w:tc>
          <w:tcPr>
            <w:tcW w:w="50" w:type="pct"/>
            <w:shd w:val="clear" w:color="auto" w:fill="auto"/>
            <w:vAlign w:val="center"/>
          </w:tcPr>
          <w:p w14:paraId="4ACE5459" w14:textId="77777777" w:rsidR="006F587A" w:rsidRDefault="006F587A">
            <w:pPr>
              <w:rPr>
                <w:rFonts w:ascii="Times New Roman" w:hAnsi="Times New Roman"/>
                <w:sz w:val="20"/>
                <w:szCs w:val="20"/>
              </w:rPr>
            </w:pPr>
          </w:p>
        </w:tc>
        <w:tc>
          <w:tcPr>
            <w:tcW w:w="500" w:type="pct"/>
            <w:shd w:val="clear" w:color="auto" w:fill="auto"/>
            <w:vAlign w:val="center"/>
          </w:tcPr>
          <w:p w14:paraId="4ACE545A" w14:textId="77777777" w:rsidR="006F587A" w:rsidRDefault="006F587A">
            <w:pPr>
              <w:rPr>
                <w:rFonts w:ascii="Times New Roman" w:hAnsi="Times New Roman"/>
                <w:sz w:val="20"/>
                <w:szCs w:val="20"/>
              </w:rPr>
            </w:pPr>
          </w:p>
        </w:tc>
        <w:tc>
          <w:tcPr>
            <w:tcW w:w="50" w:type="pct"/>
            <w:shd w:val="clear" w:color="auto" w:fill="auto"/>
            <w:vAlign w:val="center"/>
          </w:tcPr>
          <w:p w14:paraId="4ACE545B" w14:textId="77777777" w:rsidR="006F587A" w:rsidRDefault="006F587A">
            <w:pPr>
              <w:rPr>
                <w:rFonts w:ascii="Times New Roman" w:hAnsi="Times New Roman"/>
                <w:sz w:val="20"/>
                <w:szCs w:val="20"/>
              </w:rPr>
            </w:pPr>
          </w:p>
        </w:tc>
        <w:tc>
          <w:tcPr>
            <w:tcW w:w="50" w:type="pct"/>
            <w:shd w:val="clear" w:color="auto" w:fill="auto"/>
            <w:vAlign w:val="center"/>
          </w:tcPr>
          <w:p w14:paraId="4ACE545C" w14:textId="77777777" w:rsidR="006F587A" w:rsidRDefault="006F587A">
            <w:pPr>
              <w:rPr>
                <w:rFonts w:ascii="Times New Roman" w:hAnsi="Times New Roman"/>
                <w:sz w:val="20"/>
                <w:szCs w:val="20"/>
              </w:rPr>
            </w:pPr>
          </w:p>
        </w:tc>
        <w:tc>
          <w:tcPr>
            <w:tcW w:w="50" w:type="pct"/>
            <w:shd w:val="clear" w:color="auto" w:fill="auto"/>
            <w:vAlign w:val="center"/>
          </w:tcPr>
          <w:p w14:paraId="4ACE545D" w14:textId="77777777" w:rsidR="006F587A" w:rsidRDefault="006F587A">
            <w:pPr>
              <w:rPr>
                <w:rFonts w:ascii="Times New Roman" w:hAnsi="Times New Roman"/>
                <w:sz w:val="20"/>
                <w:szCs w:val="20"/>
              </w:rPr>
            </w:pPr>
          </w:p>
        </w:tc>
        <w:tc>
          <w:tcPr>
            <w:tcW w:w="500" w:type="pct"/>
            <w:shd w:val="clear" w:color="auto" w:fill="auto"/>
            <w:vAlign w:val="center"/>
          </w:tcPr>
          <w:p w14:paraId="4ACE545E" w14:textId="77777777" w:rsidR="006F587A" w:rsidRDefault="006F587A">
            <w:pPr>
              <w:rPr>
                <w:rFonts w:ascii="Times New Roman" w:hAnsi="Times New Roman"/>
                <w:sz w:val="20"/>
                <w:szCs w:val="20"/>
              </w:rPr>
            </w:pPr>
          </w:p>
        </w:tc>
        <w:tc>
          <w:tcPr>
            <w:tcW w:w="50" w:type="pct"/>
            <w:shd w:val="clear" w:color="auto" w:fill="auto"/>
            <w:vAlign w:val="center"/>
          </w:tcPr>
          <w:p w14:paraId="4ACE545F" w14:textId="77777777" w:rsidR="006F587A" w:rsidRDefault="006F587A">
            <w:pPr>
              <w:rPr>
                <w:rFonts w:ascii="Times New Roman" w:hAnsi="Times New Roman"/>
                <w:sz w:val="20"/>
                <w:szCs w:val="20"/>
              </w:rPr>
            </w:pPr>
          </w:p>
        </w:tc>
      </w:tr>
      <w:tr w:rsidR="006F587A" w14:paraId="4ACE5464" w14:textId="77777777">
        <w:tc>
          <w:tcPr>
            <w:tcW w:w="0" w:type="auto"/>
            <w:shd w:val="clear" w:color="auto" w:fill="auto"/>
            <w:tcMar>
              <w:top w:w="40" w:type="dxa"/>
              <w:left w:w="40" w:type="dxa"/>
              <w:bottom w:w="40" w:type="dxa"/>
              <w:right w:w="40" w:type="dxa"/>
            </w:tcMar>
            <w:vAlign w:val="bottom"/>
          </w:tcPr>
          <w:p w14:paraId="4ACE546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46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71C5"/>
            </w:tcBorders>
            <w:shd w:val="clear" w:color="auto" w:fill="auto"/>
            <w:tcMar>
              <w:top w:w="40" w:type="dxa"/>
              <w:left w:w="40" w:type="dxa"/>
              <w:bottom w:w="40" w:type="dxa"/>
            </w:tcMar>
            <w:vAlign w:val="bottom"/>
          </w:tcPr>
          <w:p w14:paraId="4ACE5463"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2009 Debentures</w:t>
            </w:r>
          </w:p>
        </w:tc>
      </w:tr>
      <w:tr w:rsidR="006F587A" w14:paraId="4ACE546A"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5465"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 xml:space="preserve">(In Millions, Except Per Share </w:t>
            </w:r>
            <w:r>
              <w:rPr>
                <w:rFonts w:ascii="Arial" w:eastAsia="宋体" w:hAnsi="Arial" w:cs="Arial"/>
                <w:b/>
                <w:bCs/>
                <w:color w:val="333333"/>
                <w:sz w:val="18"/>
                <w:szCs w:val="18"/>
              </w:rPr>
              <w:t>Amounts)</w:t>
            </w:r>
          </w:p>
        </w:tc>
        <w:tc>
          <w:tcPr>
            <w:tcW w:w="0" w:type="auto"/>
            <w:shd w:val="clear" w:color="auto" w:fill="auto"/>
            <w:tcMar>
              <w:top w:w="40" w:type="dxa"/>
              <w:left w:w="40" w:type="dxa"/>
              <w:bottom w:w="40" w:type="dxa"/>
              <w:right w:w="40" w:type="dxa"/>
            </w:tcMar>
            <w:vAlign w:val="bottom"/>
          </w:tcPr>
          <w:p w14:paraId="4ACE546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467"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28, </w:t>
            </w:r>
            <w:r>
              <w:rPr>
                <w:rFonts w:ascii="Arial" w:eastAsia="宋体" w:hAnsi="Arial" w:cs="Arial"/>
                <w:b/>
                <w:bCs/>
                <w:color w:val="333333"/>
                <w:sz w:val="18"/>
                <w:szCs w:val="18"/>
              </w:rPr>
              <w:br/>
              <w:t>2019</w:t>
            </w:r>
          </w:p>
        </w:tc>
        <w:tc>
          <w:tcPr>
            <w:tcW w:w="0" w:type="auto"/>
            <w:shd w:val="clear" w:color="auto" w:fill="auto"/>
            <w:tcMar>
              <w:top w:w="40" w:type="dxa"/>
              <w:left w:w="40" w:type="dxa"/>
              <w:bottom w:w="40" w:type="dxa"/>
              <w:right w:w="40" w:type="dxa"/>
            </w:tcMar>
            <w:vAlign w:val="bottom"/>
          </w:tcPr>
          <w:p w14:paraId="4ACE546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469"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29, </w:t>
            </w:r>
            <w:r>
              <w:rPr>
                <w:rFonts w:ascii="Arial" w:eastAsia="宋体" w:hAnsi="Arial" w:cs="Arial"/>
                <w:b/>
                <w:bCs/>
                <w:color w:val="333333"/>
                <w:sz w:val="18"/>
                <w:szCs w:val="18"/>
              </w:rPr>
              <w:br/>
              <w:t>2018</w:t>
            </w:r>
          </w:p>
        </w:tc>
      </w:tr>
      <w:tr w:rsidR="006F587A" w14:paraId="4ACE5474" w14:textId="77777777">
        <w:tc>
          <w:tcPr>
            <w:tcW w:w="0" w:type="auto"/>
            <w:shd w:val="clear" w:color="auto" w:fill="auto"/>
            <w:tcMar>
              <w:top w:w="40" w:type="dxa"/>
              <w:left w:w="40" w:type="dxa"/>
              <w:bottom w:w="40" w:type="dxa"/>
              <w:right w:w="40" w:type="dxa"/>
            </w:tcMar>
          </w:tcPr>
          <w:p w14:paraId="4ACE546B"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Outstanding principal</w:t>
            </w:r>
          </w:p>
        </w:tc>
        <w:tc>
          <w:tcPr>
            <w:tcW w:w="0" w:type="auto"/>
            <w:shd w:val="clear" w:color="auto" w:fill="auto"/>
            <w:tcMar>
              <w:top w:w="40" w:type="dxa"/>
              <w:left w:w="40" w:type="dxa"/>
              <w:bottom w:w="40" w:type="dxa"/>
              <w:right w:w="40" w:type="dxa"/>
            </w:tcMar>
            <w:vAlign w:val="bottom"/>
          </w:tcPr>
          <w:p w14:paraId="4ACE546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46D"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546E"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372</w:t>
            </w:r>
          </w:p>
        </w:tc>
        <w:tc>
          <w:tcPr>
            <w:tcW w:w="0" w:type="auto"/>
            <w:shd w:val="clear" w:color="auto" w:fill="auto"/>
            <w:vAlign w:val="bottom"/>
          </w:tcPr>
          <w:p w14:paraId="4ACE546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47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47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547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988</w:t>
            </w:r>
          </w:p>
        </w:tc>
        <w:tc>
          <w:tcPr>
            <w:tcW w:w="0" w:type="auto"/>
            <w:shd w:val="clear" w:color="auto" w:fill="auto"/>
            <w:vAlign w:val="bottom"/>
          </w:tcPr>
          <w:p w14:paraId="4ACE5473" w14:textId="77777777" w:rsidR="006F587A" w:rsidRDefault="006F587A">
            <w:pPr>
              <w:textAlignment w:val="bottom"/>
              <w:rPr>
                <w:rFonts w:ascii="Times New Roman" w:hAnsi="Times New Roman"/>
                <w:sz w:val="20"/>
                <w:szCs w:val="20"/>
              </w:rPr>
            </w:pPr>
          </w:p>
        </w:tc>
      </w:tr>
      <w:tr w:rsidR="006F587A" w14:paraId="4ACE547E" w14:textId="77777777">
        <w:tc>
          <w:tcPr>
            <w:tcW w:w="0" w:type="auto"/>
            <w:shd w:val="clear" w:color="auto" w:fill="auto"/>
            <w:tcMar>
              <w:top w:w="40" w:type="dxa"/>
              <w:left w:w="40" w:type="dxa"/>
              <w:bottom w:w="40" w:type="dxa"/>
              <w:right w:w="40" w:type="dxa"/>
            </w:tcMar>
          </w:tcPr>
          <w:p w14:paraId="4ACE5475"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Unamortized discount</w:t>
            </w:r>
            <w:r>
              <w:rPr>
                <w:rFonts w:ascii="Arial" w:eastAsia="宋体" w:hAnsi="Arial" w:cs="Arial"/>
                <w:color w:val="333333"/>
                <w:sz w:val="12"/>
                <w:szCs w:val="12"/>
              </w:rPr>
              <w:t>1</w:t>
            </w:r>
          </w:p>
        </w:tc>
        <w:tc>
          <w:tcPr>
            <w:tcW w:w="0" w:type="auto"/>
            <w:shd w:val="clear" w:color="auto" w:fill="auto"/>
            <w:tcMar>
              <w:top w:w="40" w:type="dxa"/>
              <w:left w:w="40" w:type="dxa"/>
              <w:bottom w:w="40" w:type="dxa"/>
              <w:right w:w="40" w:type="dxa"/>
            </w:tcMar>
            <w:vAlign w:val="bottom"/>
          </w:tcPr>
          <w:p w14:paraId="4ACE547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477"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5478"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155</w:t>
            </w:r>
          </w:p>
        </w:tc>
        <w:tc>
          <w:tcPr>
            <w:tcW w:w="0" w:type="auto"/>
            <w:shd w:val="clear" w:color="auto" w:fill="auto"/>
            <w:vAlign w:val="bottom"/>
          </w:tcPr>
          <w:p w14:paraId="4ACE547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47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47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547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419</w:t>
            </w:r>
          </w:p>
        </w:tc>
        <w:tc>
          <w:tcPr>
            <w:tcW w:w="0" w:type="auto"/>
            <w:shd w:val="clear" w:color="auto" w:fill="auto"/>
            <w:vAlign w:val="bottom"/>
          </w:tcPr>
          <w:p w14:paraId="4ACE547D" w14:textId="77777777" w:rsidR="006F587A" w:rsidRDefault="006F587A">
            <w:pPr>
              <w:textAlignment w:val="bottom"/>
              <w:rPr>
                <w:rFonts w:ascii="Times New Roman" w:hAnsi="Times New Roman"/>
                <w:sz w:val="20"/>
                <w:szCs w:val="20"/>
              </w:rPr>
            </w:pPr>
          </w:p>
        </w:tc>
      </w:tr>
      <w:tr w:rsidR="006F587A" w14:paraId="4ACE5488" w14:textId="77777777">
        <w:tc>
          <w:tcPr>
            <w:tcW w:w="0" w:type="auto"/>
            <w:shd w:val="clear" w:color="auto" w:fill="auto"/>
            <w:tcMar>
              <w:top w:w="40" w:type="dxa"/>
              <w:left w:w="40" w:type="dxa"/>
              <w:bottom w:w="40" w:type="dxa"/>
              <w:right w:w="40" w:type="dxa"/>
            </w:tcMar>
          </w:tcPr>
          <w:p w14:paraId="4ACE547F"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Net debt carrying amount</w:t>
            </w:r>
          </w:p>
        </w:tc>
        <w:tc>
          <w:tcPr>
            <w:tcW w:w="0" w:type="auto"/>
            <w:shd w:val="clear" w:color="auto" w:fill="auto"/>
            <w:tcMar>
              <w:top w:w="40" w:type="dxa"/>
              <w:left w:w="40" w:type="dxa"/>
              <w:bottom w:w="40" w:type="dxa"/>
              <w:right w:w="40" w:type="dxa"/>
            </w:tcMar>
            <w:vAlign w:val="bottom"/>
          </w:tcPr>
          <w:p w14:paraId="4ACE548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481"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5482"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217</w:t>
            </w:r>
          </w:p>
        </w:tc>
        <w:tc>
          <w:tcPr>
            <w:tcW w:w="0" w:type="auto"/>
            <w:shd w:val="clear" w:color="auto" w:fill="auto"/>
            <w:vAlign w:val="bottom"/>
          </w:tcPr>
          <w:p w14:paraId="4ACE548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48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48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548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569</w:t>
            </w:r>
          </w:p>
        </w:tc>
        <w:tc>
          <w:tcPr>
            <w:tcW w:w="0" w:type="auto"/>
            <w:shd w:val="clear" w:color="auto" w:fill="auto"/>
            <w:vAlign w:val="bottom"/>
          </w:tcPr>
          <w:p w14:paraId="4ACE5487" w14:textId="77777777" w:rsidR="006F587A" w:rsidRDefault="006F587A">
            <w:pPr>
              <w:textAlignment w:val="bottom"/>
              <w:rPr>
                <w:rFonts w:ascii="Times New Roman" w:hAnsi="Times New Roman"/>
                <w:sz w:val="20"/>
                <w:szCs w:val="20"/>
              </w:rPr>
            </w:pPr>
          </w:p>
        </w:tc>
      </w:tr>
      <w:tr w:rsidR="006F587A" w14:paraId="4ACE5490" w14:textId="77777777">
        <w:tc>
          <w:tcPr>
            <w:tcW w:w="0" w:type="auto"/>
            <w:shd w:val="clear" w:color="auto" w:fill="auto"/>
            <w:tcMar>
              <w:top w:w="40" w:type="dxa"/>
              <w:left w:w="40" w:type="dxa"/>
              <w:bottom w:w="40" w:type="dxa"/>
              <w:right w:w="40" w:type="dxa"/>
            </w:tcMar>
          </w:tcPr>
          <w:p w14:paraId="4ACE5489" w14:textId="77777777" w:rsidR="006F587A" w:rsidRDefault="007B2B61">
            <w:pPr>
              <w:ind w:hanging="240"/>
              <w:textAlignment w:val="top"/>
              <w:rPr>
                <w:rFonts w:ascii="Times New Roman" w:hAnsi="Times New Roman"/>
                <w:sz w:val="18"/>
                <w:szCs w:val="18"/>
              </w:rPr>
            </w:pPr>
            <w:r>
              <w:rPr>
                <w:rFonts w:ascii="Arial" w:eastAsia="宋体" w:hAnsi="Arial" w:cs="Arial"/>
                <w:color w:val="333333"/>
                <w:sz w:val="18"/>
                <w:szCs w:val="18"/>
              </w:rPr>
              <w:t xml:space="preserve">Conversion rate (shares of common stock per $1,000 principal amount of </w:t>
            </w:r>
            <w:r>
              <w:rPr>
                <w:rFonts w:ascii="Arial" w:eastAsia="宋体" w:hAnsi="Arial" w:cs="Arial"/>
                <w:color w:val="333333"/>
                <w:sz w:val="18"/>
                <w:szCs w:val="18"/>
              </w:rPr>
              <w:t>debentures)</w:t>
            </w:r>
          </w:p>
        </w:tc>
        <w:tc>
          <w:tcPr>
            <w:tcW w:w="0" w:type="auto"/>
            <w:shd w:val="clear" w:color="auto" w:fill="auto"/>
            <w:tcMar>
              <w:top w:w="40" w:type="dxa"/>
              <w:left w:w="40" w:type="dxa"/>
              <w:bottom w:w="40" w:type="dxa"/>
              <w:right w:w="40" w:type="dxa"/>
            </w:tcMar>
            <w:vAlign w:val="bottom"/>
          </w:tcPr>
          <w:p w14:paraId="4ACE548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48B"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49.69</w:t>
            </w:r>
          </w:p>
        </w:tc>
        <w:tc>
          <w:tcPr>
            <w:tcW w:w="0" w:type="auto"/>
            <w:shd w:val="clear" w:color="auto" w:fill="auto"/>
            <w:vAlign w:val="bottom"/>
          </w:tcPr>
          <w:p w14:paraId="4ACE548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48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48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49.01</w:t>
            </w:r>
          </w:p>
        </w:tc>
        <w:tc>
          <w:tcPr>
            <w:tcW w:w="0" w:type="auto"/>
            <w:shd w:val="clear" w:color="auto" w:fill="auto"/>
            <w:vAlign w:val="bottom"/>
          </w:tcPr>
          <w:p w14:paraId="4ACE548F" w14:textId="77777777" w:rsidR="006F587A" w:rsidRDefault="006F587A">
            <w:pPr>
              <w:textAlignment w:val="bottom"/>
              <w:rPr>
                <w:rFonts w:ascii="Times New Roman" w:hAnsi="Times New Roman"/>
                <w:sz w:val="20"/>
                <w:szCs w:val="20"/>
              </w:rPr>
            </w:pPr>
          </w:p>
        </w:tc>
      </w:tr>
      <w:tr w:rsidR="006F587A" w14:paraId="4ACE549A" w14:textId="77777777">
        <w:tc>
          <w:tcPr>
            <w:tcW w:w="0" w:type="auto"/>
            <w:shd w:val="clear" w:color="auto" w:fill="auto"/>
            <w:tcMar>
              <w:top w:w="40" w:type="dxa"/>
              <w:left w:w="40" w:type="dxa"/>
              <w:bottom w:w="40" w:type="dxa"/>
              <w:right w:w="40" w:type="dxa"/>
            </w:tcMar>
          </w:tcPr>
          <w:p w14:paraId="4ACE5491" w14:textId="77777777" w:rsidR="006F587A" w:rsidRDefault="007B2B61">
            <w:pPr>
              <w:ind w:hanging="240"/>
              <w:textAlignment w:val="top"/>
              <w:rPr>
                <w:rFonts w:ascii="Times New Roman" w:hAnsi="Times New Roman"/>
                <w:sz w:val="18"/>
                <w:szCs w:val="18"/>
              </w:rPr>
            </w:pPr>
            <w:r>
              <w:rPr>
                <w:rFonts w:ascii="Arial" w:eastAsia="宋体" w:hAnsi="Arial" w:cs="Arial"/>
                <w:color w:val="333333"/>
                <w:sz w:val="18"/>
                <w:szCs w:val="18"/>
              </w:rPr>
              <w:t>Effective conversion price (per share of common stock)</w:t>
            </w:r>
          </w:p>
        </w:tc>
        <w:tc>
          <w:tcPr>
            <w:tcW w:w="0" w:type="auto"/>
            <w:shd w:val="clear" w:color="auto" w:fill="auto"/>
            <w:tcMar>
              <w:top w:w="40" w:type="dxa"/>
              <w:left w:w="40" w:type="dxa"/>
              <w:bottom w:w="40" w:type="dxa"/>
              <w:right w:w="40" w:type="dxa"/>
            </w:tcMar>
            <w:vAlign w:val="bottom"/>
          </w:tcPr>
          <w:p w14:paraId="4ACE549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493"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5494"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20.13</w:t>
            </w:r>
          </w:p>
        </w:tc>
        <w:tc>
          <w:tcPr>
            <w:tcW w:w="0" w:type="auto"/>
            <w:shd w:val="clear" w:color="auto" w:fill="auto"/>
            <w:vAlign w:val="bottom"/>
          </w:tcPr>
          <w:p w14:paraId="4ACE549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49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49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549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20.40</w:t>
            </w:r>
          </w:p>
        </w:tc>
        <w:tc>
          <w:tcPr>
            <w:tcW w:w="0" w:type="auto"/>
            <w:shd w:val="clear" w:color="auto" w:fill="auto"/>
            <w:vAlign w:val="bottom"/>
          </w:tcPr>
          <w:p w14:paraId="4ACE5499" w14:textId="77777777" w:rsidR="006F587A" w:rsidRDefault="006F587A">
            <w:pPr>
              <w:textAlignment w:val="bottom"/>
              <w:rPr>
                <w:rFonts w:ascii="Times New Roman" w:hAnsi="Times New Roman"/>
                <w:sz w:val="20"/>
                <w:szCs w:val="20"/>
              </w:rPr>
            </w:pPr>
          </w:p>
        </w:tc>
      </w:tr>
    </w:tbl>
    <w:p w14:paraId="4ACE549B" w14:textId="77777777" w:rsidR="006F587A" w:rsidRDefault="006F587A">
      <w:pPr>
        <w:spacing w:line="288" w:lineRule="auto"/>
        <w:rPr>
          <w:rFonts w:ascii="Times New Roman" w:hAnsi="Times New Roman"/>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178"/>
      </w:tblGrid>
      <w:tr w:rsidR="006F587A" w14:paraId="4ACE549E" w14:textId="77777777">
        <w:trPr>
          <w:tblCellSpacing w:w="0" w:type="dxa"/>
        </w:trPr>
        <w:tc>
          <w:tcPr>
            <w:tcW w:w="720" w:type="dxa"/>
            <w:shd w:val="clear" w:color="auto" w:fill="auto"/>
            <w:vAlign w:val="center"/>
          </w:tcPr>
          <w:p w14:paraId="4ACE549C" w14:textId="77777777" w:rsidR="006F587A" w:rsidRDefault="006F587A">
            <w:pPr>
              <w:rPr>
                <w:rFonts w:ascii="Times New Roman" w:hAnsi="Times New Roman"/>
                <w:sz w:val="20"/>
                <w:szCs w:val="20"/>
              </w:rPr>
            </w:pPr>
          </w:p>
        </w:tc>
        <w:tc>
          <w:tcPr>
            <w:tcW w:w="0" w:type="auto"/>
            <w:shd w:val="clear" w:color="auto" w:fill="auto"/>
            <w:vAlign w:val="center"/>
          </w:tcPr>
          <w:p w14:paraId="4ACE549D" w14:textId="77777777" w:rsidR="006F587A" w:rsidRDefault="006F587A">
            <w:pPr>
              <w:rPr>
                <w:rFonts w:ascii="Times New Roman" w:hAnsi="Times New Roman"/>
                <w:sz w:val="20"/>
                <w:szCs w:val="20"/>
              </w:rPr>
            </w:pPr>
          </w:p>
        </w:tc>
      </w:tr>
      <w:tr w:rsidR="006F587A" w14:paraId="4ACE54A1" w14:textId="77777777">
        <w:trPr>
          <w:tblCellSpacing w:w="0" w:type="dxa"/>
        </w:trPr>
        <w:tc>
          <w:tcPr>
            <w:tcW w:w="0" w:type="auto"/>
            <w:shd w:val="clear" w:color="auto" w:fill="auto"/>
          </w:tcPr>
          <w:p w14:paraId="4ACE549F"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0"/>
                <w:szCs w:val="10"/>
              </w:rPr>
              <w:t>1</w:t>
            </w:r>
            <w:r>
              <w:rPr>
                <w:rFonts w:ascii="Arial" w:eastAsia="宋体" w:hAnsi="Arial" w:cs="Arial"/>
                <w:i/>
                <w:iCs/>
                <w:color w:val="333333"/>
                <w:sz w:val="16"/>
                <w:szCs w:val="16"/>
              </w:rPr>
              <w:t> </w:t>
            </w:r>
          </w:p>
        </w:tc>
        <w:tc>
          <w:tcPr>
            <w:tcW w:w="0" w:type="auto"/>
            <w:shd w:val="clear" w:color="auto" w:fill="auto"/>
          </w:tcPr>
          <w:p w14:paraId="4ACE54A0"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6"/>
                <w:szCs w:val="16"/>
              </w:rPr>
              <w:t>The unamortized discounts for the 2009 Debentures are amortized over the remaining life of the debt.</w:t>
            </w:r>
          </w:p>
        </w:tc>
      </w:tr>
    </w:tbl>
    <w:p w14:paraId="4ACE54A2" w14:textId="77777777" w:rsidR="006F587A" w:rsidRDefault="007B2B61">
      <w:pPr>
        <w:spacing w:line="288" w:lineRule="auto"/>
        <w:rPr>
          <w:rFonts w:ascii="Times New Roman" w:hAnsi="Times New Roman"/>
          <w:sz w:val="20"/>
          <w:szCs w:val="20"/>
        </w:rPr>
      </w:pPr>
      <w:r>
        <w:rPr>
          <w:rFonts w:ascii="Arial" w:eastAsia="宋体" w:hAnsi="Arial" w:cs="Arial"/>
          <w:b/>
          <w:bCs/>
          <w:color w:val="333333"/>
          <w:sz w:val="20"/>
          <w:szCs w:val="20"/>
        </w:rPr>
        <w:t>Debt Maturities</w:t>
      </w:r>
    </w:p>
    <w:p w14:paraId="4ACE54A3" w14:textId="77777777" w:rsidR="006F587A" w:rsidRDefault="007B2B61">
      <w:pPr>
        <w:spacing w:line="288" w:lineRule="auto"/>
        <w:rPr>
          <w:rFonts w:ascii="Times New Roman" w:hAnsi="Times New Roman"/>
          <w:sz w:val="20"/>
          <w:szCs w:val="20"/>
        </w:rPr>
      </w:pPr>
      <w:r>
        <w:rPr>
          <w:rFonts w:ascii="Arial" w:eastAsia="宋体" w:hAnsi="Arial" w:cs="Arial"/>
          <w:color w:val="333333"/>
          <w:sz w:val="18"/>
          <w:szCs w:val="18"/>
        </w:rPr>
        <w:t xml:space="preserve">Our aggregate debt </w:t>
      </w:r>
      <w:r>
        <w:rPr>
          <w:rFonts w:ascii="Arial" w:eastAsia="宋体" w:hAnsi="Arial" w:cs="Arial"/>
          <w:color w:val="333333"/>
          <w:sz w:val="18"/>
          <w:szCs w:val="18"/>
        </w:rPr>
        <w:t>maturities, excluding commercial paper and drafts payable, based on outstanding principal as of December 28, 2019, by year payable, are as follows:</w:t>
      </w:r>
    </w:p>
    <w:tbl>
      <w:tblPr>
        <w:tblW w:w="5000" w:type="pct"/>
        <w:tblCellMar>
          <w:left w:w="0" w:type="dxa"/>
          <w:right w:w="0" w:type="dxa"/>
        </w:tblCellMar>
        <w:tblLook w:val="04A0" w:firstRow="1" w:lastRow="0" w:firstColumn="1" w:lastColumn="0" w:noHBand="0" w:noVBand="1"/>
      </w:tblPr>
      <w:tblGrid>
        <w:gridCol w:w="2328"/>
        <w:gridCol w:w="130"/>
        <w:gridCol w:w="141"/>
        <w:gridCol w:w="451"/>
        <w:gridCol w:w="6"/>
        <w:gridCol w:w="130"/>
        <w:gridCol w:w="141"/>
        <w:gridCol w:w="451"/>
        <w:gridCol w:w="6"/>
        <w:gridCol w:w="130"/>
        <w:gridCol w:w="141"/>
        <w:gridCol w:w="451"/>
        <w:gridCol w:w="6"/>
        <w:gridCol w:w="130"/>
        <w:gridCol w:w="142"/>
        <w:gridCol w:w="344"/>
        <w:gridCol w:w="68"/>
        <w:gridCol w:w="130"/>
        <w:gridCol w:w="141"/>
        <w:gridCol w:w="451"/>
        <w:gridCol w:w="6"/>
        <w:gridCol w:w="130"/>
        <w:gridCol w:w="142"/>
        <w:gridCol w:w="1079"/>
        <w:gridCol w:w="53"/>
        <w:gridCol w:w="130"/>
        <w:gridCol w:w="141"/>
        <w:gridCol w:w="701"/>
        <w:gridCol w:w="6"/>
      </w:tblGrid>
      <w:tr w:rsidR="006F587A" w14:paraId="4ACE54A5" w14:textId="77777777">
        <w:tc>
          <w:tcPr>
            <w:tcW w:w="0" w:type="auto"/>
            <w:gridSpan w:val="29"/>
            <w:shd w:val="clear" w:color="auto" w:fill="auto"/>
            <w:vAlign w:val="center"/>
          </w:tcPr>
          <w:p w14:paraId="4ACE54A4" w14:textId="77777777" w:rsidR="006F587A" w:rsidRDefault="006F587A">
            <w:pPr>
              <w:rPr>
                <w:rFonts w:ascii="Times New Roman" w:hAnsi="Times New Roman"/>
                <w:sz w:val="20"/>
                <w:szCs w:val="20"/>
              </w:rPr>
            </w:pPr>
          </w:p>
        </w:tc>
      </w:tr>
      <w:tr w:rsidR="006F587A" w14:paraId="4ACE54C3" w14:textId="77777777">
        <w:tc>
          <w:tcPr>
            <w:tcW w:w="1450" w:type="pct"/>
            <w:shd w:val="clear" w:color="auto" w:fill="auto"/>
            <w:vAlign w:val="center"/>
          </w:tcPr>
          <w:p w14:paraId="4ACE54A6" w14:textId="77777777" w:rsidR="006F587A" w:rsidRDefault="006F587A">
            <w:pPr>
              <w:rPr>
                <w:rFonts w:ascii="Times New Roman" w:hAnsi="Times New Roman"/>
                <w:sz w:val="20"/>
                <w:szCs w:val="20"/>
              </w:rPr>
            </w:pPr>
          </w:p>
        </w:tc>
        <w:tc>
          <w:tcPr>
            <w:tcW w:w="50" w:type="pct"/>
            <w:shd w:val="clear" w:color="auto" w:fill="auto"/>
            <w:vAlign w:val="center"/>
          </w:tcPr>
          <w:p w14:paraId="4ACE54A7" w14:textId="77777777" w:rsidR="006F587A" w:rsidRDefault="006F587A">
            <w:pPr>
              <w:rPr>
                <w:rFonts w:ascii="Times New Roman" w:hAnsi="Times New Roman"/>
                <w:sz w:val="20"/>
                <w:szCs w:val="20"/>
              </w:rPr>
            </w:pPr>
          </w:p>
        </w:tc>
        <w:tc>
          <w:tcPr>
            <w:tcW w:w="50" w:type="pct"/>
            <w:shd w:val="clear" w:color="auto" w:fill="auto"/>
            <w:vAlign w:val="center"/>
          </w:tcPr>
          <w:p w14:paraId="4ACE54A8" w14:textId="77777777" w:rsidR="006F587A" w:rsidRDefault="006F587A">
            <w:pPr>
              <w:rPr>
                <w:rFonts w:ascii="Times New Roman" w:hAnsi="Times New Roman"/>
                <w:sz w:val="20"/>
                <w:szCs w:val="20"/>
              </w:rPr>
            </w:pPr>
          </w:p>
        </w:tc>
        <w:tc>
          <w:tcPr>
            <w:tcW w:w="250" w:type="pct"/>
            <w:shd w:val="clear" w:color="auto" w:fill="auto"/>
            <w:vAlign w:val="center"/>
          </w:tcPr>
          <w:p w14:paraId="4ACE54A9" w14:textId="77777777" w:rsidR="006F587A" w:rsidRDefault="006F587A">
            <w:pPr>
              <w:rPr>
                <w:rFonts w:ascii="Times New Roman" w:hAnsi="Times New Roman"/>
                <w:sz w:val="20"/>
                <w:szCs w:val="20"/>
              </w:rPr>
            </w:pPr>
          </w:p>
        </w:tc>
        <w:tc>
          <w:tcPr>
            <w:tcW w:w="50" w:type="pct"/>
            <w:shd w:val="clear" w:color="auto" w:fill="auto"/>
            <w:vAlign w:val="center"/>
          </w:tcPr>
          <w:p w14:paraId="4ACE54AA" w14:textId="77777777" w:rsidR="006F587A" w:rsidRDefault="006F587A">
            <w:pPr>
              <w:rPr>
                <w:rFonts w:ascii="Times New Roman" w:hAnsi="Times New Roman"/>
                <w:sz w:val="20"/>
                <w:szCs w:val="20"/>
              </w:rPr>
            </w:pPr>
          </w:p>
        </w:tc>
        <w:tc>
          <w:tcPr>
            <w:tcW w:w="50" w:type="pct"/>
            <w:shd w:val="clear" w:color="auto" w:fill="auto"/>
            <w:vAlign w:val="center"/>
          </w:tcPr>
          <w:p w14:paraId="4ACE54AB" w14:textId="77777777" w:rsidR="006F587A" w:rsidRDefault="006F587A">
            <w:pPr>
              <w:rPr>
                <w:rFonts w:ascii="Times New Roman" w:hAnsi="Times New Roman"/>
                <w:sz w:val="20"/>
                <w:szCs w:val="20"/>
              </w:rPr>
            </w:pPr>
          </w:p>
        </w:tc>
        <w:tc>
          <w:tcPr>
            <w:tcW w:w="50" w:type="pct"/>
            <w:shd w:val="clear" w:color="auto" w:fill="auto"/>
            <w:vAlign w:val="center"/>
          </w:tcPr>
          <w:p w14:paraId="4ACE54AC" w14:textId="77777777" w:rsidR="006F587A" w:rsidRDefault="006F587A">
            <w:pPr>
              <w:rPr>
                <w:rFonts w:ascii="Times New Roman" w:hAnsi="Times New Roman"/>
                <w:sz w:val="20"/>
                <w:szCs w:val="20"/>
              </w:rPr>
            </w:pPr>
          </w:p>
        </w:tc>
        <w:tc>
          <w:tcPr>
            <w:tcW w:w="250" w:type="pct"/>
            <w:shd w:val="clear" w:color="auto" w:fill="auto"/>
            <w:vAlign w:val="center"/>
          </w:tcPr>
          <w:p w14:paraId="4ACE54AD" w14:textId="77777777" w:rsidR="006F587A" w:rsidRDefault="006F587A">
            <w:pPr>
              <w:rPr>
                <w:rFonts w:ascii="Times New Roman" w:hAnsi="Times New Roman"/>
                <w:sz w:val="20"/>
                <w:szCs w:val="20"/>
              </w:rPr>
            </w:pPr>
          </w:p>
        </w:tc>
        <w:tc>
          <w:tcPr>
            <w:tcW w:w="50" w:type="pct"/>
            <w:shd w:val="clear" w:color="auto" w:fill="auto"/>
            <w:vAlign w:val="center"/>
          </w:tcPr>
          <w:p w14:paraId="4ACE54AE" w14:textId="77777777" w:rsidR="006F587A" w:rsidRDefault="006F587A">
            <w:pPr>
              <w:rPr>
                <w:rFonts w:ascii="Times New Roman" w:hAnsi="Times New Roman"/>
                <w:sz w:val="20"/>
                <w:szCs w:val="20"/>
              </w:rPr>
            </w:pPr>
          </w:p>
        </w:tc>
        <w:tc>
          <w:tcPr>
            <w:tcW w:w="50" w:type="pct"/>
            <w:shd w:val="clear" w:color="auto" w:fill="auto"/>
            <w:vAlign w:val="center"/>
          </w:tcPr>
          <w:p w14:paraId="4ACE54AF" w14:textId="77777777" w:rsidR="006F587A" w:rsidRDefault="006F587A">
            <w:pPr>
              <w:rPr>
                <w:rFonts w:ascii="Times New Roman" w:hAnsi="Times New Roman"/>
                <w:sz w:val="20"/>
                <w:szCs w:val="20"/>
              </w:rPr>
            </w:pPr>
          </w:p>
        </w:tc>
        <w:tc>
          <w:tcPr>
            <w:tcW w:w="50" w:type="pct"/>
            <w:shd w:val="clear" w:color="auto" w:fill="auto"/>
            <w:vAlign w:val="center"/>
          </w:tcPr>
          <w:p w14:paraId="4ACE54B0" w14:textId="77777777" w:rsidR="006F587A" w:rsidRDefault="006F587A">
            <w:pPr>
              <w:rPr>
                <w:rFonts w:ascii="Times New Roman" w:hAnsi="Times New Roman"/>
                <w:sz w:val="20"/>
                <w:szCs w:val="20"/>
              </w:rPr>
            </w:pPr>
          </w:p>
        </w:tc>
        <w:tc>
          <w:tcPr>
            <w:tcW w:w="250" w:type="pct"/>
            <w:shd w:val="clear" w:color="auto" w:fill="auto"/>
            <w:vAlign w:val="center"/>
          </w:tcPr>
          <w:p w14:paraId="4ACE54B1" w14:textId="77777777" w:rsidR="006F587A" w:rsidRDefault="006F587A">
            <w:pPr>
              <w:rPr>
                <w:rFonts w:ascii="Times New Roman" w:hAnsi="Times New Roman"/>
                <w:sz w:val="20"/>
                <w:szCs w:val="20"/>
              </w:rPr>
            </w:pPr>
          </w:p>
        </w:tc>
        <w:tc>
          <w:tcPr>
            <w:tcW w:w="50" w:type="pct"/>
            <w:shd w:val="clear" w:color="auto" w:fill="auto"/>
            <w:vAlign w:val="center"/>
          </w:tcPr>
          <w:p w14:paraId="4ACE54B2" w14:textId="77777777" w:rsidR="006F587A" w:rsidRDefault="006F587A">
            <w:pPr>
              <w:rPr>
                <w:rFonts w:ascii="Times New Roman" w:hAnsi="Times New Roman"/>
                <w:sz w:val="20"/>
                <w:szCs w:val="20"/>
              </w:rPr>
            </w:pPr>
          </w:p>
        </w:tc>
        <w:tc>
          <w:tcPr>
            <w:tcW w:w="50" w:type="pct"/>
            <w:shd w:val="clear" w:color="auto" w:fill="auto"/>
            <w:vAlign w:val="center"/>
          </w:tcPr>
          <w:p w14:paraId="4ACE54B3" w14:textId="77777777" w:rsidR="006F587A" w:rsidRDefault="006F587A">
            <w:pPr>
              <w:rPr>
                <w:rFonts w:ascii="Times New Roman" w:hAnsi="Times New Roman"/>
                <w:sz w:val="20"/>
                <w:szCs w:val="20"/>
              </w:rPr>
            </w:pPr>
          </w:p>
        </w:tc>
        <w:tc>
          <w:tcPr>
            <w:tcW w:w="50" w:type="pct"/>
            <w:shd w:val="clear" w:color="auto" w:fill="auto"/>
            <w:vAlign w:val="center"/>
          </w:tcPr>
          <w:p w14:paraId="4ACE54B4" w14:textId="77777777" w:rsidR="006F587A" w:rsidRDefault="006F587A">
            <w:pPr>
              <w:rPr>
                <w:rFonts w:ascii="Times New Roman" w:hAnsi="Times New Roman"/>
                <w:sz w:val="20"/>
                <w:szCs w:val="20"/>
              </w:rPr>
            </w:pPr>
          </w:p>
        </w:tc>
        <w:tc>
          <w:tcPr>
            <w:tcW w:w="250" w:type="pct"/>
            <w:shd w:val="clear" w:color="auto" w:fill="auto"/>
            <w:vAlign w:val="center"/>
          </w:tcPr>
          <w:p w14:paraId="4ACE54B5" w14:textId="77777777" w:rsidR="006F587A" w:rsidRDefault="006F587A">
            <w:pPr>
              <w:rPr>
                <w:rFonts w:ascii="Times New Roman" w:hAnsi="Times New Roman"/>
                <w:sz w:val="20"/>
                <w:szCs w:val="20"/>
              </w:rPr>
            </w:pPr>
          </w:p>
        </w:tc>
        <w:tc>
          <w:tcPr>
            <w:tcW w:w="50" w:type="pct"/>
            <w:shd w:val="clear" w:color="auto" w:fill="auto"/>
            <w:vAlign w:val="center"/>
          </w:tcPr>
          <w:p w14:paraId="4ACE54B6" w14:textId="77777777" w:rsidR="006F587A" w:rsidRDefault="006F587A">
            <w:pPr>
              <w:rPr>
                <w:rFonts w:ascii="Times New Roman" w:hAnsi="Times New Roman"/>
                <w:sz w:val="20"/>
                <w:szCs w:val="20"/>
              </w:rPr>
            </w:pPr>
          </w:p>
        </w:tc>
        <w:tc>
          <w:tcPr>
            <w:tcW w:w="50" w:type="pct"/>
            <w:shd w:val="clear" w:color="auto" w:fill="auto"/>
            <w:vAlign w:val="center"/>
          </w:tcPr>
          <w:p w14:paraId="4ACE54B7" w14:textId="77777777" w:rsidR="006F587A" w:rsidRDefault="006F587A">
            <w:pPr>
              <w:rPr>
                <w:rFonts w:ascii="Times New Roman" w:hAnsi="Times New Roman"/>
                <w:sz w:val="20"/>
                <w:szCs w:val="20"/>
              </w:rPr>
            </w:pPr>
          </w:p>
        </w:tc>
        <w:tc>
          <w:tcPr>
            <w:tcW w:w="50" w:type="pct"/>
            <w:shd w:val="clear" w:color="auto" w:fill="auto"/>
            <w:vAlign w:val="center"/>
          </w:tcPr>
          <w:p w14:paraId="4ACE54B8" w14:textId="77777777" w:rsidR="006F587A" w:rsidRDefault="006F587A">
            <w:pPr>
              <w:rPr>
                <w:rFonts w:ascii="Times New Roman" w:hAnsi="Times New Roman"/>
                <w:sz w:val="20"/>
                <w:szCs w:val="20"/>
              </w:rPr>
            </w:pPr>
          </w:p>
        </w:tc>
        <w:tc>
          <w:tcPr>
            <w:tcW w:w="250" w:type="pct"/>
            <w:shd w:val="clear" w:color="auto" w:fill="auto"/>
            <w:vAlign w:val="center"/>
          </w:tcPr>
          <w:p w14:paraId="4ACE54B9" w14:textId="77777777" w:rsidR="006F587A" w:rsidRDefault="006F587A">
            <w:pPr>
              <w:rPr>
                <w:rFonts w:ascii="Times New Roman" w:hAnsi="Times New Roman"/>
                <w:sz w:val="20"/>
                <w:szCs w:val="20"/>
              </w:rPr>
            </w:pPr>
          </w:p>
        </w:tc>
        <w:tc>
          <w:tcPr>
            <w:tcW w:w="50" w:type="pct"/>
            <w:shd w:val="clear" w:color="auto" w:fill="auto"/>
            <w:vAlign w:val="center"/>
          </w:tcPr>
          <w:p w14:paraId="4ACE54BA" w14:textId="77777777" w:rsidR="006F587A" w:rsidRDefault="006F587A">
            <w:pPr>
              <w:rPr>
                <w:rFonts w:ascii="Times New Roman" w:hAnsi="Times New Roman"/>
                <w:sz w:val="20"/>
                <w:szCs w:val="20"/>
              </w:rPr>
            </w:pPr>
          </w:p>
        </w:tc>
        <w:tc>
          <w:tcPr>
            <w:tcW w:w="50" w:type="pct"/>
            <w:shd w:val="clear" w:color="auto" w:fill="auto"/>
            <w:vAlign w:val="center"/>
          </w:tcPr>
          <w:p w14:paraId="4ACE54BB" w14:textId="77777777" w:rsidR="006F587A" w:rsidRDefault="006F587A">
            <w:pPr>
              <w:rPr>
                <w:rFonts w:ascii="Times New Roman" w:hAnsi="Times New Roman"/>
                <w:sz w:val="20"/>
                <w:szCs w:val="20"/>
              </w:rPr>
            </w:pPr>
          </w:p>
        </w:tc>
        <w:tc>
          <w:tcPr>
            <w:tcW w:w="50" w:type="pct"/>
            <w:shd w:val="clear" w:color="auto" w:fill="auto"/>
            <w:vAlign w:val="center"/>
          </w:tcPr>
          <w:p w14:paraId="4ACE54BC" w14:textId="77777777" w:rsidR="006F587A" w:rsidRDefault="006F587A">
            <w:pPr>
              <w:rPr>
                <w:rFonts w:ascii="Times New Roman" w:hAnsi="Times New Roman"/>
                <w:sz w:val="20"/>
                <w:szCs w:val="20"/>
              </w:rPr>
            </w:pPr>
          </w:p>
        </w:tc>
        <w:tc>
          <w:tcPr>
            <w:tcW w:w="750" w:type="pct"/>
            <w:shd w:val="clear" w:color="auto" w:fill="auto"/>
            <w:vAlign w:val="center"/>
          </w:tcPr>
          <w:p w14:paraId="4ACE54BD" w14:textId="77777777" w:rsidR="006F587A" w:rsidRDefault="006F587A">
            <w:pPr>
              <w:rPr>
                <w:rFonts w:ascii="Times New Roman" w:hAnsi="Times New Roman"/>
                <w:sz w:val="20"/>
                <w:szCs w:val="20"/>
              </w:rPr>
            </w:pPr>
          </w:p>
        </w:tc>
        <w:tc>
          <w:tcPr>
            <w:tcW w:w="50" w:type="pct"/>
            <w:shd w:val="clear" w:color="auto" w:fill="auto"/>
            <w:vAlign w:val="center"/>
          </w:tcPr>
          <w:p w14:paraId="4ACE54BE" w14:textId="77777777" w:rsidR="006F587A" w:rsidRDefault="006F587A">
            <w:pPr>
              <w:rPr>
                <w:rFonts w:ascii="Times New Roman" w:hAnsi="Times New Roman"/>
                <w:sz w:val="20"/>
                <w:szCs w:val="20"/>
              </w:rPr>
            </w:pPr>
          </w:p>
        </w:tc>
        <w:tc>
          <w:tcPr>
            <w:tcW w:w="50" w:type="pct"/>
            <w:shd w:val="clear" w:color="auto" w:fill="auto"/>
            <w:vAlign w:val="center"/>
          </w:tcPr>
          <w:p w14:paraId="4ACE54BF" w14:textId="77777777" w:rsidR="006F587A" w:rsidRDefault="006F587A">
            <w:pPr>
              <w:rPr>
                <w:rFonts w:ascii="Times New Roman" w:hAnsi="Times New Roman"/>
                <w:sz w:val="20"/>
                <w:szCs w:val="20"/>
              </w:rPr>
            </w:pPr>
          </w:p>
        </w:tc>
        <w:tc>
          <w:tcPr>
            <w:tcW w:w="50" w:type="pct"/>
            <w:shd w:val="clear" w:color="auto" w:fill="auto"/>
            <w:vAlign w:val="center"/>
          </w:tcPr>
          <w:p w14:paraId="4ACE54C0" w14:textId="77777777" w:rsidR="006F587A" w:rsidRDefault="006F587A">
            <w:pPr>
              <w:rPr>
                <w:rFonts w:ascii="Times New Roman" w:hAnsi="Times New Roman"/>
                <w:sz w:val="20"/>
                <w:szCs w:val="20"/>
              </w:rPr>
            </w:pPr>
          </w:p>
        </w:tc>
        <w:tc>
          <w:tcPr>
            <w:tcW w:w="500" w:type="pct"/>
            <w:shd w:val="clear" w:color="auto" w:fill="auto"/>
            <w:vAlign w:val="center"/>
          </w:tcPr>
          <w:p w14:paraId="4ACE54C1" w14:textId="77777777" w:rsidR="006F587A" w:rsidRDefault="006F587A">
            <w:pPr>
              <w:rPr>
                <w:rFonts w:ascii="Times New Roman" w:hAnsi="Times New Roman"/>
                <w:sz w:val="20"/>
                <w:szCs w:val="20"/>
              </w:rPr>
            </w:pPr>
          </w:p>
        </w:tc>
        <w:tc>
          <w:tcPr>
            <w:tcW w:w="50" w:type="pct"/>
            <w:shd w:val="clear" w:color="auto" w:fill="auto"/>
            <w:vAlign w:val="center"/>
          </w:tcPr>
          <w:p w14:paraId="4ACE54C2" w14:textId="77777777" w:rsidR="006F587A" w:rsidRDefault="006F587A">
            <w:pPr>
              <w:rPr>
                <w:rFonts w:ascii="Times New Roman" w:hAnsi="Times New Roman"/>
                <w:sz w:val="20"/>
                <w:szCs w:val="20"/>
              </w:rPr>
            </w:pPr>
          </w:p>
        </w:tc>
      </w:tr>
      <w:tr w:rsidR="006F587A" w14:paraId="4ACE54D3"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54C4"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4ACE54C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tcPr>
          <w:p w14:paraId="4ACE54C6" w14:textId="77777777" w:rsidR="006F587A" w:rsidRDefault="007B2B61">
            <w:pPr>
              <w:jc w:val="center"/>
              <w:textAlignment w:val="top"/>
              <w:rPr>
                <w:rFonts w:ascii="Times New Roman" w:hAnsi="Times New Roman"/>
                <w:sz w:val="18"/>
                <w:szCs w:val="18"/>
              </w:rPr>
            </w:pPr>
            <w:r>
              <w:rPr>
                <w:rFonts w:ascii="Arial" w:eastAsia="宋体" w:hAnsi="Arial" w:cs="Arial"/>
                <w:b/>
                <w:bCs/>
                <w:color w:val="333333"/>
                <w:sz w:val="18"/>
                <w:szCs w:val="18"/>
              </w:rPr>
              <w:t>2020</w:t>
            </w:r>
          </w:p>
        </w:tc>
        <w:tc>
          <w:tcPr>
            <w:tcW w:w="0" w:type="auto"/>
            <w:shd w:val="clear" w:color="auto" w:fill="auto"/>
            <w:tcMar>
              <w:top w:w="40" w:type="dxa"/>
              <w:left w:w="40" w:type="dxa"/>
              <w:bottom w:w="40" w:type="dxa"/>
              <w:right w:w="40" w:type="dxa"/>
            </w:tcMar>
            <w:vAlign w:val="bottom"/>
          </w:tcPr>
          <w:p w14:paraId="4ACE54C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tcPr>
          <w:p w14:paraId="4ACE54C8" w14:textId="77777777" w:rsidR="006F587A" w:rsidRDefault="007B2B61">
            <w:pPr>
              <w:jc w:val="center"/>
              <w:textAlignment w:val="top"/>
              <w:rPr>
                <w:rFonts w:ascii="Times New Roman" w:hAnsi="Times New Roman"/>
                <w:sz w:val="18"/>
                <w:szCs w:val="18"/>
              </w:rPr>
            </w:pPr>
            <w:r>
              <w:rPr>
                <w:rFonts w:ascii="Arial" w:eastAsia="宋体" w:hAnsi="Arial" w:cs="Arial"/>
                <w:b/>
                <w:bCs/>
                <w:color w:val="333333"/>
                <w:sz w:val="18"/>
                <w:szCs w:val="18"/>
              </w:rPr>
              <w:t>2021</w:t>
            </w:r>
          </w:p>
        </w:tc>
        <w:tc>
          <w:tcPr>
            <w:tcW w:w="0" w:type="auto"/>
            <w:shd w:val="clear" w:color="auto" w:fill="auto"/>
            <w:tcMar>
              <w:top w:w="40" w:type="dxa"/>
              <w:left w:w="40" w:type="dxa"/>
              <w:bottom w:w="40" w:type="dxa"/>
              <w:right w:w="40" w:type="dxa"/>
            </w:tcMar>
            <w:vAlign w:val="bottom"/>
          </w:tcPr>
          <w:p w14:paraId="4ACE54C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tcPr>
          <w:p w14:paraId="4ACE54CA" w14:textId="77777777" w:rsidR="006F587A" w:rsidRDefault="007B2B61">
            <w:pPr>
              <w:jc w:val="center"/>
              <w:textAlignment w:val="top"/>
              <w:rPr>
                <w:rFonts w:ascii="Times New Roman" w:hAnsi="Times New Roman"/>
                <w:sz w:val="18"/>
                <w:szCs w:val="18"/>
              </w:rPr>
            </w:pPr>
            <w:r>
              <w:rPr>
                <w:rFonts w:ascii="Arial" w:eastAsia="宋体" w:hAnsi="Arial" w:cs="Arial"/>
                <w:b/>
                <w:bCs/>
                <w:color w:val="333333"/>
                <w:sz w:val="18"/>
                <w:szCs w:val="18"/>
              </w:rPr>
              <w:t>2022</w:t>
            </w:r>
          </w:p>
        </w:tc>
        <w:tc>
          <w:tcPr>
            <w:tcW w:w="0" w:type="auto"/>
            <w:shd w:val="clear" w:color="auto" w:fill="auto"/>
            <w:tcMar>
              <w:top w:w="40" w:type="dxa"/>
              <w:left w:w="40" w:type="dxa"/>
              <w:bottom w:w="40" w:type="dxa"/>
              <w:right w:w="40" w:type="dxa"/>
            </w:tcMar>
            <w:vAlign w:val="bottom"/>
          </w:tcPr>
          <w:p w14:paraId="4ACE54C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tcPr>
          <w:p w14:paraId="4ACE54CC" w14:textId="77777777" w:rsidR="006F587A" w:rsidRDefault="007B2B61">
            <w:pPr>
              <w:jc w:val="center"/>
              <w:textAlignment w:val="top"/>
              <w:rPr>
                <w:rFonts w:ascii="Times New Roman" w:hAnsi="Times New Roman"/>
                <w:sz w:val="18"/>
                <w:szCs w:val="18"/>
              </w:rPr>
            </w:pPr>
            <w:r>
              <w:rPr>
                <w:rFonts w:ascii="Arial" w:eastAsia="宋体" w:hAnsi="Arial" w:cs="Arial"/>
                <w:b/>
                <w:bCs/>
                <w:color w:val="333333"/>
                <w:sz w:val="18"/>
                <w:szCs w:val="18"/>
              </w:rPr>
              <w:t>2023</w:t>
            </w:r>
          </w:p>
        </w:tc>
        <w:tc>
          <w:tcPr>
            <w:tcW w:w="0" w:type="auto"/>
            <w:shd w:val="clear" w:color="auto" w:fill="auto"/>
            <w:tcMar>
              <w:top w:w="40" w:type="dxa"/>
              <w:left w:w="40" w:type="dxa"/>
              <w:bottom w:w="40" w:type="dxa"/>
              <w:right w:w="40" w:type="dxa"/>
            </w:tcMar>
            <w:vAlign w:val="bottom"/>
          </w:tcPr>
          <w:p w14:paraId="4ACE54C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tcPr>
          <w:p w14:paraId="4ACE54CE" w14:textId="77777777" w:rsidR="006F587A" w:rsidRDefault="007B2B61">
            <w:pPr>
              <w:jc w:val="center"/>
              <w:textAlignment w:val="top"/>
              <w:rPr>
                <w:rFonts w:ascii="Times New Roman" w:hAnsi="Times New Roman"/>
                <w:sz w:val="18"/>
                <w:szCs w:val="18"/>
              </w:rPr>
            </w:pPr>
            <w:r>
              <w:rPr>
                <w:rFonts w:ascii="Arial" w:eastAsia="宋体" w:hAnsi="Arial" w:cs="Arial"/>
                <w:b/>
                <w:bCs/>
                <w:color w:val="333333"/>
                <w:sz w:val="18"/>
                <w:szCs w:val="18"/>
              </w:rPr>
              <w:t>2024</w:t>
            </w:r>
          </w:p>
        </w:tc>
        <w:tc>
          <w:tcPr>
            <w:tcW w:w="0" w:type="auto"/>
            <w:shd w:val="clear" w:color="auto" w:fill="auto"/>
            <w:tcMar>
              <w:top w:w="40" w:type="dxa"/>
              <w:left w:w="40" w:type="dxa"/>
              <w:bottom w:w="40" w:type="dxa"/>
              <w:right w:w="40" w:type="dxa"/>
            </w:tcMar>
            <w:vAlign w:val="bottom"/>
          </w:tcPr>
          <w:p w14:paraId="4ACE54C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tcPr>
          <w:p w14:paraId="4ACE54D0" w14:textId="77777777" w:rsidR="006F587A" w:rsidRDefault="007B2B61">
            <w:pPr>
              <w:jc w:val="center"/>
              <w:textAlignment w:val="top"/>
              <w:rPr>
                <w:rFonts w:ascii="Times New Roman" w:hAnsi="Times New Roman"/>
                <w:sz w:val="18"/>
                <w:szCs w:val="18"/>
              </w:rPr>
            </w:pPr>
            <w:r>
              <w:rPr>
                <w:rFonts w:ascii="Arial" w:eastAsia="宋体" w:hAnsi="Arial" w:cs="Arial"/>
                <w:b/>
                <w:bCs/>
                <w:color w:val="333333"/>
                <w:sz w:val="18"/>
                <w:szCs w:val="18"/>
              </w:rPr>
              <w:t>2025 and thereafter</w:t>
            </w:r>
          </w:p>
        </w:tc>
        <w:tc>
          <w:tcPr>
            <w:tcW w:w="0" w:type="auto"/>
            <w:shd w:val="clear" w:color="auto" w:fill="auto"/>
            <w:tcMar>
              <w:top w:w="40" w:type="dxa"/>
              <w:left w:w="40" w:type="dxa"/>
              <w:bottom w:w="40" w:type="dxa"/>
              <w:right w:w="40" w:type="dxa"/>
            </w:tcMar>
            <w:vAlign w:val="bottom"/>
          </w:tcPr>
          <w:p w14:paraId="4ACE54D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tcPr>
          <w:p w14:paraId="4ACE54D2" w14:textId="77777777" w:rsidR="006F587A" w:rsidRDefault="007B2B61">
            <w:pPr>
              <w:jc w:val="center"/>
              <w:textAlignment w:val="top"/>
              <w:rPr>
                <w:rFonts w:ascii="Times New Roman" w:hAnsi="Times New Roman"/>
                <w:sz w:val="18"/>
                <w:szCs w:val="18"/>
              </w:rPr>
            </w:pPr>
            <w:r>
              <w:rPr>
                <w:rFonts w:ascii="Arial" w:eastAsia="宋体" w:hAnsi="Arial" w:cs="Arial"/>
                <w:b/>
                <w:bCs/>
                <w:color w:val="333333"/>
                <w:sz w:val="18"/>
                <w:szCs w:val="18"/>
              </w:rPr>
              <w:t>Total</w:t>
            </w:r>
          </w:p>
        </w:tc>
      </w:tr>
      <w:tr w:rsidR="006F587A" w14:paraId="4ACE54F1" w14:textId="77777777">
        <w:tc>
          <w:tcPr>
            <w:tcW w:w="0" w:type="auto"/>
            <w:shd w:val="clear" w:color="auto" w:fill="auto"/>
            <w:tcMar>
              <w:top w:w="40" w:type="dxa"/>
              <w:left w:w="40" w:type="dxa"/>
              <w:bottom w:w="40" w:type="dxa"/>
              <w:right w:w="40" w:type="dxa"/>
            </w:tcMar>
            <w:vAlign w:val="bottom"/>
          </w:tcPr>
          <w:p w14:paraId="4ACE54D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4D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4D6"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54D7"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3,450</w:t>
            </w:r>
          </w:p>
        </w:tc>
        <w:tc>
          <w:tcPr>
            <w:tcW w:w="0" w:type="auto"/>
            <w:shd w:val="clear" w:color="auto" w:fill="auto"/>
            <w:vAlign w:val="bottom"/>
          </w:tcPr>
          <w:p w14:paraId="4ACE54D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4D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4DA"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54DB"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2,500</w:t>
            </w:r>
          </w:p>
        </w:tc>
        <w:tc>
          <w:tcPr>
            <w:tcW w:w="0" w:type="auto"/>
            <w:shd w:val="clear" w:color="auto" w:fill="auto"/>
            <w:vAlign w:val="bottom"/>
          </w:tcPr>
          <w:p w14:paraId="4ACE54D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4D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4DE"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54DF"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4,432</w:t>
            </w:r>
          </w:p>
        </w:tc>
        <w:tc>
          <w:tcPr>
            <w:tcW w:w="0" w:type="auto"/>
            <w:shd w:val="clear" w:color="auto" w:fill="auto"/>
            <w:vAlign w:val="bottom"/>
          </w:tcPr>
          <w:p w14:paraId="4ACE54E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4E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4E2"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54E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400</w:t>
            </w:r>
          </w:p>
        </w:tc>
        <w:tc>
          <w:tcPr>
            <w:tcW w:w="0" w:type="auto"/>
            <w:shd w:val="clear" w:color="auto" w:fill="auto"/>
            <w:vAlign w:val="bottom"/>
          </w:tcPr>
          <w:p w14:paraId="4ACE54E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4E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4E6"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54E7"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1,850</w:t>
            </w:r>
          </w:p>
        </w:tc>
        <w:tc>
          <w:tcPr>
            <w:tcW w:w="0" w:type="auto"/>
            <w:shd w:val="clear" w:color="auto" w:fill="auto"/>
            <w:vAlign w:val="bottom"/>
          </w:tcPr>
          <w:p w14:paraId="4ACE54E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4E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4EA"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54EB"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16,119</w:t>
            </w:r>
          </w:p>
        </w:tc>
        <w:tc>
          <w:tcPr>
            <w:tcW w:w="0" w:type="auto"/>
            <w:shd w:val="clear" w:color="auto" w:fill="auto"/>
            <w:vAlign w:val="bottom"/>
          </w:tcPr>
          <w:p w14:paraId="4ACE54E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4E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54EE"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0071C5"/>
            </w:tcBorders>
            <w:shd w:val="clear" w:color="auto" w:fill="auto"/>
            <w:tcMar>
              <w:top w:w="40" w:type="dxa"/>
              <w:bottom w:w="40" w:type="dxa"/>
            </w:tcMar>
            <w:vAlign w:val="bottom"/>
          </w:tcPr>
          <w:p w14:paraId="4ACE54EF"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28,751</w:t>
            </w:r>
          </w:p>
        </w:tc>
        <w:tc>
          <w:tcPr>
            <w:tcW w:w="0" w:type="auto"/>
            <w:tcBorders>
              <w:top w:val="single" w:sz="8" w:space="0" w:color="0071C5"/>
            </w:tcBorders>
            <w:shd w:val="clear" w:color="auto" w:fill="auto"/>
            <w:vAlign w:val="bottom"/>
          </w:tcPr>
          <w:p w14:paraId="4ACE54F0" w14:textId="77777777" w:rsidR="006F587A" w:rsidRDefault="006F587A">
            <w:pPr>
              <w:textAlignment w:val="bottom"/>
              <w:rPr>
                <w:rFonts w:ascii="Times New Roman" w:hAnsi="Times New Roman"/>
                <w:sz w:val="20"/>
                <w:szCs w:val="20"/>
              </w:rPr>
            </w:pPr>
          </w:p>
        </w:tc>
      </w:tr>
    </w:tbl>
    <w:p w14:paraId="4ACE54F2" w14:textId="77777777" w:rsidR="006F587A" w:rsidRDefault="006F587A"/>
    <w:p w14:paraId="4ACE54F3"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lastRenderedPageBreak/>
        <w:t>In the preceding table, the 2009 Debentures are classified based on their stated maturity date, regardless of their classification on the Conso</w:t>
      </w:r>
      <w:r>
        <w:rPr>
          <w:rFonts w:ascii="Arial" w:eastAsia="宋体" w:hAnsi="Arial" w:cs="Arial"/>
          <w:color w:val="333333"/>
          <w:sz w:val="18"/>
          <w:szCs w:val="18"/>
        </w:rPr>
        <w:t xml:space="preserve">lidated Balance Sheet. </w:t>
      </w:r>
    </w:p>
    <w:p w14:paraId="4ACE54F4"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54F6" w14:textId="77777777">
        <w:tc>
          <w:tcPr>
            <w:tcW w:w="0" w:type="auto"/>
            <w:gridSpan w:val="3"/>
            <w:shd w:val="clear" w:color="auto" w:fill="auto"/>
            <w:vAlign w:val="center"/>
          </w:tcPr>
          <w:p w14:paraId="4ACE54F5" w14:textId="77777777" w:rsidR="006F587A" w:rsidRDefault="006F587A">
            <w:pPr>
              <w:rPr>
                <w:rFonts w:ascii="Times New Roman" w:hAnsi="Times New Roman"/>
                <w:sz w:val="20"/>
                <w:szCs w:val="20"/>
              </w:rPr>
            </w:pPr>
          </w:p>
        </w:tc>
      </w:tr>
      <w:tr w:rsidR="006F587A" w14:paraId="4ACE54FA" w14:textId="77777777">
        <w:tc>
          <w:tcPr>
            <w:tcW w:w="1300" w:type="pct"/>
            <w:shd w:val="clear" w:color="auto" w:fill="auto"/>
            <w:vAlign w:val="center"/>
          </w:tcPr>
          <w:p w14:paraId="4ACE54F7" w14:textId="77777777" w:rsidR="006F587A" w:rsidRDefault="006F587A">
            <w:pPr>
              <w:rPr>
                <w:rFonts w:ascii="Times New Roman" w:hAnsi="Times New Roman"/>
                <w:sz w:val="20"/>
                <w:szCs w:val="20"/>
              </w:rPr>
            </w:pPr>
          </w:p>
        </w:tc>
        <w:tc>
          <w:tcPr>
            <w:tcW w:w="1600" w:type="pct"/>
            <w:shd w:val="clear" w:color="auto" w:fill="auto"/>
            <w:vAlign w:val="center"/>
          </w:tcPr>
          <w:p w14:paraId="4ACE54F8" w14:textId="77777777" w:rsidR="006F587A" w:rsidRDefault="006F587A">
            <w:pPr>
              <w:rPr>
                <w:rFonts w:ascii="Times New Roman" w:hAnsi="Times New Roman"/>
                <w:sz w:val="20"/>
                <w:szCs w:val="20"/>
              </w:rPr>
            </w:pPr>
          </w:p>
        </w:tc>
        <w:tc>
          <w:tcPr>
            <w:tcW w:w="2100" w:type="pct"/>
            <w:shd w:val="clear" w:color="auto" w:fill="auto"/>
            <w:vAlign w:val="center"/>
          </w:tcPr>
          <w:p w14:paraId="4ACE54F9" w14:textId="77777777" w:rsidR="006F587A" w:rsidRDefault="006F587A">
            <w:pPr>
              <w:rPr>
                <w:rFonts w:ascii="Times New Roman" w:hAnsi="Times New Roman"/>
                <w:sz w:val="20"/>
                <w:szCs w:val="20"/>
              </w:rPr>
            </w:pPr>
          </w:p>
        </w:tc>
      </w:tr>
      <w:tr w:rsidR="006F587A" w14:paraId="4ACE54FE" w14:textId="77777777">
        <w:tc>
          <w:tcPr>
            <w:tcW w:w="0" w:type="auto"/>
            <w:tcBorders>
              <w:top w:val="single" w:sz="8" w:space="0" w:color="0071C5"/>
            </w:tcBorders>
            <w:shd w:val="clear" w:color="auto" w:fill="auto"/>
            <w:tcMar>
              <w:top w:w="40" w:type="dxa"/>
              <w:left w:w="40" w:type="dxa"/>
              <w:bottom w:w="40" w:type="dxa"/>
              <w:right w:w="40" w:type="dxa"/>
            </w:tcMar>
            <w:vAlign w:val="bottom"/>
          </w:tcPr>
          <w:p w14:paraId="4ACE54FB" w14:textId="77777777" w:rsidR="006F587A" w:rsidRDefault="007B2B61">
            <w:pPr>
              <w:textAlignment w:val="bottom"/>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E08" wp14:editId="4ACE6E09">
                  <wp:extent cx="304800" cy="304800"/>
                  <wp:effectExtent l="0" t="0" r="0" b="0"/>
                  <wp:docPr id="204" name="图片 330"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330"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left w:val="single" w:sz="36" w:space="0" w:color="0071C5"/>
            </w:tcBorders>
            <w:shd w:val="clear" w:color="auto" w:fill="auto"/>
            <w:tcMar>
              <w:top w:w="40" w:type="dxa"/>
              <w:left w:w="40" w:type="dxa"/>
              <w:bottom w:w="40" w:type="dxa"/>
              <w:right w:w="40" w:type="dxa"/>
            </w:tcMar>
            <w:vAlign w:val="bottom"/>
          </w:tcPr>
          <w:p w14:paraId="4ACE54FC" w14:textId="77777777" w:rsidR="006F587A" w:rsidRDefault="007B2B61">
            <w:pPr>
              <w:textAlignment w:val="bottom"/>
              <w:rPr>
                <w:rFonts w:ascii="Times New Roman" w:hAnsi="Times New Roman"/>
                <w:sz w:val="16"/>
                <w:szCs w:val="16"/>
              </w:rPr>
            </w:pPr>
            <w:r>
              <w:rPr>
                <w:rFonts w:ascii="Arial" w:eastAsia="宋体" w:hAnsi="Arial" w:cs="Arial"/>
                <w:color w:val="333333"/>
                <w:sz w:val="16"/>
                <w:szCs w:val="16"/>
              </w:rPr>
              <w:t> Notes to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54FD"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96</w:t>
            </w:r>
          </w:p>
        </w:tc>
      </w:tr>
    </w:tbl>
    <w:p w14:paraId="4ACE54FF" w14:textId="77777777" w:rsidR="006F587A" w:rsidRDefault="007B2B61">
      <w:r>
        <w:pict w14:anchorId="4ACE6E0A">
          <v:rect id="_x0000_i1122" style="width:415.3pt;height:1.5pt" o:hralign="center" o:hrstd="t" o:hr="t" fillcolor="#a0a0a0" stroked="f"/>
        </w:pict>
      </w:r>
    </w:p>
    <w:p w14:paraId="4ACE5500" w14:textId="77777777" w:rsidR="006F587A" w:rsidRDefault="007B2B61">
      <w:pPr>
        <w:spacing w:line="288" w:lineRule="auto"/>
        <w:jc w:val="right"/>
        <w:rPr>
          <w:rFonts w:ascii="Times New Roman" w:hAnsi="Times New Roman"/>
          <w:sz w:val="16"/>
          <w:szCs w:val="16"/>
        </w:rPr>
      </w:pPr>
      <w:hyperlink r:id="rId161" w:anchor="s9DB683E2CF52561EB8A73BE37F5BF9BE" w:history="1">
        <w:r>
          <w:rPr>
            <w:rStyle w:val="a5"/>
            <w:rFonts w:ascii="Arial" w:eastAsia="宋体" w:hAnsi="Arial" w:cs="Arial"/>
            <w:b/>
            <w:bCs/>
            <w:sz w:val="16"/>
            <w:szCs w:val="16"/>
          </w:rPr>
          <w:t>Table of Contents</w:t>
        </w:r>
      </w:hyperlink>
    </w:p>
    <w:p w14:paraId="4ACE5501" w14:textId="77777777" w:rsidR="006F587A" w:rsidRDefault="006F587A">
      <w:pPr>
        <w:spacing w:line="288" w:lineRule="auto"/>
        <w:jc w:val="right"/>
        <w:rPr>
          <w:rFonts w:ascii="Times New Roman" w:hAnsi="Times New Roman"/>
          <w:sz w:val="16"/>
          <w:szCs w:val="16"/>
        </w:rPr>
      </w:pPr>
    </w:p>
    <w:p w14:paraId="4ACE5502"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1080"/>
        <w:gridCol w:w="7226"/>
      </w:tblGrid>
      <w:tr w:rsidR="006F587A" w14:paraId="4ACE5504" w14:textId="77777777">
        <w:tc>
          <w:tcPr>
            <w:tcW w:w="0" w:type="auto"/>
            <w:gridSpan w:val="2"/>
            <w:shd w:val="clear" w:color="auto" w:fill="auto"/>
            <w:vAlign w:val="center"/>
          </w:tcPr>
          <w:p w14:paraId="4ACE5503" w14:textId="77777777" w:rsidR="006F587A" w:rsidRDefault="006F587A">
            <w:pPr>
              <w:rPr>
                <w:rFonts w:ascii="Times New Roman" w:hAnsi="Times New Roman"/>
                <w:sz w:val="20"/>
                <w:szCs w:val="20"/>
              </w:rPr>
            </w:pPr>
          </w:p>
        </w:tc>
      </w:tr>
      <w:tr w:rsidR="006F587A" w14:paraId="4ACE5507" w14:textId="77777777">
        <w:tc>
          <w:tcPr>
            <w:tcW w:w="650" w:type="pct"/>
            <w:shd w:val="clear" w:color="auto" w:fill="auto"/>
            <w:vAlign w:val="center"/>
          </w:tcPr>
          <w:p w14:paraId="4ACE5505" w14:textId="77777777" w:rsidR="006F587A" w:rsidRDefault="006F587A">
            <w:pPr>
              <w:rPr>
                <w:rFonts w:ascii="Times New Roman" w:hAnsi="Times New Roman"/>
                <w:sz w:val="20"/>
                <w:szCs w:val="20"/>
              </w:rPr>
            </w:pPr>
          </w:p>
        </w:tc>
        <w:tc>
          <w:tcPr>
            <w:tcW w:w="4350" w:type="pct"/>
            <w:shd w:val="clear" w:color="auto" w:fill="auto"/>
            <w:vAlign w:val="center"/>
          </w:tcPr>
          <w:p w14:paraId="4ACE5506" w14:textId="77777777" w:rsidR="006F587A" w:rsidRDefault="006F587A">
            <w:pPr>
              <w:rPr>
                <w:rFonts w:ascii="Times New Roman" w:hAnsi="Times New Roman"/>
                <w:sz w:val="20"/>
                <w:szCs w:val="20"/>
              </w:rPr>
            </w:pPr>
          </w:p>
        </w:tc>
      </w:tr>
      <w:tr w:rsidR="006F587A" w14:paraId="4ACE550A" w14:textId="77777777">
        <w:tc>
          <w:tcPr>
            <w:tcW w:w="0" w:type="auto"/>
            <w:tcBorders>
              <w:bottom w:val="single" w:sz="8" w:space="0" w:color="0071C5"/>
            </w:tcBorders>
            <w:shd w:val="clear" w:color="auto" w:fill="0071C5"/>
            <w:tcMar>
              <w:top w:w="40" w:type="dxa"/>
              <w:left w:w="40" w:type="dxa"/>
              <w:bottom w:w="40" w:type="dxa"/>
              <w:right w:w="40" w:type="dxa"/>
            </w:tcMar>
            <w:vAlign w:val="bottom"/>
          </w:tcPr>
          <w:p w14:paraId="4ACE5508" w14:textId="77777777" w:rsidR="006F587A" w:rsidRDefault="007B2B61">
            <w:pPr>
              <w:textAlignment w:val="bottom"/>
              <w:rPr>
                <w:rFonts w:ascii="Times New Roman" w:hAnsi="Times New Roman"/>
                <w:sz w:val="28"/>
                <w:szCs w:val="28"/>
              </w:rPr>
            </w:pPr>
            <w:r>
              <w:rPr>
                <w:rFonts w:ascii="Arial" w:eastAsia="宋体" w:hAnsi="Arial" w:cs="Arial"/>
                <w:b/>
                <w:bCs/>
                <w:color w:val="FFFFFF"/>
                <w:sz w:val="28"/>
                <w:szCs w:val="28"/>
                <w:shd w:val="clear" w:color="auto" w:fill="0071C5"/>
              </w:rPr>
              <w:t xml:space="preserve">NOTE 15 : </w:t>
            </w:r>
          </w:p>
        </w:tc>
        <w:tc>
          <w:tcPr>
            <w:tcW w:w="0" w:type="auto"/>
            <w:tcBorders>
              <w:bottom w:val="single" w:sz="8" w:space="0" w:color="0071C5"/>
            </w:tcBorders>
            <w:shd w:val="clear" w:color="auto" w:fill="auto"/>
            <w:tcMar>
              <w:top w:w="40" w:type="dxa"/>
              <w:left w:w="40" w:type="dxa"/>
              <w:bottom w:w="40" w:type="dxa"/>
              <w:right w:w="40" w:type="dxa"/>
            </w:tcMar>
            <w:vAlign w:val="bottom"/>
          </w:tcPr>
          <w:p w14:paraId="4ACE5509" w14:textId="77777777" w:rsidR="006F587A" w:rsidRDefault="007B2B61">
            <w:pPr>
              <w:textAlignment w:val="bottom"/>
              <w:rPr>
                <w:rFonts w:ascii="Times New Roman" w:hAnsi="Times New Roman"/>
                <w:sz w:val="28"/>
                <w:szCs w:val="28"/>
              </w:rPr>
            </w:pPr>
            <w:r>
              <w:rPr>
                <w:rFonts w:ascii="Arial" w:eastAsia="宋体" w:hAnsi="Arial" w:cs="Arial"/>
                <w:b/>
                <w:bCs/>
                <w:color w:val="0071C5"/>
                <w:sz w:val="28"/>
                <w:szCs w:val="28"/>
              </w:rPr>
              <w:t>FAIR VALUE</w:t>
            </w:r>
          </w:p>
        </w:tc>
      </w:tr>
    </w:tbl>
    <w:p w14:paraId="4ACE550B" w14:textId="77777777" w:rsidR="006F587A" w:rsidRDefault="006F587A">
      <w:pPr>
        <w:spacing w:line="288" w:lineRule="auto"/>
        <w:rPr>
          <w:rFonts w:ascii="Times New Roman" w:hAnsi="Times New Roman"/>
          <w:sz w:val="28"/>
          <w:szCs w:val="28"/>
        </w:rPr>
      </w:pPr>
    </w:p>
    <w:p w14:paraId="4ACE550C" w14:textId="77777777" w:rsidR="006F587A" w:rsidRDefault="007B2B61">
      <w:pPr>
        <w:spacing w:line="288" w:lineRule="auto"/>
        <w:rPr>
          <w:rFonts w:ascii="Times New Roman" w:hAnsi="Times New Roman"/>
        </w:rPr>
      </w:pPr>
      <w:r>
        <w:rPr>
          <w:rFonts w:ascii="Arial" w:eastAsia="宋体" w:hAnsi="Arial" w:cs="Arial"/>
          <w:b/>
          <w:bCs/>
          <w:color w:val="0071C5"/>
        </w:rPr>
        <w:t>ASSETS AND LIABILITIES MEASURED AND RECORDED AT FAIR VALUE ON A RECURRING BASIS</w:t>
      </w:r>
    </w:p>
    <w:tbl>
      <w:tblPr>
        <w:tblW w:w="5000" w:type="pct"/>
        <w:tblCellMar>
          <w:left w:w="0" w:type="dxa"/>
          <w:right w:w="0" w:type="dxa"/>
        </w:tblCellMar>
        <w:tblLook w:val="04A0" w:firstRow="1" w:lastRow="0" w:firstColumn="1" w:lastColumn="0" w:noHBand="0" w:noVBand="1"/>
      </w:tblPr>
      <w:tblGrid>
        <w:gridCol w:w="1996"/>
        <w:gridCol w:w="130"/>
        <w:gridCol w:w="141"/>
        <w:gridCol w:w="503"/>
        <w:gridCol w:w="6"/>
        <w:gridCol w:w="130"/>
        <w:gridCol w:w="141"/>
        <w:gridCol w:w="551"/>
        <w:gridCol w:w="6"/>
        <w:gridCol w:w="130"/>
        <w:gridCol w:w="143"/>
        <w:gridCol w:w="405"/>
        <w:gridCol w:w="67"/>
        <w:gridCol w:w="130"/>
        <w:gridCol w:w="141"/>
        <w:gridCol w:w="551"/>
        <w:gridCol w:w="6"/>
        <w:gridCol w:w="130"/>
        <w:gridCol w:w="141"/>
        <w:gridCol w:w="451"/>
        <w:gridCol w:w="6"/>
        <w:gridCol w:w="130"/>
        <w:gridCol w:w="141"/>
        <w:gridCol w:w="551"/>
        <w:gridCol w:w="6"/>
        <w:gridCol w:w="130"/>
        <w:gridCol w:w="143"/>
        <w:gridCol w:w="405"/>
        <w:gridCol w:w="67"/>
        <w:gridCol w:w="130"/>
        <w:gridCol w:w="141"/>
        <w:gridCol w:w="551"/>
        <w:gridCol w:w="6"/>
      </w:tblGrid>
      <w:tr w:rsidR="006F587A" w14:paraId="4ACE550E" w14:textId="77777777">
        <w:tc>
          <w:tcPr>
            <w:tcW w:w="0" w:type="auto"/>
            <w:gridSpan w:val="33"/>
            <w:shd w:val="clear" w:color="auto" w:fill="auto"/>
            <w:vAlign w:val="center"/>
          </w:tcPr>
          <w:p w14:paraId="4ACE550D" w14:textId="77777777" w:rsidR="006F587A" w:rsidRDefault="006F587A">
            <w:pPr>
              <w:rPr>
                <w:rFonts w:ascii="Times New Roman" w:hAnsi="Times New Roman"/>
                <w:sz w:val="20"/>
                <w:szCs w:val="20"/>
              </w:rPr>
            </w:pPr>
          </w:p>
        </w:tc>
      </w:tr>
      <w:tr w:rsidR="006F587A" w14:paraId="4ACE5530" w14:textId="77777777">
        <w:tc>
          <w:tcPr>
            <w:tcW w:w="1250" w:type="pct"/>
            <w:shd w:val="clear" w:color="auto" w:fill="auto"/>
            <w:vAlign w:val="center"/>
          </w:tcPr>
          <w:p w14:paraId="4ACE550F" w14:textId="77777777" w:rsidR="006F587A" w:rsidRDefault="006F587A">
            <w:pPr>
              <w:rPr>
                <w:rFonts w:ascii="Times New Roman" w:hAnsi="Times New Roman"/>
                <w:sz w:val="20"/>
                <w:szCs w:val="20"/>
              </w:rPr>
            </w:pPr>
          </w:p>
        </w:tc>
        <w:tc>
          <w:tcPr>
            <w:tcW w:w="50" w:type="pct"/>
            <w:shd w:val="clear" w:color="auto" w:fill="auto"/>
            <w:vAlign w:val="center"/>
          </w:tcPr>
          <w:p w14:paraId="4ACE5510" w14:textId="77777777" w:rsidR="006F587A" w:rsidRDefault="006F587A">
            <w:pPr>
              <w:rPr>
                <w:rFonts w:ascii="Times New Roman" w:hAnsi="Times New Roman"/>
                <w:sz w:val="20"/>
                <w:szCs w:val="20"/>
              </w:rPr>
            </w:pPr>
          </w:p>
        </w:tc>
        <w:tc>
          <w:tcPr>
            <w:tcW w:w="50" w:type="pct"/>
            <w:shd w:val="clear" w:color="auto" w:fill="auto"/>
            <w:vAlign w:val="center"/>
          </w:tcPr>
          <w:p w14:paraId="4ACE5511" w14:textId="77777777" w:rsidR="006F587A" w:rsidRDefault="006F587A">
            <w:pPr>
              <w:rPr>
                <w:rFonts w:ascii="Times New Roman" w:hAnsi="Times New Roman"/>
                <w:sz w:val="20"/>
                <w:szCs w:val="20"/>
              </w:rPr>
            </w:pPr>
          </w:p>
        </w:tc>
        <w:tc>
          <w:tcPr>
            <w:tcW w:w="350" w:type="pct"/>
            <w:shd w:val="clear" w:color="auto" w:fill="auto"/>
            <w:vAlign w:val="center"/>
          </w:tcPr>
          <w:p w14:paraId="4ACE5512" w14:textId="77777777" w:rsidR="006F587A" w:rsidRDefault="006F587A">
            <w:pPr>
              <w:rPr>
                <w:rFonts w:ascii="Times New Roman" w:hAnsi="Times New Roman"/>
                <w:sz w:val="20"/>
                <w:szCs w:val="20"/>
              </w:rPr>
            </w:pPr>
          </w:p>
        </w:tc>
        <w:tc>
          <w:tcPr>
            <w:tcW w:w="50" w:type="pct"/>
            <w:shd w:val="clear" w:color="auto" w:fill="auto"/>
            <w:vAlign w:val="center"/>
          </w:tcPr>
          <w:p w14:paraId="4ACE5513" w14:textId="77777777" w:rsidR="006F587A" w:rsidRDefault="006F587A">
            <w:pPr>
              <w:rPr>
                <w:rFonts w:ascii="Times New Roman" w:hAnsi="Times New Roman"/>
                <w:sz w:val="20"/>
                <w:szCs w:val="20"/>
              </w:rPr>
            </w:pPr>
          </w:p>
        </w:tc>
        <w:tc>
          <w:tcPr>
            <w:tcW w:w="50" w:type="pct"/>
            <w:shd w:val="clear" w:color="auto" w:fill="auto"/>
            <w:vAlign w:val="center"/>
          </w:tcPr>
          <w:p w14:paraId="4ACE5514" w14:textId="77777777" w:rsidR="006F587A" w:rsidRDefault="006F587A">
            <w:pPr>
              <w:rPr>
                <w:rFonts w:ascii="Times New Roman" w:hAnsi="Times New Roman"/>
                <w:sz w:val="20"/>
                <w:szCs w:val="20"/>
              </w:rPr>
            </w:pPr>
          </w:p>
        </w:tc>
        <w:tc>
          <w:tcPr>
            <w:tcW w:w="50" w:type="pct"/>
            <w:shd w:val="clear" w:color="auto" w:fill="auto"/>
            <w:vAlign w:val="center"/>
          </w:tcPr>
          <w:p w14:paraId="4ACE5515" w14:textId="77777777" w:rsidR="006F587A" w:rsidRDefault="006F587A">
            <w:pPr>
              <w:rPr>
                <w:rFonts w:ascii="Times New Roman" w:hAnsi="Times New Roman"/>
                <w:sz w:val="20"/>
                <w:szCs w:val="20"/>
              </w:rPr>
            </w:pPr>
          </w:p>
        </w:tc>
        <w:tc>
          <w:tcPr>
            <w:tcW w:w="350" w:type="pct"/>
            <w:shd w:val="clear" w:color="auto" w:fill="auto"/>
            <w:vAlign w:val="center"/>
          </w:tcPr>
          <w:p w14:paraId="4ACE5516" w14:textId="77777777" w:rsidR="006F587A" w:rsidRDefault="006F587A">
            <w:pPr>
              <w:rPr>
                <w:rFonts w:ascii="Times New Roman" w:hAnsi="Times New Roman"/>
                <w:sz w:val="20"/>
                <w:szCs w:val="20"/>
              </w:rPr>
            </w:pPr>
          </w:p>
        </w:tc>
        <w:tc>
          <w:tcPr>
            <w:tcW w:w="50" w:type="pct"/>
            <w:shd w:val="clear" w:color="auto" w:fill="auto"/>
            <w:vAlign w:val="center"/>
          </w:tcPr>
          <w:p w14:paraId="4ACE5517" w14:textId="77777777" w:rsidR="006F587A" w:rsidRDefault="006F587A">
            <w:pPr>
              <w:rPr>
                <w:rFonts w:ascii="Times New Roman" w:hAnsi="Times New Roman"/>
                <w:sz w:val="20"/>
                <w:szCs w:val="20"/>
              </w:rPr>
            </w:pPr>
          </w:p>
        </w:tc>
        <w:tc>
          <w:tcPr>
            <w:tcW w:w="50" w:type="pct"/>
            <w:shd w:val="clear" w:color="auto" w:fill="auto"/>
            <w:vAlign w:val="center"/>
          </w:tcPr>
          <w:p w14:paraId="4ACE5518" w14:textId="77777777" w:rsidR="006F587A" w:rsidRDefault="006F587A">
            <w:pPr>
              <w:rPr>
                <w:rFonts w:ascii="Times New Roman" w:hAnsi="Times New Roman"/>
                <w:sz w:val="20"/>
                <w:szCs w:val="20"/>
              </w:rPr>
            </w:pPr>
          </w:p>
        </w:tc>
        <w:tc>
          <w:tcPr>
            <w:tcW w:w="50" w:type="pct"/>
            <w:shd w:val="clear" w:color="auto" w:fill="auto"/>
            <w:vAlign w:val="center"/>
          </w:tcPr>
          <w:p w14:paraId="4ACE5519" w14:textId="77777777" w:rsidR="006F587A" w:rsidRDefault="006F587A">
            <w:pPr>
              <w:rPr>
                <w:rFonts w:ascii="Times New Roman" w:hAnsi="Times New Roman"/>
                <w:sz w:val="20"/>
                <w:szCs w:val="20"/>
              </w:rPr>
            </w:pPr>
          </w:p>
        </w:tc>
        <w:tc>
          <w:tcPr>
            <w:tcW w:w="300" w:type="pct"/>
            <w:shd w:val="clear" w:color="auto" w:fill="auto"/>
            <w:vAlign w:val="center"/>
          </w:tcPr>
          <w:p w14:paraId="4ACE551A" w14:textId="77777777" w:rsidR="006F587A" w:rsidRDefault="006F587A">
            <w:pPr>
              <w:rPr>
                <w:rFonts w:ascii="Times New Roman" w:hAnsi="Times New Roman"/>
                <w:sz w:val="20"/>
                <w:szCs w:val="20"/>
              </w:rPr>
            </w:pPr>
          </w:p>
        </w:tc>
        <w:tc>
          <w:tcPr>
            <w:tcW w:w="50" w:type="pct"/>
            <w:shd w:val="clear" w:color="auto" w:fill="auto"/>
            <w:vAlign w:val="center"/>
          </w:tcPr>
          <w:p w14:paraId="4ACE551B" w14:textId="77777777" w:rsidR="006F587A" w:rsidRDefault="006F587A">
            <w:pPr>
              <w:rPr>
                <w:rFonts w:ascii="Times New Roman" w:hAnsi="Times New Roman"/>
                <w:sz w:val="20"/>
                <w:szCs w:val="20"/>
              </w:rPr>
            </w:pPr>
          </w:p>
        </w:tc>
        <w:tc>
          <w:tcPr>
            <w:tcW w:w="50" w:type="pct"/>
            <w:shd w:val="clear" w:color="auto" w:fill="auto"/>
            <w:vAlign w:val="center"/>
          </w:tcPr>
          <w:p w14:paraId="4ACE551C" w14:textId="77777777" w:rsidR="006F587A" w:rsidRDefault="006F587A">
            <w:pPr>
              <w:rPr>
                <w:rFonts w:ascii="Times New Roman" w:hAnsi="Times New Roman"/>
                <w:sz w:val="20"/>
                <w:szCs w:val="20"/>
              </w:rPr>
            </w:pPr>
          </w:p>
        </w:tc>
        <w:tc>
          <w:tcPr>
            <w:tcW w:w="50" w:type="pct"/>
            <w:shd w:val="clear" w:color="auto" w:fill="auto"/>
            <w:vAlign w:val="center"/>
          </w:tcPr>
          <w:p w14:paraId="4ACE551D" w14:textId="77777777" w:rsidR="006F587A" w:rsidRDefault="006F587A">
            <w:pPr>
              <w:rPr>
                <w:rFonts w:ascii="Times New Roman" w:hAnsi="Times New Roman"/>
                <w:sz w:val="20"/>
                <w:szCs w:val="20"/>
              </w:rPr>
            </w:pPr>
          </w:p>
        </w:tc>
        <w:tc>
          <w:tcPr>
            <w:tcW w:w="300" w:type="pct"/>
            <w:shd w:val="clear" w:color="auto" w:fill="auto"/>
            <w:vAlign w:val="center"/>
          </w:tcPr>
          <w:p w14:paraId="4ACE551E" w14:textId="77777777" w:rsidR="006F587A" w:rsidRDefault="006F587A">
            <w:pPr>
              <w:rPr>
                <w:rFonts w:ascii="Times New Roman" w:hAnsi="Times New Roman"/>
                <w:sz w:val="20"/>
                <w:szCs w:val="20"/>
              </w:rPr>
            </w:pPr>
          </w:p>
        </w:tc>
        <w:tc>
          <w:tcPr>
            <w:tcW w:w="50" w:type="pct"/>
            <w:shd w:val="clear" w:color="auto" w:fill="auto"/>
            <w:vAlign w:val="center"/>
          </w:tcPr>
          <w:p w14:paraId="4ACE551F" w14:textId="77777777" w:rsidR="006F587A" w:rsidRDefault="006F587A">
            <w:pPr>
              <w:rPr>
                <w:rFonts w:ascii="Times New Roman" w:hAnsi="Times New Roman"/>
                <w:sz w:val="20"/>
                <w:szCs w:val="20"/>
              </w:rPr>
            </w:pPr>
          </w:p>
        </w:tc>
        <w:tc>
          <w:tcPr>
            <w:tcW w:w="50" w:type="pct"/>
            <w:shd w:val="clear" w:color="auto" w:fill="auto"/>
            <w:vAlign w:val="center"/>
          </w:tcPr>
          <w:p w14:paraId="4ACE5520" w14:textId="77777777" w:rsidR="006F587A" w:rsidRDefault="006F587A">
            <w:pPr>
              <w:rPr>
                <w:rFonts w:ascii="Times New Roman" w:hAnsi="Times New Roman"/>
                <w:sz w:val="20"/>
                <w:szCs w:val="20"/>
              </w:rPr>
            </w:pPr>
          </w:p>
        </w:tc>
        <w:tc>
          <w:tcPr>
            <w:tcW w:w="50" w:type="pct"/>
            <w:shd w:val="clear" w:color="auto" w:fill="auto"/>
            <w:vAlign w:val="center"/>
          </w:tcPr>
          <w:p w14:paraId="4ACE5521" w14:textId="77777777" w:rsidR="006F587A" w:rsidRDefault="006F587A">
            <w:pPr>
              <w:rPr>
                <w:rFonts w:ascii="Times New Roman" w:hAnsi="Times New Roman"/>
                <w:sz w:val="20"/>
                <w:szCs w:val="20"/>
              </w:rPr>
            </w:pPr>
          </w:p>
        </w:tc>
        <w:tc>
          <w:tcPr>
            <w:tcW w:w="300" w:type="pct"/>
            <w:shd w:val="clear" w:color="auto" w:fill="auto"/>
            <w:vAlign w:val="center"/>
          </w:tcPr>
          <w:p w14:paraId="4ACE5522" w14:textId="77777777" w:rsidR="006F587A" w:rsidRDefault="006F587A">
            <w:pPr>
              <w:rPr>
                <w:rFonts w:ascii="Times New Roman" w:hAnsi="Times New Roman"/>
                <w:sz w:val="20"/>
                <w:szCs w:val="20"/>
              </w:rPr>
            </w:pPr>
          </w:p>
        </w:tc>
        <w:tc>
          <w:tcPr>
            <w:tcW w:w="50" w:type="pct"/>
            <w:shd w:val="clear" w:color="auto" w:fill="auto"/>
            <w:vAlign w:val="center"/>
          </w:tcPr>
          <w:p w14:paraId="4ACE5523" w14:textId="77777777" w:rsidR="006F587A" w:rsidRDefault="006F587A">
            <w:pPr>
              <w:rPr>
                <w:rFonts w:ascii="Times New Roman" w:hAnsi="Times New Roman"/>
                <w:sz w:val="20"/>
                <w:szCs w:val="20"/>
              </w:rPr>
            </w:pPr>
          </w:p>
        </w:tc>
        <w:tc>
          <w:tcPr>
            <w:tcW w:w="50" w:type="pct"/>
            <w:shd w:val="clear" w:color="auto" w:fill="auto"/>
            <w:vAlign w:val="center"/>
          </w:tcPr>
          <w:p w14:paraId="4ACE5524" w14:textId="77777777" w:rsidR="006F587A" w:rsidRDefault="006F587A">
            <w:pPr>
              <w:rPr>
                <w:rFonts w:ascii="Times New Roman" w:hAnsi="Times New Roman"/>
                <w:sz w:val="20"/>
                <w:szCs w:val="20"/>
              </w:rPr>
            </w:pPr>
          </w:p>
        </w:tc>
        <w:tc>
          <w:tcPr>
            <w:tcW w:w="50" w:type="pct"/>
            <w:shd w:val="clear" w:color="auto" w:fill="auto"/>
            <w:vAlign w:val="center"/>
          </w:tcPr>
          <w:p w14:paraId="4ACE5525" w14:textId="77777777" w:rsidR="006F587A" w:rsidRDefault="006F587A">
            <w:pPr>
              <w:rPr>
                <w:rFonts w:ascii="Times New Roman" w:hAnsi="Times New Roman"/>
                <w:sz w:val="20"/>
                <w:szCs w:val="20"/>
              </w:rPr>
            </w:pPr>
          </w:p>
        </w:tc>
        <w:tc>
          <w:tcPr>
            <w:tcW w:w="350" w:type="pct"/>
            <w:shd w:val="clear" w:color="auto" w:fill="auto"/>
            <w:vAlign w:val="center"/>
          </w:tcPr>
          <w:p w14:paraId="4ACE5526" w14:textId="77777777" w:rsidR="006F587A" w:rsidRDefault="006F587A">
            <w:pPr>
              <w:rPr>
                <w:rFonts w:ascii="Times New Roman" w:hAnsi="Times New Roman"/>
                <w:sz w:val="20"/>
                <w:szCs w:val="20"/>
              </w:rPr>
            </w:pPr>
          </w:p>
        </w:tc>
        <w:tc>
          <w:tcPr>
            <w:tcW w:w="50" w:type="pct"/>
            <w:shd w:val="clear" w:color="auto" w:fill="auto"/>
            <w:vAlign w:val="center"/>
          </w:tcPr>
          <w:p w14:paraId="4ACE5527" w14:textId="77777777" w:rsidR="006F587A" w:rsidRDefault="006F587A">
            <w:pPr>
              <w:rPr>
                <w:rFonts w:ascii="Times New Roman" w:hAnsi="Times New Roman"/>
                <w:sz w:val="20"/>
                <w:szCs w:val="20"/>
              </w:rPr>
            </w:pPr>
          </w:p>
        </w:tc>
        <w:tc>
          <w:tcPr>
            <w:tcW w:w="50" w:type="pct"/>
            <w:shd w:val="clear" w:color="auto" w:fill="auto"/>
            <w:vAlign w:val="center"/>
          </w:tcPr>
          <w:p w14:paraId="4ACE5528" w14:textId="77777777" w:rsidR="006F587A" w:rsidRDefault="006F587A">
            <w:pPr>
              <w:rPr>
                <w:rFonts w:ascii="Times New Roman" w:hAnsi="Times New Roman"/>
                <w:sz w:val="20"/>
                <w:szCs w:val="20"/>
              </w:rPr>
            </w:pPr>
          </w:p>
        </w:tc>
        <w:tc>
          <w:tcPr>
            <w:tcW w:w="50" w:type="pct"/>
            <w:shd w:val="clear" w:color="auto" w:fill="auto"/>
            <w:vAlign w:val="center"/>
          </w:tcPr>
          <w:p w14:paraId="4ACE5529" w14:textId="77777777" w:rsidR="006F587A" w:rsidRDefault="006F587A">
            <w:pPr>
              <w:rPr>
                <w:rFonts w:ascii="Times New Roman" w:hAnsi="Times New Roman"/>
                <w:sz w:val="20"/>
                <w:szCs w:val="20"/>
              </w:rPr>
            </w:pPr>
          </w:p>
        </w:tc>
        <w:tc>
          <w:tcPr>
            <w:tcW w:w="300" w:type="pct"/>
            <w:shd w:val="clear" w:color="auto" w:fill="auto"/>
            <w:vAlign w:val="center"/>
          </w:tcPr>
          <w:p w14:paraId="4ACE552A" w14:textId="77777777" w:rsidR="006F587A" w:rsidRDefault="006F587A">
            <w:pPr>
              <w:rPr>
                <w:rFonts w:ascii="Times New Roman" w:hAnsi="Times New Roman"/>
                <w:sz w:val="20"/>
                <w:szCs w:val="20"/>
              </w:rPr>
            </w:pPr>
          </w:p>
        </w:tc>
        <w:tc>
          <w:tcPr>
            <w:tcW w:w="50" w:type="pct"/>
            <w:shd w:val="clear" w:color="auto" w:fill="auto"/>
            <w:vAlign w:val="center"/>
          </w:tcPr>
          <w:p w14:paraId="4ACE552B" w14:textId="77777777" w:rsidR="006F587A" w:rsidRDefault="006F587A">
            <w:pPr>
              <w:rPr>
                <w:rFonts w:ascii="Times New Roman" w:hAnsi="Times New Roman"/>
                <w:sz w:val="20"/>
                <w:szCs w:val="20"/>
              </w:rPr>
            </w:pPr>
          </w:p>
        </w:tc>
        <w:tc>
          <w:tcPr>
            <w:tcW w:w="50" w:type="pct"/>
            <w:shd w:val="clear" w:color="auto" w:fill="auto"/>
            <w:vAlign w:val="center"/>
          </w:tcPr>
          <w:p w14:paraId="4ACE552C" w14:textId="77777777" w:rsidR="006F587A" w:rsidRDefault="006F587A">
            <w:pPr>
              <w:rPr>
                <w:rFonts w:ascii="Times New Roman" w:hAnsi="Times New Roman"/>
                <w:sz w:val="20"/>
                <w:szCs w:val="20"/>
              </w:rPr>
            </w:pPr>
          </w:p>
        </w:tc>
        <w:tc>
          <w:tcPr>
            <w:tcW w:w="50" w:type="pct"/>
            <w:shd w:val="clear" w:color="auto" w:fill="auto"/>
            <w:vAlign w:val="center"/>
          </w:tcPr>
          <w:p w14:paraId="4ACE552D" w14:textId="77777777" w:rsidR="006F587A" w:rsidRDefault="006F587A">
            <w:pPr>
              <w:rPr>
                <w:rFonts w:ascii="Times New Roman" w:hAnsi="Times New Roman"/>
                <w:sz w:val="20"/>
                <w:szCs w:val="20"/>
              </w:rPr>
            </w:pPr>
          </w:p>
        </w:tc>
        <w:tc>
          <w:tcPr>
            <w:tcW w:w="300" w:type="pct"/>
            <w:shd w:val="clear" w:color="auto" w:fill="auto"/>
            <w:vAlign w:val="center"/>
          </w:tcPr>
          <w:p w14:paraId="4ACE552E" w14:textId="77777777" w:rsidR="006F587A" w:rsidRDefault="006F587A">
            <w:pPr>
              <w:rPr>
                <w:rFonts w:ascii="Times New Roman" w:hAnsi="Times New Roman"/>
                <w:sz w:val="20"/>
                <w:szCs w:val="20"/>
              </w:rPr>
            </w:pPr>
          </w:p>
        </w:tc>
        <w:tc>
          <w:tcPr>
            <w:tcW w:w="50" w:type="pct"/>
            <w:shd w:val="clear" w:color="auto" w:fill="auto"/>
            <w:vAlign w:val="center"/>
          </w:tcPr>
          <w:p w14:paraId="4ACE552F" w14:textId="77777777" w:rsidR="006F587A" w:rsidRDefault="006F587A">
            <w:pPr>
              <w:rPr>
                <w:rFonts w:ascii="Times New Roman" w:hAnsi="Times New Roman"/>
                <w:sz w:val="20"/>
                <w:szCs w:val="20"/>
              </w:rPr>
            </w:pPr>
          </w:p>
        </w:tc>
      </w:tr>
      <w:tr w:rsidR="006F587A" w14:paraId="4ACE5536" w14:textId="77777777">
        <w:tc>
          <w:tcPr>
            <w:tcW w:w="0" w:type="auto"/>
            <w:shd w:val="clear" w:color="auto" w:fill="auto"/>
            <w:tcMar>
              <w:top w:w="40" w:type="dxa"/>
              <w:left w:w="40" w:type="dxa"/>
              <w:bottom w:w="40" w:type="dxa"/>
              <w:right w:w="40" w:type="dxa"/>
            </w:tcMar>
            <w:vAlign w:val="bottom"/>
          </w:tcPr>
          <w:p w14:paraId="4ACE553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53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71C5"/>
            </w:tcBorders>
            <w:shd w:val="clear" w:color="auto" w:fill="auto"/>
            <w:tcMar>
              <w:top w:w="40" w:type="dxa"/>
              <w:left w:w="40" w:type="dxa"/>
              <w:bottom w:w="40" w:type="dxa"/>
            </w:tcMar>
            <w:vAlign w:val="bottom"/>
          </w:tcPr>
          <w:p w14:paraId="4ACE5533"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December 28, 2019</w:t>
            </w:r>
          </w:p>
        </w:tc>
        <w:tc>
          <w:tcPr>
            <w:tcW w:w="0" w:type="auto"/>
            <w:shd w:val="clear" w:color="auto" w:fill="auto"/>
            <w:tcMar>
              <w:top w:w="40" w:type="dxa"/>
              <w:left w:w="40" w:type="dxa"/>
              <w:bottom w:w="40" w:type="dxa"/>
              <w:right w:w="40" w:type="dxa"/>
            </w:tcMar>
            <w:vAlign w:val="bottom"/>
          </w:tcPr>
          <w:p w14:paraId="4ACE553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71C5"/>
            </w:tcBorders>
            <w:shd w:val="clear" w:color="auto" w:fill="auto"/>
            <w:tcMar>
              <w:top w:w="40" w:type="dxa"/>
              <w:left w:w="40" w:type="dxa"/>
              <w:bottom w:w="40" w:type="dxa"/>
            </w:tcMar>
            <w:vAlign w:val="bottom"/>
          </w:tcPr>
          <w:p w14:paraId="4ACE5535"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December 29, 2018</w:t>
            </w:r>
          </w:p>
        </w:tc>
      </w:tr>
      <w:tr w:rsidR="006F587A" w14:paraId="4ACE5542" w14:textId="77777777">
        <w:tc>
          <w:tcPr>
            <w:tcW w:w="0" w:type="auto"/>
            <w:shd w:val="clear" w:color="auto" w:fill="auto"/>
            <w:tcMar>
              <w:top w:w="40" w:type="dxa"/>
              <w:left w:w="40" w:type="dxa"/>
              <w:bottom w:w="40" w:type="dxa"/>
              <w:right w:w="40" w:type="dxa"/>
            </w:tcMar>
            <w:vAlign w:val="bottom"/>
          </w:tcPr>
          <w:p w14:paraId="4ACE553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53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71C5"/>
            </w:tcBorders>
            <w:shd w:val="clear" w:color="auto" w:fill="auto"/>
            <w:tcMar>
              <w:top w:w="40" w:type="dxa"/>
              <w:left w:w="40" w:type="dxa"/>
              <w:bottom w:w="40" w:type="dxa"/>
            </w:tcMar>
            <w:vAlign w:val="bottom"/>
          </w:tcPr>
          <w:p w14:paraId="4ACE5539"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Fair Value Measured and</w:t>
            </w:r>
          </w:p>
          <w:p w14:paraId="4ACE553A"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Recorded at Reporting Date Using</w:t>
            </w:r>
          </w:p>
        </w:tc>
        <w:tc>
          <w:tcPr>
            <w:tcW w:w="0" w:type="auto"/>
            <w:shd w:val="clear" w:color="auto" w:fill="auto"/>
            <w:tcMar>
              <w:top w:w="40" w:type="dxa"/>
              <w:left w:w="40" w:type="dxa"/>
              <w:bottom w:w="40" w:type="dxa"/>
              <w:right w:w="40" w:type="dxa"/>
            </w:tcMar>
            <w:vAlign w:val="bottom"/>
          </w:tcPr>
          <w:p w14:paraId="4ACE553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71C5"/>
            </w:tcBorders>
            <w:shd w:val="clear" w:color="auto" w:fill="auto"/>
            <w:tcMar>
              <w:top w:w="40" w:type="dxa"/>
              <w:left w:w="40" w:type="dxa"/>
              <w:bottom w:w="40" w:type="dxa"/>
              <w:right w:w="40" w:type="dxa"/>
            </w:tcMar>
            <w:vAlign w:val="bottom"/>
          </w:tcPr>
          <w:p w14:paraId="4ACE553C"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Total</w:t>
            </w:r>
          </w:p>
        </w:tc>
        <w:tc>
          <w:tcPr>
            <w:tcW w:w="0" w:type="auto"/>
            <w:vMerge w:val="restart"/>
            <w:shd w:val="clear" w:color="auto" w:fill="auto"/>
            <w:tcMar>
              <w:top w:w="40" w:type="dxa"/>
              <w:left w:w="40" w:type="dxa"/>
              <w:bottom w:w="40" w:type="dxa"/>
              <w:right w:w="40" w:type="dxa"/>
            </w:tcMar>
            <w:vAlign w:val="bottom"/>
          </w:tcPr>
          <w:p w14:paraId="4ACE553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71C5"/>
            </w:tcBorders>
            <w:shd w:val="clear" w:color="auto" w:fill="auto"/>
            <w:tcMar>
              <w:top w:w="40" w:type="dxa"/>
              <w:left w:w="40" w:type="dxa"/>
              <w:bottom w:w="40" w:type="dxa"/>
            </w:tcMar>
            <w:vAlign w:val="bottom"/>
          </w:tcPr>
          <w:p w14:paraId="4ACE553E"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Fair Value Measured and</w:t>
            </w:r>
          </w:p>
          <w:p w14:paraId="4ACE553F"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Recorded at Reporting Date Using</w:t>
            </w:r>
          </w:p>
        </w:tc>
        <w:tc>
          <w:tcPr>
            <w:tcW w:w="0" w:type="auto"/>
            <w:shd w:val="clear" w:color="auto" w:fill="auto"/>
            <w:tcMar>
              <w:top w:w="40" w:type="dxa"/>
              <w:left w:w="40" w:type="dxa"/>
              <w:bottom w:w="40" w:type="dxa"/>
              <w:right w:w="40" w:type="dxa"/>
            </w:tcMar>
            <w:vAlign w:val="bottom"/>
          </w:tcPr>
          <w:p w14:paraId="4ACE554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71C5"/>
            </w:tcBorders>
            <w:shd w:val="clear" w:color="auto" w:fill="auto"/>
            <w:tcMar>
              <w:top w:w="40" w:type="dxa"/>
              <w:left w:w="40" w:type="dxa"/>
              <w:bottom w:w="40" w:type="dxa"/>
              <w:right w:w="40" w:type="dxa"/>
            </w:tcMar>
            <w:vAlign w:val="bottom"/>
          </w:tcPr>
          <w:p w14:paraId="4ACE5541"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Total</w:t>
            </w:r>
          </w:p>
        </w:tc>
      </w:tr>
      <w:tr w:rsidR="006F587A" w14:paraId="4ACE5554"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5543"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4ACE554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545"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Level 1</w:t>
            </w:r>
          </w:p>
        </w:tc>
        <w:tc>
          <w:tcPr>
            <w:tcW w:w="0" w:type="auto"/>
            <w:shd w:val="clear" w:color="auto" w:fill="auto"/>
            <w:tcMar>
              <w:top w:w="40" w:type="dxa"/>
              <w:left w:w="40" w:type="dxa"/>
              <w:bottom w:w="40" w:type="dxa"/>
              <w:right w:w="40" w:type="dxa"/>
            </w:tcMar>
            <w:vAlign w:val="bottom"/>
          </w:tcPr>
          <w:p w14:paraId="4ACE554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547"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Level 2</w:t>
            </w:r>
          </w:p>
        </w:tc>
        <w:tc>
          <w:tcPr>
            <w:tcW w:w="0" w:type="auto"/>
            <w:shd w:val="clear" w:color="auto" w:fill="auto"/>
            <w:tcMar>
              <w:top w:w="40" w:type="dxa"/>
              <w:left w:w="40" w:type="dxa"/>
              <w:bottom w:w="40" w:type="dxa"/>
              <w:right w:w="40" w:type="dxa"/>
            </w:tcMar>
            <w:vAlign w:val="bottom"/>
          </w:tcPr>
          <w:p w14:paraId="4ACE554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549"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Level 3</w:t>
            </w:r>
          </w:p>
        </w:tc>
        <w:tc>
          <w:tcPr>
            <w:tcW w:w="0" w:type="auto"/>
            <w:shd w:val="clear" w:color="auto" w:fill="auto"/>
            <w:tcMar>
              <w:top w:w="40" w:type="dxa"/>
              <w:left w:w="40" w:type="dxa"/>
              <w:bottom w:w="40" w:type="dxa"/>
              <w:right w:w="40" w:type="dxa"/>
            </w:tcMar>
            <w:vAlign w:val="bottom"/>
          </w:tcPr>
          <w:p w14:paraId="4ACE554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71C5"/>
            </w:tcBorders>
            <w:shd w:val="clear" w:color="auto" w:fill="auto"/>
            <w:tcMar>
              <w:top w:w="40" w:type="dxa"/>
              <w:left w:w="40" w:type="dxa"/>
              <w:bottom w:w="40" w:type="dxa"/>
              <w:right w:w="40" w:type="dxa"/>
            </w:tcMar>
            <w:vAlign w:val="bottom"/>
          </w:tcPr>
          <w:p w14:paraId="4ACE554B" w14:textId="77777777" w:rsidR="006F587A" w:rsidRDefault="006F587A">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4ACE554C" w14:textId="77777777" w:rsidR="006F587A" w:rsidRDefault="006F587A">
            <w:pPr>
              <w:rPr>
                <w:rFonts w:ascii="Times New Roman" w:hAnsi="Times New Roman"/>
                <w:sz w:val="20"/>
                <w:szCs w:val="20"/>
              </w:rPr>
            </w:pP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54D"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Level 1</w:t>
            </w:r>
          </w:p>
        </w:tc>
        <w:tc>
          <w:tcPr>
            <w:tcW w:w="0" w:type="auto"/>
            <w:shd w:val="clear" w:color="auto" w:fill="auto"/>
            <w:tcMar>
              <w:top w:w="40" w:type="dxa"/>
              <w:left w:w="40" w:type="dxa"/>
              <w:bottom w:w="40" w:type="dxa"/>
              <w:right w:w="40" w:type="dxa"/>
            </w:tcMar>
            <w:vAlign w:val="bottom"/>
          </w:tcPr>
          <w:p w14:paraId="4ACE554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54F"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Level 2</w:t>
            </w:r>
          </w:p>
        </w:tc>
        <w:tc>
          <w:tcPr>
            <w:tcW w:w="0" w:type="auto"/>
            <w:shd w:val="clear" w:color="auto" w:fill="auto"/>
            <w:tcMar>
              <w:top w:w="40" w:type="dxa"/>
              <w:left w:w="40" w:type="dxa"/>
              <w:bottom w:w="40" w:type="dxa"/>
              <w:right w:w="40" w:type="dxa"/>
            </w:tcMar>
            <w:vAlign w:val="bottom"/>
          </w:tcPr>
          <w:p w14:paraId="4ACE555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551"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Level 3</w:t>
            </w:r>
          </w:p>
        </w:tc>
        <w:tc>
          <w:tcPr>
            <w:tcW w:w="0" w:type="auto"/>
            <w:shd w:val="clear" w:color="auto" w:fill="auto"/>
            <w:tcMar>
              <w:top w:w="40" w:type="dxa"/>
              <w:left w:w="40" w:type="dxa"/>
              <w:bottom w:w="40" w:type="dxa"/>
              <w:right w:w="40" w:type="dxa"/>
            </w:tcMar>
            <w:vAlign w:val="bottom"/>
          </w:tcPr>
          <w:p w14:paraId="4ACE555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71C5"/>
            </w:tcBorders>
            <w:shd w:val="clear" w:color="auto" w:fill="auto"/>
            <w:tcMar>
              <w:top w:w="40" w:type="dxa"/>
              <w:left w:w="40" w:type="dxa"/>
              <w:bottom w:w="40" w:type="dxa"/>
              <w:right w:w="40" w:type="dxa"/>
            </w:tcMar>
            <w:vAlign w:val="bottom"/>
          </w:tcPr>
          <w:p w14:paraId="4ACE5553" w14:textId="77777777" w:rsidR="006F587A" w:rsidRDefault="006F587A">
            <w:pPr>
              <w:rPr>
                <w:rFonts w:ascii="Times New Roman" w:hAnsi="Times New Roman"/>
                <w:sz w:val="20"/>
                <w:szCs w:val="20"/>
              </w:rPr>
            </w:pPr>
          </w:p>
        </w:tc>
      </w:tr>
      <w:tr w:rsidR="006F587A" w14:paraId="4ACE5566" w14:textId="77777777">
        <w:tc>
          <w:tcPr>
            <w:tcW w:w="0" w:type="auto"/>
            <w:shd w:val="clear" w:color="auto" w:fill="auto"/>
            <w:tcMar>
              <w:top w:w="40" w:type="dxa"/>
              <w:left w:w="40" w:type="dxa"/>
              <w:bottom w:w="40" w:type="dxa"/>
              <w:right w:w="40" w:type="dxa"/>
            </w:tcMar>
            <w:vAlign w:val="bottom"/>
          </w:tcPr>
          <w:p w14:paraId="4ACE5555"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Assets</w:t>
            </w:r>
          </w:p>
        </w:tc>
        <w:tc>
          <w:tcPr>
            <w:tcW w:w="0" w:type="auto"/>
            <w:shd w:val="clear" w:color="auto" w:fill="auto"/>
            <w:tcMar>
              <w:top w:w="40" w:type="dxa"/>
              <w:left w:w="40" w:type="dxa"/>
              <w:bottom w:w="40" w:type="dxa"/>
              <w:right w:w="40" w:type="dxa"/>
            </w:tcMar>
            <w:vAlign w:val="bottom"/>
          </w:tcPr>
          <w:p w14:paraId="4ACE555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55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55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55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55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55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55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55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55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55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56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56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56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56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56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56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5578" w14:textId="77777777">
        <w:tc>
          <w:tcPr>
            <w:tcW w:w="0" w:type="auto"/>
            <w:shd w:val="clear" w:color="auto" w:fill="auto"/>
            <w:tcMar>
              <w:top w:w="40" w:type="dxa"/>
              <w:left w:w="40" w:type="dxa"/>
              <w:bottom w:w="40" w:type="dxa"/>
              <w:right w:w="40" w:type="dxa"/>
            </w:tcMar>
            <w:vAlign w:val="bottom"/>
          </w:tcPr>
          <w:p w14:paraId="4ACE556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Cash equivalents:</w:t>
            </w:r>
          </w:p>
        </w:tc>
        <w:tc>
          <w:tcPr>
            <w:tcW w:w="0" w:type="auto"/>
            <w:shd w:val="clear" w:color="auto" w:fill="auto"/>
            <w:tcMar>
              <w:top w:w="40" w:type="dxa"/>
              <w:left w:w="40" w:type="dxa"/>
              <w:bottom w:w="40" w:type="dxa"/>
              <w:right w:w="40" w:type="dxa"/>
            </w:tcMar>
            <w:vAlign w:val="bottom"/>
          </w:tcPr>
          <w:p w14:paraId="4ACE556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56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56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56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56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56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56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56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57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57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57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57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57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57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57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57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559A" w14:textId="77777777">
        <w:tc>
          <w:tcPr>
            <w:tcW w:w="0" w:type="auto"/>
            <w:shd w:val="clear" w:color="auto" w:fill="auto"/>
            <w:tcMar>
              <w:top w:w="40" w:type="dxa"/>
              <w:left w:w="240" w:type="dxa"/>
              <w:bottom w:w="40" w:type="dxa"/>
              <w:right w:w="40" w:type="dxa"/>
            </w:tcMar>
            <w:vAlign w:val="bottom"/>
          </w:tcPr>
          <w:p w14:paraId="4ACE5579"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Corporate debt</w:t>
            </w:r>
          </w:p>
        </w:tc>
        <w:tc>
          <w:tcPr>
            <w:tcW w:w="0" w:type="auto"/>
            <w:shd w:val="clear" w:color="auto" w:fill="auto"/>
            <w:tcMar>
              <w:top w:w="40" w:type="dxa"/>
              <w:left w:w="40" w:type="dxa"/>
              <w:bottom w:w="40" w:type="dxa"/>
              <w:right w:w="40" w:type="dxa"/>
            </w:tcMar>
            <w:vAlign w:val="bottom"/>
          </w:tcPr>
          <w:p w14:paraId="4ACE557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57B"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557C"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557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57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57F"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5580"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713</w:t>
            </w:r>
          </w:p>
        </w:tc>
        <w:tc>
          <w:tcPr>
            <w:tcW w:w="0" w:type="auto"/>
            <w:shd w:val="clear" w:color="auto" w:fill="auto"/>
            <w:vAlign w:val="bottom"/>
          </w:tcPr>
          <w:p w14:paraId="4ACE558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58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583"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5584"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558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58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587"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5588"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713</w:t>
            </w:r>
          </w:p>
        </w:tc>
        <w:tc>
          <w:tcPr>
            <w:tcW w:w="0" w:type="auto"/>
            <w:shd w:val="clear" w:color="auto" w:fill="auto"/>
            <w:vAlign w:val="bottom"/>
          </w:tcPr>
          <w:p w14:paraId="4ACE558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58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58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558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58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58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58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5590"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262</w:t>
            </w:r>
          </w:p>
        </w:tc>
        <w:tc>
          <w:tcPr>
            <w:tcW w:w="0" w:type="auto"/>
            <w:shd w:val="clear" w:color="auto" w:fill="auto"/>
            <w:vAlign w:val="bottom"/>
          </w:tcPr>
          <w:p w14:paraId="4ACE559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59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59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559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59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59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59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559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262</w:t>
            </w:r>
          </w:p>
        </w:tc>
        <w:tc>
          <w:tcPr>
            <w:tcW w:w="0" w:type="auto"/>
            <w:shd w:val="clear" w:color="auto" w:fill="auto"/>
            <w:vAlign w:val="bottom"/>
          </w:tcPr>
          <w:p w14:paraId="4ACE5599" w14:textId="77777777" w:rsidR="006F587A" w:rsidRDefault="006F587A">
            <w:pPr>
              <w:textAlignment w:val="bottom"/>
              <w:rPr>
                <w:rFonts w:ascii="Times New Roman" w:hAnsi="Times New Roman"/>
                <w:sz w:val="20"/>
                <w:szCs w:val="20"/>
              </w:rPr>
            </w:pPr>
          </w:p>
        </w:tc>
      </w:tr>
      <w:tr w:rsidR="006F587A" w14:paraId="4ACE55B4" w14:textId="77777777">
        <w:tc>
          <w:tcPr>
            <w:tcW w:w="0" w:type="auto"/>
            <w:shd w:val="clear" w:color="auto" w:fill="auto"/>
            <w:tcMar>
              <w:top w:w="40" w:type="dxa"/>
              <w:left w:w="240" w:type="dxa"/>
              <w:bottom w:w="40" w:type="dxa"/>
              <w:right w:w="40" w:type="dxa"/>
            </w:tcMar>
            <w:vAlign w:val="bottom"/>
          </w:tcPr>
          <w:p w14:paraId="4ACE559B"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Financial institution instruments</w:t>
            </w:r>
            <w:r>
              <w:rPr>
                <w:rFonts w:ascii="Arial" w:eastAsia="宋体" w:hAnsi="Arial" w:cs="Arial"/>
                <w:color w:val="333333"/>
                <w:sz w:val="12"/>
                <w:szCs w:val="12"/>
              </w:rPr>
              <w:t>1</w:t>
            </w:r>
          </w:p>
        </w:tc>
        <w:tc>
          <w:tcPr>
            <w:tcW w:w="0" w:type="auto"/>
            <w:shd w:val="clear" w:color="auto" w:fill="auto"/>
            <w:tcMar>
              <w:top w:w="40" w:type="dxa"/>
              <w:left w:w="40" w:type="dxa"/>
              <w:bottom w:w="40" w:type="dxa"/>
              <w:right w:w="40" w:type="dxa"/>
            </w:tcMar>
            <w:vAlign w:val="bottom"/>
          </w:tcPr>
          <w:p w14:paraId="4ACE559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59D"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1,064</w:t>
            </w:r>
          </w:p>
        </w:tc>
        <w:tc>
          <w:tcPr>
            <w:tcW w:w="0" w:type="auto"/>
            <w:shd w:val="clear" w:color="auto" w:fill="auto"/>
            <w:vAlign w:val="bottom"/>
          </w:tcPr>
          <w:p w14:paraId="4ACE559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59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5A0"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408</w:t>
            </w:r>
          </w:p>
        </w:tc>
        <w:tc>
          <w:tcPr>
            <w:tcW w:w="0" w:type="auto"/>
            <w:shd w:val="clear" w:color="auto" w:fill="auto"/>
            <w:vAlign w:val="bottom"/>
          </w:tcPr>
          <w:p w14:paraId="4ACE55A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5A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5A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55A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5A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5A6"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1,472</w:t>
            </w:r>
          </w:p>
        </w:tc>
        <w:tc>
          <w:tcPr>
            <w:tcW w:w="0" w:type="auto"/>
            <w:shd w:val="clear" w:color="auto" w:fill="auto"/>
            <w:vAlign w:val="bottom"/>
          </w:tcPr>
          <w:p w14:paraId="4ACE55A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5A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5A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550</w:t>
            </w:r>
          </w:p>
        </w:tc>
        <w:tc>
          <w:tcPr>
            <w:tcW w:w="0" w:type="auto"/>
            <w:shd w:val="clear" w:color="auto" w:fill="auto"/>
            <w:vAlign w:val="bottom"/>
          </w:tcPr>
          <w:p w14:paraId="4ACE55A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5A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5A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183</w:t>
            </w:r>
          </w:p>
        </w:tc>
        <w:tc>
          <w:tcPr>
            <w:tcW w:w="0" w:type="auto"/>
            <w:shd w:val="clear" w:color="auto" w:fill="auto"/>
            <w:vAlign w:val="bottom"/>
          </w:tcPr>
          <w:p w14:paraId="4ACE55A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5A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5A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5B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5B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5B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733</w:t>
            </w:r>
          </w:p>
        </w:tc>
        <w:tc>
          <w:tcPr>
            <w:tcW w:w="0" w:type="auto"/>
            <w:shd w:val="clear" w:color="auto" w:fill="auto"/>
            <w:vAlign w:val="bottom"/>
          </w:tcPr>
          <w:p w14:paraId="4ACE55B3" w14:textId="77777777" w:rsidR="006F587A" w:rsidRDefault="006F587A">
            <w:pPr>
              <w:textAlignment w:val="bottom"/>
              <w:rPr>
                <w:rFonts w:ascii="Times New Roman" w:hAnsi="Times New Roman"/>
                <w:sz w:val="20"/>
                <w:szCs w:val="20"/>
              </w:rPr>
            </w:pPr>
          </w:p>
        </w:tc>
      </w:tr>
      <w:tr w:rsidR="006F587A" w14:paraId="4ACE55CE" w14:textId="77777777">
        <w:tc>
          <w:tcPr>
            <w:tcW w:w="0" w:type="auto"/>
            <w:shd w:val="clear" w:color="auto" w:fill="auto"/>
            <w:tcMar>
              <w:top w:w="40" w:type="dxa"/>
              <w:left w:w="240" w:type="dxa"/>
              <w:bottom w:w="40" w:type="dxa"/>
              <w:right w:w="40" w:type="dxa"/>
            </w:tcMar>
            <w:vAlign w:val="bottom"/>
          </w:tcPr>
          <w:p w14:paraId="4ACE55B5"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Reverse repurchase agreements</w:t>
            </w:r>
          </w:p>
        </w:tc>
        <w:tc>
          <w:tcPr>
            <w:tcW w:w="0" w:type="auto"/>
            <w:shd w:val="clear" w:color="auto" w:fill="auto"/>
            <w:tcMar>
              <w:top w:w="40" w:type="dxa"/>
              <w:left w:w="40" w:type="dxa"/>
              <w:bottom w:w="40" w:type="dxa"/>
              <w:right w:w="40" w:type="dxa"/>
            </w:tcMar>
            <w:vAlign w:val="bottom"/>
          </w:tcPr>
          <w:p w14:paraId="4ACE55B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5B7"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55B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5B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5BA"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1,500</w:t>
            </w:r>
          </w:p>
        </w:tc>
        <w:tc>
          <w:tcPr>
            <w:tcW w:w="0" w:type="auto"/>
            <w:shd w:val="clear" w:color="auto" w:fill="auto"/>
            <w:vAlign w:val="bottom"/>
          </w:tcPr>
          <w:p w14:paraId="4ACE55B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5B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5BD"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55B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5B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5C0"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1,500</w:t>
            </w:r>
          </w:p>
        </w:tc>
        <w:tc>
          <w:tcPr>
            <w:tcW w:w="0" w:type="auto"/>
            <w:shd w:val="clear" w:color="auto" w:fill="auto"/>
            <w:vAlign w:val="bottom"/>
          </w:tcPr>
          <w:p w14:paraId="4ACE55C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5C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5C3"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5C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5C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5C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1,850</w:t>
            </w:r>
          </w:p>
        </w:tc>
        <w:tc>
          <w:tcPr>
            <w:tcW w:w="0" w:type="auto"/>
            <w:shd w:val="clear" w:color="auto" w:fill="auto"/>
            <w:vAlign w:val="bottom"/>
          </w:tcPr>
          <w:p w14:paraId="4ACE55C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5C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5C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5C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5C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5C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1,850</w:t>
            </w:r>
          </w:p>
        </w:tc>
        <w:tc>
          <w:tcPr>
            <w:tcW w:w="0" w:type="auto"/>
            <w:shd w:val="clear" w:color="auto" w:fill="auto"/>
            <w:vAlign w:val="bottom"/>
          </w:tcPr>
          <w:p w14:paraId="4ACE55CD" w14:textId="77777777" w:rsidR="006F587A" w:rsidRDefault="006F587A">
            <w:pPr>
              <w:textAlignment w:val="bottom"/>
              <w:rPr>
                <w:rFonts w:ascii="Times New Roman" w:hAnsi="Times New Roman"/>
                <w:sz w:val="20"/>
                <w:szCs w:val="20"/>
              </w:rPr>
            </w:pPr>
          </w:p>
        </w:tc>
      </w:tr>
      <w:tr w:rsidR="006F587A" w14:paraId="4ACE55E0" w14:textId="77777777">
        <w:tc>
          <w:tcPr>
            <w:tcW w:w="0" w:type="auto"/>
            <w:shd w:val="clear" w:color="auto" w:fill="auto"/>
            <w:tcMar>
              <w:top w:w="40" w:type="dxa"/>
              <w:left w:w="40" w:type="dxa"/>
              <w:bottom w:w="40" w:type="dxa"/>
              <w:right w:w="40" w:type="dxa"/>
            </w:tcMar>
            <w:vAlign w:val="bottom"/>
          </w:tcPr>
          <w:p w14:paraId="4ACE55CF"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Short-term investments:</w:t>
            </w:r>
          </w:p>
        </w:tc>
        <w:tc>
          <w:tcPr>
            <w:tcW w:w="0" w:type="auto"/>
            <w:shd w:val="clear" w:color="auto" w:fill="auto"/>
            <w:tcMar>
              <w:top w:w="40" w:type="dxa"/>
              <w:left w:w="40" w:type="dxa"/>
              <w:bottom w:w="40" w:type="dxa"/>
              <w:right w:w="40" w:type="dxa"/>
            </w:tcMar>
            <w:vAlign w:val="bottom"/>
          </w:tcPr>
          <w:p w14:paraId="4ACE55D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5D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5D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5D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5D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5D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5D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5D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5D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5D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5D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5D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5D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5D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5D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5D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55FA" w14:textId="77777777">
        <w:tc>
          <w:tcPr>
            <w:tcW w:w="0" w:type="auto"/>
            <w:shd w:val="clear" w:color="auto" w:fill="auto"/>
            <w:tcMar>
              <w:top w:w="40" w:type="dxa"/>
              <w:left w:w="240" w:type="dxa"/>
              <w:bottom w:w="40" w:type="dxa"/>
              <w:right w:w="40" w:type="dxa"/>
            </w:tcMar>
            <w:vAlign w:val="bottom"/>
          </w:tcPr>
          <w:p w14:paraId="4ACE55E1"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Corporate debt</w:t>
            </w:r>
          </w:p>
        </w:tc>
        <w:tc>
          <w:tcPr>
            <w:tcW w:w="0" w:type="auto"/>
            <w:shd w:val="clear" w:color="auto" w:fill="auto"/>
            <w:tcMar>
              <w:top w:w="40" w:type="dxa"/>
              <w:left w:w="40" w:type="dxa"/>
              <w:bottom w:w="40" w:type="dxa"/>
              <w:right w:w="40" w:type="dxa"/>
            </w:tcMar>
            <w:vAlign w:val="bottom"/>
          </w:tcPr>
          <w:p w14:paraId="4ACE55E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5E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55E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5E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5E6"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347</w:t>
            </w:r>
          </w:p>
        </w:tc>
        <w:tc>
          <w:tcPr>
            <w:tcW w:w="0" w:type="auto"/>
            <w:shd w:val="clear" w:color="auto" w:fill="auto"/>
            <w:vAlign w:val="bottom"/>
          </w:tcPr>
          <w:p w14:paraId="4ACE55E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5E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5E9"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55E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5E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5EC"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347</w:t>
            </w:r>
          </w:p>
        </w:tc>
        <w:tc>
          <w:tcPr>
            <w:tcW w:w="0" w:type="auto"/>
            <w:shd w:val="clear" w:color="auto" w:fill="auto"/>
            <w:vAlign w:val="bottom"/>
          </w:tcPr>
          <w:p w14:paraId="4ACE55E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5E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5E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5F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5F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5F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937</w:t>
            </w:r>
          </w:p>
        </w:tc>
        <w:tc>
          <w:tcPr>
            <w:tcW w:w="0" w:type="auto"/>
            <w:shd w:val="clear" w:color="auto" w:fill="auto"/>
            <w:vAlign w:val="bottom"/>
          </w:tcPr>
          <w:p w14:paraId="4ACE55F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5F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5F5"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5F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5F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5F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937</w:t>
            </w:r>
          </w:p>
        </w:tc>
        <w:tc>
          <w:tcPr>
            <w:tcW w:w="0" w:type="auto"/>
            <w:shd w:val="clear" w:color="auto" w:fill="auto"/>
            <w:vAlign w:val="bottom"/>
          </w:tcPr>
          <w:p w14:paraId="4ACE55F9" w14:textId="77777777" w:rsidR="006F587A" w:rsidRDefault="006F587A">
            <w:pPr>
              <w:textAlignment w:val="bottom"/>
              <w:rPr>
                <w:rFonts w:ascii="Times New Roman" w:hAnsi="Times New Roman"/>
                <w:sz w:val="20"/>
                <w:szCs w:val="20"/>
              </w:rPr>
            </w:pPr>
          </w:p>
        </w:tc>
      </w:tr>
      <w:tr w:rsidR="006F587A" w14:paraId="4ACE5614" w14:textId="77777777">
        <w:tc>
          <w:tcPr>
            <w:tcW w:w="0" w:type="auto"/>
            <w:shd w:val="clear" w:color="auto" w:fill="auto"/>
            <w:tcMar>
              <w:top w:w="40" w:type="dxa"/>
              <w:left w:w="240" w:type="dxa"/>
              <w:bottom w:w="40" w:type="dxa"/>
              <w:right w:w="40" w:type="dxa"/>
            </w:tcMar>
            <w:vAlign w:val="bottom"/>
          </w:tcPr>
          <w:p w14:paraId="4ACE55FB"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Financial institution instruments</w:t>
            </w:r>
            <w:r>
              <w:rPr>
                <w:rFonts w:ascii="Arial" w:eastAsia="宋体" w:hAnsi="Arial" w:cs="Arial"/>
                <w:color w:val="333333"/>
                <w:sz w:val="12"/>
                <w:szCs w:val="12"/>
              </w:rPr>
              <w:t>1</w:t>
            </w:r>
          </w:p>
        </w:tc>
        <w:tc>
          <w:tcPr>
            <w:tcW w:w="0" w:type="auto"/>
            <w:shd w:val="clear" w:color="auto" w:fill="auto"/>
            <w:tcMar>
              <w:top w:w="40" w:type="dxa"/>
              <w:left w:w="40" w:type="dxa"/>
              <w:bottom w:w="40" w:type="dxa"/>
              <w:right w:w="40" w:type="dxa"/>
            </w:tcMar>
            <w:vAlign w:val="bottom"/>
          </w:tcPr>
          <w:p w14:paraId="4ACE55F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5FD"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55F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5F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00"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724</w:t>
            </w:r>
          </w:p>
        </w:tc>
        <w:tc>
          <w:tcPr>
            <w:tcW w:w="0" w:type="auto"/>
            <w:shd w:val="clear" w:color="auto" w:fill="auto"/>
            <w:vAlign w:val="bottom"/>
          </w:tcPr>
          <w:p w14:paraId="4ACE560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0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0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560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0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06"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724</w:t>
            </w:r>
          </w:p>
        </w:tc>
        <w:tc>
          <w:tcPr>
            <w:tcW w:w="0" w:type="auto"/>
            <w:shd w:val="clear" w:color="auto" w:fill="auto"/>
            <w:vAlign w:val="bottom"/>
          </w:tcPr>
          <w:p w14:paraId="4ACE560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0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0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60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0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0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1,423</w:t>
            </w:r>
          </w:p>
        </w:tc>
        <w:tc>
          <w:tcPr>
            <w:tcW w:w="0" w:type="auto"/>
            <w:shd w:val="clear" w:color="auto" w:fill="auto"/>
            <w:vAlign w:val="bottom"/>
          </w:tcPr>
          <w:p w14:paraId="4ACE560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0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0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61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1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1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1,423</w:t>
            </w:r>
          </w:p>
        </w:tc>
        <w:tc>
          <w:tcPr>
            <w:tcW w:w="0" w:type="auto"/>
            <w:shd w:val="clear" w:color="auto" w:fill="auto"/>
            <w:vAlign w:val="bottom"/>
          </w:tcPr>
          <w:p w14:paraId="4ACE5613" w14:textId="77777777" w:rsidR="006F587A" w:rsidRDefault="006F587A">
            <w:pPr>
              <w:textAlignment w:val="bottom"/>
              <w:rPr>
                <w:rFonts w:ascii="Times New Roman" w:hAnsi="Times New Roman"/>
                <w:sz w:val="20"/>
                <w:szCs w:val="20"/>
              </w:rPr>
            </w:pPr>
          </w:p>
        </w:tc>
      </w:tr>
      <w:tr w:rsidR="006F587A" w14:paraId="4ACE562E" w14:textId="77777777">
        <w:tc>
          <w:tcPr>
            <w:tcW w:w="0" w:type="auto"/>
            <w:shd w:val="clear" w:color="auto" w:fill="auto"/>
            <w:tcMar>
              <w:top w:w="40" w:type="dxa"/>
              <w:left w:w="240" w:type="dxa"/>
              <w:bottom w:w="40" w:type="dxa"/>
              <w:right w:w="40" w:type="dxa"/>
            </w:tcMar>
            <w:vAlign w:val="bottom"/>
          </w:tcPr>
          <w:p w14:paraId="4ACE5615"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Government debt</w:t>
            </w:r>
            <w:r>
              <w:rPr>
                <w:rFonts w:ascii="Arial" w:eastAsia="宋体" w:hAnsi="Arial" w:cs="Arial"/>
                <w:color w:val="333333"/>
                <w:sz w:val="12"/>
                <w:szCs w:val="12"/>
              </w:rPr>
              <w:t>2</w:t>
            </w:r>
          </w:p>
        </w:tc>
        <w:tc>
          <w:tcPr>
            <w:tcW w:w="0" w:type="auto"/>
            <w:shd w:val="clear" w:color="auto" w:fill="auto"/>
            <w:tcMar>
              <w:top w:w="40" w:type="dxa"/>
              <w:left w:w="40" w:type="dxa"/>
              <w:bottom w:w="40" w:type="dxa"/>
              <w:right w:w="40" w:type="dxa"/>
            </w:tcMar>
            <w:vAlign w:val="bottom"/>
          </w:tcPr>
          <w:p w14:paraId="4ACE561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17"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561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1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1A"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11</w:t>
            </w:r>
          </w:p>
        </w:tc>
        <w:tc>
          <w:tcPr>
            <w:tcW w:w="0" w:type="auto"/>
            <w:shd w:val="clear" w:color="auto" w:fill="auto"/>
            <w:vAlign w:val="bottom"/>
          </w:tcPr>
          <w:p w14:paraId="4ACE561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1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1D"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561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1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20"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11</w:t>
            </w:r>
          </w:p>
        </w:tc>
        <w:tc>
          <w:tcPr>
            <w:tcW w:w="0" w:type="auto"/>
            <w:shd w:val="clear" w:color="auto" w:fill="auto"/>
            <w:vAlign w:val="bottom"/>
          </w:tcPr>
          <w:p w14:paraId="4ACE562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2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23"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62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2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2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428</w:t>
            </w:r>
          </w:p>
        </w:tc>
        <w:tc>
          <w:tcPr>
            <w:tcW w:w="0" w:type="auto"/>
            <w:shd w:val="clear" w:color="auto" w:fill="auto"/>
            <w:vAlign w:val="bottom"/>
          </w:tcPr>
          <w:p w14:paraId="4ACE562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2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2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62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2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2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428</w:t>
            </w:r>
          </w:p>
        </w:tc>
        <w:tc>
          <w:tcPr>
            <w:tcW w:w="0" w:type="auto"/>
            <w:shd w:val="clear" w:color="auto" w:fill="auto"/>
            <w:vAlign w:val="bottom"/>
          </w:tcPr>
          <w:p w14:paraId="4ACE562D" w14:textId="77777777" w:rsidR="006F587A" w:rsidRDefault="006F587A">
            <w:pPr>
              <w:textAlignment w:val="bottom"/>
              <w:rPr>
                <w:rFonts w:ascii="Times New Roman" w:hAnsi="Times New Roman"/>
                <w:sz w:val="20"/>
                <w:szCs w:val="20"/>
              </w:rPr>
            </w:pPr>
          </w:p>
        </w:tc>
      </w:tr>
      <w:tr w:rsidR="006F587A" w14:paraId="4ACE5640" w14:textId="77777777">
        <w:tc>
          <w:tcPr>
            <w:tcW w:w="0" w:type="auto"/>
            <w:shd w:val="clear" w:color="auto" w:fill="auto"/>
            <w:tcMar>
              <w:top w:w="40" w:type="dxa"/>
              <w:left w:w="40" w:type="dxa"/>
              <w:bottom w:w="40" w:type="dxa"/>
              <w:right w:w="40" w:type="dxa"/>
            </w:tcMar>
            <w:vAlign w:val="bottom"/>
          </w:tcPr>
          <w:p w14:paraId="4ACE562F"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Trading assets:</w:t>
            </w:r>
          </w:p>
        </w:tc>
        <w:tc>
          <w:tcPr>
            <w:tcW w:w="0" w:type="auto"/>
            <w:shd w:val="clear" w:color="auto" w:fill="auto"/>
            <w:tcMar>
              <w:top w:w="40" w:type="dxa"/>
              <w:left w:w="40" w:type="dxa"/>
              <w:bottom w:w="40" w:type="dxa"/>
              <w:right w:w="40" w:type="dxa"/>
            </w:tcMar>
            <w:vAlign w:val="bottom"/>
          </w:tcPr>
          <w:p w14:paraId="4ACE563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63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63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63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63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63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63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63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63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63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63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63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63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63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63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63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565A" w14:textId="77777777">
        <w:tc>
          <w:tcPr>
            <w:tcW w:w="0" w:type="auto"/>
            <w:shd w:val="clear" w:color="auto" w:fill="auto"/>
            <w:tcMar>
              <w:top w:w="40" w:type="dxa"/>
              <w:left w:w="240" w:type="dxa"/>
              <w:bottom w:w="40" w:type="dxa"/>
              <w:right w:w="40" w:type="dxa"/>
            </w:tcMar>
            <w:vAlign w:val="bottom"/>
          </w:tcPr>
          <w:p w14:paraId="4ACE5641"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Corporate debt</w:t>
            </w:r>
          </w:p>
        </w:tc>
        <w:tc>
          <w:tcPr>
            <w:tcW w:w="0" w:type="auto"/>
            <w:shd w:val="clear" w:color="auto" w:fill="auto"/>
            <w:tcMar>
              <w:top w:w="40" w:type="dxa"/>
              <w:left w:w="40" w:type="dxa"/>
              <w:bottom w:w="40" w:type="dxa"/>
              <w:right w:w="40" w:type="dxa"/>
            </w:tcMar>
            <w:vAlign w:val="bottom"/>
          </w:tcPr>
          <w:p w14:paraId="4ACE564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4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564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4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46"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2,848</w:t>
            </w:r>
          </w:p>
        </w:tc>
        <w:tc>
          <w:tcPr>
            <w:tcW w:w="0" w:type="auto"/>
            <w:shd w:val="clear" w:color="auto" w:fill="auto"/>
            <w:vAlign w:val="bottom"/>
          </w:tcPr>
          <w:p w14:paraId="4ACE564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4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49"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564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4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4C"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2,848</w:t>
            </w:r>
          </w:p>
        </w:tc>
        <w:tc>
          <w:tcPr>
            <w:tcW w:w="0" w:type="auto"/>
            <w:shd w:val="clear" w:color="auto" w:fill="auto"/>
            <w:vAlign w:val="bottom"/>
          </w:tcPr>
          <w:p w14:paraId="4ACE564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4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4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65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5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5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2,635</w:t>
            </w:r>
          </w:p>
        </w:tc>
        <w:tc>
          <w:tcPr>
            <w:tcW w:w="0" w:type="auto"/>
            <w:shd w:val="clear" w:color="auto" w:fill="auto"/>
            <w:vAlign w:val="bottom"/>
          </w:tcPr>
          <w:p w14:paraId="4ACE565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5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55"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65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5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5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2,635</w:t>
            </w:r>
          </w:p>
        </w:tc>
        <w:tc>
          <w:tcPr>
            <w:tcW w:w="0" w:type="auto"/>
            <w:shd w:val="clear" w:color="auto" w:fill="auto"/>
            <w:vAlign w:val="bottom"/>
          </w:tcPr>
          <w:p w14:paraId="4ACE5659" w14:textId="77777777" w:rsidR="006F587A" w:rsidRDefault="006F587A">
            <w:pPr>
              <w:textAlignment w:val="bottom"/>
              <w:rPr>
                <w:rFonts w:ascii="Times New Roman" w:hAnsi="Times New Roman"/>
                <w:sz w:val="20"/>
                <w:szCs w:val="20"/>
              </w:rPr>
            </w:pPr>
          </w:p>
        </w:tc>
      </w:tr>
      <w:tr w:rsidR="006F587A" w14:paraId="4ACE5674" w14:textId="77777777">
        <w:tc>
          <w:tcPr>
            <w:tcW w:w="0" w:type="auto"/>
            <w:shd w:val="clear" w:color="auto" w:fill="auto"/>
            <w:tcMar>
              <w:top w:w="40" w:type="dxa"/>
              <w:left w:w="240" w:type="dxa"/>
              <w:bottom w:w="40" w:type="dxa"/>
              <w:right w:w="40" w:type="dxa"/>
            </w:tcMar>
            <w:vAlign w:val="bottom"/>
          </w:tcPr>
          <w:p w14:paraId="4ACE565B"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Financial institution instruments</w:t>
            </w:r>
            <w:r>
              <w:rPr>
                <w:rFonts w:ascii="Arial" w:eastAsia="宋体" w:hAnsi="Arial" w:cs="Arial"/>
                <w:color w:val="333333"/>
                <w:sz w:val="12"/>
                <w:szCs w:val="12"/>
              </w:rPr>
              <w:t>1</w:t>
            </w:r>
          </w:p>
        </w:tc>
        <w:tc>
          <w:tcPr>
            <w:tcW w:w="0" w:type="auto"/>
            <w:shd w:val="clear" w:color="auto" w:fill="auto"/>
            <w:tcMar>
              <w:top w:w="40" w:type="dxa"/>
              <w:left w:w="40" w:type="dxa"/>
              <w:bottom w:w="40" w:type="dxa"/>
              <w:right w:w="40" w:type="dxa"/>
            </w:tcMar>
            <w:vAlign w:val="bottom"/>
          </w:tcPr>
          <w:p w14:paraId="4ACE565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5D"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87</w:t>
            </w:r>
          </w:p>
        </w:tc>
        <w:tc>
          <w:tcPr>
            <w:tcW w:w="0" w:type="auto"/>
            <w:shd w:val="clear" w:color="auto" w:fill="auto"/>
            <w:vAlign w:val="bottom"/>
          </w:tcPr>
          <w:p w14:paraId="4ACE565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5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60"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1,578</w:t>
            </w:r>
          </w:p>
        </w:tc>
        <w:tc>
          <w:tcPr>
            <w:tcW w:w="0" w:type="auto"/>
            <w:shd w:val="clear" w:color="auto" w:fill="auto"/>
            <w:vAlign w:val="bottom"/>
          </w:tcPr>
          <w:p w14:paraId="4ACE566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6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6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566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6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66"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1,665</w:t>
            </w:r>
          </w:p>
        </w:tc>
        <w:tc>
          <w:tcPr>
            <w:tcW w:w="0" w:type="auto"/>
            <w:shd w:val="clear" w:color="auto" w:fill="auto"/>
            <w:vAlign w:val="bottom"/>
          </w:tcPr>
          <w:p w14:paraId="4ACE566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6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6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67</w:t>
            </w:r>
          </w:p>
        </w:tc>
        <w:tc>
          <w:tcPr>
            <w:tcW w:w="0" w:type="auto"/>
            <w:shd w:val="clear" w:color="auto" w:fill="auto"/>
            <w:vAlign w:val="bottom"/>
          </w:tcPr>
          <w:p w14:paraId="4ACE566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6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6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1,273</w:t>
            </w:r>
          </w:p>
        </w:tc>
        <w:tc>
          <w:tcPr>
            <w:tcW w:w="0" w:type="auto"/>
            <w:shd w:val="clear" w:color="auto" w:fill="auto"/>
            <w:vAlign w:val="bottom"/>
          </w:tcPr>
          <w:p w14:paraId="4ACE566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6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6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67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7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7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1,340</w:t>
            </w:r>
          </w:p>
        </w:tc>
        <w:tc>
          <w:tcPr>
            <w:tcW w:w="0" w:type="auto"/>
            <w:shd w:val="clear" w:color="auto" w:fill="auto"/>
            <w:vAlign w:val="bottom"/>
          </w:tcPr>
          <w:p w14:paraId="4ACE5673" w14:textId="77777777" w:rsidR="006F587A" w:rsidRDefault="006F587A">
            <w:pPr>
              <w:textAlignment w:val="bottom"/>
              <w:rPr>
                <w:rFonts w:ascii="Times New Roman" w:hAnsi="Times New Roman"/>
                <w:sz w:val="20"/>
                <w:szCs w:val="20"/>
              </w:rPr>
            </w:pPr>
          </w:p>
        </w:tc>
      </w:tr>
      <w:tr w:rsidR="006F587A" w14:paraId="4ACE568E" w14:textId="77777777">
        <w:tc>
          <w:tcPr>
            <w:tcW w:w="0" w:type="auto"/>
            <w:shd w:val="clear" w:color="auto" w:fill="auto"/>
            <w:tcMar>
              <w:top w:w="40" w:type="dxa"/>
              <w:left w:w="240" w:type="dxa"/>
              <w:bottom w:w="40" w:type="dxa"/>
              <w:right w:w="40" w:type="dxa"/>
            </w:tcMar>
            <w:vAlign w:val="bottom"/>
          </w:tcPr>
          <w:p w14:paraId="4ACE5675"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Government debt</w:t>
            </w:r>
            <w:r>
              <w:rPr>
                <w:rFonts w:ascii="Arial" w:eastAsia="宋体" w:hAnsi="Arial" w:cs="Arial"/>
                <w:color w:val="333333"/>
                <w:sz w:val="12"/>
                <w:szCs w:val="12"/>
              </w:rPr>
              <w:t>2</w:t>
            </w:r>
          </w:p>
        </w:tc>
        <w:tc>
          <w:tcPr>
            <w:tcW w:w="0" w:type="auto"/>
            <w:shd w:val="clear" w:color="auto" w:fill="auto"/>
            <w:tcMar>
              <w:top w:w="40" w:type="dxa"/>
              <w:left w:w="40" w:type="dxa"/>
              <w:bottom w:w="40" w:type="dxa"/>
              <w:right w:w="40" w:type="dxa"/>
            </w:tcMar>
            <w:vAlign w:val="bottom"/>
          </w:tcPr>
          <w:p w14:paraId="4ACE567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77"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567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7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7A"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3,334</w:t>
            </w:r>
          </w:p>
        </w:tc>
        <w:tc>
          <w:tcPr>
            <w:tcW w:w="0" w:type="auto"/>
            <w:shd w:val="clear" w:color="auto" w:fill="auto"/>
            <w:vAlign w:val="bottom"/>
          </w:tcPr>
          <w:p w14:paraId="4ACE567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7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7D"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567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7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80"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3,334</w:t>
            </w:r>
          </w:p>
        </w:tc>
        <w:tc>
          <w:tcPr>
            <w:tcW w:w="0" w:type="auto"/>
            <w:shd w:val="clear" w:color="auto" w:fill="auto"/>
            <w:vAlign w:val="bottom"/>
          </w:tcPr>
          <w:p w14:paraId="4ACE568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8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83"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68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8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8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1,868</w:t>
            </w:r>
          </w:p>
        </w:tc>
        <w:tc>
          <w:tcPr>
            <w:tcW w:w="0" w:type="auto"/>
            <w:shd w:val="clear" w:color="auto" w:fill="auto"/>
            <w:vAlign w:val="bottom"/>
          </w:tcPr>
          <w:p w14:paraId="4ACE568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8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8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68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8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8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1,868</w:t>
            </w:r>
          </w:p>
        </w:tc>
        <w:tc>
          <w:tcPr>
            <w:tcW w:w="0" w:type="auto"/>
            <w:shd w:val="clear" w:color="auto" w:fill="auto"/>
            <w:vAlign w:val="bottom"/>
          </w:tcPr>
          <w:p w14:paraId="4ACE568D" w14:textId="77777777" w:rsidR="006F587A" w:rsidRDefault="006F587A">
            <w:pPr>
              <w:textAlignment w:val="bottom"/>
              <w:rPr>
                <w:rFonts w:ascii="Times New Roman" w:hAnsi="Times New Roman"/>
                <w:sz w:val="20"/>
                <w:szCs w:val="20"/>
              </w:rPr>
            </w:pPr>
          </w:p>
        </w:tc>
      </w:tr>
      <w:tr w:rsidR="006F587A" w14:paraId="4ACE56A0" w14:textId="77777777">
        <w:tc>
          <w:tcPr>
            <w:tcW w:w="0" w:type="auto"/>
            <w:shd w:val="clear" w:color="auto" w:fill="auto"/>
            <w:tcMar>
              <w:top w:w="40" w:type="dxa"/>
              <w:left w:w="40" w:type="dxa"/>
              <w:bottom w:w="40" w:type="dxa"/>
              <w:right w:w="40" w:type="dxa"/>
            </w:tcMar>
            <w:vAlign w:val="bottom"/>
          </w:tcPr>
          <w:p w14:paraId="4ACE568F"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Other current assets:</w:t>
            </w:r>
          </w:p>
        </w:tc>
        <w:tc>
          <w:tcPr>
            <w:tcW w:w="0" w:type="auto"/>
            <w:shd w:val="clear" w:color="auto" w:fill="auto"/>
            <w:tcMar>
              <w:top w:w="40" w:type="dxa"/>
              <w:left w:w="40" w:type="dxa"/>
              <w:bottom w:w="40" w:type="dxa"/>
              <w:right w:w="40" w:type="dxa"/>
            </w:tcMar>
            <w:vAlign w:val="bottom"/>
          </w:tcPr>
          <w:p w14:paraId="4ACE569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69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69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69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69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69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69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69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69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69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69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69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69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69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69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69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56BA" w14:textId="77777777">
        <w:tc>
          <w:tcPr>
            <w:tcW w:w="0" w:type="auto"/>
            <w:shd w:val="clear" w:color="auto" w:fill="auto"/>
            <w:tcMar>
              <w:top w:w="40" w:type="dxa"/>
              <w:left w:w="240" w:type="dxa"/>
              <w:bottom w:w="40" w:type="dxa"/>
              <w:right w:w="40" w:type="dxa"/>
            </w:tcMar>
            <w:vAlign w:val="bottom"/>
          </w:tcPr>
          <w:p w14:paraId="4ACE56A1"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Derivative assets</w:t>
            </w:r>
          </w:p>
        </w:tc>
        <w:tc>
          <w:tcPr>
            <w:tcW w:w="0" w:type="auto"/>
            <w:shd w:val="clear" w:color="auto" w:fill="auto"/>
            <w:tcMar>
              <w:top w:w="40" w:type="dxa"/>
              <w:left w:w="40" w:type="dxa"/>
              <w:bottom w:w="40" w:type="dxa"/>
              <w:right w:w="40" w:type="dxa"/>
            </w:tcMar>
            <w:vAlign w:val="bottom"/>
          </w:tcPr>
          <w:p w14:paraId="4ACE56A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A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50</w:t>
            </w:r>
          </w:p>
        </w:tc>
        <w:tc>
          <w:tcPr>
            <w:tcW w:w="0" w:type="auto"/>
            <w:shd w:val="clear" w:color="auto" w:fill="auto"/>
            <w:vAlign w:val="bottom"/>
          </w:tcPr>
          <w:p w14:paraId="4ACE56A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A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A6"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230</w:t>
            </w:r>
          </w:p>
        </w:tc>
        <w:tc>
          <w:tcPr>
            <w:tcW w:w="0" w:type="auto"/>
            <w:shd w:val="clear" w:color="auto" w:fill="auto"/>
            <w:vAlign w:val="bottom"/>
          </w:tcPr>
          <w:p w14:paraId="4ACE56A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A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A9"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56A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A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AC"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280</w:t>
            </w:r>
          </w:p>
        </w:tc>
        <w:tc>
          <w:tcPr>
            <w:tcW w:w="0" w:type="auto"/>
            <w:shd w:val="clear" w:color="auto" w:fill="auto"/>
            <w:vAlign w:val="bottom"/>
          </w:tcPr>
          <w:p w14:paraId="4ACE56A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A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A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6B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B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B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180</w:t>
            </w:r>
          </w:p>
        </w:tc>
        <w:tc>
          <w:tcPr>
            <w:tcW w:w="0" w:type="auto"/>
            <w:shd w:val="clear" w:color="auto" w:fill="auto"/>
            <w:vAlign w:val="bottom"/>
          </w:tcPr>
          <w:p w14:paraId="4ACE56B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B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B5"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6B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B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B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180</w:t>
            </w:r>
          </w:p>
        </w:tc>
        <w:tc>
          <w:tcPr>
            <w:tcW w:w="0" w:type="auto"/>
            <w:shd w:val="clear" w:color="auto" w:fill="auto"/>
            <w:vAlign w:val="bottom"/>
          </w:tcPr>
          <w:p w14:paraId="4ACE56B9" w14:textId="77777777" w:rsidR="006F587A" w:rsidRDefault="006F587A">
            <w:pPr>
              <w:textAlignment w:val="bottom"/>
              <w:rPr>
                <w:rFonts w:ascii="Times New Roman" w:hAnsi="Times New Roman"/>
                <w:sz w:val="20"/>
                <w:szCs w:val="20"/>
              </w:rPr>
            </w:pPr>
          </w:p>
        </w:tc>
      </w:tr>
      <w:tr w:rsidR="006F587A" w14:paraId="4ACE56D4" w14:textId="77777777">
        <w:tc>
          <w:tcPr>
            <w:tcW w:w="0" w:type="auto"/>
            <w:shd w:val="clear" w:color="auto" w:fill="auto"/>
            <w:tcMar>
              <w:top w:w="40" w:type="dxa"/>
              <w:left w:w="240" w:type="dxa"/>
              <w:bottom w:w="40" w:type="dxa"/>
              <w:right w:w="40" w:type="dxa"/>
            </w:tcMar>
            <w:vAlign w:val="bottom"/>
          </w:tcPr>
          <w:p w14:paraId="4ACE56BB"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Loans receivable</w:t>
            </w:r>
            <w:r>
              <w:rPr>
                <w:rFonts w:ascii="Arial" w:eastAsia="宋体" w:hAnsi="Arial" w:cs="Arial"/>
                <w:color w:val="333333"/>
                <w:sz w:val="12"/>
                <w:szCs w:val="12"/>
              </w:rPr>
              <w:t>3</w:t>
            </w:r>
          </w:p>
        </w:tc>
        <w:tc>
          <w:tcPr>
            <w:tcW w:w="0" w:type="auto"/>
            <w:shd w:val="clear" w:color="auto" w:fill="auto"/>
            <w:tcMar>
              <w:top w:w="40" w:type="dxa"/>
              <w:left w:w="40" w:type="dxa"/>
              <w:bottom w:w="40" w:type="dxa"/>
              <w:right w:w="40" w:type="dxa"/>
            </w:tcMar>
            <w:vAlign w:val="bottom"/>
          </w:tcPr>
          <w:p w14:paraId="4ACE56B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BD"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56B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B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C0"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56C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C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C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56C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C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C6"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56C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C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C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6C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C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C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354</w:t>
            </w:r>
          </w:p>
        </w:tc>
        <w:tc>
          <w:tcPr>
            <w:tcW w:w="0" w:type="auto"/>
            <w:shd w:val="clear" w:color="auto" w:fill="auto"/>
            <w:vAlign w:val="bottom"/>
          </w:tcPr>
          <w:p w14:paraId="4ACE56C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C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C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6D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D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D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354</w:t>
            </w:r>
          </w:p>
        </w:tc>
        <w:tc>
          <w:tcPr>
            <w:tcW w:w="0" w:type="auto"/>
            <w:shd w:val="clear" w:color="auto" w:fill="auto"/>
            <w:vAlign w:val="bottom"/>
          </w:tcPr>
          <w:p w14:paraId="4ACE56D3" w14:textId="77777777" w:rsidR="006F587A" w:rsidRDefault="006F587A">
            <w:pPr>
              <w:textAlignment w:val="bottom"/>
              <w:rPr>
                <w:rFonts w:ascii="Times New Roman" w:hAnsi="Times New Roman"/>
                <w:sz w:val="20"/>
                <w:szCs w:val="20"/>
              </w:rPr>
            </w:pPr>
          </w:p>
        </w:tc>
      </w:tr>
      <w:tr w:rsidR="006F587A" w14:paraId="4ACE56EE" w14:textId="77777777">
        <w:tc>
          <w:tcPr>
            <w:tcW w:w="0" w:type="auto"/>
            <w:shd w:val="clear" w:color="auto" w:fill="auto"/>
            <w:tcMar>
              <w:top w:w="40" w:type="dxa"/>
              <w:left w:w="40" w:type="dxa"/>
              <w:bottom w:w="40" w:type="dxa"/>
              <w:right w:w="40" w:type="dxa"/>
            </w:tcMar>
            <w:vAlign w:val="bottom"/>
          </w:tcPr>
          <w:p w14:paraId="4ACE56D5"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Marketable equity securities</w:t>
            </w:r>
          </w:p>
        </w:tc>
        <w:tc>
          <w:tcPr>
            <w:tcW w:w="0" w:type="auto"/>
            <w:shd w:val="clear" w:color="auto" w:fill="auto"/>
            <w:tcMar>
              <w:top w:w="40" w:type="dxa"/>
              <w:left w:w="40" w:type="dxa"/>
              <w:bottom w:w="40" w:type="dxa"/>
              <w:right w:w="40" w:type="dxa"/>
            </w:tcMar>
            <w:vAlign w:val="bottom"/>
          </w:tcPr>
          <w:p w14:paraId="4ACE56D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D7"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450</w:t>
            </w:r>
          </w:p>
        </w:tc>
        <w:tc>
          <w:tcPr>
            <w:tcW w:w="0" w:type="auto"/>
            <w:shd w:val="clear" w:color="auto" w:fill="auto"/>
            <w:vAlign w:val="bottom"/>
          </w:tcPr>
          <w:p w14:paraId="4ACE56D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D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DA"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56D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D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DD"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56D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D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E0"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450</w:t>
            </w:r>
          </w:p>
        </w:tc>
        <w:tc>
          <w:tcPr>
            <w:tcW w:w="0" w:type="auto"/>
            <w:shd w:val="clear" w:color="auto" w:fill="auto"/>
            <w:vAlign w:val="bottom"/>
          </w:tcPr>
          <w:p w14:paraId="4ACE56E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E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E3"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1,440</w:t>
            </w:r>
          </w:p>
        </w:tc>
        <w:tc>
          <w:tcPr>
            <w:tcW w:w="0" w:type="auto"/>
            <w:shd w:val="clear" w:color="auto" w:fill="auto"/>
            <w:vAlign w:val="bottom"/>
          </w:tcPr>
          <w:p w14:paraId="4ACE56E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E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E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6E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E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E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6E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6E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6E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1,440</w:t>
            </w:r>
          </w:p>
        </w:tc>
        <w:tc>
          <w:tcPr>
            <w:tcW w:w="0" w:type="auto"/>
            <w:shd w:val="clear" w:color="auto" w:fill="auto"/>
            <w:vAlign w:val="bottom"/>
          </w:tcPr>
          <w:p w14:paraId="4ACE56ED" w14:textId="77777777" w:rsidR="006F587A" w:rsidRDefault="006F587A">
            <w:pPr>
              <w:textAlignment w:val="bottom"/>
              <w:rPr>
                <w:rFonts w:ascii="Times New Roman" w:hAnsi="Times New Roman"/>
                <w:sz w:val="20"/>
                <w:szCs w:val="20"/>
              </w:rPr>
            </w:pPr>
          </w:p>
        </w:tc>
      </w:tr>
      <w:tr w:rsidR="006F587A" w14:paraId="4ACE5700" w14:textId="77777777">
        <w:tc>
          <w:tcPr>
            <w:tcW w:w="0" w:type="auto"/>
            <w:shd w:val="clear" w:color="auto" w:fill="auto"/>
            <w:tcMar>
              <w:top w:w="40" w:type="dxa"/>
              <w:left w:w="40" w:type="dxa"/>
              <w:bottom w:w="40" w:type="dxa"/>
              <w:right w:w="40" w:type="dxa"/>
            </w:tcMar>
            <w:vAlign w:val="bottom"/>
          </w:tcPr>
          <w:p w14:paraId="4ACE56EF"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Other long-term investments:</w:t>
            </w:r>
          </w:p>
        </w:tc>
        <w:tc>
          <w:tcPr>
            <w:tcW w:w="0" w:type="auto"/>
            <w:shd w:val="clear" w:color="auto" w:fill="auto"/>
            <w:tcMar>
              <w:top w:w="40" w:type="dxa"/>
              <w:left w:w="40" w:type="dxa"/>
              <w:bottom w:w="40" w:type="dxa"/>
              <w:right w:w="40" w:type="dxa"/>
            </w:tcMar>
            <w:vAlign w:val="bottom"/>
          </w:tcPr>
          <w:p w14:paraId="4ACE56F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6F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6F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6F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6F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6F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6F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6F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6F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6F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6F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6F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6F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6F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6F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6F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571A" w14:textId="77777777">
        <w:tc>
          <w:tcPr>
            <w:tcW w:w="0" w:type="auto"/>
            <w:shd w:val="clear" w:color="auto" w:fill="auto"/>
            <w:tcMar>
              <w:top w:w="40" w:type="dxa"/>
              <w:left w:w="240" w:type="dxa"/>
              <w:bottom w:w="40" w:type="dxa"/>
              <w:right w:w="40" w:type="dxa"/>
            </w:tcMar>
            <w:vAlign w:val="bottom"/>
          </w:tcPr>
          <w:p w14:paraId="4ACE5701"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lastRenderedPageBreak/>
              <w:t>Corporate debt</w:t>
            </w:r>
          </w:p>
        </w:tc>
        <w:tc>
          <w:tcPr>
            <w:tcW w:w="0" w:type="auto"/>
            <w:shd w:val="clear" w:color="auto" w:fill="auto"/>
            <w:tcMar>
              <w:top w:w="40" w:type="dxa"/>
              <w:left w:w="40" w:type="dxa"/>
              <w:bottom w:w="40" w:type="dxa"/>
              <w:right w:w="40" w:type="dxa"/>
            </w:tcMar>
            <w:vAlign w:val="bottom"/>
          </w:tcPr>
          <w:p w14:paraId="4ACE570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70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570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70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706"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1,898</w:t>
            </w:r>
          </w:p>
        </w:tc>
        <w:tc>
          <w:tcPr>
            <w:tcW w:w="0" w:type="auto"/>
            <w:shd w:val="clear" w:color="auto" w:fill="auto"/>
            <w:vAlign w:val="bottom"/>
          </w:tcPr>
          <w:p w14:paraId="4ACE570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70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709"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570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70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70C"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1,898</w:t>
            </w:r>
          </w:p>
        </w:tc>
        <w:tc>
          <w:tcPr>
            <w:tcW w:w="0" w:type="auto"/>
            <w:shd w:val="clear" w:color="auto" w:fill="auto"/>
            <w:vAlign w:val="bottom"/>
          </w:tcPr>
          <w:p w14:paraId="4ACE570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70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70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71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71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71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1,843</w:t>
            </w:r>
          </w:p>
        </w:tc>
        <w:tc>
          <w:tcPr>
            <w:tcW w:w="0" w:type="auto"/>
            <w:shd w:val="clear" w:color="auto" w:fill="auto"/>
            <w:vAlign w:val="bottom"/>
          </w:tcPr>
          <w:p w14:paraId="4ACE571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71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715"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71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71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71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1,843</w:t>
            </w:r>
          </w:p>
        </w:tc>
        <w:tc>
          <w:tcPr>
            <w:tcW w:w="0" w:type="auto"/>
            <w:shd w:val="clear" w:color="auto" w:fill="auto"/>
            <w:vAlign w:val="bottom"/>
          </w:tcPr>
          <w:p w14:paraId="4ACE5719" w14:textId="77777777" w:rsidR="006F587A" w:rsidRDefault="006F587A">
            <w:pPr>
              <w:textAlignment w:val="bottom"/>
              <w:rPr>
                <w:rFonts w:ascii="Times New Roman" w:hAnsi="Times New Roman"/>
                <w:sz w:val="20"/>
                <w:szCs w:val="20"/>
              </w:rPr>
            </w:pPr>
          </w:p>
        </w:tc>
      </w:tr>
      <w:tr w:rsidR="006F587A" w14:paraId="4ACE5734" w14:textId="77777777">
        <w:tc>
          <w:tcPr>
            <w:tcW w:w="0" w:type="auto"/>
            <w:shd w:val="clear" w:color="auto" w:fill="auto"/>
            <w:tcMar>
              <w:top w:w="40" w:type="dxa"/>
              <w:left w:w="240" w:type="dxa"/>
              <w:bottom w:w="40" w:type="dxa"/>
              <w:right w:w="40" w:type="dxa"/>
            </w:tcMar>
            <w:vAlign w:val="bottom"/>
          </w:tcPr>
          <w:p w14:paraId="4ACE571B"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Financial institution instruments</w:t>
            </w:r>
            <w:r>
              <w:rPr>
                <w:rFonts w:ascii="Arial" w:eastAsia="宋体" w:hAnsi="Arial" w:cs="Arial"/>
                <w:color w:val="333333"/>
                <w:sz w:val="12"/>
                <w:szCs w:val="12"/>
              </w:rPr>
              <w:t>1</w:t>
            </w:r>
          </w:p>
        </w:tc>
        <w:tc>
          <w:tcPr>
            <w:tcW w:w="0" w:type="auto"/>
            <w:shd w:val="clear" w:color="auto" w:fill="auto"/>
            <w:tcMar>
              <w:top w:w="40" w:type="dxa"/>
              <w:left w:w="40" w:type="dxa"/>
              <w:bottom w:w="40" w:type="dxa"/>
              <w:right w:w="40" w:type="dxa"/>
            </w:tcMar>
            <w:vAlign w:val="bottom"/>
          </w:tcPr>
          <w:p w14:paraId="4ACE571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71D"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571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71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720"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825</w:t>
            </w:r>
          </w:p>
        </w:tc>
        <w:tc>
          <w:tcPr>
            <w:tcW w:w="0" w:type="auto"/>
            <w:shd w:val="clear" w:color="auto" w:fill="auto"/>
            <w:vAlign w:val="bottom"/>
          </w:tcPr>
          <w:p w14:paraId="4ACE572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72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72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572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72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726"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825</w:t>
            </w:r>
          </w:p>
        </w:tc>
        <w:tc>
          <w:tcPr>
            <w:tcW w:w="0" w:type="auto"/>
            <w:shd w:val="clear" w:color="auto" w:fill="auto"/>
            <w:vAlign w:val="bottom"/>
          </w:tcPr>
          <w:p w14:paraId="4ACE572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72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72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72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72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72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912</w:t>
            </w:r>
          </w:p>
        </w:tc>
        <w:tc>
          <w:tcPr>
            <w:tcW w:w="0" w:type="auto"/>
            <w:shd w:val="clear" w:color="auto" w:fill="auto"/>
            <w:vAlign w:val="bottom"/>
          </w:tcPr>
          <w:p w14:paraId="4ACE572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72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72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73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73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73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912</w:t>
            </w:r>
          </w:p>
        </w:tc>
        <w:tc>
          <w:tcPr>
            <w:tcW w:w="0" w:type="auto"/>
            <w:shd w:val="clear" w:color="auto" w:fill="auto"/>
            <w:vAlign w:val="bottom"/>
          </w:tcPr>
          <w:p w14:paraId="4ACE5733" w14:textId="77777777" w:rsidR="006F587A" w:rsidRDefault="006F587A">
            <w:pPr>
              <w:textAlignment w:val="bottom"/>
              <w:rPr>
                <w:rFonts w:ascii="Times New Roman" w:hAnsi="Times New Roman"/>
                <w:sz w:val="20"/>
                <w:szCs w:val="20"/>
              </w:rPr>
            </w:pPr>
          </w:p>
        </w:tc>
      </w:tr>
      <w:tr w:rsidR="006F587A" w14:paraId="4ACE574E" w14:textId="77777777">
        <w:tc>
          <w:tcPr>
            <w:tcW w:w="0" w:type="auto"/>
            <w:shd w:val="clear" w:color="auto" w:fill="auto"/>
            <w:tcMar>
              <w:top w:w="40" w:type="dxa"/>
              <w:left w:w="240" w:type="dxa"/>
              <w:bottom w:w="40" w:type="dxa"/>
              <w:right w:w="40" w:type="dxa"/>
            </w:tcMar>
            <w:vAlign w:val="bottom"/>
          </w:tcPr>
          <w:p w14:paraId="4ACE5735"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Government debt</w:t>
            </w:r>
            <w:r>
              <w:rPr>
                <w:rFonts w:ascii="Arial" w:eastAsia="宋体" w:hAnsi="Arial" w:cs="Arial"/>
                <w:color w:val="333333"/>
                <w:sz w:val="12"/>
                <w:szCs w:val="12"/>
              </w:rPr>
              <w:t>2</w:t>
            </w:r>
          </w:p>
        </w:tc>
        <w:tc>
          <w:tcPr>
            <w:tcW w:w="0" w:type="auto"/>
            <w:shd w:val="clear" w:color="auto" w:fill="auto"/>
            <w:tcMar>
              <w:top w:w="40" w:type="dxa"/>
              <w:left w:w="40" w:type="dxa"/>
              <w:bottom w:w="40" w:type="dxa"/>
              <w:right w:w="40" w:type="dxa"/>
            </w:tcMar>
            <w:vAlign w:val="bottom"/>
          </w:tcPr>
          <w:p w14:paraId="4ACE573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737"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573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73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73A"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553</w:t>
            </w:r>
          </w:p>
        </w:tc>
        <w:tc>
          <w:tcPr>
            <w:tcW w:w="0" w:type="auto"/>
            <w:shd w:val="clear" w:color="auto" w:fill="auto"/>
            <w:vAlign w:val="bottom"/>
          </w:tcPr>
          <w:p w14:paraId="4ACE573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73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73D"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573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73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740"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553</w:t>
            </w:r>
          </w:p>
        </w:tc>
        <w:tc>
          <w:tcPr>
            <w:tcW w:w="0" w:type="auto"/>
            <w:shd w:val="clear" w:color="auto" w:fill="auto"/>
            <w:vAlign w:val="bottom"/>
          </w:tcPr>
          <w:p w14:paraId="4ACE574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74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743"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74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74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74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633</w:t>
            </w:r>
          </w:p>
        </w:tc>
        <w:tc>
          <w:tcPr>
            <w:tcW w:w="0" w:type="auto"/>
            <w:shd w:val="clear" w:color="auto" w:fill="auto"/>
            <w:vAlign w:val="bottom"/>
          </w:tcPr>
          <w:p w14:paraId="4ACE574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74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74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74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74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74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633</w:t>
            </w:r>
          </w:p>
        </w:tc>
        <w:tc>
          <w:tcPr>
            <w:tcW w:w="0" w:type="auto"/>
            <w:shd w:val="clear" w:color="auto" w:fill="auto"/>
            <w:vAlign w:val="bottom"/>
          </w:tcPr>
          <w:p w14:paraId="4ACE574D" w14:textId="77777777" w:rsidR="006F587A" w:rsidRDefault="006F587A">
            <w:pPr>
              <w:textAlignment w:val="bottom"/>
              <w:rPr>
                <w:rFonts w:ascii="Times New Roman" w:hAnsi="Times New Roman"/>
                <w:sz w:val="20"/>
                <w:szCs w:val="20"/>
              </w:rPr>
            </w:pPr>
          </w:p>
        </w:tc>
      </w:tr>
      <w:tr w:rsidR="006F587A" w14:paraId="4ACE5760" w14:textId="77777777">
        <w:tc>
          <w:tcPr>
            <w:tcW w:w="0" w:type="auto"/>
            <w:shd w:val="clear" w:color="auto" w:fill="auto"/>
            <w:tcMar>
              <w:top w:w="40" w:type="dxa"/>
              <w:left w:w="40" w:type="dxa"/>
              <w:bottom w:w="40" w:type="dxa"/>
              <w:right w:w="40" w:type="dxa"/>
            </w:tcMar>
            <w:vAlign w:val="bottom"/>
          </w:tcPr>
          <w:p w14:paraId="4ACE574F"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Other long-term assets:</w:t>
            </w:r>
          </w:p>
        </w:tc>
        <w:tc>
          <w:tcPr>
            <w:tcW w:w="0" w:type="auto"/>
            <w:shd w:val="clear" w:color="auto" w:fill="auto"/>
            <w:tcMar>
              <w:top w:w="40" w:type="dxa"/>
              <w:left w:w="40" w:type="dxa"/>
              <w:bottom w:w="40" w:type="dxa"/>
              <w:right w:w="40" w:type="dxa"/>
            </w:tcMar>
            <w:vAlign w:val="bottom"/>
          </w:tcPr>
          <w:p w14:paraId="4ACE575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75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75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75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75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75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75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75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75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75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75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75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75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75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75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75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577A" w14:textId="77777777">
        <w:tc>
          <w:tcPr>
            <w:tcW w:w="0" w:type="auto"/>
            <w:shd w:val="clear" w:color="auto" w:fill="auto"/>
            <w:tcMar>
              <w:top w:w="40" w:type="dxa"/>
              <w:left w:w="240" w:type="dxa"/>
              <w:bottom w:w="40" w:type="dxa"/>
              <w:right w:w="40" w:type="dxa"/>
            </w:tcMar>
            <w:vAlign w:val="bottom"/>
          </w:tcPr>
          <w:p w14:paraId="4ACE5761"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Derivative assets</w:t>
            </w:r>
          </w:p>
        </w:tc>
        <w:tc>
          <w:tcPr>
            <w:tcW w:w="0" w:type="auto"/>
            <w:shd w:val="clear" w:color="auto" w:fill="auto"/>
            <w:tcMar>
              <w:top w:w="40" w:type="dxa"/>
              <w:left w:w="40" w:type="dxa"/>
              <w:bottom w:w="40" w:type="dxa"/>
              <w:right w:w="40" w:type="dxa"/>
            </w:tcMar>
            <w:vAlign w:val="bottom"/>
          </w:tcPr>
          <w:p w14:paraId="4ACE576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76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576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76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766"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690</w:t>
            </w:r>
          </w:p>
        </w:tc>
        <w:tc>
          <w:tcPr>
            <w:tcW w:w="0" w:type="auto"/>
            <w:shd w:val="clear" w:color="auto" w:fill="auto"/>
            <w:vAlign w:val="bottom"/>
          </w:tcPr>
          <w:p w14:paraId="4ACE576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76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769"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16</w:t>
            </w:r>
          </w:p>
        </w:tc>
        <w:tc>
          <w:tcPr>
            <w:tcW w:w="0" w:type="auto"/>
            <w:shd w:val="clear" w:color="auto" w:fill="auto"/>
            <w:vAlign w:val="bottom"/>
          </w:tcPr>
          <w:p w14:paraId="4ACE576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76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76C"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706</w:t>
            </w:r>
          </w:p>
        </w:tc>
        <w:tc>
          <w:tcPr>
            <w:tcW w:w="0" w:type="auto"/>
            <w:shd w:val="clear" w:color="auto" w:fill="auto"/>
            <w:vAlign w:val="bottom"/>
          </w:tcPr>
          <w:p w14:paraId="4ACE576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76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76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77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77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77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100</w:t>
            </w:r>
          </w:p>
        </w:tc>
        <w:tc>
          <w:tcPr>
            <w:tcW w:w="0" w:type="auto"/>
            <w:shd w:val="clear" w:color="auto" w:fill="auto"/>
            <w:vAlign w:val="bottom"/>
          </w:tcPr>
          <w:p w14:paraId="4ACE577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77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775"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77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77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77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100</w:t>
            </w:r>
          </w:p>
        </w:tc>
        <w:tc>
          <w:tcPr>
            <w:tcW w:w="0" w:type="auto"/>
            <w:shd w:val="clear" w:color="auto" w:fill="auto"/>
            <w:vAlign w:val="bottom"/>
          </w:tcPr>
          <w:p w14:paraId="4ACE5779" w14:textId="77777777" w:rsidR="006F587A" w:rsidRDefault="006F587A">
            <w:pPr>
              <w:textAlignment w:val="bottom"/>
              <w:rPr>
                <w:rFonts w:ascii="Times New Roman" w:hAnsi="Times New Roman"/>
                <w:sz w:val="20"/>
                <w:szCs w:val="20"/>
              </w:rPr>
            </w:pPr>
          </w:p>
        </w:tc>
      </w:tr>
      <w:tr w:rsidR="006F587A" w14:paraId="4ACE5794" w14:textId="77777777">
        <w:tc>
          <w:tcPr>
            <w:tcW w:w="0" w:type="auto"/>
            <w:shd w:val="clear" w:color="auto" w:fill="auto"/>
            <w:tcMar>
              <w:top w:w="40" w:type="dxa"/>
              <w:left w:w="240" w:type="dxa"/>
              <w:bottom w:w="40" w:type="dxa"/>
              <w:right w:w="40" w:type="dxa"/>
            </w:tcMar>
            <w:vAlign w:val="bottom"/>
          </w:tcPr>
          <w:p w14:paraId="4ACE577B"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Loans receivable</w:t>
            </w:r>
            <w:r>
              <w:rPr>
                <w:rFonts w:ascii="Arial" w:eastAsia="宋体" w:hAnsi="Arial" w:cs="Arial"/>
                <w:color w:val="333333"/>
                <w:sz w:val="12"/>
                <w:szCs w:val="12"/>
              </w:rPr>
              <w:t>3</w:t>
            </w:r>
          </w:p>
        </w:tc>
        <w:tc>
          <w:tcPr>
            <w:tcW w:w="0" w:type="auto"/>
            <w:shd w:val="clear" w:color="auto" w:fill="auto"/>
            <w:tcMar>
              <w:top w:w="40" w:type="dxa"/>
              <w:left w:w="40" w:type="dxa"/>
              <w:bottom w:w="40" w:type="dxa"/>
              <w:right w:w="40" w:type="dxa"/>
            </w:tcMar>
            <w:vAlign w:val="bottom"/>
          </w:tcPr>
          <w:p w14:paraId="4ACE577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77D"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577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77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780"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554</w:t>
            </w:r>
          </w:p>
        </w:tc>
        <w:tc>
          <w:tcPr>
            <w:tcW w:w="0" w:type="auto"/>
            <w:shd w:val="clear" w:color="auto" w:fill="auto"/>
            <w:vAlign w:val="bottom"/>
          </w:tcPr>
          <w:p w14:paraId="4ACE578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78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78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578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78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786"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554</w:t>
            </w:r>
          </w:p>
        </w:tc>
        <w:tc>
          <w:tcPr>
            <w:tcW w:w="0" w:type="auto"/>
            <w:shd w:val="clear" w:color="auto" w:fill="auto"/>
            <w:vAlign w:val="bottom"/>
          </w:tcPr>
          <w:p w14:paraId="4ACE578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78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78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78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78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78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229</w:t>
            </w:r>
          </w:p>
        </w:tc>
        <w:tc>
          <w:tcPr>
            <w:tcW w:w="0" w:type="auto"/>
            <w:shd w:val="clear" w:color="auto" w:fill="auto"/>
            <w:vAlign w:val="bottom"/>
          </w:tcPr>
          <w:p w14:paraId="4ACE578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78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78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79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79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79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229</w:t>
            </w:r>
          </w:p>
        </w:tc>
        <w:tc>
          <w:tcPr>
            <w:tcW w:w="0" w:type="auto"/>
            <w:shd w:val="clear" w:color="auto" w:fill="auto"/>
            <w:vAlign w:val="bottom"/>
          </w:tcPr>
          <w:p w14:paraId="4ACE5793" w14:textId="77777777" w:rsidR="006F587A" w:rsidRDefault="006F587A">
            <w:pPr>
              <w:textAlignment w:val="bottom"/>
              <w:rPr>
                <w:rFonts w:ascii="Times New Roman" w:hAnsi="Times New Roman"/>
                <w:sz w:val="20"/>
                <w:szCs w:val="20"/>
              </w:rPr>
            </w:pPr>
          </w:p>
        </w:tc>
      </w:tr>
      <w:tr w:rsidR="006F587A" w14:paraId="4ACE57B6" w14:textId="77777777">
        <w:tc>
          <w:tcPr>
            <w:tcW w:w="0" w:type="auto"/>
            <w:shd w:val="clear" w:color="auto" w:fill="auto"/>
            <w:tcMar>
              <w:top w:w="40" w:type="dxa"/>
              <w:left w:w="40" w:type="dxa"/>
              <w:bottom w:w="40" w:type="dxa"/>
              <w:right w:w="40" w:type="dxa"/>
            </w:tcMar>
            <w:vAlign w:val="bottom"/>
          </w:tcPr>
          <w:p w14:paraId="4ACE5795" w14:textId="77777777" w:rsidR="006F587A" w:rsidRDefault="007B2B61">
            <w:pPr>
              <w:ind w:hanging="240"/>
              <w:textAlignment w:val="bottom"/>
              <w:rPr>
                <w:rFonts w:ascii="Times New Roman" w:hAnsi="Times New Roman"/>
                <w:sz w:val="18"/>
                <w:szCs w:val="18"/>
              </w:rPr>
            </w:pPr>
            <w:r>
              <w:rPr>
                <w:rFonts w:ascii="Arial" w:eastAsia="宋体" w:hAnsi="Arial" w:cs="Arial"/>
                <w:b/>
                <w:bCs/>
                <w:color w:val="333333"/>
                <w:sz w:val="18"/>
                <w:szCs w:val="18"/>
              </w:rPr>
              <w:t>Total assets measured and recorded at fair value</w:t>
            </w:r>
          </w:p>
        </w:tc>
        <w:tc>
          <w:tcPr>
            <w:tcW w:w="0" w:type="auto"/>
            <w:shd w:val="clear" w:color="auto" w:fill="auto"/>
            <w:tcMar>
              <w:top w:w="40" w:type="dxa"/>
              <w:left w:w="40" w:type="dxa"/>
              <w:bottom w:w="40" w:type="dxa"/>
              <w:right w:w="40" w:type="dxa"/>
            </w:tcMar>
            <w:vAlign w:val="bottom"/>
          </w:tcPr>
          <w:p w14:paraId="4ACE579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797"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798"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1,651</w:t>
            </w:r>
          </w:p>
        </w:tc>
        <w:tc>
          <w:tcPr>
            <w:tcW w:w="0" w:type="auto"/>
            <w:tcBorders>
              <w:top w:val="single" w:sz="8" w:space="0" w:color="333333"/>
              <w:bottom w:val="double" w:sz="6" w:space="0" w:color="333333"/>
            </w:tcBorders>
            <w:shd w:val="clear" w:color="auto" w:fill="auto"/>
            <w:vAlign w:val="bottom"/>
          </w:tcPr>
          <w:p w14:paraId="4ACE579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79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79B"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79C"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16,213</w:t>
            </w:r>
          </w:p>
        </w:tc>
        <w:tc>
          <w:tcPr>
            <w:tcW w:w="0" w:type="auto"/>
            <w:tcBorders>
              <w:top w:val="single" w:sz="8" w:space="0" w:color="333333"/>
              <w:bottom w:val="double" w:sz="6" w:space="0" w:color="333333"/>
            </w:tcBorders>
            <w:shd w:val="clear" w:color="auto" w:fill="auto"/>
            <w:vAlign w:val="bottom"/>
          </w:tcPr>
          <w:p w14:paraId="4ACE579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79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79F"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7A0"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16</w:t>
            </w:r>
          </w:p>
        </w:tc>
        <w:tc>
          <w:tcPr>
            <w:tcW w:w="0" w:type="auto"/>
            <w:tcBorders>
              <w:top w:val="single" w:sz="8" w:space="0" w:color="333333"/>
              <w:bottom w:val="double" w:sz="6" w:space="0" w:color="333333"/>
            </w:tcBorders>
            <w:shd w:val="clear" w:color="auto" w:fill="auto"/>
            <w:vAlign w:val="bottom"/>
          </w:tcPr>
          <w:p w14:paraId="4ACE57A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7A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7A3"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7A4"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17,880</w:t>
            </w:r>
          </w:p>
        </w:tc>
        <w:tc>
          <w:tcPr>
            <w:tcW w:w="0" w:type="auto"/>
            <w:tcBorders>
              <w:top w:val="single" w:sz="8" w:space="0" w:color="333333"/>
              <w:bottom w:val="double" w:sz="6" w:space="0" w:color="333333"/>
            </w:tcBorders>
            <w:shd w:val="clear" w:color="auto" w:fill="auto"/>
            <w:vAlign w:val="bottom"/>
          </w:tcPr>
          <w:p w14:paraId="4ACE57A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7A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7A7"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7A8"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2,057</w:t>
            </w:r>
          </w:p>
        </w:tc>
        <w:tc>
          <w:tcPr>
            <w:tcW w:w="0" w:type="auto"/>
            <w:tcBorders>
              <w:top w:val="single" w:sz="8" w:space="0" w:color="333333"/>
              <w:bottom w:val="double" w:sz="6" w:space="0" w:color="333333"/>
            </w:tcBorders>
            <w:shd w:val="clear" w:color="auto" w:fill="auto"/>
            <w:vAlign w:val="bottom"/>
          </w:tcPr>
          <w:p w14:paraId="4ACE57A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7A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7AB"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7AC"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15,110</w:t>
            </w:r>
          </w:p>
        </w:tc>
        <w:tc>
          <w:tcPr>
            <w:tcW w:w="0" w:type="auto"/>
            <w:tcBorders>
              <w:top w:val="single" w:sz="8" w:space="0" w:color="333333"/>
              <w:bottom w:val="double" w:sz="6" w:space="0" w:color="333333"/>
            </w:tcBorders>
            <w:shd w:val="clear" w:color="auto" w:fill="auto"/>
            <w:vAlign w:val="bottom"/>
          </w:tcPr>
          <w:p w14:paraId="4ACE57A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7A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7AF"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7B0"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vAlign w:val="bottom"/>
          </w:tcPr>
          <w:p w14:paraId="4ACE57B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7B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7B3"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7B4"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17,167</w:t>
            </w:r>
          </w:p>
        </w:tc>
        <w:tc>
          <w:tcPr>
            <w:tcW w:w="0" w:type="auto"/>
            <w:tcBorders>
              <w:top w:val="single" w:sz="8" w:space="0" w:color="333333"/>
              <w:bottom w:val="double" w:sz="6" w:space="0" w:color="333333"/>
            </w:tcBorders>
            <w:shd w:val="clear" w:color="auto" w:fill="auto"/>
            <w:vAlign w:val="bottom"/>
          </w:tcPr>
          <w:p w14:paraId="4ACE57B5" w14:textId="77777777" w:rsidR="006F587A" w:rsidRDefault="006F587A">
            <w:pPr>
              <w:textAlignment w:val="bottom"/>
              <w:rPr>
                <w:rFonts w:ascii="Times New Roman" w:hAnsi="Times New Roman"/>
                <w:sz w:val="20"/>
                <w:szCs w:val="20"/>
              </w:rPr>
            </w:pPr>
          </w:p>
        </w:tc>
      </w:tr>
      <w:tr w:rsidR="006F587A" w14:paraId="4ACE57C8" w14:textId="77777777">
        <w:tc>
          <w:tcPr>
            <w:tcW w:w="0" w:type="auto"/>
            <w:shd w:val="clear" w:color="auto" w:fill="auto"/>
            <w:tcMar>
              <w:top w:w="40" w:type="dxa"/>
              <w:left w:w="40" w:type="dxa"/>
              <w:bottom w:w="40" w:type="dxa"/>
              <w:right w:w="40" w:type="dxa"/>
            </w:tcMar>
            <w:vAlign w:val="bottom"/>
          </w:tcPr>
          <w:p w14:paraId="4ACE57B7"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Liabilities</w:t>
            </w:r>
          </w:p>
        </w:tc>
        <w:tc>
          <w:tcPr>
            <w:tcW w:w="0" w:type="auto"/>
            <w:shd w:val="clear" w:color="auto" w:fill="auto"/>
            <w:tcMar>
              <w:top w:w="40" w:type="dxa"/>
              <w:left w:w="40" w:type="dxa"/>
              <w:bottom w:w="40" w:type="dxa"/>
              <w:right w:w="40" w:type="dxa"/>
            </w:tcMar>
            <w:vAlign w:val="bottom"/>
          </w:tcPr>
          <w:p w14:paraId="4ACE57B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7B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7B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7B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7B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7B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7B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7B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7C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7C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7C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7C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7C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7C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7C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7C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57DA" w14:textId="77777777">
        <w:tc>
          <w:tcPr>
            <w:tcW w:w="0" w:type="auto"/>
            <w:shd w:val="clear" w:color="auto" w:fill="auto"/>
            <w:tcMar>
              <w:top w:w="40" w:type="dxa"/>
              <w:left w:w="40" w:type="dxa"/>
              <w:bottom w:w="40" w:type="dxa"/>
              <w:right w:w="40" w:type="dxa"/>
            </w:tcMar>
            <w:vAlign w:val="bottom"/>
          </w:tcPr>
          <w:p w14:paraId="4ACE57C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Other accrued liabilities:</w:t>
            </w:r>
          </w:p>
        </w:tc>
        <w:tc>
          <w:tcPr>
            <w:tcW w:w="0" w:type="auto"/>
            <w:shd w:val="clear" w:color="auto" w:fill="auto"/>
            <w:tcMar>
              <w:top w:w="40" w:type="dxa"/>
              <w:left w:w="40" w:type="dxa"/>
              <w:bottom w:w="40" w:type="dxa"/>
              <w:right w:w="40" w:type="dxa"/>
            </w:tcMar>
            <w:vAlign w:val="bottom"/>
          </w:tcPr>
          <w:p w14:paraId="4ACE57C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7C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7C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7C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7C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7C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7D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7D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7D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7D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7D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7D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7D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7D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7D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7D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57FC" w14:textId="77777777">
        <w:tc>
          <w:tcPr>
            <w:tcW w:w="0" w:type="auto"/>
            <w:shd w:val="clear" w:color="auto" w:fill="auto"/>
            <w:tcMar>
              <w:top w:w="40" w:type="dxa"/>
              <w:left w:w="240" w:type="dxa"/>
              <w:bottom w:w="40" w:type="dxa"/>
              <w:right w:w="40" w:type="dxa"/>
            </w:tcMar>
            <w:vAlign w:val="bottom"/>
          </w:tcPr>
          <w:p w14:paraId="4ACE57D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Derivative liabilities</w:t>
            </w:r>
          </w:p>
        </w:tc>
        <w:tc>
          <w:tcPr>
            <w:tcW w:w="0" w:type="auto"/>
            <w:shd w:val="clear" w:color="auto" w:fill="auto"/>
            <w:tcMar>
              <w:top w:w="40" w:type="dxa"/>
              <w:left w:w="40" w:type="dxa"/>
              <w:bottom w:w="40" w:type="dxa"/>
              <w:right w:w="40" w:type="dxa"/>
            </w:tcMar>
            <w:vAlign w:val="bottom"/>
          </w:tcPr>
          <w:p w14:paraId="4ACE57D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7DD"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57DE"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w:t>
            </w:r>
          </w:p>
        </w:tc>
        <w:tc>
          <w:tcPr>
            <w:tcW w:w="0" w:type="auto"/>
            <w:shd w:val="clear" w:color="auto" w:fill="auto"/>
            <w:vAlign w:val="bottom"/>
          </w:tcPr>
          <w:p w14:paraId="4ACE57D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7E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7E1"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57E2"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287</w:t>
            </w:r>
          </w:p>
        </w:tc>
        <w:tc>
          <w:tcPr>
            <w:tcW w:w="0" w:type="auto"/>
            <w:shd w:val="clear" w:color="auto" w:fill="auto"/>
            <w:vAlign w:val="bottom"/>
          </w:tcPr>
          <w:p w14:paraId="4ACE57E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7E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7E5"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57E6"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57E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7E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7E9"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57EA"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290</w:t>
            </w:r>
          </w:p>
        </w:tc>
        <w:tc>
          <w:tcPr>
            <w:tcW w:w="0" w:type="auto"/>
            <w:shd w:val="clear" w:color="auto" w:fill="auto"/>
            <w:vAlign w:val="bottom"/>
          </w:tcPr>
          <w:p w14:paraId="4ACE57E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7E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7E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57E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7E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7F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7F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57F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412</w:t>
            </w:r>
          </w:p>
        </w:tc>
        <w:tc>
          <w:tcPr>
            <w:tcW w:w="0" w:type="auto"/>
            <w:shd w:val="clear" w:color="auto" w:fill="auto"/>
            <w:vAlign w:val="bottom"/>
          </w:tcPr>
          <w:p w14:paraId="4ACE57F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7F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7F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57F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7F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7F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7F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57F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412</w:t>
            </w:r>
          </w:p>
        </w:tc>
        <w:tc>
          <w:tcPr>
            <w:tcW w:w="0" w:type="auto"/>
            <w:shd w:val="clear" w:color="auto" w:fill="auto"/>
            <w:vAlign w:val="bottom"/>
          </w:tcPr>
          <w:p w14:paraId="4ACE57FB" w14:textId="77777777" w:rsidR="006F587A" w:rsidRDefault="006F587A">
            <w:pPr>
              <w:textAlignment w:val="bottom"/>
              <w:rPr>
                <w:rFonts w:ascii="Times New Roman" w:hAnsi="Times New Roman"/>
                <w:sz w:val="20"/>
                <w:szCs w:val="20"/>
              </w:rPr>
            </w:pPr>
          </w:p>
        </w:tc>
      </w:tr>
      <w:tr w:rsidR="006F587A" w14:paraId="4ACE580E" w14:textId="77777777">
        <w:tc>
          <w:tcPr>
            <w:tcW w:w="0" w:type="auto"/>
            <w:shd w:val="clear" w:color="auto" w:fill="auto"/>
            <w:tcMar>
              <w:top w:w="40" w:type="dxa"/>
              <w:left w:w="40" w:type="dxa"/>
              <w:bottom w:w="40" w:type="dxa"/>
              <w:right w:w="40" w:type="dxa"/>
            </w:tcMar>
            <w:vAlign w:val="bottom"/>
          </w:tcPr>
          <w:p w14:paraId="4ACE57F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Other long-term liabilities:</w:t>
            </w:r>
          </w:p>
        </w:tc>
        <w:tc>
          <w:tcPr>
            <w:tcW w:w="0" w:type="auto"/>
            <w:shd w:val="clear" w:color="auto" w:fill="auto"/>
            <w:tcMar>
              <w:top w:w="40" w:type="dxa"/>
              <w:left w:w="40" w:type="dxa"/>
              <w:bottom w:w="40" w:type="dxa"/>
              <w:right w:w="40" w:type="dxa"/>
            </w:tcMar>
            <w:vAlign w:val="bottom"/>
          </w:tcPr>
          <w:p w14:paraId="4ACE57F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7F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80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80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80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80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80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80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80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80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80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80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80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80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80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80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5828" w14:textId="77777777">
        <w:tc>
          <w:tcPr>
            <w:tcW w:w="0" w:type="auto"/>
            <w:shd w:val="clear" w:color="auto" w:fill="auto"/>
            <w:tcMar>
              <w:top w:w="40" w:type="dxa"/>
              <w:left w:w="240" w:type="dxa"/>
              <w:bottom w:w="40" w:type="dxa"/>
              <w:right w:w="40" w:type="dxa"/>
            </w:tcMar>
            <w:vAlign w:val="bottom"/>
          </w:tcPr>
          <w:p w14:paraId="4ACE580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Derivative liabilities</w:t>
            </w:r>
          </w:p>
        </w:tc>
        <w:tc>
          <w:tcPr>
            <w:tcW w:w="0" w:type="auto"/>
            <w:shd w:val="clear" w:color="auto" w:fill="auto"/>
            <w:tcMar>
              <w:top w:w="40" w:type="dxa"/>
              <w:left w:w="40" w:type="dxa"/>
              <w:bottom w:w="40" w:type="dxa"/>
              <w:right w:w="40" w:type="dxa"/>
            </w:tcMar>
            <w:vAlign w:val="bottom"/>
          </w:tcPr>
          <w:p w14:paraId="4ACE581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811"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581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81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814"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13</w:t>
            </w:r>
          </w:p>
        </w:tc>
        <w:tc>
          <w:tcPr>
            <w:tcW w:w="0" w:type="auto"/>
            <w:shd w:val="clear" w:color="auto" w:fill="auto"/>
            <w:vAlign w:val="bottom"/>
          </w:tcPr>
          <w:p w14:paraId="4ACE581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81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817"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581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81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81A"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13</w:t>
            </w:r>
          </w:p>
        </w:tc>
        <w:tc>
          <w:tcPr>
            <w:tcW w:w="0" w:type="auto"/>
            <w:shd w:val="clear" w:color="auto" w:fill="auto"/>
            <w:vAlign w:val="bottom"/>
          </w:tcPr>
          <w:p w14:paraId="4ACE581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81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81D"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81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81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820"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415</w:t>
            </w:r>
          </w:p>
        </w:tc>
        <w:tc>
          <w:tcPr>
            <w:tcW w:w="0" w:type="auto"/>
            <w:shd w:val="clear" w:color="auto" w:fill="auto"/>
            <w:vAlign w:val="bottom"/>
          </w:tcPr>
          <w:p w14:paraId="4ACE582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82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823"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68</w:t>
            </w:r>
          </w:p>
        </w:tc>
        <w:tc>
          <w:tcPr>
            <w:tcW w:w="0" w:type="auto"/>
            <w:shd w:val="clear" w:color="auto" w:fill="auto"/>
            <w:vAlign w:val="bottom"/>
          </w:tcPr>
          <w:p w14:paraId="4ACE582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82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82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483</w:t>
            </w:r>
          </w:p>
        </w:tc>
        <w:tc>
          <w:tcPr>
            <w:tcW w:w="0" w:type="auto"/>
            <w:shd w:val="clear" w:color="auto" w:fill="auto"/>
            <w:vAlign w:val="bottom"/>
          </w:tcPr>
          <w:p w14:paraId="4ACE5827" w14:textId="77777777" w:rsidR="006F587A" w:rsidRDefault="006F587A">
            <w:pPr>
              <w:textAlignment w:val="bottom"/>
              <w:rPr>
                <w:rFonts w:ascii="Times New Roman" w:hAnsi="Times New Roman"/>
                <w:sz w:val="20"/>
                <w:szCs w:val="20"/>
              </w:rPr>
            </w:pPr>
          </w:p>
        </w:tc>
      </w:tr>
      <w:tr w:rsidR="006F587A" w14:paraId="4ACE584A" w14:textId="77777777">
        <w:tc>
          <w:tcPr>
            <w:tcW w:w="0" w:type="auto"/>
            <w:shd w:val="clear" w:color="auto" w:fill="auto"/>
            <w:tcMar>
              <w:top w:w="40" w:type="dxa"/>
              <w:left w:w="40" w:type="dxa"/>
              <w:bottom w:w="40" w:type="dxa"/>
              <w:right w:w="40" w:type="dxa"/>
            </w:tcMar>
            <w:vAlign w:val="bottom"/>
          </w:tcPr>
          <w:p w14:paraId="4ACE5829" w14:textId="77777777" w:rsidR="006F587A" w:rsidRDefault="007B2B61">
            <w:pPr>
              <w:ind w:hanging="240"/>
              <w:textAlignment w:val="bottom"/>
              <w:rPr>
                <w:rFonts w:ascii="Times New Roman" w:hAnsi="Times New Roman"/>
                <w:sz w:val="18"/>
                <w:szCs w:val="18"/>
              </w:rPr>
            </w:pPr>
            <w:r>
              <w:rPr>
                <w:rFonts w:ascii="Arial" w:eastAsia="宋体" w:hAnsi="Arial" w:cs="Arial"/>
                <w:b/>
                <w:bCs/>
                <w:color w:val="333333"/>
                <w:sz w:val="18"/>
                <w:szCs w:val="18"/>
              </w:rPr>
              <w:t>Total liabilities measured and recorded at fair value</w:t>
            </w:r>
          </w:p>
        </w:tc>
        <w:tc>
          <w:tcPr>
            <w:tcW w:w="0" w:type="auto"/>
            <w:shd w:val="clear" w:color="auto" w:fill="auto"/>
            <w:tcMar>
              <w:top w:w="40" w:type="dxa"/>
              <w:left w:w="40" w:type="dxa"/>
              <w:bottom w:w="40" w:type="dxa"/>
              <w:right w:w="40" w:type="dxa"/>
            </w:tcMar>
            <w:vAlign w:val="bottom"/>
          </w:tcPr>
          <w:p w14:paraId="4ACE582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82B"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82C"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3</w:t>
            </w:r>
          </w:p>
        </w:tc>
        <w:tc>
          <w:tcPr>
            <w:tcW w:w="0" w:type="auto"/>
            <w:tcBorders>
              <w:top w:val="single" w:sz="8" w:space="0" w:color="333333"/>
              <w:bottom w:val="double" w:sz="6" w:space="0" w:color="333333"/>
            </w:tcBorders>
            <w:shd w:val="clear" w:color="auto" w:fill="auto"/>
            <w:vAlign w:val="bottom"/>
          </w:tcPr>
          <w:p w14:paraId="4ACE582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82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82F"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830"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300</w:t>
            </w:r>
          </w:p>
        </w:tc>
        <w:tc>
          <w:tcPr>
            <w:tcW w:w="0" w:type="auto"/>
            <w:tcBorders>
              <w:top w:val="single" w:sz="8" w:space="0" w:color="333333"/>
              <w:bottom w:val="double" w:sz="6" w:space="0" w:color="333333"/>
            </w:tcBorders>
            <w:shd w:val="clear" w:color="auto" w:fill="auto"/>
            <w:vAlign w:val="bottom"/>
          </w:tcPr>
          <w:p w14:paraId="4ACE583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83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833"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834"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vAlign w:val="bottom"/>
          </w:tcPr>
          <w:p w14:paraId="4ACE583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83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837"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838"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303</w:t>
            </w:r>
          </w:p>
        </w:tc>
        <w:tc>
          <w:tcPr>
            <w:tcW w:w="0" w:type="auto"/>
            <w:tcBorders>
              <w:top w:val="single" w:sz="8" w:space="0" w:color="333333"/>
              <w:bottom w:val="double" w:sz="6" w:space="0" w:color="333333"/>
            </w:tcBorders>
            <w:shd w:val="clear" w:color="auto" w:fill="auto"/>
            <w:vAlign w:val="bottom"/>
          </w:tcPr>
          <w:p w14:paraId="4ACE583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83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83B"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83C"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vAlign w:val="bottom"/>
          </w:tcPr>
          <w:p w14:paraId="4ACE583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83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83F"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840"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827</w:t>
            </w:r>
          </w:p>
        </w:tc>
        <w:tc>
          <w:tcPr>
            <w:tcW w:w="0" w:type="auto"/>
            <w:tcBorders>
              <w:top w:val="single" w:sz="8" w:space="0" w:color="333333"/>
              <w:bottom w:val="double" w:sz="6" w:space="0" w:color="333333"/>
            </w:tcBorders>
            <w:shd w:val="clear" w:color="auto" w:fill="auto"/>
            <w:vAlign w:val="bottom"/>
          </w:tcPr>
          <w:p w14:paraId="4ACE584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84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843"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844"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68</w:t>
            </w:r>
          </w:p>
        </w:tc>
        <w:tc>
          <w:tcPr>
            <w:tcW w:w="0" w:type="auto"/>
            <w:tcBorders>
              <w:top w:val="single" w:sz="8" w:space="0" w:color="333333"/>
              <w:bottom w:val="double" w:sz="6" w:space="0" w:color="333333"/>
            </w:tcBorders>
            <w:shd w:val="clear" w:color="auto" w:fill="auto"/>
            <w:vAlign w:val="bottom"/>
          </w:tcPr>
          <w:p w14:paraId="4ACE584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84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847"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848"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895</w:t>
            </w:r>
          </w:p>
        </w:tc>
        <w:tc>
          <w:tcPr>
            <w:tcW w:w="0" w:type="auto"/>
            <w:tcBorders>
              <w:top w:val="single" w:sz="8" w:space="0" w:color="333333"/>
              <w:bottom w:val="double" w:sz="6" w:space="0" w:color="333333"/>
            </w:tcBorders>
            <w:shd w:val="clear" w:color="auto" w:fill="auto"/>
            <w:vAlign w:val="bottom"/>
          </w:tcPr>
          <w:p w14:paraId="4ACE5849" w14:textId="77777777" w:rsidR="006F587A" w:rsidRDefault="006F587A">
            <w:pPr>
              <w:textAlignment w:val="bottom"/>
              <w:rPr>
                <w:rFonts w:ascii="Times New Roman" w:hAnsi="Times New Roman"/>
                <w:sz w:val="20"/>
                <w:szCs w:val="20"/>
              </w:rPr>
            </w:pPr>
          </w:p>
        </w:tc>
      </w:tr>
    </w:tbl>
    <w:p w14:paraId="4ACE584B" w14:textId="77777777" w:rsidR="006F587A" w:rsidRDefault="006F587A">
      <w:pPr>
        <w:spacing w:line="288" w:lineRule="auto"/>
        <w:rPr>
          <w:rFonts w:ascii="Times New Roman" w:hAnsi="Times New Roman"/>
          <w:sz w:val="20"/>
          <w:szCs w:val="20"/>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6F587A" w14:paraId="4ACE584E" w14:textId="77777777">
        <w:trPr>
          <w:tblCellSpacing w:w="0" w:type="dxa"/>
        </w:trPr>
        <w:tc>
          <w:tcPr>
            <w:tcW w:w="720" w:type="dxa"/>
            <w:shd w:val="clear" w:color="auto" w:fill="auto"/>
            <w:vAlign w:val="center"/>
          </w:tcPr>
          <w:p w14:paraId="4ACE584C" w14:textId="77777777" w:rsidR="006F587A" w:rsidRDefault="006F587A">
            <w:pPr>
              <w:rPr>
                <w:rFonts w:ascii="Times New Roman" w:hAnsi="Times New Roman"/>
                <w:sz w:val="20"/>
                <w:szCs w:val="20"/>
              </w:rPr>
            </w:pPr>
          </w:p>
        </w:tc>
        <w:tc>
          <w:tcPr>
            <w:tcW w:w="0" w:type="auto"/>
            <w:shd w:val="clear" w:color="auto" w:fill="auto"/>
            <w:vAlign w:val="center"/>
          </w:tcPr>
          <w:p w14:paraId="4ACE584D" w14:textId="77777777" w:rsidR="006F587A" w:rsidRDefault="006F587A">
            <w:pPr>
              <w:rPr>
                <w:rFonts w:ascii="Times New Roman" w:hAnsi="Times New Roman"/>
                <w:sz w:val="20"/>
                <w:szCs w:val="20"/>
              </w:rPr>
            </w:pPr>
          </w:p>
        </w:tc>
      </w:tr>
      <w:tr w:rsidR="006F587A" w14:paraId="4ACE5851" w14:textId="77777777">
        <w:trPr>
          <w:tblCellSpacing w:w="0" w:type="dxa"/>
        </w:trPr>
        <w:tc>
          <w:tcPr>
            <w:tcW w:w="0" w:type="auto"/>
            <w:shd w:val="clear" w:color="auto" w:fill="auto"/>
          </w:tcPr>
          <w:p w14:paraId="4ACE584F"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0"/>
                <w:szCs w:val="10"/>
              </w:rPr>
              <w:t>1</w:t>
            </w:r>
            <w:r>
              <w:rPr>
                <w:rFonts w:ascii="Arial" w:eastAsia="宋体" w:hAnsi="Arial" w:cs="Arial"/>
                <w:i/>
                <w:iCs/>
                <w:color w:val="333333"/>
                <w:sz w:val="16"/>
                <w:szCs w:val="16"/>
              </w:rPr>
              <w:t> </w:t>
            </w:r>
          </w:p>
        </w:tc>
        <w:tc>
          <w:tcPr>
            <w:tcW w:w="0" w:type="auto"/>
            <w:shd w:val="clear" w:color="auto" w:fill="auto"/>
          </w:tcPr>
          <w:p w14:paraId="4ACE5850"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6"/>
                <w:szCs w:val="16"/>
              </w:rPr>
              <w:t xml:space="preserve">Level 1 investments in financial institution instruments consist of money market funds. Level 2 investments consist primarily of commercial paper, certificates of deposit, time deposits, and notes and bonds issued by financial </w:t>
            </w:r>
            <w:r>
              <w:rPr>
                <w:rFonts w:ascii="Arial" w:eastAsia="宋体" w:hAnsi="Arial" w:cs="Arial"/>
                <w:i/>
                <w:iCs/>
                <w:color w:val="333333"/>
                <w:sz w:val="16"/>
                <w:szCs w:val="16"/>
              </w:rPr>
              <w:t>institutions.</w:t>
            </w:r>
          </w:p>
        </w:tc>
      </w:tr>
    </w:tbl>
    <w:p w14:paraId="4ACE5852"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6F587A" w14:paraId="4ACE5855" w14:textId="77777777">
        <w:trPr>
          <w:tblCellSpacing w:w="0" w:type="dxa"/>
        </w:trPr>
        <w:tc>
          <w:tcPr>
            <w:tcW w:w="720" w:type="dxa"/>
            <w:shd w:val="clear" w:color="auto" w:fill="auto"/>
            <w:vAlign w:val="center"/>
          </w:tcPr>
          <w:p w14:paraId="4ACE5853" w14:textId="77777777" w:rsidR="006F587A" w:rsidRDefault="006F587A">
            <w:pPr>
              <w:rPr>
                <w:rFonts w:ascii="Times New Roman" w:hAnsi="Times New Roman"/>
                <w:sz w:val="20"/>
                <w:szCs w:val="20"/>
              </w:rPr>
            </w:pPr>
          </w:p>
        </w:tc>
        <w:tc>
          <w:tcPr>
            <w:tcW w:w="0" w:type="auto"/>
            <w:shd w:val="clear" w:color="auto" w:fill="auto"/>
            <w:vAlign w:val="center"/>
          </w:tcPr>
          <w:p w14:paraId="4ACE5854" w14:textId="77777777" w:rsidR="006F587A" w:rsidRDefault="006F587A">
            <w:pPr>
              <w:rPr>
                <w:rFonts w:ascii="Times New Roman" w:hAnsi="Times New Roman"/>
                <w:sz w:val="20"/>
                <w:szCs w:val="20"/>
              </w:rPr>
            </w:pPr>
          </w:p>
        </w:tc>
      </w:tr>
      <w:tr w:rsidR="006F587A" w14:paraId="4ACE5858" w14:textId="77777777">
        <w:trPr>
          <w:tblCellSpacing w:w="0" w:type="dxa"/>
        </w:trPr>
        <w:tc>
          <w:tcPr>
            <w:tcW w:w="0" w:type="auto"/>
            <w:shd w:val="clear" w:color="auto" w:fill="auto"/>
          </w:tcPr>
          <w:p w14:paraId="4ACE5856"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0"/>
                <w:szCs w:val="10"/>
              </w:rPr>
              <w:t>2</w:t>
            </w:r>
            <w:r>
              <w:rPr>
                <w:rFonts w:ascii="Arial" w:eastAsia="宋体" w:hAnsi="Arial" w:cs="Arial"/>
                <w:i/>
                <w:iCs/>
                <w:color w:val="333333"/>
                <w:sz w:val="16"/>
                <w:szCs w:val="16"/>
              </w:rPr>
              <w:t> </w:t>
            </w:r>
          </w:p>
        </w:tc>
        <w:tc>
          <w:tcPr>
            <w:tcW w:w="0" w:type="auto"/>
            <w:shd w:val="clear" w:color="auto" w:fill="auto"/>
          </w:tcPr>
          <w:p w14:paraId="4ACE5857"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6"/>
                <w:szCs w:val="16"/>
              </w:rPr>
              <w:t>Level 2 investments in government debt consist primarily of U.S. agency notes and non-U.S. government debt.</w:t>
            </w:r>
          </w:p>
        </w:tc>
      </w:tr>
    </w:tbl>
    <w:p w14:paraId="4ACE5859" w14:textId="77777777" w:rsidR="006F587A" w:rsidRDefault="006F587A">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6F587A" w14:paraId="4ACE585C" w14:textId="77777777">
        <w:trPr>
          <w:tblCellSpacing w:w="0" w:type="dxa"/>
        </w:trPr>
        <w:tc>
          <w:tcPr>
            <w:tcW w:w="720" w:type="dxa"/>
            <w:shd w:val="clear" w:color="auto" w:fill="auto"/>
            <w:vAlign w:val="center"/>
          </w:tcPr>
          <w:p w14:paraId="4ACE585A" w14:textId="77777777" w:rsidR="006F587A" w:rsidRDefault="006F587A">
            <w:pPr>
              <w:rPr>
                <w:rFonts w:ascii="Times New Roman" w:hAnsi="Times New Roman"/>
                <w:sz w:val="20"/>
                <w:szCs w:val="20"/>
              </w:rPr>
            </w:pPr>
          </w:p>
        </w:tc>
        <w:tc>
          <w:tcPr>
            <w:tcW w:w="0" w:type="auto"/>
            <w:shd w:val="clear" w:color="auto" w:fill="auto"/>
            <w:vAlign w:val="center"/>
          </w:tcPr>
          <w:p w14:paraId="4ACE585B" w14:textId="77777777" w:rsidR="006F587A" w:rsidRDefault="006F587A">
            <w:pPr>
              <w:rPr>
                <w:rFonts w:ascii="Times New Roman" w:hAnsi="Times New Roman"/>
                <w:sz w:val="20"/>
                <w:szCs w:val="20"/>
              </w:rPr>
            </w:pPr>
          </w:p>
        </w:tc>
      </w:tr>
      <w:tr w:rsidR="006F587A" w14:paraId="4ACE585F" w14:textId="77777777">
        <w:trPr>
          <w:tblCellSpacing w:w="0" w:type="dxa"/>
        </w:trPr>
        <w:tc>
          <w:tcPr>
            <w:tcW w:w="0" w:type="auto"/>
            <w:shd w:val="clear" w:color="auto" w:fill="auto"/>
          </w:tcPr>
          <w:p w14:paraId="4ACE585D"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0"/>
                <w:szCs w:val="10"/>
              </w:rPr>
              <w:t>3</w:t>
            </w:r>
            <w:r>
              <w:rPr>
                <w:rFonts w:ascii="Arial" w:eastAsia="宋体" w:hAnsi="Arial" w:cs="Arial"/>
                <w:i/>
                <w:iCs/>
                <w:color w:val="333333"/>
                <w:sz w:val="16"/>
                <w:szCs w:val="16"/>
              </w:rPr>
              <w:t> </w:t>
            </w:r>
          </w:p>
        </w:tc>
        <w:tc>
          <w:tcPr>
            <w:tcW w:w="0" w:type="auto"/>
            <w:shd w:val="clear" w:color="auto" w:fill="auto"/>
          </w:tcPr>
          <w:p w14:paraId="4ACE585E"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6"/>
                <w:szCs w:val="16"/>
              </w:rPr>
              <w:t xml:space="preserve">The fair value of our loans receivable for which we elected the fair value option did not significantly differ </w:t>
            </w:r>
            <w:r>
              <w:rPr>
                <w:rFonts w:ascii="Arial" w:eastAsia="宋体" w:hAnsi="Arial" w:cs="Arial"/>
                <w:i/>
                <w:iCs/>
                <w:color w:val="333333"/>
                <w:sz w:val="16"/>
                <w:szCs w:val="16"/>
              </w:rPr>
              <w:t>from the contractual principal balance based on the contractual currency.</w:t>
            </w:r>
          </w:p>
        </w:tc>
      </w:tr>
    </w:tbl>
    <w:p w14:paraId="4ACE5860" w14:textId="77777777" w:rsidR="006F587A" w:rsidRDefault="006F587A">
      <w:pPr>
        <w:spacing w:line="288" w:lineRule="auto"/>
        <w:ind w:hanging="240"/>
        <w:rPr>
          <w:rFonts w:ascii="Times New Roman" w:hAnsi="Times New Roman"/>
          <w:sz w:val="16"/>
          <w:szCs w:val="16"/>
        </w:rPr>
      </w:pPr>
    </w:p>
    <w:p w14:paraId="4ACE5861" w14:textId="77777777" w:rsidR="006F587A" w:rsidRDefault="006F587A">
      <w:pPr>
        <w:spacing w:line="288" w:lineRule="auto"/>
        <w:rPr>
          <w:rFonts w:ascii="Times New Roman" w:hAnsi="Times New Roman"/>
          <w:sz w:val="18"/>
          <w:szCs w:val="18"/>
        </w:rPr>
      </w:pPr>
    </w:p>
    <w:p w14:paraId="4ACE5862"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5864" w14:textId="77777777">
        <w:tc>
          <w:tcPr>
            <w:tcW w:w="0" w:type="auto"/>
            <w:gridSpan w:val="3"/>
            <w:shd w:val="clear" w:color="auto" w:fill="auto"/>
            <w:vAlign w:val="center"/>
          </w:tcPr>
          <w:p w14:paraId="4ACE5863" w14:textId="77777777" w:rsidR="006F587A" w:rsidRDefault="006F587A">
            <w:pPr>
              <w:rPr>
                <w:rFonts w:ascii="Times New Roman" w:hAnsi="Times New Roman"/>
                <w:sz w:val="20"/>
                <w:szCs w:val="20"/>
              </w:rPr>
            </w:pPr>
          </w:p>
        </w:tc>
      </w:tr>
      <w:tr w:rsidR="006F587A" w14:paraId="4ACE5868" w14:textId="77777777">
        <w:tc>
          <w:tcPr>
            <w:tcW w:w="1300" w:type="pct"/>
            <w:shd w:val="clear" w:color="auto" w:fill="auto"/>
            <w:vAlign w:val="center"/>
          </w:tcPr>
          <w:p w14:paraId="4ACE5865" w14:textId="77777777" w:rsidR="006F587A" w:rsidRDefault="006F587A">
            <w:pPr>
              <w:rPr>
                <w:rFonts w:ascii="Times New Roman" w:hAnsi="Times New Roman"/>
                <w:sz w:val="20"/>
                <w:szCs w:val="20"/>
              </w:rPr>
            </w:pPr>
          </w:p>
        </w:tc>
        <w:tc>
          <w:tcPr>
            <w:tcW w:w="1600" w:type="pct"/>
            <w:shd w:val="clear" w:color="auto" w:fill="auto"/>
            <w:vAlign w:val="center"/>
          </w:tcPr>
          <w:p w14:paraId="4ACE5866" w14:textId="77777777" w:rsidR="006F587A" w:rsidRDefault="006F587A">
            <w:pPr>
              <w:rPr>
                <w:rFonts w:ascii="Times New Roman" w:hAnsi="Times New Roman"/>
                <w:sz w:val="20"/>
                <w:szCs w:val="20"/>
              </w:rPr>
            </w:pPr>
          </w:p>
        </w:tc>
        <w:tc>
          <w:tcPr>
            <w:tcW w:w="2100" w:type="pct"/>
            <w:shd w:val="clear" w:color="auto" w:fill="auto"/>
            <w:vAlign w:val="center"/>
          </w:tcPr>
          <w:p w14:paraId="4ACE5867" w14:textId="77777777" w:rsidR="006F587A" w:rsidRDefault="006F587A">
            <w:pPr>
              <w:rPr>
                <w:rFonts w:ascii="Times New Roman" w:hAnsi="Times New Roman"/>
                <w:sz w:val="20"/>
                <w:szCs w:val="20"/>
              </w:rPr>
            </w:pPr>
          </w:p>
        </w:tc>
      </w:tr>
      <w:tr w:rsidR="006F587A" w14:paraId="4ACE586C" w14:textId="77777777">
        <w:tc>
          <w:tcPr>
            <w:tcW w:w="0" w:type="auto"/>
            <w:tcBorders>
              <w:top w:val="single" w:sz="8" w:space="0" w:color="0071C5"/>
            </w:tcBorders>
            <w:shd w:val="clear" w:color="auto" w:fill="auto"/>
            <w:tcMar>
              <w:top w:w="40" w:type="dxa"/>
              <w:left w:w="40" w:type="dxa"/>
              <w:bottom w:w="40" w:type="dxa"/>
              <w:right w:w="40" w:type="dxa"/>
            </w:tcMar>
            <w:vAlign w:val="bottom"/>
          </w:tcPr>
          <w:p w14:paraId="4ACE5869" w14:textId="77777777" w:rsidR="006F587A" w:rsidRDefault="007B2B61">
            <w:pPr>
              <w:textAlignment w:val="bottom"/>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E0B" wp14:editId="4ACE6E0C">
                  <wp:extent cx="304800" cy="304800"/>
                  <wp:effectExtent l="0" t="0" r="0" b="0"/>
                  <wp:docPr id="264" name="图片 332"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332"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left w:val="single" w:sz="36" w:space="0" w:color="0071C5"/>
            </w:tcBorders>
            <w:shd w:val="clear" w:color="auto" w:fill="auto"/>
            <w:tcMar>
              <w:top w:w="40" w:type="dxa"/>
              <w:left w:w="40" w:type="dxa"/>
              <w:bottom w:w="40" w:type="dxa"/>
              <w:right w:w="40" w:type="dxa"/>
            </w:tcMar>
            <w:vAlign w:val="bottom"/>
          </w:tcPr>
          <w:p w14:paraId="4ACE586A" w14:textId="77777777" w:rsidR="006F587A" w:rsidRDefault="007B2B61">
            <w:pPr>
              <w:textAlignment w:val="bottom"/>
              <w:rPr>
                <w:rFonts w:ascii="Times New Roman" w:hAnsi="Times New Roman"/>
                <w:sz w:val="16"/>
                <w:szCs w:val="16"/>
              </w:rPr>
            </w:pPr>
            <w:r>
              <w:rPr>
                <w:rFonts w:ascii="Arial" w:eastAsia="宋体" w:hAnsi="Arial" w:cs="Arial"/>
                <w:color w:val="333333"/>
                <w:sz w:val="16"/>
                <w:szCs w:val="16"/>
              </w:rPr>
              <w:t> Notes to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586B"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97</w:t>
            </w:r>
          </w:p>
        </w:tc>
      </w:tr>
    </w:tbl>
    <w:p w14:paraId="4ACE586D" w14:textId="77777777" w:rsidR="006F587A" w:rsidRDefault="007B2B61">
      <w:r>
        <w:pict w14:anchorId="4ACE6E0D">
          <v:rect id="_x0000_i1123" style="width:415.3pt;height:1.5pt" o:hralign="center" o:hrstd="t" o:hr="t" fillcolor="#a0a0a0" stroked="f"/>
        </w:pict>
      </w:r>
    </w:p>
    <w:p w14:paraId="4ACE586E" w14:textId="77777777" w:rsidR="006F587A" w:rsidRDefault="007B2B61">
      <w:pPr>
        <w:spacing w:line="288" w:lineRule="auto"/>
        <w:jc w:val="right"/>
        <w:rPr>
          <w:rFonts w:ascii="Times New Roman" w:hAnsi="Times New Roman"/>
          <w:sz w:val="16"/>
          <w:szCs w:val="16"/>
        </w:rPr>
      </w:pPr>
      <w:hyperlink r:id="rId162" w:anchor="s9DB683E2CF52561EB8A73BE37F5BF9BE" w:history="1">
        <w:r>
          <w:rPr>
            <w:rStyle w:val="a5"/>
            <w:rFonts w:ascii="Arial" w:eastAsia="宋体" w:hAnsi="Arial" w:cs="Arial"/>
            <w:b/>
            <w:bCs/>
            <w:sz w:val="16"/>
            <w:szCs w:val="16"/>
          </w:rPr>
          <w:t>Table of Contents</w:t>
        </w:r>
      </w:hyperlink>
    </w:p>
    <w:p w14:paraId="4ACE586F" w14:textId="77777777" w:rsidR="006F587A" w:rsidRDefault="006F587A">
      <w:pPr>
        <w:spacing w:line="288" w:lineRule="auto"/>
        <w:jc w:val="right"/>
        <w:rPr>
          <w:rFonts w:ascii="Times New Roman" w:hAnsi="Times New Roman"/>
          <w:sz w:val="16"/>
          <w:szCs w:val="16"/>
        </w:rPr>
      </w:pPr>
    </w:p>
    <w:p w14:paraId="4ACE5870" w14:textId="77777777" w:rsidR="006F587A" w:rsidRDefault="006F587A">
      <w:pPr>
        <w:rPr>
          <w:rFonts w:ascii="Times New Roman" w:hAnsi="Times New Roman"/>
          <w:sz w:val="20"/>
          <w:szCs w:val="20"/>
        </w:rPr>
      </w:pPr>
    </w:p>
    <w:p w14:paraId="4ACE5871" w14:textId="77777777" w:rsidR="006F587A" w:rsidRDefault="007B2B61">
      <w:pPr>
        <w:spacing w:line="288" w:lineRule="auto"/>
        <w:rPr>
          <w:rFonts w:ascii="Times New Roman" w:hAnsi="Times New Roman"/>
        </w:rPr>
      </w:pPr>
      <w:r>
        <w:rPr>
          <w:rFonts w:ascii="Arial" w:eastAsia="宋体" w:hAnsi="Arial" w:cs="Arial"/>
          <w:b/>
          <w:bCs/>
          <w:color w:val="0071C5"/>
        </w:rPr>
        <w:t>ASSETS MEASURED AND RECORDED AT FAIR VALUE ON A NON-RECURRING BASIS</w:t>
      </w:r>
    </w:p>
    <w:p w14:paraId="4ACE5872"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Our non</w:t>
      </w:r>
      <w:r>
        <w:rPr>
          <w:rFonts w:ascii="Arial" w:eastAsia="宋体" w:hAnsi="Arial" w:cs="Arial"/>
          <w:color w:val="333333"/>
          <w:sz w:val="18"/>
          <w:szCs w:val="18"/>
        </w:rPr>
        <w:t>-marketable equity securities, equity method investments, and certain non-financial assets, such as intangible assets and property, plant and equipment, are recorded at fair value only if an impairment or observable price adjustment is recognized in the cu</w:t>
      </w:r>
      <w:r>
        <w:rPr>
          <w:rFonts w:ascii="Arial" w:eastAsia="宋体" w:hAnsi="Arial" w:cs="Arial"/>
          <w:color w:val="333333"/>
          <w:sz w:val="18"/>
          <w:szCs w:val="18"/>
        </w:rPr>
        <w:t xml:space="preserve">rrent period. If an impairment or observable price adjustment is recognized on our non-marketable equity securities during the period, we classify these assets as Level 3 within the fair value hierarchy based on the nature of the fair value inputs. </w:t>
      </w:r>
    </w:p>
    <w:p w14:paraId="4ACE5873"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lastRenderedPageBreak/>
        <w:t>We cla</w:t>
      </w:r>
      <w:r>
        <w:rPr>
          <w:rFonts w:ascii="Arial" w:eastAsia="宋体" w:hAnsi="Arial" w:cs="Arial"/>
          <w:color w:val="333333"/>
          <w:sz w:val="18"/>
          <w:szCs w:val="18"/>
        </w:rPr>
        <w:t>ssified non-marketable equity securities and non-marketable equity method investments as Level 3. Impairments recognized on these investments held as of December 28, 2019 were $113 million ($416 million held as of December 29, 2018 and $537 million held as</w:t>
      </w:r>
      <w:r>
        <w:rPr>
          <w:rFonts w:ascii="Arial" w:eastAsia="宋体" w:hAnsi="Arial" w:cs="Arial"/>
          <w:color w:val="333333"/>
          <w:sz w:val="18"/>
          <w:szCs w:val="18"/>
        </w:rPr>
        <w:t xml:space="preserve"> of December 30, 2017).</w:t>
      </w:r>
    </w:p>
    <w:p w14:paraId="4ACE5874" w14:textId="77777777" w:rsidR="006F587A" w:rsidRDefault="007B2B61">
      <w:pPr>
        <w:spacing w:line="288" w:lineRule="auto"/>
        <w:rPr>
          <w:rFonts w:ascii="Times New Roman" w:hAnsi="Times New Roman"/>
        </w:rPr>
      </w:pPr>
      <w:r>
        <w:rPr>
          <w:rFonts w:ascii="Arial" w:eastAsia="宋体" w:hAnsi="Arial" w:cs="Arial"/>
          <w:b/>
          <w:bCs/>
          <w:color w:val="0071C5"/>
        </w:rPr>
        <w:t>FINANCIAL INSTRUMENTS NOT RECORDED AT FAIR VALUE ON A RECURRING BASIS</w:t>
      </w:r>
    </w:p>
    <w:p w14:paraId="4ACE5875"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Financial instruments not recorded at fair value on a recurring basis include non-marketable equity securities and equity method investments that have not been re</w:t>
      </w:r>
      <w:r>
        <w:rPr>
          <w:rFonts w:ascii="Arial" w:eastAsia="宋体" w:hAnsi="Arial" w:cs="Arial"/>
          <w:color w:val="333333"/>
          <w:sz w:val="18"/>
          <w:szCs w:val="18"/>
        </w:rPr>
        <w:t xml:space="preserve">measured or impaired in the current period, grants receivable, loans receivable, reverse repurchase agreements, and our short-term and long-term debt. </w:t>
      </w:r>
    </w:p>
    <w:p w14:paraId="4ACE5876"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As of December 28, 2019, the aggregate carrying value of grants receivable, loans receivable, and reverse repurchase agreements was $543 million (the aggregate carrying amount as of December 29, 2018 was $833 million). The estimated fair value of these fin</w:t>
      </w:r>
      <w:r>
        <w:rPr>
          <w:rFonts w:ascii="Arial" w:eastAsia="宋体" w:hAnsi="Arial" w:cs="Arial"/>
          <w:color w:val="333333"/>
          <w:sz w:val="18"/>
          <w:szCs w:val="18"/>
        </w:rPr>
        <w:t xml:space="preserve">ancial instruments approximates their carrying value and is categorized as Level 2 within the fair value hierarchy based on the nature of the fair value inputs. </w:t>
      </w:r>
    </w:p>
    <w:tbl>
      <w:tblPr>
        <w:tblW w:w="5000" w:type="pct"/>
        <w:tblCellMar>
          <w:left w:w="0" w:type="dxa"/>
          <w:right w:w="0" w:type="dxa"/>
        </w:tblCellMar>
        <w:tblLook w:val="04A0" w:firstRow="1" w:lastRow="0" w:firstColumn="1" w:lastColumn="0" w:noHBand="0" w:noVBand="1"/>
      </w:tblPr>
      <w:tblGrid>
        <w:gridCol w:w="1080"/>
        <w:gridCol w:w="7226"/>
      </w:tblGrid>
      <w:tr w:rsidR="006F587A" w14:paraId="4ACE5878" w14:textId="77777777">
        <w:tc>
          <w:tcPr>
            <w:tcW w:w="0" w:type="auto"/>
            <w:gridSpan w:val="2"/>
            <w:shd w:val="clear" w:color="auto" w:fill="auto"/>
            <w:vAlign w:val="center"/>
          </w:tcPr>
          <w:p w14:paraId="4ACE5877" w14:textId="77777777" w:rsidR="006F587A" w:rsidRDefault="006F587A">
            <w:pPr>
              <w:rPr>
                <w:rFonts w:ascii="Times New Roman" w:hAnsi="Times New Roman"/>
                <w:sz w:val="20"/>
                <w:szCs w:val="20"/>
              </w:rPr>
            </w:pPr>
          </w:p>
        </w:tc>
      </w:tr>
      <w:tr w:rsidR="006F587A" w14:paraId="4ACE587B" w14:textId="77777777">
        <w:tc>
          <w:tcPr>
            <w:tcW w:w="650" w:type="pct"/>
            <w:shd w:val="clear" w:color="auto" w:fill="auto"/>
            <w:vAlign w:val="center"/>
          </w:tcPr>
          <w:p w14:paraId="4ACE5879" w14:textId="77777777" w:rsidR="006F587A" w:rsidRDefault="006F587A">
            <w:pPr>
              <w:rPr>
                <w:rFonts w:ascii="Times New Roman" w:hAnsi="Times New Roman"/>
                <w:sz w:val="20"/>
                <w:szCs w:val="20"/>
              </w:rPr>
            </w:pPr>
          </w:p>
        </w:tc>
        <w:tc>
          <w:tcPr>
            <w:tcW w:w="4350" w:type="pct"/>
            <w:shd w:val="clear" w:color="auto" w:fill="auto"/>
            <w:vAlign w:val="center"/>
          </w:tcPr>
          <w:p w14:paraId="4ACE587A" w14:textId="77777777" w:rsidR="006F587A" w:rsidRDefault="006F587A">
            <w:pPr>
              <w:rPr>
                <w:rFonts w:ascii="Times New Roman" w:hAnsi="Times New Roman"/>
                <w:sz w:val="20"/>
                <w:szCs w:val="20"/>
              </w:rPr>
            </w:pPr>
          </w:p>
        </w:tc>
      </w:tr>
      <w:tr w:rsidR="006F587A" w14:paraId="4ACE587E" w14:textId="77777777">
        <w:tc>
          <w:tcPr>
            <w:tcW w:w="0" w:type="auto"/>
            <w:tcBorders>
              <w:bottom w:val="single" w:sz="8" w:space="0" w:color="0071C5"/>
            </w:tcBorders>
            <w:shd w:val="clear" w:color="auto" w:fill="0071C5"/>
            <w:tcMar>
              <w:top w:w="40" w:type="dxa"/>
              <w:left w:w="40" w:type="dxa"/>
              <w:bottom w:w="40" w:type="dxa"/>
              <w:right w:w="40" w:type="dxa"/>
            </w:tcMar>
            <w:vAlign w:val="bottom"/>
          </w:tcPr>
          <w:p w14:paraId="4ACE587C" w14:textId="77777777" w:rsidR="006F587A" w:rsidRDefault="007B2B61">
            <w:pPr>
              <w:textAlignment w:val="bottom"/>
              <w:rPr>
                <w:rFonts w:ascii="Times New Roman" w:hAnsi="Times New Roman"/>
                <w:sz w:val="28"/>
                <w:szCs w:val="28"/>
              </w:rPr>
            </w:pPr>
            <w:r>
              <w:rPr>
                <w:rFonts w:ascii="Arial" w:eastAsia="宋体" w:hAnsi="Arial" w:cs="Arial"/>
                <w:b/>
                <w:bCs/>
                <w:color w:val="FFFFFF"/>
                <w:sz w:val="28"/>
                <w:szCs w:val="28"/>
                <w:shd w:val="clear" w:color="auto" w:fill="0071C5"/>
              </w:rPr>
              <w:t xml:space="preserve">NOTE 16 : </w:t>
            </w:r>
          </w:p>
        </w:tc>
        <w:tc>
          <w:tcPr>
            <w:tcW w:w="0" w:type="auto"/>
            <w:tcBorders>
              <w:bottom w:val="single" w:sz="8" w:space="0" w:color="0071C5"/>
            </w:tcBorders>
            <w:shd w:val="clear" w:color="auto" w:fill="auto"/>
            <w:tcMar>
              <w:top w:w="40" w:type="dxa"/>
              <w:left w:w="40" w:type="dxa"/>
              <w:bottom w:w="40" w:type="dxa"/>
              <w:right w:w="40" w:type="dxa"/>
            </w:tcMar>
            <w:vAlign w:val="bottom"/>
          </w:tcPr>
          <w:p w14:paraId="4ACE587D" w14:textId="77777777" w:rsidR="006F587A" w:rsidRDefault="007B2B61">
            <w:pPr>
              <w:textAlignment w:val="bottom"/>
              <w:rPr>
                <w:rFonts w:ascii="Times New Roman" w:hAnsi="Times New Roman"/>
                <w:sz w:val="28"/>
                <w:szCs w:val="28"/>
              </w:rPr>
            </w:pPr>
            <w:r>
              <w:rPr>
                <w:rFonts w:ascii="Arial" w:eastAsia="宋体" w:hAnsi="Arial" w:cs="Arial"/>
                <w:b/>
                <w:bCs/>
                <w:color w:val="0071C5"/>
                <w:sz w:val="28"/>
                <w:szCs w:val="28"/>
              </w:rPr>
              <w:t>OTHER COMPREHENSIVE INCOME (LOSS)</w:t>
            </w:r>
          </w:p>
        </w:tc>
      </w:tr>
    </w:tbl>
    <w:p w14:paraId="4ACE587F" w14:textId="77777777" w:rsidR="006F587A" w:rsidRDefault="006F587A">
      <w:pPr>
        <w:spacing w:line="288" w:lineRule="auto"/>
        <w:rPr>
          <w:rFonts w:ascii="Times New Roman" w:hAnsi="Times New Roman"/>
          <w:sz w:val="28"/>
          <w:szCs w:val="28"/>
        </w:rPr>
      </w:pPr>
    </w:p>
    <w:p w14:paraId="4ACE5880"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The changes in accumulated other comprehensive income (loss) by component and related tax effects for each period were as follows: </w:t>
      </w:r>
    </w:p>
    <w:tbl>
      <w:tblPr>
        <w:tblW w:w="5000" w:type="pct"/>
        <w:tblCellMar>
          <w:left w:w="0" w:type="dxa"/>
          <w:right w:w="0" w:type="dxa"/>
        </w:tblCellMar>
        <w:tblLook w:val="04A0" w:firstRow="1" w:lastRow="0" w:firstColumn="1" w:lastColumn="0" w:noHBand="0" w:noVBand="1"/>
      </w:tblPr>
      <w:tblGrid>
        <w:gridCol w:w="2481"/>
        <w:gridCol w:w="130"/>
        <w:gridCol w:w="142"/>
        <w:gridCol w:w="1171"/>
        <w:gridCol w:w="130"/>
        <w:gridCol w:w="130"/>
        <w:gridCol w:w="142"/>
        <w:gridCol w:w="747"/>
        <w:gridCol w:w="100"/>
        <w:gridCol w:w="130"/>
        <w:gridCol w:w="142"/>
        <w:gridCol w:w="663"/>
        <w:gridCol w:w="100"/>
        <w:gridCol w:w="130"/>
        <w:gridCol w:w="142"/>
        <w:gridCol w:w="840"/>
        <w:gridCol w:w="104"/>
        <w:gridCol w:w="130"/>
        <w:gridCol w:w="141"/>
        <w:gridCol w:w="511"/>
        <w:gridCol w:w="100"/>
      </w:tblGrid>
      <w:tr w:rsidR="006F587A" w14:paraId="4ACE5882" w14:textId="77777777">
        <w:tc>
          <w:tcPr>
            <w:tcW w:w="0" w:type="auto"/>
            <w:gridSpan w:val="21"/>
            <w:shd w:val="clear" w:color="auto" w:fill="auto"/>
            <w:vAlign w:val="center"/>
          </w:tcPr>
          <w:p w14:paraId="4ACE5881" w14:textId="77777777" w:rsidR="006F587A" w:rsidRDefault="006F587A">
            <w:pPr>
              <w:rPr>
                <w:rFonts w:ascii="Times New Roman" w:hAnsi="Times New Roman"/>
                <w:sz w:val="20"/>
                <w:szCs w:val="20"/>
              </w:rPr>
            </w:pPr>
          </w:p>
        </w:tc>
      </w:tr>
      <w:tr w:rsidR="006F587A" w14:paraId="4ACE5898" w14:textId="77777777">
        <w:tc>
          <w:tcPr>
            <w:tcW w:w="2200" w:type="pct"/>
            <w:shd w:val="clear" w:color="auto" w:fill="auto"/>
            <w:vAlign w:val="center"/>
          </w:tcPr>
          <w:p w14:paraId="4ACE5883" w14:textId="77777777" w:rsidR="006F587A" w:rsidRDefault="006F587A">
            <w:pPr>
              <w:rPr>
                <w:rFonts w:ascii="Times New Roman" w:hAnsi="Times New Roman"/>
                <w:sz w:val="20"/>
                <w:szCs w:val="20"/>
              </w:rPr>
            </w:pPr>
          </w:p>
        </w:tc>
        <w:tc>
          <w:tcPr>
            <w:tcW w:w="50" w:type="pct"/>
            <w:shd w:val="clear" w:color="auto" w:fill="auto"/>
            <w:vAlign w:val="center"/>
          </w:tcPr>
          <w:p w14:paraId="4ACE5884" w14:textId="77777777" w:rsidR="006F587A" w:rsidRDefault="006F587A">
            <w:pPr>
              <w:rPr>
                <w:rFonts w:ascii="Times New Roman" w:hAnsi="Times New Roman"/>
                <w:sz w:val="20"/>
                <w:szCs w:val="20"/>
              </w:rPr>
            </w:pPr>
          </w:p>
        </w:tc>
        <w:tc>
          <w:tcPr>
            <w:tcW w:w="50" w:type="pct"/>
            <w:shd w:val="clear" w:color="auto" w:fill="auto"/>
            <w:vAlign w:val="center"/>
          </w:tcPr>
          <w:p w14:paraId="4ACE5885" w14:textId="77777777" w:rsidR="006F587A" w:rsidRDefault="006F587A">
            <w:pPr>
              <w:rPr>
                <w:rFonts w:ascii="Times New Roman" w:hAnsi="Times New Roman"/>
                <w:sz w:val="20"/>
                <w:szCs w:val="20"/>
              </w:rPr>
            </w:pPr>
          </w:p>
        </w:tc>
        <w:tc>
          <w:tcPr>
            <w:tcW w:w="450" w:type="pct"/>
            <w:shd w:val="clear" w:color="auto" w:fill="auto"/>
            <w:vAlign w:val="center"/>
          </w:tcPr>
          <w:p w14:paraId="4ACE5886" w14:textId="77777777" w:rsidR="006F587A" w:rsidRDefault="006F587A">
            <w:pPr>
              <w:rPr>
                <w:rFonts w:ascii="Times New Roman" w:hAnsi="Times New Roman"/>
                <w:sz w:val="20"/>
                <w:szCs w:val="20"/>
              </w:rPr>
            </w:pPr>
          </w:p>
        </w:tc>
        <w:tc>
          <w:tcPr>
            <w:tcW w:w="50" w:type="pct"/>
            <w:shd w:val="clear" w:color="auto" w:fill="auto"/>
            <w:vAlign w:val="center"/>
          </w:tcPr>
          <w:p w14:paraId="4ACE5887" w14:textId="77777777" w:rsidR="006F587A" w:rsidRDefault="006F587A">
            <w:pPr>
              <w:rPr>
                <w:rFonts w:ascii="Times New Roman" w:hAnsi="Times New Roman"/>
                <w:sz w:val="20"/>
                <w:szCs w:val="20"/>
              </w:rPr>
            </w:pPr>
          </w:p>
        </w:tc>
        <w:tc>
          <w:tcPr>
            <w:tcW w:w="50" w:type="pct"/>
            <w:shd w:val="clear" w:color="auto" w:fill="auto"/>
            <w:vAlign w:val="center"/>
          </w:tcPr>
          <w:p w14:paraId="4ACE5888" w14:textId="77777777" w:rsidR="006F587A" w:rsidRDefault="006F587A">
            <w:pPr>
              <w:rPr>
                <w:rFonts w:ascii="Times New Roman" w:hAnsi="Times New Roman"/>
                <w:sz w:val="20"/>
                <w:szCs w:val="20"/>
              </w:rPr>
            </w:pPr>
          </w:p>
        </w:tc>
        <w:tc>
          <w:tcPr>
            <w:tcW w:w="50" w:type="pct"/>
            <w:shd w:val="clear" w:color="auto" w:fill="auto"/>
            <w:vAlign w:val="center"/>
          </w:tcPr>
          <w:p w14:paraId="4ACE5889" w14:textId="77777777" w:rsidR="006F587A" w:rsidRDefault="006F587A">
            <w:pPr>
              <w:rPr>
                <w:rFonts w:ascii="Times New Roman" w:hAnsi="Times New Roman"/>
                <w:sz w:val="20"/>
                <w:szCs w:val="20"/>
              </w:rPr>
            </w:pPr>
          </w:p>
        </w:tc>
        <w:tc>
          <w:tcPr>
            <w:tcW w:w="400" w:type="pct"/>
            <w:shd w:val="clear" w:color="auto" w:fill="auto"/>
            <w:vAlign w:val="center"/>
          </w:tcPr>
          <w:p w14:paraId="4ACE588A" w14:textId="77777777" w:rsidR="006F587A" w:rsidRDefault="006F587A">
            <w:pPr>
              <w:rPr>
                <w:rFonts w:ascii="Times New Roman" w:hAnsi="Times New Roman"/>
                <w:sz w:val="20"/>
                <w:szCs w:val="20"/>
              </w:rPr>
            </w:pPr>
          </w:p>
        </w:tc>
        <w:tc>
          <w:tcPr>
            <w:tcW w:w="50" w:type="pct"/>
            <w:shd w:val="clear" w:color="auto" w:fill="auto"/>
            <w:vAlign w:val="center"/>
          </w:tcPr>
          <w:p w14:paraId="4ACE588B" w14:textId="77777777" w:rsidR="006F587A" w:rsidRDefault="006F587A">
            <w:pPr>
              <w:rPr>
                <w:rFonts w:ascii="Times New Roman" w:hAnsi="Times New Roman"/>
                <w:sz w:val="20"/>
                <w:szCs w:val="20"/>
              </w:rPr>
            </w:pPr>
          </w:p>
        </w:tc>
        <w:tc>
          <w:tcPr>
            <w:tcW w:w="50" w:type="pct"/>
            <w:shd w:val="clear" w:color="auto" w:fill="auto"/>
            <w:vAlign w:val="center"/>
          </w:tcPr>
          <w:p w14:paraId="4ACE588C" w14:textId="77777777" w:rsidR="006F587A" w:rsidRDefault="006F587A">
            <w:pPr>
              <w:rPr>
                <w:rFonts w:ascii="Times New Roman" w:hAnsi="Times New Roman"/>
                <w:sz w:val="20"/>
                <w:szCs w:val="20"/>
              </w:rPr>
            </w:pPr>
          </w:p>
        </w:tc>
        <w:tc>
          <w:tcPr>
            <w:tcW w:w="50" w:type="pct"/>
            <w:shd w:val="clear" w:color="auto" w:fill="auto"/>
            <w:vAlign w:val="center"/>
          </w:tcPr>
          <w:p w14:paraId="4ACE588D" w14:textId="77777777" w:rsidR="006F587A" w:rsidRDefault="006F587A">
            <w:pPr>
              <w:rPr>
                <w:rFonts w:ascii="Times New Roman" w:hAnsi="Times New Roman"/>
                <w:sz w:val="20"/>
                <w:szCs w:val="20"/>
              </w:rPr>
            </w:pPr>
          </w:p>
        </w:tc>
        <w:tc>
          <w:tcPr>
            <w:tcW w:w="400" w:type="pct"/>
            <w:shd w:val="clear" w:color="auto" w:fill="auto"/>
            <w:vAlign w:val="center"/>
          </w:tcPr>
          <w:p w14:paraId="4ACE588E" w14:textId="77777777" w:rsidR="006F587A" w:rsidRDefault="006F587A">
            <w:pPr>
              <w:rPr>
                <w:rFonts w:ascii="Times New Roman" w:hAnsi="Times New Roman"/>
                <w:sz w:val="20"/>
                <w:szCs w:val="20"/>
              </w:rPr>
            </w:pPr>
          </w:p>
        </w:tc>
        <w:tc>
          <w:tcPr>
            <w:tcW w:w="50" w:type="pct"/>
            <w:shd w:val="clear" w:color="auto" w:fill="auto"/>
            <w:vAlign w:val="center"/>
          </w:tcPr>
          <w:p w14:paraId="4ACE588F" w14:textId="77777777" w:rsidR="006F587A" w:rsidRDefault="006F587A">
            <w:pPr>
              <w:rPr>
                <w:rFonts w:ascii="Times New Roman" w:hAnsi="Times New Roman"/>
                <w:sz w:val="20"/>
                <w:szCs w:val="20"/>
              </w:rPr>
            </w:pPr>
          </w:p>
        </w:tc>
        <w:tc>
          <w:tcPr>
            <w:tcW w:w="50" w:type="pct"/>
            <w:shd w:val="clear" w:color="auto" w:fill="auto"/>
            <w:vAlign w:val="center"/>
          </w:tcPr>
          <w:p w14:paraId="4ACE5890" w14:textId="77777777" w:rsidR="006F587A" w:rsidRDefault="006F587A">
            <w:pPr>
              <w:rPr>
                <w:rFonts w:ascii="Times New Roman" w:hAnsi="Times New Roman"/>
                <w:sz w:val="20"/>
                <w:szCs w:val="20"/>
              </w:rPr>
            </w:pPr>
          </w:p>
        </w:tc>
        <w:tc>
          <w:tcPr>
            <w:tcW w:w="50" w:type="pct"/>
            <w:shd w:val="clear" w:color="auto" w:fill="auto"/>
            <w:vAlign w:val="center"/>
          </w:tcPr>
          <w:p w14:paraId="4ACE5891" w14:textId="77777777" w:rsidR="006F587A" w:rsidRDefault="006F587A">
            <w:pPr>
              <w:rPr>
                <w:rFonts w:ascii="Times New Roman" w:hAnsi="Times New Roman"/>
                <w:sz w:val="20"/>
                <w:szCs w:val="20"/>
              </w:rPr>
            </w:pPr>
          </w:p>
        </w:tc>
        <w:tc>
          <w:tcPr>
            <w:tcW w:w="400" w:type="pct"/>
            <w:shd w:val="clear" w:color="auto" w:fill="auto"/>
            <w:vAlign w:val="center"/>
          </w:tcPr>
          <w:p w14:paraId="4ACE5892" w14:textId="77777777" w:rsidR="006F587A" w:rsidRDefault="006F587A">
            <w:pPr>
              <w:rPr>
                <w:rFonts w:ascii="Times New Roman" w:hAnsi="Times New Roman"/>
                <w:sz w:val="20"/>
                <w:szCs w:val="20"/>
              </w:rPr>
            </w:pPr>
          </w:p>
        </w:tc>
        <w:tc>
          <w:tcPr>
            <w:tcW w:w="50" w:type="pct"/>
            <w:shd w:val="clear" w:color="auto" w:fill="auto"/>
            <w:vAlign w:val="center"/>
          </w:tcPr>
          <w:p w14:paraId="4ACE5893" w14:textId="77777777" w:rsidR="006F587A" w:rsidRDefault="006F587A">
            <w:pPr>
              <w:rPr>
                <w:rFonts w:ascii="Times New Roman" w:hAnsi="Times New Roman"/>
                <w:sz w:val="20"/>
                <w:szCs w:val="20"/>
              </w:rPr>
            </w:pPr>
          </w:p>
        </w:tc>
        <w:tc>
          <w:tcPr>
            <w:tcW w:w="50" w:type="pct"/>
            <w:shd w:val="clear" w:color="auto" w:fill="auto"/>
            <w:vAlign w:val="center"/>
          </w:tcPr>
          <w:p w14:paraId="4ACE5894" w14:textId="77777777" w:rsidR="006F587A" w:rsidRDefault="006F587A">
            <w:pPr>
              <w:rPr>
                <w:rFonts w:ascii="Times New Roman" w:hAnsi="Times New Roman"/>
                <w:sz w:val="20"/>
                <w:szCs w:val="20"/>
              </w:rPr>
            </w:pPr>
          </w:p>
        </w:tc>
        <w:tc>
          <w:tcPr>
            <w:tcW w:w="50" w:type="pct"/>
            <w:shd w:val="clear" w:color="auto" w:fill="auto"/>
            <w:vAlign w:val="center"/>
          </w:tcPr>
          <w:p w14:paraId="4ACE5895" w14:textId="77777777" w:rsidR="006F587A" w:rsidRDefault="006F587A">
            <w:pPr>
              <w:rPr>
                <w:rFonts w:ascii="Times New Roman" w:hAnsi="Times New Roman"/>
                <w:sz w:val="20"/>
                <w:szCs w:val="20"/>
              </w:rPr>
            </w:pPr>
          </w:p>
        </w:tc>
        <w:tc>
          <w:tcPr>
            <w:tcW w:w="400" w:type="pct"/>
            <w:shd w:val="clear" w:color="auto" w:fill="auto"/>
            <w:vAlign w:val="center"/>
          </w:tcPr>
          <w:p w14:paraId="4ACE5896" w14:textId="77777777" w:rsidR="006F587A" w:rsidRDefault="006F587A">
            <w:pPr>
              <w:rPr>
                <w:rFonts w:ascii="Times New Roman" w:hAnsi="Times New Roman"/>
                <w:sz w:val="20"/>
                <w:szCs w:val="20"/>
              </w:rPr>
            </w:pPr>
          </w:p>
        </w:tc>
        <w:tc>
          <w:tcPr>
            <w:tcW w:w="50" w:type="pct"/>
            <w:shd w:val="clear" w:color="auto" w:fill="auto"/>
            <w:vAlign w:val="center"/>
          </w:tcPr>
          <w:p w14:paraId="4ACE5897" w14:textId="77777777" w:rsidR="006F587A" w:rsidRDefault="006F587A">
            <w:pPr>
              <w:rPr>
                <w:rFonts w:ascii="Times New Roman" w:hAnsi="Times New Roman"/>
                <w:sz w:val="20"/>
                <w:szCs w:val="20"/>
              </w:rPr>
            </w:pPr>
          </w:p>
        </w:tc>
      </w:tr>
      <w:tr w:rsidR="006F587A" w14:paraId="4ACE58A4"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5899"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4ACE589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89B" w14:textId="77777777" w:rsidR="006F587A" w:rsidRDefault="007B2B61">
            <w:pPr>
              <w:jc w:val="center"/>
              <w:textAlignment w:val="bottom"/>
              <w:rPr>
                <w:rFonts w:ascii="Times New Roman" w:hAnsi="Times New Roman"/>
                <w:sz w:val="16"/>
                <w:szCs w:val="16"/>
              </w:rPr>
            </w:pPr>
            <w:r>
              <w:rPr>
                <w:rFonts w:ascii="Arial" w:eastAsia="宋体" w:hAnsi="Arial" w:cs="Arial"/>
                <w:b/>
                <w:bCs/>
                <w:color w:val="333333"/>
                <w:sz w:val="16"/>
                <w:szCs w:val="16"/>
              </w:rPr>
              <w:t xml:space="preserve">Unrealized Holding Gains (Losses) on Available-for-Sale Equity </w:t>
            </w:r>
            <w:r>
              <w:rPr>
                <w:rFonts w:ascii="Arial" w:eastAsia="宋体" w:hAnsi="Arial" w:cs="Arial"/>
                <w:b/>
                <w:bCs/>
                <w:color w:val="333333"/>
                <w:sz w:val="16"/>
                <w:szCs w:val="16"/>
              </w:rPr>
              <w:t>Investments</w:t>
            </w:r>
          </w:p>
        </w:tc>
        <w:tc>
          <w:tcPr>
            <w:tcW w:w="0" w:type="auto"/>
            <w:shd w:val="clear" w:color="auto" w:fill="auto"/>
            <w:tcMar>
              <w:top w:w="40" w:type="dxa"/>
              <w:left w:w="40" w:type="dxa"/>
              <w:bottom w:w="40" w:type="dxa"/>
              <w:right w:w="40" w:type="dxa"/>
            </w:tcMar>
            <w:vAlign w:val="bottom"/>
          </w:tcPr>
          <w:p w14:paraId="4ACE589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89D" w14:textId="77777777" w:rsidR="006F587A" w:rsidRDefault="007B2B61">
            <w:pPr>
              <w:jc w:val="center"/>
              <w:textAlignment w:val="bottom"/>
              <w:rPr>
                <w:rFonts w:ascii="Times New Roman" w:hAnsi="Times New Roman"/>
                <w:sz w:val="16"/>
                <w:szCs w:val="16"/>
              </w:rPr>
            </w:pPr>
            <w:r>
              <w:rPr>
                <w:rFonts w:ascii="Arial" w:eastAsia="宋体" w:hAnsi="Arial" w:cs="Arial"/>
                <w:b/>
                <w:bCs/>
                <w:color w:val="333333"/>
                <w:sz w:val="16"/>
                <w:szCs w:val="16"/>
              </w:rPr>
              <w:t>Unrealized Holding Gains (Losses) on Derivatives</w:t>
            </w:r>
          </w:p>
        </w:tc>
        <w:tc>
          <w:tcPr>
            <w:tcW w:w="0" w:type="auto"/>
            <w:shd w:val="clear" w:color="auto" w:fill="auto"/>
            <w:tcMar>
              <w:top w:w="40" w:type="dxa"/>
              <w:left w:w="40" w:type="dxa"/>
              <w:bottom w:w="40" w:type="dxa"/>
              <w:right w:w="40" w:type="dxa"/>
            </w:tcMar>
            <w:vAlign w:val="bottom"/>
          </w:tcPr>
          <w:p w14:paraId="4ACE589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89F" w14:textId="77777777" w:rsidR="006F587A" w:rsidRDefault="007B2B61">
            <w:pPr>
              <w:jc w:val="center"/>
              <w:textAlignment w:val="bottom"/>
              <w:rPr>
                <w:rFonts w:ascii="Times New Roman" w:hAnsi="Times New Roman"/>
                <w:sz w:val="16"/>
                <w:szCs w:val="16"/>
              </w:rPr>
            </w:pPr>
            <w:r>
              <w:rPr>
                <w:rFonts w:ascii="Arial" w:eastAsia="宋体" w:hAnsi="Arial" w:cs="Arial"/>
                <w:b/>
                <w:bCs/>
                <w:color w:val="333333"/>
                <w:sz w:val="16"/>
                <w:szCs w:val="16"/>
              </w:rPr>
              <w:t xml:space="preserve">Actuarial Valuation and Other Pension Expenses </w:t>
            </w:r>
          </w:p>
        </w:tc>
        <w:tc>
          <w:tcPr>
            <w:tcW w:w="0" w:type="auto"/>
            <w:shd w:val="clear" w:color="auto" w:fill="auto"/>
            <w:tcMar>
              <w:top w:w="40" w:type="dxa"/>
              <w:left w:w="40" w:type="dxa"/>
              <w:bottom w:w="40" w:type="dxa"/>
              <w:right w:w="40" w:type="dxa"/>
            </w:tcMar>
            <w:vAlign w:val="bottom"/>
          </w:tcPr>
          <w:p w14:paraId="4ACE58A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8A1" w14:textId="77777777" w:rsidR="006F587A" w:rsidRDefault="007B2B61">
            <w:pPr>
              <w:jc w:val="center"/>
              <w:textAlignment w:val="bottom"/>
              <w:rPr>
                <w:rFonts w:ascii="Times New Roman" w:hAnsi="Times New Roman"/>
                <w:sz w:val="16"/>
                <w:szCs w:val="16"/>
              </w:rPr>
            </w:pPr>
            <w:r>
              <w:rPr>
                <w:rFonts w:ascii="Arial" w:eastAsia="宋体" w:hAnsi="Arial" w:cs="Arial"/>
                <w:b/>
                <w:bCs/>
                <w:color w:val="333333"/>
                <w:sz w:val="16"/>
                <w:szCs w:val="16"/>
              </w:rPr>
              <w:t xml:space="preserve">Translation Adjustments and Other </w:t>
            </w:r>
          </w:p>
        </w:tc>
        <w:tc>
          <w:tcPr>
            <w:tcW w:w="0" w:type="auto"/>
            <w:shd w:val="clear" w:color="auto" w:fill="auto"/>
            <w:tcMar>
              <w:top w:w="40" w:type="dxa"/>
              <w:left w:w="40" w:type="dxa"/>
              <w:bottom w:w="40" w:type="dxa"/>
              <w:right w:w="40" w:type="dxa"/>
            </w:tcMar>
            <w:vAlign w:val="bottom"/>
          </w:tcPr>
          <w:p w14:paraId="4ACE58A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8A3" w14:textId="77777777" w:rsidR="006F587A" w:rsidRDefault="007B2B61">
            <w:pPr>
              <w:jc w:val="center"/>
              <w:textAlignment w:val="bottom"/>
              <w:rPr>
                <w:rFonts w:ascii="Times New Roman" w:hAnsi="Times New Roman"/>
                <w:sz w:val="16"/>
                <w:szCs w:val="16"/>
              </w:rPr>
            </w:pPr>
            <w:r>
              <w:rPr>
                <w:rFonts w:ascii="Arial" w:eastAsia="宋体" w:hAnsi="Arial" w:cs="Arial"/>
                <w:b/>
                <w:bCs/>
                <w:color w:val="333333"/>
                <w:sz w:val="16"/>
                <w:szCs w:val="16"/>
              </w:rPr>
              <w:t>Total</w:t>
            </w:r>
          </w:p>
        </w:tc>
      </w:tr>
      <w:tr w:rsidR="006F587A" w14:paraId="4ACE58BA" w14:textId="77777777">
        <w:tc>
          <w:tcPr>
            <w:tcW w:w="0" w:type="auto"/>
            <w:tcBorders>
              <w:top w:val="single" w:sz="8" w:space="0" w:color="0071C5"/>
            </w:tcBorders>
            <w:shd w:val="clear" w:color="auto" w:fill="auto"/>
            <w:tcMar>
              <w:top w:w="40" w:type="dxa"/>
              <w:left w:w="40" w:type="dxa"/>
              <w:bottom w:w="40" w:type="dxa"/>
              <w:right w:w="40" w:type="dxa"/>
            </w:tcMar>
            <w:vAlign w:val="bottom"/>
          </w:tcPr>
          <w:p w14:paraId="4ACE58A5"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December 31, 2016</w:t>
            </w:r>
          </w:p>
        </w:tc>
        <w:tc>
          <w:tcPr>
            <w:tcW w:w="0" w:type="auto"/>
            <w:shd w:val="clear" w:color="auto" w:fill="auto"/>
            <w:tcMar>
              <w:top w:w="40" w:type="dxa"/>
              <w:left w:w="40" w:type="dxa"/>
              <w:bottom w:w="40" w:type="dxa"/>
              <w:right w:w="40" w:type="dxa"/>
            </w:tcMar>
            <w:vAlign w:val="bottom"/>
          </w:tcPr>
          <w:p w14:paraId="4ACE58A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58A7"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0071C5"/>
            </w:tcBorders>
            <w:shd w:val="clear" w:color="auto" w:fill="auto"/>
            <w:tcMar>
              <w:top w:w="40" w:type="dxa"/>
              <w:bottom w:w="40" w:type="dxa"/>
            </w:tcMar>
            <w:vAlign w:val="bottom"/>
          </w:tcPr>
          <w:p w14:paraId="4ACE58A8"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2,179</w:t>
            </w:r>
          </w:p>
        </w:tc>
        <w:tc>
          <w:tcPr>
            <w:tcW w:w="0" w:type="auto"/>
            <w:tcBorders>
              <w:top w:val="single" w:sz="8" w:space="0" w:color="0071C5"/>
            </w:tcBorders>
            <w:shd w:val="clear" w:color="auto" w:fill="auto"/>
            <w:vAlign w:val="bottom"/>
          </w:tcPr>
          <w:p w14:paraId="4ACE58A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8A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58AB"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0071C5"/>
            </w:tcBorders>
            <w:shd w:val="clear" w:color="auto" w:fill="auto"/>
            <w:tcMar>
              <w:top w:w="40" w:type="dxa"/>
              <w:bottom w:w="40" w:type="dxa"/>
            </w:tcMar>
            <w:vAlign w:val="bottom"/>
          </w:tcPr>
          <w:p w14:paraId="4ACE58AC"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(259</w:t>
            </w:r>
          </w:p>
        </w:tc>
        <w:tc>
          <w:tcPr>
            <w:tcW w:w="0" w:type="auto"/>
            <w:tcBorders>
              <w:top w:val="single" w:sz="8" w:space="0" w:color="0071C5"/>
            </w:tcBorders>
            <w:shd w:val="clear" w:color="auto" w:fill="auto"/>
            <w:tcMar>
              <w:top w:w="40" w:type="dxa"/>
              <w:bottom w:w="40" w:type="dxa"/>
              <w:right w:w="40" w:type="dxa"/>
            </w:tcMar>
            <w:vAlign w:val="bottom"/>
          </w:tcPr>
          <w:p w14:paraId="4ACE58AD"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4ACE58A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58AF"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0071C5"/>
            </w:tcBorders>
            <w:shd w:val="clear" w:color="auto" w:fill="auto"/>
            <w:tcMar>
              <w:top w:w="40" w:type="dxa"/>
              <w:bottom w:w="40" w:type="dxa"/>
            </w:tcMar>
            <w:vAlign w:val="bottom"/>
          </w:tcPr>
          <w:p w14:paraId="4ACE58B0"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(1,280</w:t>
            </w:r>
          </w:p>
        </w:tc>
        <w:tc>
          <w:tcPr>
            <w:tcW w:w="0" w:type="auto"/>
            <w:tcBorders>
              <w:top w:val="single" w:sz="8" w:space="0" w:color="0071C5"/>
            </w:tcBorders>
            <w:shd w:val="clear" w:color="auto" w:fill="auto"/>
            <w:tcMar>
              <w:top w:w="40" w:type="dxa"/>
              <w:bottom w:w="40" w:type="dxa"/>
              <w:right w:w="40" w:type="dxa"/>
            </w:tcMar>
            <w:vAlign w:val="bottom"/>
          </w:tcPr>
          <w:p w14:paraId="4ACE58B1"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4ACE58B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58B3"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0071C5"/>
            </w:tcBorders>
            <w:shd w:val="clear" w:color="auto" w:fill="auto"/>
            <w:tcMar>
              <w:top w:w="40" w:type="dxa"/>
              <w:bottom w:w="40" w:type="dxa"/>
            </w:tcMar>
            <w:vAlign w:val="bottom"/>
          </w:tcPr>
          <w:p w14:paraId="4ACE58B4"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(534</w:t>
            </w:r>
          </w:p>
        </w:tc>
        <w:tc>
          <w:tcPr>
            <w:tcW w:w="0" w:type="auto"/>
            <w:tcBorders>
              <w:top w:val="single" w:sz="8" w:space="0" w:color="0071C5"/>
            </w:tcBorders>
            <w:shd w:val="clear" w:color="auto" w:fill="auto"/>
            <w:tcMar>
              <w:top w:w="40" w:type="dxa"/>
              <w:bottom w:w="40" w:type="dxa"/>
              <w:right w:w="40" w:type="dxa"/>
            </w:tcMar>
            <w:vAlign w:val="bottom"/>
          </w:tcPr>
          <w:p w14:paraId="4ACE58B5"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4ACE58B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58B7"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0071C5"/>
            </w:tcBorders>
            <w:shd w:val="clear" w:color="auto" w:fill="auto"/>
            <w:tcMar>
              <w:top w:w="40" w:type="dxa"/>
              <w:bottom w:w="40" w:type="dxa"/>
            </w:tcMar>
            <w:vAlign w:val="bottom"/>
          </w:tcPr>
          <w:p w14:paraId="4ACE58B8"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106</w:t>
            </w:r>
          </w:p>
        </w:tc>
        <w:tc>
          <w:tcPr>
            <w:tcW w:w="0" w:type="auto"/>
            <w:tcBorders>
              <w:top w:val="single" w:sz="8" w:space="0" w:color="0071C5"/>
            </w:tcBorders>
            <w:shd w:val="clear" w:color="auto" w:fill="auto"/>
            <w:vAlign w:val="bottom"/>
          </w:tcPr>
          <w:p w14:paraId="4ACE58B9" w14:textId="77777777" w:rsidR="006F587A" w:rsidRDefault="006F587A">
            <w:pPr>
              <w:textAlignment w:val="bottom"/>
              <w:rPr>
                <w:rFonts w:ascii="Times New Roman" w:hAnsi="Times New Roman"/>
                <w:sz w:val="20"/>
                <w:szCs w:val="20"/>
              </w:rPr>
            </w:pPr>
          </w:p>
        </w:tc>
      </w:tr>
      <w:tr w:rsidR="006F587A" w14:paraId="4ACE58CB" w14:textId="77777777">
        <w:tc>
          <w:tcPr>
            <w:tcW w:w="0" w:type="auto"/>
            <w:shd w:val="clear" w:color="auto" w:fill="auto"/>
            <w:tcMar>
              <w:top w:w="40" w:type="dxa"/>
              <w:left w:w="40" w:type="dxa"/>
              <w:bottom w:w="40" w:type="dxa"/>
              <w:right w:w="40" w:type="dxa"/>
            </w:tcMar>
            <w:vAlign w:val="bottom"/>
          </w:tcPr>
          <w:p w14:paraId="4ACE58BB"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Other comprehensive income (loss) before reclassifications</w:t>
            </w:r>
          </w:p>
        </w:tc>
        <w:tc>
          <w:tcPr>
            <w:tcW w:w="0" w:type="auto"/>
            <w:shd w:val="clear" w:color="auto" w:fill="auto"/>
            <w:tcMar>
              <w:top w:w="40" w:type="dxa"/>
              <w:left w:w="40" w:type="dxa"/>
              <w:bottom w:w="40" w:type="dxa"/>
              <w:right w:w="40" w:type="dxa"/>
            </w:tcMar>
            <w:vAlign w:val="bottom"/>
          </w:tcPr>
          <w:p w14:paraId="4ACE58B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8BD"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2,765</w:t>
            </w:r>
          </w:p>
        </w:tc>
        <w:tc>
          <w:tcPr>
            <w:tcW w:w="0" w:type="auto"/>
            <w:shd w:val="clear" w:color="auto" w:fill="auto"/>
            <w:vAlign w:val="bottom"/>
          </w:tcPr>
          <w:p w14:paraId="4ACE58B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8B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8C0"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605</w:t>
            </w:r>
          </w:p>
        </w:tc>
        <w:tc>
          <w:tcPr>
            <w:tcW w:w="0" w:type="auto"/>
            <w:shd w:val="clear" w:color="auto" w:fill="auto"/>
            <w:vAlign w:val="bottom"/>
          </w:tcPr>
          <w:p w14:paraId="4ACE58C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8C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8C3"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275</w:t>
            </w:r>
          </w:p>
        </w:tc>
        <w:tc>
          <w:tcPr>
            <w:tcW w:w="0" w:type="auto"/>
            <w:shd w:val="clear" w:color="auto" w:fill="auto"/>
            <w:vAlign w:val="bottom"/>
          </w:tcPr>
          <w:p w14:paraId="4ACE58C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8C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8C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w:t>
            </w:r>
          </w:p>
        </w:tc>
        <w:tc>
          <w:tcPr>
            <w:tcW w:w="0" w:type="auto"/>
            <w:shd w:val="clear" w:color="auto" w:fill="auto"/>
            <w:tcMar>
              <w:top w:w="40" w:type="dxa"/>
              <w:bottom w:w="40" w:type="dxa"/>
              <w:right w:w="40" w:type="dxa"/>
            </w:tcMar>
            <w:vAlign w:val="bottom"/>
          </w:tcPr>
          <w:p w14:paraId="4ACE58C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58C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8C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3,643</w:t>
            </w:r>
          </w:p>
        </w:tc>
        <w:tc>
          <w:tcPr>
            <w:tcW w:w="0" w:type="auto"/>
            <w:shd w:val="clear" w:color="auto" w:fill="auto"/>
            <w:vAlign w:val="bottom"/>
          </w:tcPr>
          <w:p w14:paraId="4ACE58CA" w14:textId="77777777" w:rsidR="006F587A" w:rsidRDefault="006F587A">
            <w:pPr>
              <w:textAlignment w:val="bottom"/>
              <w:rPr>
                <w:rFonts w:ascii="Times New Roman" w:hAnsi="Times New Roman"/>
                <w:sz w:val="20"/>
                <w:szCs w:val="20"/>
              </w:rPr>
            </w:pPr>
          </w:p>
        </w:tc>
      </w:tr>
      <w:tr w:rsidR="006F587A" w14:paraId="4ACE58DC" w14:textId="77777777">
        <w:tc>
          <w:tcPr>
            <w:tcW w:w="0" w:type="auto"/>
            <w:shd w:val="clear" w:color="auto" w:fill="auto"/>
            <w:tcMar>
              <w:top w:w="40" w:type="dxa"/>
              <w:left w:w="40" w:type="dxa"/>
              <w:bottom w:w="40" w:type="dxa"/>
              <w:right w:w="40" w:type="dxa"/>
            </w:tcMar>
            <w:vAlign w:val="bottom"/>
          </w:tcPr>
          <w:p w14:paraId="4ACE58CC"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Amounts reclassified out of accumulated other comprehensive income (loss)</w:t>
            </w:r>
          </w:p>
        </w:tc>
        <w:tc>
          <w:tcPr>
            <w:tcW w:w="0" w:type="auto"/>
            <w:shd w:val="clear" w:color="auto" w:fill="auto"/>
            <w:tcMar>
              <w:top w:w="40" w:type="dxa"/>
              <w:left w:w="40" w:type="dxa"/>
              <w:bottom w:w="40" w:type="dxa"/>
              <w:right w:w="40" w:type="dxa"/>
            </w:tcMar>
            <w:vAlign w:val="bottom"/>
          </w:tcPr>
          <w:p w14:paraId="4ACE58C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8C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(3,433</w:t>
            </w:r>
          </w:p>
        </w:tc>
        <w:tc>
          <w:tcPr>
            <w:tcW w:w="0" w:type="auto"/>
            <w:shd w:val="clear" w:color="auto" w:fill="auto"/>
            <w:tcMar>
              <w:top w:w="40" w:type="dxa"/>
              <w:bottom w:w="40" w:type="dxa"/>
              <w:right w:w="40" w:type="dxa"/>
            </w:tcMar>
            <w:vAlign w:val="bottom"/>
          </w:tcPr>
          <w:p w14:paraId="4ACE58C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58D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8D1"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(69</w:t>
            </w:r>
          </w:p>
        </w:tc>
        <w:tc>
          <w:tcPr>
            <w:tcW w:w="0" w:type="auto"/>
            <w:shd w:val="clear" w:color="auto" w:fill="auto"/>
            <w:tcMar>
              <w:top w:w="40" w:type="dxa"/>
              <w:bottom w:w="40" w:type="dxa"/>
              <w:right w:w="40" w:type="dxa"/>
            </w:tcMar>
            <w:vAlign w:val="bottom"/>
          </w:tcPr>
          <w:p w14:paraId="4ACE58D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58D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8D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103</w:t>
            </w:r>
          </w:p>
        </w:tc>
        <w:tc>
          <w:tcPr>
            <w:tcW w:w="0" w:type="auto"/>
            <w:shd w:val="clear" w:color="auto" w:fill="auto"/>
            <w:vAlign w:val="bottom"/>
          </w:tcPr>
          <w:p w14:paraId="4ACE58D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8D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8D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509</w:t>
            </w:r>
          </w:p>
        </w:tc>
        <w:tc>
          <w:tcPr>
            <w:tcW w:w="0" w:type="auto"/>
            <w:shd w:val="clear" w:color="auto" w:fill="auto"/>
            <w:vAlign w:val="bottom"/>
          </w:tcPr>
          <w:p w14:paraId="4ACE58D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8D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8D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(2,890</w:t>
            </w:r>
          </w:p>
        </w:tc>
        <w:tc>
          <w:tcPr>
            <w:tcW w:w="0" w:type="auto"/>
            <w:shd w:val="clear" w:color="auto" w:fill="auto"/>
            <w:tcMar>
              <w:top w:w="40" w:type="dxa"/>
              <w:bottom w:w="40" w:type="dxa"/>
              <w:right w:w="40" w:type="dxa"/>
            </w:tcMar>
            <w:vAlign w:val="bottom"/>
          </w:tcPr>
          <w:p w14:paraId="4ACE58D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58ED" w14:textId="77777777">
        <w:tc>
          <w:tcPr>
            <w:tcW w:w="0" w:type="auto"/>
            <w:shd w:val="clear" w:color="auto" w:fill="auto"/>
            <w:tcMar>
              <w:top w:w="40" w:type="dxa"/>
              <w:left w:w="40" w:type="dxa"/>
              <w:bottom w:w="40" w:type="dxa"/>
              <w:right w:w="40" w:type="dxa"/>
            </w:tcMar>
            <w:vAlign w:val="bottom"/>
          </w:tcPr>
          <w:p w14:paraId="4ACE58DD"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Tax effects</w:t>
            </w:r>
          </w:p>
        </w:tc>
        <w:tc>
          <w:tcPr>
            <w:tcW w:w="0" w:type="auto"/>
            <w:shd w:val="clear" w:color="auto" w:fill="auto"/>
            <w:tcMar>
              <w:top w:w="40" w:type="dxa"/>
              <w:left w:w="40" w:type="dxa"/>
              <w:bottom w:w="40" w:type="dxa"/>
              <w:right w:w="40" w:type="dxa"/>
            </w:tcMar>
            <w:vAlign w:val="bottom"/>
          </w:tcPr>
          <w:p w14:paraId="4ACE58D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8D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234</w:t>
            </w:r>
          </w:p>
        </w:tc>
        <w:tc>
          <w:tcPr>
            <w:tcW w:w="0" w:type="auto"/>
            <w:tcBorders>
              <w:bottom w:val="single" w:sz="8" w:space="0" w:color="333333"/>
            </w:tcBorders>
            <w:shd w:val="clear" w:color="auto" w:fill="auto"/>
            <w:vAlign w:val="bottom"/>
          </w:tcPr>
          <w:p w14:paraId="4ACE58E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8E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8E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(171</w:t>
            </w:r>
          </w:p>
        </w:tc>
        <w:tc>
          <w:tcPr>
            <w:tcW w:w="0" w:type="auto"/>
            <w:tcBorders>
              <w:bottom w:val="single" w:sz="8" w:space="0" w:color="333333"/>
            </w:tcBorders>
            <w:shd w:val="clear" w:color="auto" w:fill="auto"/>
            <w:tcMar>
              <w:top w:w="40" w:type="dxa"/>
              <w:bottom w:w="40" w:type="dxa"/>
              <w:right w:w="40" w:type="dxa"/>
            </w:tcMar>
            <w:vAlign w:val="bottom"/>
          </w:tcPr>
          <w:p w14:paraId="4ACE58E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58E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8E5"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(61</w:t>
            </w:r>
          </w:p>
        </w:tc>
        <w:tc>
          <w:tcPr>
            <w:tcW w:w="0" w:type="auto"/>
            <w:tcBorders>
              <w:bottom w:val="single" w:sz="8" w:space="0" w:color="333333"/>
            </w:tcBorders>
            <w:shd w:val="clear" w:color="auto" w:fill="auto"/>
            <w:tcMar>
              <w:top w:w="40" w:type="dxa"/>
              <w:bottom w:w="40" w:type="dxa"/>
              <w:right w:w="40" w:type="dxa"/>
            </w:tcMar>
            <w:vAlign w:val="bottom"/>
          </w:tcPr>
          <w:p w14:paraId="4ACE58E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58E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8E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w:t>
            </w:r>
          </w:p>
        </w:tc>
        <w:tc>
          <w:tcPr>
            <w:tcW w:w="0" w:type="auto"/>
            <w:tcBorders>
              <w:bottom w:val="single" w:sz="8" w:space="0" w:color="333333"/>
            </w:tcBorders>
            <w:shd w:val="clear" w:color="auto" w:fill="auto"/>
            <w:vAlign w:val="bottom"/>
          </w:tcPr>
          <w:p w14:paraId="4ACE58E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8E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8E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w:t>
            </w:r>
          </w:p>
        </w:tc>
        <w:tc>
          <w:tcPr>
            <w:tcW w:w="0" w:type="auto"/>
            <w:shd w:val="clear" w:color="auto" w:fill="auto"/>
            <w:vAlign w:val="bottom"/>
          </w:tcPr>
          <w:p w14:paraId="4ACE58EC" w14:textId="77777777" w:rsidR="006F587A" w:rsidRDefault="006F587A">
            <w:pPr>
              <w:textAlignment w:val="bottom"/>
              <w:rPr>
                <w:rFonts w:ascii="Times New Roman" w:hAnsi="Times New Roman"/>
                <w:sz w:val="20"/>
                <w:szCs w:val="20"/>
              </w:rPr>
            </w:pPr>
          </w:p>
        </w:tc>
      </w:tr>
      <w:tr w:rsidR="006F587A" w14:paraId="4ACE58FE" w14:textId="77777777">
        <w:tc>
          <w:tcPr>
            <w:tcW w:w="0" w:type="auto"/>
            <w:shd w:val="clear" w:color="auto" w:fill="auto"/>
            <w:tcMar>
              <w:top w:w="40" w:type="dxa"/>
              <w:left w:w="40" w:type="dxa"/>
              <w:bottom w:w="40" w:type="dxa"/>
              <w:right w:w="40" w:type="dxa"/>
            </w:tcMar>
            <w:vAlign w:val="bottom"/>
          </w:tcPr>
          <w:p w14:paraId="4ACE58EE"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Other comprehensive income (loss)</w:t>
            </w:r>
          </w:p>
        </w:tc>
        <w:tc>
          <w:tcPr>
            <w:tcW w:w="0" w:type="auto"/>
            <w:shd w:val="clear" w:color="auto" w:fill="auto"/>
            <w:tcMar>
              <w:top w:w="40" w:type="dxa"/>
              <w:left w:w="40" w:type="dxa"/>
              <w:bottom w:w="40" w:type="dxa"/>
              <w:right w:w="40" w:type="dxa"/>
            </w:tcMar>
            <w:vAlign w:val="bottom"/>
          </w:tcPr>
          <w:p w14:paraId="4ACE58E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8F0"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(434</w:t>
            </w:r>
          </w:p>
        </w:tc>
        <w:tc>
          <w:tcPr>
            <w:tcW w:w="0" w:type="auto"/>
            <w:tcBorders>
              <w:bottom w:val="single" w:sz="8" w:space="0" w:color="333333"/>
            </w:tcBorders>
            <w:shd w:val="clear" w:color="auto" w:fill="auto"/>
            <w:tcMar>
              <w:top w:w="40" w:type="dxa"/>
              <w:bottom w:w="40" w:type="dxa"/>
              <w:right w:w="40" w:type="dxa"/>
            </w:tcMar>
            <w:vAlign w:val="bottom"/>
          </w:tcPr>
          <w:p w14:paraId="4ACE58F1"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4ACE58F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58F3"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365</w:t>
            </w:r>
          </w:p>
        </w:tc>
        <w:tc>
          <w:tcPr>
            <w:tcW w:w="0" w:type="auto"/>
            <w:tcBorders>
              <w:top w:val="single" w:sz="8" w:space="0" w:color="333333"/>
              <w:bottom w:val="single" w:sz="8" w:space="0" w:color="333333"/>
            </w:tcBorders>
            <w:shd w:val="clear" w:color="auto" w:fill="auto"/>
            <w:vAlign w:val="bottom"/>
          </w:tcPr>
          <w:p w14:paraId="4ACE58F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8F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58F6"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317</w:t>
            </w:r>
          </w:p>
        </w:tc>
        <w:tc>
          <w:tcPr>
            <w:tcW w:w="0" w:type="auto"/>
            <w:tcBorders>
              <w:top w:val="single" w:sz="8" w:space="0" w:color="333333"/>
              <w:bottom w:val="single" w:sz="8" w:space="0" w:color="333333"/>
            </w:tcBorders>
            <w:shd w:val="clear" w:color="auto" w:fill="auto"/>
            <w:vAlign w:val="bottom"/>
          </w:tcPr>
          <w:p w14:paraId="4ACE58F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8F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58F9"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508</w:t>
            </w:r>
          </w:p>
        </w:tc>
        <w:tc>
          <w:tcPr>
            <w:tcW w:w="0" w:type="auto"/>
            <w:tcBorders>
              <w:top w:val="single" w:sz="8" w:space="0" w:color="333333"/>
              <w:bottom w:val="single" w:sz="8" w:space="0" w:color="333333"/>
            </w:tcBorders>
            <w:shd w:val="clear" w:color="auto" w:fill="auto"/>
            <w:vAlign w:val="bottom"/>
          </w:tcPr>
          <w:p w14:paraId="4ACE58F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8F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58FC"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756</w:t>
            </w:r>
          </w:p>
        </w:tc>
        <w:tc>
          <w:tcPr>
            <w:tcW w:w="0" w:type="auto"/>
            <w:tcBorders>
              <w:top w:val="single" w:sz="8" w:space="0" w:color="333333"/>
              <w:bottom w:val="single" w:sz="8" w:space="0" w:color="333333"/>
            </w:tcBorders>
            <w:shd w:val="clear" w:color="auto" w:fill="auto"/>
            <w:vAlign w:val="bottom"/>
          </w:tcPr>
          <w:p w14:paraId="4ACE58FD" w14:textId="77777777" w:rsidR="006F587A" w:rsidRDefault="006F587A">
            <w:pPr>
              <w:textAlignment w:val="bottom"/>
              <w:rPr>
                <w:rFonts w:ascii="Times New Roman" w:hAnsi="Times New Roman"/>
                <w:sz w:val="20"/>
                <w:szCs w:val="20"/>
              </w:rPr>
            </w:pPr>
          </w:p>
        </w:tc>
      </w:tr>
      <w:tr w:rsidR="006F587A" w14:paraId="4ACE590F" w14:textId="77777777">
        <w:tc>
          <w:tcPr>
            <w:tcW w:w="0" w:type="auto"/>
            <w:shd w:val="clear" w:color="auto" w:fill="auto"/>
            <w:tcMar>
              <w:top w:w="40" w:type="dxa"/>
              <w:left w:w="40" w:type="dxa"/>
              <w:bottom w:w="40" w:type="dxa"/>
              <w:right w:w="40" w:type="dxa"/>
            </w:tcMar>
            <w:vAlign w:val="bottom"/>
          </w:tcPr>
          <w:p w14:paraId="4ACE58FF"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December 30, 2017</w:t>
            </w:r>
          </w:p>
        </w:tc>
        <w:tc>
          <w:tcPr>
            <w:tcW w:w="0" w:type="auto"/>
            <w:shd w:val="clear" w:color="auto" w:fill="auto"/>
            <w:tcMar>
              <w:top w:w="40" w:type="dxa"/>
              <w:left w:w="40" w:type="dxa"/>
              <w:bottom w:w="40" w:type="dxa"/>
              <w:right w:w="40" w:type="dxa"/>
            </w:tcMar>
            <w:vAlign w:val="bottom"/>
          </w:tcPr>
          <w:p w14:paraId="4ACE590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tcBorders>
            <w:shd w:val="clear" w:color="auto" w:fill="auto"/>
            <w:tcMar>
              <w:top w:w="40" w:type="dxa"/>
              <w:left w:w="40" w:type="dxa"/>
              <w:bottom w:w="40" w:type="dxa"/>
            </w:tcMar>
            <w:vAlign w:val="bottom"/>
          </w:tcPr>
          <w:p w14:paraId="4ACE5901"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1,745</w:t>
            </w:r>
          </w:p>
        </w:tc>
        <w:tc>
          <w:tcPr>
            <w:tcW w:w="0" w:type="auto"/>
            <w:tcBorders>
              <w:top w:val="single" w:sz="8" w:space="0" w:color="333333"/>
            </w:tcBorders>
            <w:shd w:val="clear" w:color="auto" w:fill="auto"/>
            <w:vAlign w:val="bottom"/>
          </w:tcPr>
          <w:p w14:paraId="4ACE590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90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tcBorders>
            <w:shd w:val="clear" w:color="auto" w:fill="auto"/>
            <w:tcMar>
              <w:top w:w="40" w:type="dxa"/>
              <w:left w:w="40" w:type="dxa"/>
              <w:bottom w:w="40" w:type="dxa"/>
            </w:tcMar>
            <w:vAlign w:val="bottom"/>
          </w:tcPr>
          <w:p w14:paraId="4ACE5904"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106</w:t>
            </w:r>
          </w:p>
        </w:tc>
        <w:tc>
          <w:tcPr>
            <w:tcW w:w="0" w:type="auto"/>
            <w:tcBorders>
              <w:top w:val="single" w:sz="8" w:space="0" w:color="333333"/>
            </w:tcBorders>
            <w:shd w:val="clear" w:color="auto" w:fill="auto"/>
            <w:vAlign w:val="bottom"/>
          </w:tcPr>
          <w:p w14:paraId="4ACE590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90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tcBorders>
            <w:shd w:val="clear" w:color="auto" w:fill="auto"/>
            <w:tcMar>
              <w:top w:w="40" w:type="dxa"/>
              <w:left w:w="40" w:type="dxa"/>
              <w:bottom w:w="40" w:type="dxa"/>
            </w:tcMar>
            <w:vAlign w:val="bottom"/>
          </w:tcPr>
          <w:p w14:paraId="4ACE5907"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(963</w:t>
            </w:r>
          </w:p>
        </w:tc>
        <w:tc>
          <w:tcPr>
            <w:tcW w:w="0" w:type="auto"/>
            <w:tcBorders>
              <w:top w:val="single" w:sz="8" w:space="0" w:color="333333"/>
            </w:tcBorders>
            <w:shd w:val="clear" w:color="auto" w:fill="auto"/>
            <w:tcMar>
              <w:top w:w="40" w:type="dxa"/>
              <w:bottom w:w="40" w:type="dxa"/>
              <w:right w:w="40" w:type="dxa"/>
            </w:tcMar>
            <w:vAlign w:val="bottom"/>
          </w:tcPr>
          <w:p w14:paraId="4ACE5908"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4ACE590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tcBorders>
            <w:shd w:val="clear" w:color="auto" w:fill="auto"/>
            <w:tcMar>
              <w:top w:w="40" w:type="dxa"/>
              <w:left w:w="40" w:type="dxa"/>
              <w:bottom w:w="40" w:type="dxa"/>
            </w:tcMar>
            <w:vAlign w:val="bottom"/>
          </w:tcPr>
          <w:p w14:paraId="4ACE590A"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(26</w:t>
            </w:r>
          </w:p>
        </w:tc>
        <w:tc>
          <w:tcPr>
            <w:tcW w:w="0" w:type="auto"/>
            <w:tcBorders>
              <w:top w:val="single" w:sz="8" w:space="0" w:color="333333"/>
            </w:tcBorders>
            <w:shd w:val="clear" w:color="auto" w:fill="auto"/>
            <w:tcMar>
              <w:top w:w="40" w:type="dxa"/>
              <w:bottom w:w="40" w:type="dxa"/>
              <w:right w:w="40" w:type="dxa"/>
            </w:tcMar>
            <w:vAlign w:val="bottom"/>
          </w:tcPr>
          <w:p w14:paraId="4ACE590B"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4ACE590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90D"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862</w:t>
            </w:r>
          </w:p>
        </w:tc>
        <w:tc>
          <w:tcPr>
            <w:tcW w:w="0" w:type="auto"/>
            <w:shd w:val="clear" w:color="auto" w:fill="auto"/>
            <w:vAlign w:val="bottom"/>
          </w:tcPr>
          <w:p w14:paraId="4ACE590E" w14:textId="77777777" w:rsidR="006F587A" w:rsidRDefault="006F587A">
            <w:pPr>
              <w:textAlignment w:val="bottom"/>
              <w:rPr>
                <w:rFonts w:ascii="Times New Roman" w:hAnsi="Times New Roman"/>
                <w:sz w:val="20"/>
                <w:szCs w:val="20"/>
              </w:rPr>
            </w:pPr>
          </w:p>
        </w:tc>
      </w:tr>
      <w:tr w:rsidR="006F587A" w14:paraId="4ACE5920" w14:textId="77777777">
        <w:tc>
          <w:tcPr>
            <w:tcW w:w="0" w:type="auto"/>
            <w:shd w:val="clear" w:color="auto" w:fill="auto"/>
            <w:tcMar>
              <w:top w:w="40" w:type="dxa"/>
              <w:left w:w="40" w:type="dxa"/>
              <w:bottom w:w="40" w:type="dxa"/>
              <w:right w:w="40" w:type="dxa"/>
            </w:tcMar>
            <w:vAlign w:val="bottom"/>
          </w:tcPr>
          <w:p w14:paraId="4ACE5910"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 xml:space="preserve">Impact of change in accounting </w:t>
            </w:r>
            <w:r>
              <w:rPr>
                <w:rFonts w:ascii="Arial" w:eastAsia="宋体" w:hAnsi="Arial" w:cs="Arial"/>
                <w:color w:val="333333"/>
                <w:sz w:val="18"/>
                <w:szCs w:val="18"/>
              </w:rPr>
              <w:t>standards</w:t>
            </w:r>
          </w:p>
        </w:tc>
        <w:tc>
          <w:tcPr>
            <w:tcW w:w="0" w:type="auto"/>
            <w:shd w:val="clear" w:color="auto" w:fill="auto"/>
            <w:tcMar>
              <w:top w:w="40" w:type="dxa"/>
              <w:left w:w="40" w:type="dxa"/>
              <w:bottom w:w="40" w:type="dxa"/>
              <w:right w:w="40" w:type="dxa"/>
            </w:tcMar>
            <w:vAlign w:val="bottom"/>
          </w:tcPr>
          <w:p w14:paraId="4ACE591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91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(1,745</w:t>
            </w:r>
          </w:p>
        </w:tc>
        <w:tc>
          <w:tcPr>
            <w:tcW w:w="0" w:type="auto"/>
            <w:shd w:val="clear" w:color="auto" w:fill="auto"/>
            <w:tcMar>
              <w:top w:w="40" w:type="dxa"/>
              <w:bottom w:w="40" w:type="dxa"/>
              <w:right w:w="40" w:type="dxa"/>
            </w:tcMar>
            <w:vAlign w:val="bottom"/>
          </w:tcPr>
          <w:p w14:paraId="4ACE591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591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915"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24</w:t>
            </w:r>
          </w:p>
        </w:tc>
        <w:tc>
          <w:tcPr>
            <w:tcW w:w="0" w:type="auto"/>
            <w:shd w:val="clear" w:color="auto" w:fill="auto"/>
            <w:vAlign w:val="bottom"/>
          </w:tcPr>
          <w:p w14:paraId="4ACE591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91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91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(65</w:t>
            </w:r>
          </w:p>
        </w:tc>
        <w:tc>
          <w:tcPr>
            <w:tcW w:w="0" w:type="auto"/>
            <w:shd w:val="clear" w:color="auto" w:fill="auto"/>
            <w:tcMar>
              <w:top w:w="40" w:type="dxa"/>
              <w:bottom w:w="40" w:type="dxa"/>
              <w:right w:w="40" w:type="dxa"/>
            </w:tcMar>
            <w:vAlign w:val="bottom"/>
          </w:tcPr>
          <w:p w14:paraId="4ACE591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591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91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w:t>
            </w:r>
          </w:p>
        </w:tc>
        <w:tc>
          <w:tcPr>
            <w:tcW w:w="0" w:type="auto"/>
            <w:shd w:val="clear" w:color="auto" w:fill="auto"/>
            <w:tcMar>
              <w:top w:w="40" w:type="dxa"/>
              <w:bottom w:w="40" w:type="dxa"/>
              <w:right w:w="40" w:type="dxa"/>
            </w:tcMar>
            <w:vAlign w:val="bottom"/>
          </w:tcPr>
          <w:p w14:paraId="4ACE591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591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91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(1,790</w:t>
            </w:r>
          </w:p>
        </w:tc>
        <w:tc>
          <w:tcPr>
            <w:tcW w:w="0" w:type="auto"/>
            <w:shd w:val="clear" w:color="auto" w:fill="auto"/>
            <w:tcMar>
              <w:top w:w="40" w:type="dxa"/>
              <w:bottom w:w="40" w:type="dxa"/>
              <w:right w:w="40" w:type="dxa"/>
            </w:tcMar>
            <w:vAlign w:val="bottom"/>
          </w:tcPr>
          <w:p w14:paraId="4ACE591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5931" w14:textId="77777777">
        <w:tc>
          <w:tcPr>
            <w:tcW w:w="0" w:type="auto"/>
            <w:shd w:val="clear" w:color="auto" w:fill="auto"/>
            <w:tcMar>
              <w:top w:w="40" w:type="dxa"/>
              <w:left w:w="40" w:type="dxa"/>
              <w:bottom w:w="40" w:type="dxa"/>
              <w:right w:w="40" w:type="dxa"/>
            </w:tcMar>
            <w:vAlign w:val="bottom"/>
          </w:tcPr>
          <w:p w14:paraId="4ACE5921"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Opening Balance as of December 31, 2017</w:t>
            </w:r>
          </w:p>
        </w:tc>
        <w:tc>
          <w:tcPr>
            <w:tcW w:w="0" w:type="auto"/>
            <w:shd w:val="clear" w:color="auto" w:fill="auto"/>
            <w:tcMar>
              <w:top w:w="40" w:type="dxa"/>
              <w:left w:w="40" w:type="dxa"/>
              <w:bottom w:w="40" w:type="dxa"/>
              <w:right w:w="40" w:type="dxa"/>
            </w:tcMar>
            <w:vAlign w:val="bottom"/>
          </w:tcPr>
          <w:p w14:paraId="4ACE592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tcBorders>
            <w:shd w:val="clear" w:color="auto" w:fill="auto"/>
            <w:tcMar>
              <w:top w:w="40" w:type="dxa"/>
              <w:left w:w="40" w:type="dxa"/>
              <w:bottom w:w="40" w:type="dxa"/>
            </w:tcMar>
            <w:vAlign w:val="bottom"/>
          </w:tcPr>
          <w:p w14:paraId="4ACE5923"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tcBorders>
            <w:shd w:val="clear" w:color="auto" w:fill="auto"/>
            <w:vAlign w:val="bottom"/>
          </w:tcPr>
          <w:p w14:paraId="4ACE592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92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tcBorders>
            <w:shd w:val="clear" w:color="auto" w:fill="auto"/>
            <w:tcMar>
              <w:top w:w="40" w:type="dxa"/>
              <w:left w:w="40" w:type="dxa"/>
              <w:bottom w:w="40" w:type="dxa"/>
            </w:tcMar>
            <w:vAlign w:val="bottom"/>
          </w:tcPr>
          <w:p w14:paraId="4ACE5926"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130</w:t>
            </w:r>
          </w:p>
        </w:tc>
        <w:tc>
          <w:tcPr>
            <w:tcW w:w="0" w:type="auto"/>
            <w:tcBorders>
              <w:top w:val="single" w:sz="8" w:space="0" w:color="333333"/>
            </w:tcBorders>
            <w:shd w:val="clear" w:color="auto" w:fill="auto"/>
            <w:vAlign w:val="bottom"/>
          </w:tcPr>
          <w:p w14:paraId="4ACE592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92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tcBorders>
            <w:shd w:val="clear" w:color="auto" w:fill="auto"/>
            <w:tcMar>
              <w:top w:w="40" w:type="dxa"/>
              <w:left w:w="40" w:type="dxa"/>
              <w:bottom w:w="40" w:type="dxa"/>
            </w:tcMar>
            <w:vAlign w:val="bottom"/>
          </w:tcPr>
          <w:p w14:paraId="4ACE5929"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(1,028</w:t>
            </w:r>
          </w:p>
        </w:tc>
        <w:tc>
          <w:tcPr>
            <w:tcW w:w="0" w:type="auto"/>
            <w:tcBorders>
              <w:top w:val="single" w:sz="8" w:space="0" w:color="333333"/>
            </w:tcBorders>
            <w:shd w:val="clear" w:color="auto" w:fill="auto"/>
            <w:tcMar>
              <w:top w:w="40" w:type="dxa"/>
              <w:bottom w:w="40" w:type="dxa"/>
              <w:right w:w="40" w:type="dxa"/>
            </w:tcMar>
            <w:vAlign w:val="bottom"/>
          </w:tcPr>
          <w:p w14:paraId="4ACE592A"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4ACE592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tcBorders>
            <w:shd w:val="clear" w:color="auto" w:fill="auto"/>
            <w:tcMar>
              <w:top w:w="40" w:type="dxa"/>
              <w:left w:w="40" w:type="dxa"/>
              <w:bottom w:w="40" w:type="dxa"/>
            </w:tcMar>
            <w:vAlign w:val="bottom"/>
          </w:tcPr>
          <w:p w14:paraId="4ACE592C"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(30</w:t>
            </w:r>
          </w:p>
        </w:tc>
        <w:tc>
          <w:tcPr>
            <w:tcW w:w="0" w:type="auto"/>
            <w:tcBorders>
              <w:top w:val="single" w:sz="8" w:space="0" w:color="333333"/>
            </w:tcBorders>
            <w:shd w:val="clear" w:color="auto" w:fill="auto"/>
            <w:tcMar>
              <w:top w:w="40" w:type="dxa"/>
              <w:bottom w:w="40" w:type="dxa"/>
              <w:right w:w="40" w:type="dxa"/>
            </w:tcMar>
            <w:vAlign w:val="bottom"/>
          </w:tcPr>
          <w:p w14:paraId="4ACE592D"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4ACE592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tcBorders>
            <w:shd w:val="clear" w:color="auto" w:fill="auto"/>
            <w:tcMar>
              <w:top w:w="40" w:type="dxa"/>
              <w:left w:w="40" w:type="dxa"/>
              <w:bottom w:w="40" w:type="dxa"/>
            </w:tcMar>
            <w:vAlign w:val="bottom"/>
          </w:tcPr>
          <w:p w14:paraId="4ACE592F"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(928</w:t>
            </w:r>
          </w:p>
        </w:tc>
        <w:tc>
          <w:tcPr>
            <w:tcW w:w="0" w:type="auto"/>
            <w:tcBorders>
              <w:top w:val="single" w:sz="8" w:space="0" w:color="333333"/>
            </w:tcBorders>
            <w:shd w:val="clear" w:color="auto" w:fill="auto"/>
            <w:tcMar>
              <w:top w:w="40" w:type="dxa"/>
              <w:bottom w:w="40" w:type="dxa"/>
              <w:right w:w="40" w:type="dxa"/>
            </w:tcMar>
            <w:vAlign w:val="bottom"/>
          </w:tcPr>
          <w:p w14:paraId="4ACE5930"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r>
      <w:tr w:rsidR="006F587A" w14:paraId="4ACE5942" w14:textId="77777777">
        <w:tc>
          <w:tcPr>
            <w:tcW w:w="0" w:type="auto"/>
            <w:shd w:val="clear" w:color="auto" w:fill="auto"/>
            <w:tcMar>
              <w:top w:w="40" w:type="dxa"/>
              <w:left w:w="40" w:type="dxa"/>
              <w:bottom w:w="40" w:type="dxa"/>
              <w:right w:w="40" w:type="dxa"/>
            </w:tcMar>
            <w:vAlign w:val="bottom"/>
          </w:tcPr>
          <w:p w14:paraId="4ACE5932"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Othe</w:t>
            </w:r>
            <w:r>
              <w:rPr>
                <w:rFonts w:ascii="Arial" w:eastAsia="宋体" w:hAnsi="Arial" w:cs="Arial"/>
                <w:color w:val="333333"/>
                <w:sz w:val="18"/>
                <w:szCs w:val="18"/>
              </w:rPr>
              <w:t>r comprehensive income (loss) before reclassifications</w:t>
            </w:r>
          </w:p>
        </w:tc>
        <w:tc>
          <w:tcPr>
            <w:tcW w:w="0" w:type="auto"/>
            <w:shd w:val="clear" w:color="auto" w:fill="auto"/>
            <w:tcMar>
              <w:top w:w="40" w:type="dxa"/>
              <w:left w:w="40" w:type="dxa"/>
              <w:bottom w:w="40" w:type="dxa"/>
              <w:right w:w="40" w:type="dxa"/>
            </w:tcMar>
            <w:vAlign w:val="bottom"/>
          </w:tcPr>
          <w:p w14:paraId="4ACE593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93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93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93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93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(310</w:t>
            </w:r>
          </w:p>
        </w:tc>
        <w:tc>
          <w:tcPr>
            <w:tcW w:w="0" w:type="auto"/>
            <w:shd w:val="clear" w:color="auto" w:fill="auto"/>
            <w:tcMar>
              <w:top w:w="40" w:type="dxa"/>
              <w:bottom w:w="40" w:type="dxa"/>
              <w:right w:w="40" w:type="dxa"/>
            </w:tcMar>
            <w:vAlign w:val="bottom"/>
          </w:tcPr>
          <w:p w14:paraId="4ACE593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593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93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157</w:t>
            </w:r>
          </w:p>
        </w:tc>
        <w:tc>
          <w:tcPr>
            <w:tcW w:w="0" w:type="auto"/>
            <w:shd w:val="clear" w:color="auto" w:fill="auto"/>
            <w:vAlign w:val="bottom"/>
          </w:tcPr>
          <w:p w14:paraId="4ACE593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93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93D"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(16</w:t>
            </w:r>
          </w:p>
        </w:tc>
        <w:tc>
          <w:tcPr>
            <w:tcW w:w="0" w:type="auto"/>
            <w:shd w:val="clear" w:color="auto" w:fill="auto"/>
            <w:tcMar>
              <w:top w:w="40" w:type="dxa"/>
              <w:bottom w:w="40" w:type="dxa"/>
              <w:right w:w="40" w:type="dxa"/>
            </w:tcMar>
            <w:vAlign w:val="bottom"/>
          </w:tcPr>
          <w:p w14:paraId="4ACE593E"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593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940"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(169</w:t>
            </w:r>
          </w:p>
        </w:tc>
        <w:tc>
          <w:tcPr>
            <w:tcW w:w="0" w:type="auto"/>
            <w:shd w:val="clear" w:color="auto" w:fill="auto"/>
            <w:tcMar>
              <w:top w:w="40" w:type="dxa"/>
              <w:bottom w:w="40" w:type="dxa"/>
              <w:right w:w="40" w:type="dxa"/>
            </w:tcMar>
            <w:vAlign w:val="bottom"/>
          </w:tcPr>
          <w:p w14:paraId="4ACE594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5953" w14:textId="77777777">
        <w:tc>
          <w:tcPr>
            <w:tcW w:w="0" w:type="auto"/>
            <w:shd w:val="clear" w:color="auto" w:fill="auto"/>
            <w:tcMar>
              <w:top w:w="40" w:type="dxa"/>
              <w:left w:w="40" w:type="dxa"/>
              <w:bottom w:w="40" w:type="dxa"/>
              <w:right w:w="40" w:type="dxa"/>
            </w:tcMar>
            <w:vAlign w:val="bottom"/>
          </w:tcPr>
          <w:p w14:paraId="4ACE5943"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Amounts reclassified out of accumulated other comprehensive income (loss)</w:t>
            </w:r>
          </w:p>
        </w:tc>
        <w:tc>
          <w:tcPr>
            <w:tcW w:w="0" w:type="auto"/>
            <w:shd w:val="clear" w:color="auto" w:fill="auto"/>
            <w:tcMar>
              <w:top w:w="40" w:type="dxa"/>
              <w:left w:w="40" w:type="dxa"/>
              <w:bottom w:w="40" w:type="dxa"/>
              <w:right w:w="40" w:type="dxa"/>
            </w:tcMar>
            <w:vAlign w:val="bottom"/>
          </w:tcPr>
          <w:p w14:paraId="4ACE594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945"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94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94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94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9</w:t>
            </w:r>
          </w:p>
        </w:tc>
        <w:tc>
          <w:tcPr>
            <w:tcW w:w="0" w:type="auto"/>
            <w:shd w:val="clear" w:color="auto" w:fill="auto"/>
            <w:vAlign w:val="bottom"/>
          </w:tcPr>
          <w:p w14:paraId="4ACE594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94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94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109</w:t>
            </w:r>
          </w:p>
        </w:tc>
        <w:tc>
          <w:tcPr>
            <w:tcW w:w="0" w:type="auto"/>
            <w:shd w:val="clear" w:color="auto" w:fill="auto"/>
            <w:vAlign w:val="bottom"/>
          </w:tcPr>
          <w:p w14:paraId="4ACE594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94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94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8</w:t>
            </w:r>
          </w:p>
        </w:tc>
        <w:tc>
          <w:tcPr>
            <w:tcW w:w="0" w:type="auto"/>
            <w:shd w:val="clear" w:color="auto" w:fill="auto"/>
            <w:vAlign w:val="bottom"/>
          </w:tcPr>
          <w:p w14:paraId="4ACE594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95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951"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126</w:t>
            </w:r>
          </w:p>
        </w:tc>
        <w:tc>
          <w:tcPr>
            <w:tcW w:w="0" w:type="auto"/>
            <w:shd w:val="clear" w:color="auto" w:fill="auto"/>
            <w:vAlign w:val="bottom"/>
          </w:tcPr>
          <w:p w14:paraId="4ACE5952" w14:textId="77777777" w:rsidR="006F587A" w:rsidRDefault="006F587A">
            <w:pPr>
              <w:textAlignment w:val="bottom"/>
              <w:rPr>
                <w:rFonts w:ascii="Times New Roman" w:hAnsi="Times New Roman"/>
                <w:sz w:val="20"/>
                <w:szCs w:val="20"/>
              </w:rPr>
            </w:pPr>
          </w:p>
        </w:tc>
      </w:tr>
      <w:tr w:rsidR="006F587A" w14:paraId="4ACE5964" w14:textId="77777777">
        <w:tc>
          <w:tcPr>
            <w:tcW w:w="0" w:type="auto"/>
            <w:shd w:val="clear" w:color="auto" w:fill="auto"/>
            <w:tcMar>
              <w:top w:w="40" w:type="dxa"/>
              <w:left w:w="40" w:type="dxa"/>
              <w:bottom w:w="40" w:type="dxa"/>
              <w:right w:w="40" w:type="dxa"/>
            </w:tcMar>
            <w:vAlign w:val="bottom"/>
          </w:tcPr>
          <w:p w14:paraId="4ACE5954"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Tax effects</w:t>
            </w:r>
          </w:p>
        </w:tc>
        <w:tc>
          <w:tcPr>
            <w:tcW w:w="0" w:type="auto"/>
            <w:shd w:val="clear" w:color="auto" w:fill="auto"/>
            <w:tcMar>
              <w:top w:w="40" w:type="dxa"/>
              <w:left w:w="40" w:type="dxa"/>
              <w:bottom w:w="40" w:type="dxa"/>
              <w:right w:w="40" w:type="dxa"/>
            </w:tcMar>
            <w:vAlign w:val="bottom"/>
          </w:tcPr>
          <w:p w14:paraId="4ACE595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95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tcBorders>
              <w:bottom w:val="single" w:sz="8" w:space="0" w:color="333333"/>
            </w:tcBorders>
            <w:shd w:val="clear" w:color="auto" w:fill="auto"/>
            <w:vAlign w:val="bottom"/>
          </w:tcPr>
          <w:p w14:paraId="4ACE595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95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95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48</w:t>
            </w:r>
          </w:p>
        </w:tc>
        <w:tc>
          <w:tcPr>
            <w:tcW w:w="0" w:type="auto"/>
            <w:tcBorders>
              <w:bottom w:val="single" w:sz="8" w:space="0" w:color="333333"/>
            </w:tcBorders>
            <w:shd w:val="clear" w:color="auto" w:fill="auto"/>
            <w:vAlign w:val="bottom"/>
          </w:tcPr>
          <w:p w14:paraId="4ACE595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95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95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(56</w:t>
            </w:r>
          </w:p>
        </w:tc>
        <w:tc>
          <w:tcPr>
            <w:tcW w:w="0" w:type="auto"/>
            <w:tcBorders>
              <w:bottom w:val="single" w:sz="8" w:space="0" w:color="333333"/>
            </w:tcBorders>
            <w:shd w:val="clear" w:color="auto" w:fill="auto"/>
            <w:tcMar>
              <w:top w:w="40" w:type="dxa"/>
              <w:bottom w:w="40" w:type="dxa"/>
              <w:right w:w="40" w:type="dxa"/>
            </w:tcMar>
            <w:vAlign w:val="bottom"/>
          </w:tcPr>
          <w:p w14:paraId="4ACE595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595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95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5</w:t>
            </w:r>
          </w:p>
        </w:tc>
        <w:tc>
          <w:tcPr>
            <w:tcW w:w="0" w:type="auto"/>
            <w:tcBorders>
              <w:bottom w:val="single" w:sz="8" w:space="0" w:color="333333"/>
            </w:tcBorders>
            <w:shd w:val="clear" w:color="auto" w:fill="auto"/>
            <w:vAlign w:val="bottom"/>
          </w:tcPr>
          <w:p w14:paraId="4ACE596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96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96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w:t>
            </w:r>
          </w:p>
        </w:tc>
        <w:tc>
          <w:tcPr>
            <w:tcW w:w="0" w:type="auto"/>
            <w:tcBorders>
              <w:bottom w:val="single" w:sz="8" w:space="0" w:color="333333"/>
            </w:tcBorders>
            <w:shd w:val="clear" w:color="auto" w:fill="auto"/>
            <w:tcMar>
              <w:top w:w="40" w:type="dxa"/>
              <w:bottom w:w="40" w:type="dxa"/>
              <w:right w:w="40" w:type="dxa"/>
            </w:tcMar>
            <w:vAlign w:val="bottom"/>
          </w:tcPr>
          <w:p w14:paraId="4ACE596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5975" w14:textId="77777777">
        <w:tc>
          <w:tcPr>
            <w:tcW w:w="0" w:type="auto"/>
            <w:shd w:val="clear" w:color="auto" w:fill="auto"/>
            <w:tcMar>
              <w:top w:w="40" w:type="dxa"/>
              <w:left w:w="40" w:type="dxa"/>
              <w:bottom w:w="40" w:type="dxa"/>
              <w:right w:w="40" w:type="dxa"/>
            </w:tcMar>
            <w:vAlign w:val="bottom"/>
          </w:tcPr>
          <w:p w14:paraId="4ACE5965"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Other com</w:t>
            </w:r>
            <w:r>
              <w:rPr>
                <w:rFonts w:ascii="Arial" w:eastAsia="宋体" w:hAnsi="Arial" w:cs="Arial"/>
                <w:color w:val="333333"/>
                <w:sz w:val="18"/>
                <w:szCs w:val="18"/>
              </w:rPr>
              <w:t>prehensive income (loss)</w:t>
            </w:r>
          </w:p>
        </w:tc>
        <w:tc>
          <w:tcPr>
            <w:tcW w:w="0" w:type="auto"/>
            <w:shd w:val="clear" w:color="auto" w:fill="auto"/>
            <w:tcMar>
              <w:top w:w="40" w:type="dxa"/>
              <w:left w:w="40" w:type="dxa"/>
              <w:bottom w:w="40" w:type="dxa"/>
              <w:right w:w="40" w:type="dxa"/>
            </w:tcMar>
            <w:vAlign w:val="bottom"/>
          </w:tcPr>
          <w:p w14:paraId="4ACE596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967"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bottom w:val="single" w:sz="8" w:space="0" w:color="333333"/>
            </w:tcBorders>
            <w:shd w:val="clear" w:color="auto" w:fill="auto"/>
            <w:vAlign w:val="bottom"/>
          </w:tcPr>
          <w:p w14:paraId="4ACE596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96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96A"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(253</w:t>
            </w:r>
          </w:p>
        </w:tc>
        <w:tc>
          <w:tcPr>
            <w:tcW w:w="0" w:type="auto"/>
            <w:tcBorders>
              <w:bottom w:val="single" w:sz="8" w:space="0" w:color="333333"/>
            </w:tcBorders>
            <w:shd w:val="clear" w:color="auto" w:fill="auto"/>
            <w:tcMar>
              <w:top w:w="40" w:type="dxa"/>
              <w:bottom w:w="40" w:type="dxa"/>
              <w:right w:w="40" w:type="dxa"/>
            </w:tcMar>
            <w:vAlign w:val="bottom"/>
          </w:tcPr>
          <w:p w14:paraId="4ACE596B"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4ACE596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96D"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210</w:t>
            </w:r>
          </w:p>
        </w:tc>
        <w:tc>
          <w:tcPr>
            <w:tcW w:w="0" w:type="auto"/>
            <w:tcBorders>
              <w:bottom w:val="single" w:sz="8" w:space="0" w:color="333333"/>
            </w:tcBorders>
            <w:shd w:val="clear" w:color="auto" w:fill="auto"/>
            <w:vAlign w:val="bottom"/>
          </w:tcPr>
          <w:p w14:paraId="4ACE596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96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970"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(3</w:t>
            </w:r>
          </w:p>
        </w:tc>
        <w:tc>
          <w:tcPr>
            <w:tcW w:w="0" w:type="auto"/>
            <w:tcBorders>
              <w:bottom w:val="single" w:sz="8" w:space="0" w:color="333333"/>
            </w:tcBorders>
            <w:shd w:val="clear" w:color="auto" w:fill="auto"/>
            <w:tcMar>
              <w:top w:w="40" w:type="dxa"/>
              <w:bottom w:w="40" w:type="dxa"/>
              <w:right w:w="40" w:type="dxa"/>
            </w:tcMar>
            <w:vAlign w:val="bottom"/>
          </w:tcPr>
          <w:p w14:paraId="4ACE5971"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4ACE597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973"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(46</w:t>
            </w:r>
          </w:p>
        </w:tc>
        <w:tc>
          <w:tcPr>
            <w:tcW w:w="0" w:type="auto"/>
            <w:tcBorders>
              <w:bottom w:val="single" w:sz="8" w:space="0" w:color="333333"/>
            </w:tcBorders>
            <w:shd w:val="clear" w:color="auto" w:fill="auto"/>
            <w:tcMar>
              <w:top w:w="40" w:type="dxa"/>
              <w:bottom w:w="40" w:type="dxa"/>
              <w:right w:w="40" w:type="dxa"/>
            </w:tcMar>
            <w:vAlign w:val="bottom"/>
          </w:tcPr>
          <w:p w14:paraId="4ACE5974"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r>
      <w:tr w:rsidR="006F587A" w14:paraId="4ACE5986" w14:textId="77777777">
        <w:tc>
          <w:tcPr>
            <w:tcW w:w="0" w:type="auto"/>
            <w:shd w:val="clear" w:color="auto" w:fill="auto"/>
            <w:tcMar>
              <w:top w:w="40" w:type="dxa"/>
              <w:left w:w="40" w:type="dxa"/>
              <w:bottom w:w="40" w:type="dxa"/>
              <w:right w:w="40" w:type="dxa"/>
            </w:tcMar>
            <w:vAlign w:val="bottom"/>
          </w:tcPr>
          <w:p w14:paraId="4ACE5976"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Dece</w:t>
            </w:r>
            <w:r>
              <w:rPr>
                <w:rFonts w:ascii="Arial" w:eastAsia="宋体" w:hAnsi="Arial" w:cs="Arial"/>
                <w:b/>
                <w:bCs/>
                <w:color w:val="333333"/>
                <w:sz w:val="18"/>
                <w:szCs w:val="18"/>
              </w:rPr>
              <w:t>mber 29, 2018</w:t>
            </w:r>
          </w:p>
        </w:tc>
        <w:tc>
          <w:tcPr>
            <w:tcW w:w="0" w:type="auto"/>
            <w:shd w:val="clear" w:color="auto" w:fill="auto"/>
            <w:tcMar>
              <w:top w:w="40" w:type="dxa"/>
              <w:left w:w="40" w:type="dxa"/>
              <w:bottom w:w="40" w:type="dxa"/>
              <w:right w:w="40" w:type="dxa"/>
            </w:tcMar>
            <w:vAlign w:val="bottom"/>
          </w:tcPr>
          <w:p w14:paraId="4ACE597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978"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vAlign w:val="bottom"/>
          </w:tcPr>
          <w:p w14:paraId="4ACE597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97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97B"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(123</w:t>
            </w:r>
          </w:p>
        </w:tc>
        <w:tc>
          <w:tcPr>
            <w:tcW w:w="0" w:type="auto"/>
            <w:shd w:val="clear" w:color="auto" w:fill="auto"/>
            <w:tcMar>
              <w:top w:w="40" w:type="dxa"/>
              <w:bottom w:w="40" w:type="dxa"/>
              <w:right w:w="40" w:type="dxa"/>
            </w:tcMar>
            <w:vAlign w:val="bottom"/>
          </w:tcPr>
          <w:p w14:paraId="4ACE597C"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4ACE597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97E"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(818</w:t>
            </w:r>
          </w:p>
        </w:tc>
        <w:tc>
          <w:tcPr>
            <w:tcW w:w="0" w:type="auto"/>
            <w:shd w:val="clear" w:color="auto" w:fill="auto"/>
            <w:tcMar>
              <w:top w:w="40" w:type="dxa"/>
              <w:bottom w:w="40" w:type="dxa"/>
              <w:right w:w="40" w:type="dxa"/>
            </w:tcMar>
            <w:vAlign w:val="bottom"/>
          </w:tcPr>
          <w:p w14:paraId="4ACE597F"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4ACE598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981"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(33</w:t>
            </w:r>
          </w:p>
        </w:tc>
        <w:tc>
          <w:tcPr>
            <w:tcW w:w="0" w:type="auto"/>
            <w:shd w:val="clear" w:color="auto" w:fill="auto"/>
            <w:tcMar>
              <w:top w:w="40" w:type="dxa"/>
              <w:bottom w:w="40" w:type="dxa"/>
              <w:right w:w="40" w:type="dxa"/>
            </w:tcMar>
            <w:vAlign w:val="bottom"/>
          </w:tcPr>
          <w:p w14:paraId="4ACE5982"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4ACE598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984"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(974</w:t>
            </w:r>
          </w:p>
        </w:tc>
        <w:tc>
          <w:tcPr>
            <w:tcW w:w="0" w:type="auto"/>
            <w:shd w:val="clear" w:color="auto" w:fill="auto"/>
            <w:tcMar>
              <w:top w:w="40" w:type="dxa"/>
              <w:bottom w:w="40" w:type="dxa"/>
              <w:right w:w="40" w:type="dxa"/>
            </w:tcMar>
            <w:vAlign w:val="bottom"/>
          </w:tcPr>
          <w:p w14:paraId="4ACE5985"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r>
      <w:tr w:rsidR="006F587A" w14:paraId="4ACE5997" w14:textId="77777777">
        <w:tc>
          <w:tcPr>
            <w:tcW w:w="0" w:type="auto"/>
            <w:shd w:val="clear" w:color="auto" w:fill="auto"/>
            <w:tcMar>
              <w:top w:w="40" w:type="dxa"/>
              <w:left w:w="40" w:type="dxa"/>
              <w:bottom w:w="40" w:type="dxa"/>
              <w:right w:w="40" w:type="dxa"/>
            </w:tcMar>
            <w:vAlign w:val="bottom"/>
          </w:tcPr>
          <w:p w14:paraId="4ACE5987"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Other comprehensive income (loss) before reclassifications</w:t>
            </w:r>
          </w:p>
        </w:tc>
        <w:tc>
          <w:tcPr>
            <w:tcW w:w="0" w:type="auto"/>
            <w:shd w:val="clear" w:color="auto" w:fill="auto"/>
            <w:tcMar>
              <w:top w:w="40" w:type="dxa"/>
              <w:left w:w="40" w:type="dxa"/>
              <w:bottom w:w="40" w:type="dxa"/>
              <w:right w:w="40" w:type="dxa"/>
            </w:tcMar>
            <w:vAlign w:val="bottom"/>
          </w:tcPr>
          <w:p w14:paraId="4ACE598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989"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598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98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98C"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(11</w:t>
            </w:r>
          </w:p>
        </w:tc>
        <w:tc>
          <w:tcPr>
            <w:tcW w:w="0" w:type="auto"/>
            <w:shd w:val="clear" w:color="auto" w:fill="auto"/>
            <w:tcMar>
              <w:top w:w="40" w:type="dxa"/>
              <w:bottom w:w="40" w:type="dxa"/>
              <w:right w:w="40" w:type="dxa"/>
            </w:tcMar>
            <w:vAlign w:val="bottom"/>
          </w:tcPr>
          <w:p w14:paraId="4ACE598D"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598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98F"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(753</w:t>
            </w:r>
          </w:p>
        </w:tc>
        <w:tc>
          <w:tcPr>
            <w:tcW w:w="0" w:type="auto"/>
            <w:shd w:val="clear" w:color="auto" w:fill="auto"/>
            <w:tcMar>
              <w:top w:w="40" w:type="dxa"/>
              <w:bottom w:w="40" w:type="dxa"/>
              <w:right w:w="40" w:type="dxa"/>
            </w:tcMar>
            <w:vAlign w:val="bottom"/>
          </w:tcPr>
          <w:p w14:paraId="4ACE5990"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599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992"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109</w:t>
            </w:r>
          </w:p>
        </w:tc>
        <w:tc>
          <w:tcPr>
            <w:tcW w:w="0" w:type="auto"/>
            <w:shd w:val="clear" w:color="auto" w:fill="auto"/>
            <w:vAlign w:val="bottom"/>
          </w:tcPr>
          <w:p w14:paraId="4ACE599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99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995"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(655</w:t>
            </w:r>
          </w:p>
        </w:tc>
        <w:tc>
          <w:tcPr>
            <w:tcW w:w="0" w:type="auto"/>
            <w:shd w:val="clear" w:color="auto" w:fill="auto"/>
            <w:tcMar>
              <w:top w:w="40" w:type="dxa"/>
              <w:bottom w:w="40" w:type="dxa"/>
              <w:right w:w="40" w:type="dxa"/>
            </w:tcMar>
            <w:vAlign w:val="bottom"/>
          </w:tcPr>
          <w:p w14:paraId="4ACE5996"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r>
      <w:tr w:rsidR="006F587A" w14:paraId="4ACE59A8" w14:textId="77777777">
        <w:tc>
          <w:tcPr>
            <w:tcW w:w="0" w:type="auto"/>
            <w:shd w:val="clear" w:color="auto" w:fill="auto"/>
            <w:tcMar>
              <w:top w:w="40" w:type="dxa"/>
              <w:left w:w="40" w:type="dxa"/>
              <w:bottom w:w="40" w:type="dxa"/>
              <w:right w:w="40" w:type="dxa"/>
            </w:tcMar>
            <w:vAlign w:val="bottom"/>
          </w:tcPr>
          <w:p w14:paraId="4ACE5998"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lastRenderedPageBreak/>
              <w:t>Amounts reclassified out of accumulated other comprehensive income (loss)</w:t>
            </w:r>
          </w:p>
        </w:tc>
        <w:tc>
          <w:tcPr>
            <w:tcW w:w="0" w:type="auto"/>
            <w:shd w:val="clear" w:color="auto" w:fill="auto"/>
            <w:tcMar>
              <w:top w:w="40" w:type="dxa"/>
              <w:left w:w="40" w:type="dxa"/>
              <w:bottom w:w="40" w:type="dxa"/>
              <w:right w:w="40" w:type="dxa"/>
            </w:tcMar>
            <w:vAlign w:val="bottom"/>
          </w:tcPr>
          <w:p w14:paraId="4ACE599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99A"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599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99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99D"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195</w:t>
            </w:r>
          </w:p>
        </w:tc>
        <w:tc>
          <w:tcPr>
            <w:tcW w:w="0" w:type="auto"/>
            <w:shd w:val="clear" w:color="auto" w:fill="auto"/>
            <w:vAlign w:val="bottom"/>
          </w:tcPr>
          <w:p w14:paraId="4ACE599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99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9A0"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67</w:t>
            </w:r>
          </w:p>
        </w:tc>
        <w:tc>
          <w:tcPr>
            <w:tcW w:w="0" w:type="auto"/>
            <w:shd w:val="clear" w:color="auto" w:fill="auto"/>
            <w:vAlign w:val="bottom"/>
          </w:tcPr>
          <w:p w14:paraId="4ACE59A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9A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9A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(6</w:t>
            </w:r>
          </w:p>
        </w:tc>
        <w:tc>
          <w:tcPr>
            <w:tcW w:w="0" w:type="auto"/>
            <w:shd w:val="clear" w:color="auto" w:fill="auto"/>
            <w:tcMar>
              <w:top w:w="40" w:type="dxa"/>
              <w:bottom w:w="40" w:type="dxa"/>
              <w:right w:w="40" w:type="dxa"/>
            </w:tcMar>
            <w:vAlign w:val="bottom"/>
          </w:tcPr>
          <w:p w14:paraId="4ACE59A4"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59A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9A6"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256</w:t>
            </w:r>
          </w:p>
        </w:tc>
        <w:tc>
          <w:tcPr>
            <w:tcW w:w="0" w:type="auto"/>
            <w:shd w:val="clear" w:color="auto" w:fill="auto"/>
            <w:vAlign w:val="bottom"/>
          </w:tcPr>
          <w:p w14:paraId="4ACE59A7" w14:textId="77777777" w:rsidR="006F587A" w:rsidRDefault="006F587A">
            <w:pPr>
              <w:textAlignment w:val="bottom"/>
              <w:rPr>
                <w:rFonts w:ascii="Times New Roman" w:hAnsi="Times New Roman"/>
                <w:sz w:val="20"/>
                <w:szCs w:val="20"/>
              </w:rPr>
            </w:pPr>
          </w:p>
        </w:tc>
      </w:tr>
      <w:tr w:rsidR="006F587A" w14:paraId="4ACE59B9" w14:textId="77777777">
        <w:tc>
          <w:tcPr>
            <w:tcW w:w="0" w:type="auto"/>
            <w:shd w:val="clear" w:color="auto" w:fill="auto"/>
            <w:tcMar>
              <w:top w:w="40" w:type="dxa"/>
              <w:left w:w="40" w:type="dxa"/>
              <w:bottom w:w="40" w:type="dxa"/>
              <w:right w:w="40" w:type="dxa"/>
            </w:tcMar>
            <w:vAlign w:val="bottom"/>
          </w:tcPr>
          <w:p w14:paraId="4ACE59A9"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Tax effects</w:t>
            </w:r>
          </w:p>
        </w:tc>
        <w:tc>
          <w:tcPr>
            <w:tcW w:w="0" w:type="auto"/>
            <w:shd w:val="clear" w:color="auto" w:fill="auto"/>
            <w:tcMar>
              <w:top w:w="40" w:type="dxa"/>
              <w:left w:w="40" w:type="dxa"/>
              <w:bottom w:w="40" w:type="dxa"/>
              <w:right w:w="40" w:type="dxa"/>
            </w:tcMar>
            <w:vAlign w:val="bottom"/>
          </w:tcPr>
          <w:p w14:paraId="4ACE59A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9AB"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tcBorders>
              <w:bottom w:val="single" w:sz="8" w:space="0" w:color="333333"/>
            </w:tcBorders>
            <w:shd w:val="clear" w:color="auto" w:fill="auto"/>
            <w:vAlign w:val="bottom"/>
          </w:tcPr>
          <w:p w14:paraId="4ACE59A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9A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9AE"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(7</w:t>
            </w:r>
          </w:p>
        </w:tc>
        <w:tc>
          <w:tcPr>
            <w:tcW w:w="0" w:type="auto"/>
            <w:tcBorders>
              <w:bottom w:val="single" w:sz="8" w:space="0" w:color="333333"/>
            </w:tcBorders>
            <w:shd w:val="clear" w:color="auto" w:fill="auto"/>
            <w:tcMar>
              <w:top w:w="40" w:type="dxa"/>
              <w:bottom w:w="40" w:type="dxa"/>
              <w:right w:w="40" w:type="dxa"/>
            </w:tcMar>
            <w:vAlign w:val="bottom"/>
          </w:tcPr>
          <w:p w14:paraId="4ACE59AF"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59B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9B1"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122</w:t>
            </w:r>
          </w:p>
        </w:tc>
        <w:tc>
          <w:tcPr>
            <w:tcW w:w="0" w:type="auto"/>
            <w:tcBorders>
              <w:bottom w:val="single" w:sz="8" w:space="0" w:color="333333"/>
            </w:tcBorders>
            <w:shd w:val="clear" w:color="auto" w:fill="auto"/>
            <w:vAlign w:val="bottom"/>
          </w:tcPr>
          <w:p w14:paraId="4ACE59B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9B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9B4"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(22</w:t>
            </w:r>
          </w:p>
        </w:tc>
        <w:tc>
          <w:tcPr>
            <w:tcW w:w="0" w:type="auto"/>
            <w:tcBorders>
              <w:bottom w:val="single" w:sz="8" w:space="0" w:color="333333"/>
            </w:tcBorders>
            <w:shd w:val="clear" w:color="auto" w:fill="auto"/>
            <w:tcMar>
              <w:top w:w="40" w:type="dxa"/>
              <w:bottom w:w="40" w:type="dxa"/>
              <w:right w:w="40" w:type="dxa"/>
            </w:tcMar>
            <w:vAlign w:val="bottom"/>
          </w:tcPr>
          <w:p w14:paraId="4ACE59B5"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59B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9B7"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93</w:t>
            </w:r>
          </w:p>
        </w:tc>
        <w:tc>
          <w:tcPr>
            <w:tcW w:w="0" w:type="auto"/>
            <w:tcBorders>
              <w:bottom w:val="single" w:sz="8" w:space="0" w:color="333333"/>
            </w:tcBorders>
            <w:shd w:val="clear" w:color="auto" w:fill="auto"/>
            <w:vAlign w:val="bottom"/>
          </w:tcPr>
          <w:p w14:paraId="4ACE59B8" w14:textId="77777777" w:rsidR="006F587A" w:rsidRDefault="006F587A">
            <w:pPr>
              <w:textAlignment w:val="bottom"/>
              <w:rPr>
                <w:rFonts w:ascii="Times New Roman" w:hAnsi="Times New Roman"/>
                <w:sz w:val="20"/>
                <w:szCs w:val="20"/>
              </w:rPr>
            </w:pPr>
          </w:p>
        </w:tc>
      </w:tr>
      <w:tr w:rsidR="006F587A" w14:paraId="4ACE59CA" w14:textId="77777777">
        <w:tc>
          <w:tcPr>
            <w:tcW w:w="0" w:type="auto"/>
            <w:shd w:val="clear" w:color="auto" w:fill="auto"/>
            <w:tcMar>
              <w:top w:w="40" w:type="dxa"/>
              <w:left w:w="40" w:type="dxa"/>
              <w:bottom w:w="40" w:type="dxa"/>
              <w:right w:w="40" w:type="dxa"/>
            </w:tcMar>
            <w:vAlign w:val="bottom"/>
          </w:tcPr>
          <w:p w14:paraId="4ACE59BA"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Other com</w:t>
            </w:r>
            <w:r>
              <w:rPr>
                <w:rFonts w:ascii="Arial" w:eastAsia="宋体" w:hAnsi="Arial" w:cs="Arial"/>
                <w:color w:val="333333"/>
                <w:sz w:val="18"/>
                <w:szCs w:val="18"/>
              </w:rPr>
              <w:t>prehensive income (loss)</w:t>
            </w:r>
          </w:p>
        </w:tc>
        <w:tc>
          <w:tcPr>
            <w:tcW w:w="0" w:type="auto"/>
            <w:shd w:val="clear" w:color="auto" w:fill="auto"/>
            <w:tcMar>
              <w:top w:w="40" w:type="dxa"/>
              <w:left w:w="40" w:type="dxa"/>
              <w:bottom w:w="40" w:type="dxa"/>
              <w:right w:w="40" w:type="dxa"/>
            </w:tcMar>
            <w:vAlign w:val="bottom"/>
          </w:tcPr>
          <w:p w14:paraId="4ACE59B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9BC"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bottom w:val="single" w:sz="8" w:space="0" w:color="333333"/>
            </w:tcBorders>
            <w:shd w:val="clear" w:color="auto" w:fill="auto"/>
            <w:vAlign w:val="bottom"/>
          </w:tcPr>
          <w:p w14:paraId="4ACE59B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9B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9BF"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177</w:t>
            </w:r>
          </w:p>
        </w:tc>
        <w:tc>
          <w:tcPr>
            <w:tcW w:w="0" w:type="auto"/>
            <w:tcBorders>
              <w:bottom w:val="single" w:sz="8" w:space="0" w:color="333333"/>
            </w:tcBorders>
            <w:shd w:val="clear" w:color="auto" w:fill="auto"/>
            <w:vAlign w:val="bottom"/>
          </w:tcPr>
          <w:p w14:paraId="4ACE59C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9C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9C2"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(564</w:t>
            </w:r>
          </w:p>
        </w:tc>
        <w:tc>
          <w:tcPr>
            <w:tcW w:w="0" w:type="auto"/>
            <w:tcBorders>
              <w:bottom w:val="single" w:sz="8" w:space="0" w:color="333333"/>
            </w:tcBorders>
            <w:shd w:val="clear" w:color="auto" w:fill="auto"/>
            <w:tcMar>
              <w:top w:w="40" w:type="dxa"/>
              <w:bottom w:w="40" w:type="dxa"/>
              <w:right w:w="40" w:type="dxa"/>
            </w:tcMar>
            <w:vAlign w:val="bottom"/>
          </w:tcPr>
          <w:p w14:paraId="4ACE59C3"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left w:w="40" w:type="dxa"/>
              <w:bottom w:w="40" w:type="dxa"/>
              <w:right w:w="40" w:type="dxa"/>
            </w:tcMar>
            <w:vAlign w:val="bottom"/>
          </w:tcPr>
          <w:p w14:paraId="4ACE59C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9C5"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81</w:t>
            </w:r>
          </w:p>
        </w:tc>
        <w:tc>
          <w:tcPr>
            <w:tcW w:w="0" w:type="auto"/>
            <w:tcBorders>
              <w:bottom w:val="single" w:sz="8" w:space="0" w:color="333333"/>
            </w:tcBorders>
            <w:shd w:val="clear" w:color="auto" w:fill="auto"/>
            <w:vAlign w:val="bottom"/>
          </w:tcPr>
          <w:p w14:paraId="4ACE59C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9C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9C8"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(306</w:t>
            </w:r>
          </w:p>
        </w:tc>
        <w:tc>
          <w:tcPr>
            <w:tcW w:w="0" w:type="auto"/>
            <w:tcBorders>
              <w:bottom w:val="single" w:sz="8" w:space="0" w:color="333333"/>
            </w:tcBorders>
            <w:shd w:val="clear" w:color="auto" w:fill="auto"/>
            <w:tcMar>
              <w:top w:w="40" w:type="dxa"/>
              <w:bottom w:w="40" w:type="dxa"/>
              <w:right w:w="40" w:type="dxa"/>
            </w:tcMar>
            <w:vAlign w:val="bottom"/>
          </w:tcPr>
          <w:p w14:paraId="4ACE59C9"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r>
      <w:tr w:rsidR="006F587A" w14:paraId="4ACE59E0" w14:textId="77777777">
        <w:tc>
          <w:tcPr>
            <w:tcW w:w="0" w:type="auto"/>
            <w:shd w:val="clear" w:color="auto" w:fill="auto"/>
            <w:tcMar>
              <w:top w:w="40" w:type="dxa"/>
              <w:left w:w="40" w:type="dxa"/>
              <w:bottom w:w="40" w:type="dxa"/>
              <w:right w:w="40" w:type="dxa"/>
            </w:tcMar>
            <w:vAlign w:val="bottom"/>
          </w:tcPr>
          <w:p w14:paraId="4ACE59CB"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December </w:t>
            </w:r>
            <w:r>
              <w:rPr>
                <w:rFonts w:ascii="Arial" w:eastAsia="宋体" w:hAnsi="Arial" w:cs="Arial"/>
                <w:b/>
                <w:bCs/>
                <w:color w:val="333333"/>
                <w:sz w:val="18"/>
                <w:szCs w:val="18"/>
              </w:rPr>
              <w:t>28, 2019</w:t>
            </w:r>
          </w:p>
        </w:tc>
        <w:tc>
          <w:tcPr>
            <w:tcW w:w="0" w:type="auto"/>
            <w:shd w:val="clear" w:color="auto" w:fill="auto"/>
            <w:tcMar>
              <w:top w:w="40" w:type="dxa"/>
              <w:left w:w="40" w:type="dxa"/>
              <w:bottom w:w="40" w:type="dxa"/>
              <w:right w:w="40" w:type="dxa"/>
            </w:tcMar>
            <w:vAlign w:val="bottom"/>
          </w:tcPr>
          <w:p w14:paraId="4ACE59C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333333"/>
            </w:tcBorders>
            <w:shd w:val="clear" w:color="auto" w:fill="auto"/>
            <w:tcMar>
              <w:top w:w="40" w:type="dxa"/>
              <w:left w:w="40" w:type="dxa"/>
              <w:bottom w:w="40" w:type="dxa"/>
            </w:tcMar>
            <w:vAlign w:val="bottom"/>
          </w:tcPr>
          <w:p w14:paraId="4ACE59CD"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bottom w:val="double" w:sz="6" w:space="0" w:color="333333"/>
            </w:tcBorders>
            <w:shd w:val="clear" w:color="auto" w:fill="auto"/>
            <w:tcMar>
              <w:top w:w="40" w:type="dxa"/>
              <w:bottom w:w="40" w:type="dxa"/>
            </w:tcMar>
            <w:vAlign w:val="bottom"/>
          </w:tcPr>
          <w:p w14:paraId="4ACE59CE"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bottom w:val="double" w:sz="6" w:space="0" w:color="333333"/>
            </w:tcBorders>
            <w:shd w:val="clear" w:color="auto" w:fill="auto"/>
            <w:vAlign w:val="bottom"/>
          </w:tcPr>
          <w:p w14:paraId="4ACE59C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9D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333333"/>
            </w:tcBorders>
            <w:shd w:val="clear" w:color="auto" w:fill="auto"/>
            <w:tcMar>
              <w:top w:w="40" w:type="dxa"/>
              <w:left w:w="40" w:type="dxa"/>
              <w:bottom w:w="40" w:type="dxa"/>
            </w:tcMar>
            <w:vAlign w:val="bottom"/>
          </w:tcPr>
          <w:p w14:paraId="4ACE59D1"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bottom w:val="double" w:sz="6" w:space="0" w:color="333333"/>
            </w:tcBorders>
            <w:shd w:val="clear" w:color="auto" w:fill="auto"/>
            <w:tcMar>
              <w:top w:w="40" w:type="dxa"/>
              <w:bottom w:w="40" w:type="dxa"/>
            </w:tcMar>
            <w:vAlign w:val="bottom"/>
          </w:tcPr>
          <w:p w14:paraId="4ACE59D2"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54</w:t>
            </w:r>
          </w:p>
        </w:tc>
        <w:tc>
          <w:tcPr>
            <w:tcW w:w="0" w:type="auto"/>
            <w:tcBorders>
              <w:bottom w:val="double" w:sz="6" w:space="0" w:color="333333"/>
            </w:tcBorders>
            <w:shd w:val="clear" w:color="auto" w:fill="auto"/>
            <w:vAlign w:val="bottom"/>
          </w:tcPr>
          <w:p w14:paraId="4ACE59D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9D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333333"/>
            </w:tcBorders>
            <w:shd w:val="clear" w:color="auto" w:fill="auto"/>
            <w:tcMar>
              <w:top w:w="40" w:type="dxa"/>
              <w:left w:w="40" w:type="dxa"/>
              <w:bottom w:w="40" w:type="dxa"/>
            </w:tcMar>
            <w:vAlign w:val="bottom"/>
          </w:tcPr>
          <w:p w14:paraId="4ACE59D5"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bottom w:val="double" w:sz="6" w:space="0" w:color="333333"/>
            </w:tcBorders>
            <w:shd w:val="clear" w:color="auto" w:fill="auto"/>
            <w:tcMar>
              <w:top w:w="40" w:type="dxa"/>
              <w:bottom w:w="40" w:type="dxa"/>
            </w:tcMar>
            <w:vAlign w:val="bottom"/>
          </w:tcPr>
          <w:p w14:paraId="4ACE59D6"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(1,382</w:t>
            </w:r>
          </w:p>
        </w:tc>
        <w:tc>
          <w:tcPr>
            <w:tcW w:w="0" w:type="auto"/>
            <w:tcBorders>
              <w:bottom w:val="double" w:sz="6" w:space="0" w:color="333333"/>
            </w:tcBorders>
            <w:shd w:val="clear" w:color="auto" w:fill="auto"/>
            <w:tcMar>
              <w:top w:w="40" w:type="dxa"/>
              <w:bottom w:w="40" w:type="dxa"/>
              <w:right w:w="40" w:type="dxa"/>
            </w:tcMar>
            <w:vAlign w:val="bottom"/>
          </w:tcPr>
          <w:p w14:paraId="4ACE59D7"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left w:w="40" w:type="dxa"/>
              <w:bottom w:w="40" w:type="dxa"/>
              <w:right w:w="40" w:type="dxa"/>
            </w:tcMar>
            <w:vAlign w:val="bottom"/>
          </w:tcPr>
          <w:p w14:paraId="4ACE59D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333333"/>
            </w:tcBorders>
            <w:shd w:val="clear" w:color="auto" w:fill="auto"/>
            <w:tcMar>
              <w:top w:w="40" w:type="dxa"/>
              <w:left w:w="40" w:type="dxa"/>
              <w:bottom w:w="40" w:type="dxa"/>
            </w:tcMar>
            <w:vAlign w:val="bottom"/>
          </w:tcPr>
          <w:p w14:paraId="4ACE59D9"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bottom w:val="double" w:sz="6" w:space="0" w:color="333333"/>
            </w:tcBorders>
            <w:shd w:val="clear" w:color="auto" w:fill="auto"/>
            <w:tcMar>
              <w:top w:w="40" w:type="dxa"/>
              <w:bottom w:w="40" w:type="dxa"/>
            </w:tcMar>
            <w:vAlign w:val="bottom"/>
          </w:tcPr>
          <w:p w14:paraId="4ACE59DA"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48</w:t>
            </w:r>
          </w:p>
        </w:tc>
        <w:tc>
          <w:tcPr>
            <w:tcW w:w="0" w:type="auto"/>
            <w:tcBorders>
              <w:bottom w:val="double" w:sz="6" w:space="0" w:color="333333"/>
            </w:tcBorders>
            <w:shd w:val="clear" w:color="auto" w:fill="auto"/>
            <w:vAlign w:val="bottom"/>
          </w:tcPr>
          <w:p w14:paraId="4ACE59D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9D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333333"/>
            </w:tcBorders>
            <w:shd w:val="clear" w:color="auto" w:fill="auto"/>
            <w:tcMar>
              <w:top w:w="40" w:type="dxa"/>
              <w:left w:w="40" w:type="dxa"/>
              <w:bottom w:w="40" w:type="dxa"/>
            </w:tcMar>
            <w:vAlign w:val="bottom"/>
          </w:tcPr>
          <w:p w14:paraId="4ACE59DD"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bottom w:val="double" w:sz="6" w:space="0" w:color="333333"/>
            </w:tcBorders>
            <w:shd w:val="clear" w:color="auto" w:fill="auto"/>
            <w:tcMar>
              <w:top w:w="40" w:type="dxa"/>
              <w:bottom w:w="40" w:type="dxa"/>
            </w:tcMar>
            <w:vAlign w:val="bottom"/>
          </w:tcPr>
          <w:p w14:paraId="4ACE59DE"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(1,280</w:t>
            </w:r>
          </w:p>
        </w:tc>
        <w:tc>
          <w:tcPr>
            <w:tcW w:w="0" w:type="auto"/>
            <w:tcBorders>
              <w:bottom w:val="double" w:sz="6" w:space="0" w:color="333333"/>
            </w:tcBorders>
            <w:shd w:val="clear" w:color="auto" w:fill="auto"/>
            <w:tcMar>
              <w:top w:w="40" w:type="dxa"/>
              <w:bottom w:w="40" w:type="dxa"/>
              <w:right w:w="40" w:type="dxa"/>
            </w:tcMar>
            <w:vAlign w:val="bottom"/>
          </w:tcPr>
          <w:p w14:paraId="4ACE59DF"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r>
    </w:tbl>
    <w:p w14:paraId="4ACE59E1" w14:textId="77777777" w:rsidR="006F587A" w:rsidRDefault="006F587A">
      <w:pPr>
        <w:spacing w:line="288" w:lineRule="auto"/>
        <w:rPr>
          <w:rFonts w:ascii="Times New Roman" w:hAnsi="Times New Roman"/>
          <w:sz w:val="20"/>
          <w:szCs w:val="20"/>
        </w:rPr>
      </w:pPr>
    </w:p>
    <w:p w14:paraId="4ACE59E2"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The amortization of pension and postretirement benefit components is included in the computation of net periodic benefit cost. For more information, see "Note 18: Retirement Benefit Plans." </w:t>
      </w:r>
    </w:p>
    <w:p w14:paraId="4ACE59E3"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During the</w:t>
      </w:r>
      <w:r>
        <w:rPr>
          <w:rFonts w:ascii="Arial" w:eastAsia="宋体" w:hAnsi="Arial" w:cs="Arial"/>
          <w:color w:val="333333"/>
          <w:sz w:val="18"/>
          <w:szCs w:val="18"/>
        </w:rPr>
        <w:t xml:space="preserve"> second quarter of 2017, we reclassified $507 million (before taxes) of currency translation adjustment losses included in accumulated other comprehensive income (loss) into earnings as a result of our divestiture of ISecG. For more information, see "Note </w:t>
      </w:r>
      <w:r>
        <w:rPr>
          <w:rFonts w:ascii="Arial" w:eastAsia="宋体" w:hAnsi="Arial" w:cs="Arial"/>
          <w:color w:val="333333"/>
          <w:sz w:val="18"/>
          <w:szCs w:val="18"/>
        </w:rPr>
        <w:t xml:space="preserve">11: Acquisitions and Divestitures." </w:t>
      </w:r>
    </w:p>
    <w:p w14:paraId="4ACE59E4"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59E6" w14:textId="77777777">
        <w:tc>
          <w:tcPr>
            <w:tcW w:w="0" w:type="auto"/>
            <w:gridSpan w:val="3"/>
            <w:shd w:val="clear" w:color="auto" w:fill="auto"/>
            <w:vAlign w:val="center"/>
          </w:tcPr>
          <w:p w14:paraId="4ACE59E5" w14:textId="77777777" w:rsidR="006F587A" w:rsidRDefault="006F587A">
            <w:pPr>
              <w:rPr>
                <w:rFonts w:ascii="Times New Roman" w:hAnsi="Times New Roman"/>
                <w:sz w:val="20"/>
                <w:szCs w:val="20"/>
              </w:rPr>
            </w:pPr>
          </w:p>
        </w:tc>
      </w:tr>
      <w:tr w:rsidR="006F587A" w14:paraId="4ACE59EA" w14:textId="77777777">
        <w:tc>
          <w:tcPr>
            <w:tcW w:w="1300" w:type="pct"/>
            <w:shd w:val="clear" w:color="auto" w:fill="auto"/>
            <w:vAlign w:val="center"/>
          </w:tcPr>
          <w:p w14:paraId="4ACE59E7" w14:textId="77777777" w:rsidR="006F587A" w:rsidRDefault="006F587A">
            <w:pPr>
              <w:rPr>
                <w:rFonts w:ascii="Times New Roman" w:hAnsi="Times New Roman"/>
                <w:sz w:val="20"/>
                <w:szCs w:val="20"/>
              </w:rPr>
            </w:pPr>
          </w:p>
        </w:tc>
        <w:tc>
          <w:tcPr>
            <w:tcW w:w="1600" w:type="pct"/>
            <w:shd w:val="clear" w:color="auto" w:fill="auto"/>
            <w:vAlign w:val="center"/>
          </w:tcPr>
          <w:p w14:paraId="4ACE59E8" w14:textId="77777777" w:rsidR="006F587A" w:rsidRDefault="006F587A">
            <w:pPr>
              <w:rPr>
                <w:rFonts w:ascii="Times New Roman" w:hAnsi="Times New Roman"/>
                <w:sz w:val="20"/>
                <w:szCs w:val="20"/>
              </w:rPr>
            </w:pPr>
          </w:p>
        </w:tc>
        <w:tc>
          <w:tcPr>
            <w:tcW w:w="2100" w:type="pct"/>
            <w:shd w:val="clear" w:color="auto" w:fill="auto"/>
            <w:vAlign w:val="center"/>
          </w:tcPr>
          <w:p w14:paraId="4ACE59E9" w14:textId="77777777" w:rsidR="006F587A" w:rsidRDefault="006F587A">
            <w:pPr>
              <w:rPr>
                <w:rFonts w:ascii="Times New Roman" w:hAnsi="Times New Roman"/>
                <w:sz w:val="20"/>
                <w:szCs w:val="20"/>
              </w:rPr>
            </w:pPr>
          </w:p>
        </w:tc>
      </w:tr>
      <w:tr w:rsidR="006F587A" w14:paraId="4ACE59EE" w14:textId="77777777">
        <w:tc>
          <w:tcPr>
            <w:tcW w:w="0" w:type="auto"/>
            <w:tcBorders>
              <w:top w:val="single" w:sz="8" w:space="0" w:color="0071C5"/>
            </w:tcBorders>
            <w:shd w:val="clear" w:color="auto" w:fill="auto"/>
            <w:tcMar>
              <w:top w:w="40" w:type="dxa"/>
              <w:left w:w="40" w:type="dxa"/>
              <w:bottom w:w="40" w:type="dxa"/>
              <w:right w:w="40" w:type="dxa"/>
            </w:tcMar>
            <w:vAlign w:val="bottom"/>
          </w:tcPr>
          <w:p w14:paraId="4ACE59EB" w14:textId="77777777" w:rsidR="006F587A" w:rsidRDefault="007B2B61">
            <w:pPr>
              <w:textAlignment w:val="bottom"/>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E0E" wp14:editId="4ACE6E0F">
                  <wp:extent cx="304800" cy="304800"/>
                  <wp:effectExtent l="0" t="0" r="0" b="0"/>
                  <wp:docPr id="263" name="图片 334"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334"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left w:val="single" w:sz="36" w:space="0" w:color="0071C5"/>
            </w:tcBorders>
            <w:shd w:val="clear" w:color="auto" w:fill="auto"/>
            <w:tcMar>
              <w:top w:w="40" w:type="dxa"/>
              <w:left w:w="40" w:type="dxa"/>
              <w:bottom w:w="40" w:type="dxa"/>
              <w:right w:w="40" w:type="dxa"/>
            </w:tcMar>
            <w:vAlign w:val="bottom"/>
          </w:tcPr>
          <w:p w14:paraId="4ACE59EC" w14:textId="77777777" w:rsidR="006F587A" w:rsidRDefault="007B2B61">
            <w:pPr>
              <w:textAlignment w:val="bottom"/>
              <w:rPr>
                <w:rFonts w:ascii="Times New Roman" w:hAnsi="Times New Roman"/>
                <w:sz w:val="16"/>
                <w:szCs w:val="16"/>
              </w:rPr>
            </w:pPr>
            <w:r>
              <w:rPr>
                <w:rFonts w:ascii="Arial" w:eastAsia="宋体" w:hAnsi="Arial" w:cs="Arial"/>
                <w:color w:val="333333"/>
                <w:sz w:val="16"/>
                <w:szCs w:val="16"/>
              </w:rPr>
              <w:t> Notes to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59ED"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98</w:t>
            </w:r>
          </w:p>
        </w:tc>
      </w:tr>
    </w:tbl>
    <w:p w14:paraId="4ACE59EF" w14:textId="77777777" w:rsidR="006F587A" w:rsidRDefault="007B2B61">
      <w:r>
        <w:pict w14:anchorId="4ACE6E10">
          <v:rect id="_x0000_i1124" style="width:415.3pt;height:1.5pt" o:hralign="center" o:hrstd="t" o:hr="t" fillcolor="#a0a0a0" stroked="f"/>
        </w:pict>
      </w:r>
    </w:p>
    <w:p w14:paraId="4ACE59F0" w14:textId="77777777" w:rsidR="006F587A" w:rsidRDefault="007B2B61">
      <w:pPr>
        <w:spacing w:line="288" w:lineRule="auto"/>
        <w:jc w:val="right"/>
        <w:rPr>
          <w:rFonts w:ascii="Times New Roman" w:hAnsi="Times New Roman"/>
          <w:sz w:val="16"/>
          <w:szCs w:val="16"/>
        </w:rPr>
      </w:pPr>
      <w:hyperlink r:id="rId163" w:anchor="s9DB683E2CF52561EB8A73BE37F5BF9BE" w:history="1">
        <w:r>
          <w:rPr>
            <w:rStyle w:val="a5"/>
            <w:rFonts w:ascii="Arial" w:eastAsia="宋体" w:hAnsi="Arial" w:cs="Arial"/>
            <w:b/>
            <w:bCs/>
            <w:sz w:val="16"/>
            <w:szCs w:val="16"/>
          </w:rPr>
          <w:t>Table of Contents</w:t>
        </w:r>
      </w:hyperlink>
    </w:p>
    <w:p w14:paraId="4ACE59F1" w14:textId="77777777" w:rsidR="006F587A" w:rsidRDefault="006F587A">
      <w:pPr>
        <w:spacing w:line="288" w:lineRule="auto"/>
        <w:jc w:val="right"/>
        <w:rPr>
          <w:rFonts w:ascii="Times New Roman" w:hAnsi="Times New Roman"/>
          <w:sz w:val="16"/>
          <w:szCs w:val="16"/>
        </w:rPr>
      </w:pPr>
    </w:p>
    <w:p w14:paraId="4ACE59F2"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1080"/>
        <w:gridCol w:w="7226"/>
      </w:tblGrid>
      <w:tr w:rsidR="006F587A" w14:paraId="4ACE59F4" w14:textId="77777777">
        <w:tc>
          <w:tcPr>
            <w:tcW w:w="0" w:type="auto"/>
            <w:gridSpan w:val="2"/>
            <w:shd w:val="clear" w:color="auto" w:fill="auto"/>
            <w:vAlign w:val="center"/>
          </w:tcPr>
          <w:p w14:paraId="4ACE59F3" w14:textId="77777777" w:rsidR="006F587A" w:rsidRDefault="006F587A">
            <w:pPr>
              <w:rPr>
                <w:rFonts w:ascii="Times New Roman" w:hAnsi="Times New Roman"/>
                <w:sz w:val="20"/>
                <w:szCs w:val="20"/>
              </w:rPr>
            </w:pPr>
          </w:p>
        </w:tc>
      </w:tr>
      <w:tr w:rsidR="006F587A" w14:paraId="4ACE59F7" w14:textId="77777777">
        <w:tc>
          <w:tcPr>
            <w:tcW w:w="650" w:type="pct"/>
            <w:shd w:val="clear" w:color="auto" w:fill="auto"/>
            <w:vAlign w:val="center"/>
          </w:tcPr>
          <w:p w14:paraId="4ACE59F5" w14:textId="77777777" w:rsidR="006F587A" w:rsidRDefault="006F587A">
            <w:pPr>
              <w:rPr>
                <w:rFonts w:ascii="Times New Roman" w:hAnsi="Times New Roman"/>
                <w:sz w:val="20"/>
                <w:szCs w:val="20"/>
              </w:rPr>
            </w:pPr>
          </w:p>
        </w:tc>
        <w:tc>
          <w:tcPr>
            <w:tcW w:w="4350" w:type="pct"/>
            <w:shd w:val="clear" w:color="auto" w:fill="auto"/>
            <w:vAlign w:val="center"/>
          </w:tcPr>
          <w:p w14:paraId="4ACE59F6" w14:textId="77777777" w:rsidR="006F587A" w:rsidRDefault="006F587A">
            <w:pPr>
              <w:rPr>
                <w:rFonts w:ascii="Times New Roman" w:hAnsi="Times New Roman"/>
                <w:sz w:val="20"/>
                <w:szCs w:val="20"/>
              </w:rPr>
            </w:pPr>
          </w:p>
        </w:tc>
      </w:tr>
      <w:tr w:rsidR="006F587A" w14:paraId="4ACE59FA" w14:textId="77777777">
        <w:tc>
          <w:tcPr>
            <w:tcW w:w="0" w:type="auto"/>
            <w:tcBorders>
              <w:bottom w:val="single" w:sz="8" w:space="0" w:color="0071C5"/>
            </w:tcBorders>
            <w:shd w:val="clear" w:color="auto" w:fill="0071C5"/>
            <w:tcMar>
              <w:top w:w="40" w:type="dxa"/>
              <w:left w:w="40" w:type="dxa"/>
              <w:bottom w:w="40" w:type="dxa"/>
              <w:right w:w="40" w:type="dxa"/>
            </w:tcMar>
            <w:vAlign w:val="bottom"/>
          </w:tcPr>
          <w:p w14:paraId="4ACE59F8" w14:textId="77777777" w:rsidR="006F587A" w:rsidRDefault="007B2B61">
            <w:pPr>
              <w:textAlignment w:val="bottom"/>
              <w:rPr>
                <w:rFonts w:ascii="Times New Roman" w:hAnsi="Times New Roman"/>
                <w:sz w:val="28"/>
                <w:szCs w:val="28"/>
              </w:rPr>
            </w:pPr>
            <w:r>
              <w:rPr>
                <w:rFonts w:ascii="Arial" w:eastAsia="宋体" w:hAnsi="Arial" w:cs="Arial"/>
                <w:b/>
                <w:bCs/>
                <w:color w:val="FFFFFF"/>
                <w:sz w:val="28"/>
                <w:szCs w:val="28"/>
                <w:shd w:val="clear" w:color="auto" w:fill="0071C5"/>
              </w:rPr>
              <w:t xml:space="preserve">NOTE 17 : </w:t>
            </w:r>
          </w:p>
        </w:tc>
        <w:tc>
          <w:tcPr>
            <w:tcW w:w="0" w:type="auto"/>
            <w:tcBorders>
              <w:bottom w:val="single" w:sz="8" w:space="0" w:color="0071C5"/>
            </w:tcBorders>
            <w:shd w:val="clear" w:color="auto" w:fill="auto"/>
            <w:tcMar>
              <w:top w:w="40" w:type="dxa"/>
              <w:left w:w="40" w:type="dxa"/>
              <w:bottom w:w="40" w:type="dxa"/>
              <w:right w:w="40" w:type="dxa"/>
            </w:tcMar>
            <w:vAlign w:val="bottom"/>
          </w:tcPr>
          <w:p w14:paraId="4ACE59F9" w14:textId="77777777" w:rsidR="006F587A" w:rsidRDefault="007B2B61">
            <w:pPr>
              <w:textAlignment w:val="bottom"/>
              <w:rPr>
                <w:rFonts w:ascii="Times New Roman" w:hAnsi="Times New Roman"/>
                <w:sz w:val="28"/>
                <w:szCs w:val="28"/>
              </w:rPr>
            </w:pPr>
            <w:r>
              <w:rPr>
                <w:rFonts w:ascii="Arial" w:eastAsia="宋体" w:hAnsi="Arial" w:cs="Arial"/>
                <w:b/>
                <w:bCs/>
                <w:color w:val="0071C5"/>
                <w:sz w:val="28"/>
                <w:szCs w:val="28"/>
              </w:rPr>
              <w:t>DERIVATIVE FINANCIAL INSTRUMENTS</w:t>
            </w:r>
          </w:p>
        </w:tc>
      </w:tr>
    </w:tbl>
    <w:p w14:paraId="4ACE59FB" w14:textId="77777777" w:rsidR="006F587A" w:rsidRDefault="006F587A">
      <w:pPr>
        <w:spacing w:line="288" w:lineRule="auto"/>
        <w:rPr>
          <w:rFonts w:ascii="Times New Roman" w:hAnsi="Times New Roman"/>
          <w:sz w:val="28"/>
          <w:szCs w:val="28"/>
        </w:rPr>
      </w:pPr>
    </w:p>
    <w:p w14:paraId="4ACE59FC" w14:textId="77777777" w:rsidR="006F587A" w:rsidRDefault="007B2B61">
      <w:pPr>
        <w:spacing w:line="288" w:lineRule="auto"/>
        <w:rPr>
          <w:rFonts w:ascii="Times New Roman" w:hAnsi="Times New Roman"/>
        </w:rPr>
      </w:pPr>
      <w:r>
        <w:rPr>
          <w:rFonts w:ascii="Arial" w:eastAsia="宋体" w:hAnsi="Arial" w:cs="Arial"/>
          <w:b/>
          <w:bCs/>
          <w:color w:val="0071C5"/>
        </w:rPr>
        <w:t xml:space="preserve">VOLUME OF </w:t>
      </w:r>
      <w:r>
        <w:rPr>
          <w:rFonts w:ascii="Arial" w:eastAsia="宋体" w:hAnsi="Arial" w:cs="Arial"/>
          <w:b/>
          <w:bCs/>
          <w:color w:val="0071C5"/>
        </w:rPr>
        <w:t>DERIVATIVE ACTIVITY</w:t>
      </w:r>
    </w:p>
    <w:p w14:paraId="4ACE59FD" w14:textId="77777777" w:rsidR="006F587A" w:rsidRDefault="007B2B61">
      <w:pPr>
        <w:spacing w:line="288" w:lineRule="auto"/>
        <w:rPr>
          <w:rFonts w:ascii="Times New Roman" w:hAnsi="Times New Roman"/>
          <w:sz w:val="20"/>
          <w:szCs w:val="20"/>
        </w:rPr>
      </w:pPr>
      <w:r>
        <w:rPr>
          <w:rFonts w:ascii="Arial" w:eastAsia="宋体" w:hAnsi="Arial" w:cs="Arial"/>
          <w:color w:val="333333"/>
          <w:sz w:val="18"/>
          <w:szCs w:val="18"/>
        </w:rPr>
        <w:t>Total gross notional amounts for outstanding derivatives (recorded at fair value) at the end of each period were as follows:</w:t>
      </w:r>
    </w:p>
    <w:tbl>
      <w:tblPr>
        <w:tblW w:w="5000" w:type="pct"/>
        <w:tblCellMar>
          <w:left w:w="0" w:type="dxa"/>
          <w:right w:w="0" w:type="dxa"/>
        </w:tblCellMar>
        <w:tblLook w:val="04A0" w:firstRow="1" w:lastRow="0" w:firstColumn="1" w:lastColumn="0" w:noHBand="0" w:noVBand="1"/>
      </w:tblPr>
      <w:tblGrid>
        <w:gridCol w:w="5015"/>
        <w:gridCol w:w="130"/>
        <w:gridCol w:w="142"/>
        <w:gridCol w:w="780"/>
        <w:gridCol w:w="59"/>
        <w:gridCol w:w="130"/>
        <w:gridCol w:w="142"/>
        <w:gridCol w:w="758"/>
        <w:gridCol w:w="59"/>
        <w:gridCol w:w="130"/>
        <w:gridCol w:w="142"/>
        <w:gridCol w:w="760"/>
        <w:gridCol w:w="59"/>
      </w:tblGrid>
      <w:tr w:rsidR="006F587A" w14:paraId="4ACE59FF" w14:textId="77777777">
        <w:tc>
          <w:tcPr>
            <w:tcW w:w="0" w:type="auto"/>
            <w:gridSpan w:val="13"/>
            <w:shd w:val="clear" w:color="auto" w:fill="auto"/>
            <w:vAlign w:val="center"/>
          </w:tcPr>
          <w:p w14:paraId="4ACE59FE" w14:textId="77777777" w:rsidR="006F587A" w:rsidRDefault="006F587A">
            <w:pPr>
              <w:rPr>
                <w:rFonts w:ascii="Times New Roman" w:hAnsi="Times New Roman"/>
                <w:sz w:val="20"/>
                <w:szCs w:val="20"/>
              </w:rPr>
            </w:pPr>
          </w:p>
        </w:tc>
      </w:tr>
      <w:tr w:rsidR="006F587A" w14:paraId="4ACE5A0D" w14:textId="77777777">
        <w:tc>
          <w:tcPr>
            <w:tcW w:w="3050" w:type="pct"/>
            <w:shd w:val="clear" w:color="auto" w:fill="auto"/>
            <w:vAlign w:val="center"/>
          </w:tcPr>
          <w:p w14:paraId="4ACE5A00" w14:textId="77777777" w:rsidR="006F587A" w:rsidRDefault="006F587A">
            <w:pPr>
              <w:rPr>
                <w:rFonts w:ascii="Times New Roman" w:hAnsi="Times New Roman"/>
                <w:sz w:val="20"/>
                <w:szCs w:val="20"/>
              </w:rPr>
            </w:pPr>
          </w:p>
        </w:tc>
        <w:tc>
          <w:tcPr>
            <w:tcW w:w="50" w:type="pct"/>
            <w:shd w:val="clear" w:color="auto" w:fill="auto"/>
            <w:vAlign w:val="center"/>
          </w:tcPr>
          <w:p w14:paraId="4ACE5A01" w14:textId="77777777" w:rsidR="006F587A" w:rsidRDefault="006F587A">
            <w:pPr>
              <w:rPr>
                <w:rFonts w:ascii="Times New Roman" w:hAnsi="Times New Roman"/>
                <w:sz w:val="20"/>
                <w:szCs w:val="20"/>
              </w:rPr>
            </w:pPr>
          </w:p>
        </w:tc>
        <w:tc>
          <w:tcPr>
            <w:tcW w:w="50" w:type="pct"/>
            <w:shd w:val="clear" w:color="auto" w:fill="auto"/>
            <w:vAlign w:val="center"/>
          </w:tcPr>
          <w:p w14:paraId="4ACE5A02" w14:textId="77777777" w:rsidR="006F587A" w:rsidRDefault="006F587A">
            <w:pPr>
              <w:rPr>
                <w:rFonts w:ascii="Times New Roman" w:hAnsi="Times New Roman"/>
                <w:sz w:val="20"/>
                <w:szCs w:val="20"/>
              </w:rPr>
            </w:pPr>
          </w:p>
        </w:tc>
        <w:tc>
          <w:tcPr>
            <w:tcW w:w="500" w:type="pct"/>
            <w:shd w:val="clear" w:color="auto" w:fill="auto"/>
            <w:vAlign w:val="center"/>
          </w:tcPr>
          <w:p w14:paraId="4ACE5A03" w14:textId="77777777" w:rsidR="006F587A" w:rsidRDefault="006F587A">
            <w:pPr>
              <w:rPr>
                <w:rFonts w:ascii="Times New Roman" w:hAnsi="Times New Roman"/>
                <w:sz w:val="20"/>
                <w:szCs w:val="20"/>
              </w:rPr>
            </w:pPr>
          </w:p>
        </w:tc>
        <w:tc>
          <w:tcPr>
            <w:tcW w:w="50" w:type="pct"/>
            <w:shd w:val="clear" w:color="auto" w:fill="auto"/>
            <w:vAlign w:val="center"/>
          </w:tcPr>
          <w:p w14:paraId="4ACE5A04" w14:textId="77777777" w:rsidR="006F587A" w:rsidRDefault="006F587A">
            <w:pPr>
              <w:rPr>
                <w:rFonts w:ascii="Times New Roman" w:hAnsi="Times New Roman"/>
                <w:sz w:val="20"/>
                <w:szCs w:val="20"/>
              </w:rPr>
            </w:pPr>
          </w:p>
        </w:tc>
        <w:tc>
          <w:tcPr>
            <w:tcW w:w="50" w:type="pct"/>
            <w:shd w:val="clear" w:color="auto" w:fill="auto"/>
            <w:vAlign w:val="center"/>
          </w:tcPr>
          <w:p w14:paraId="4ACE5A05" w14:textId="77777777" w:rsidR="006F587A" w:rsidRDefault="006F587A">
            <w:pPr>
              <w:rPr>
                <w:rFonts w:ascii="Times New Roman" w:hAnsi="Times New Roman"/>
                <w:sz w:val="20"/>
                <w:szCs w:val="20"/>
              </w:rPr>
            </w:pPr>
          </w:p>
        </w:tc>
        <w:tc>
          <w:tcPr>
            <w:tcW w:w="50" w:type="pct"/>
            <w:shd w:val="clear" w:color="auto" w:fill="auto"/>
            <w:vAlign w:val="center"/>
          </w:tcPr>
          <w:p w14:paraId="4ACE5A06" w14:textId="77777777" w:rsidR="006F587A" w:rsidRDefault="006F587A">
            <w:pPr>
              <w:rPr>
                <w:rFonts w:ascii="Times New Roman" w:hAnsi="Times New Roman"/>
                <w:sz w:val="20"/>
                <w:szCs w:val="20"/>
              </w:rPr>
            </w:pPr>
          </w:p>
        </w:tc>
        <w:tc>
          <w:tcPr>
            <w:tcW w:w="500" w:type="pct"/>
            <w:shd w:val="clear" w:color="auto" w:fill="auto"/>
            <w:vAlign w:val="center"/>
          </w:tcPr>
          <w:p w14:paraId="4ACE5A07" w14:textId="77777777" w:rsidR="006F587A" w:rsidRDefault="006F587A">
            <w:pPr>
              <w:rPr>
                <w:rFonts w:ascii="Times New Roman" w:hAnsi="Times New Roman"/>
                <w:sz w:val="20"/>
                <w:szCs w:val="20"/>
              </w:rPr>
            </w:pPr>
          </w:p>
        </w:tc>
        <w:tc>
          <w:tcPr>
            <w:tcW w:w="50" w:type="pct"/>
            <w:shd w:val="clear" w:color="auto" w:fill="auto"/>
            <w:vAlign w:val="center"/>
          </w:tcPr>
          <w:p w14:paraId="4ACE5A08" w14:textId="77777777" w:rsidR="006F587A" w:rsidRDefault="006F587A">
            <w:pPr>
              <w:rPr>
                <w:rFonts w:ascii="Times New Roman" w:hAnsi="Times New Roman"/>
                <w:sz w:val="20"/>
                <w:szCs w:val="20"/>
              </w:rPr>
            </w:pPr>
          </w:p>
        </w:tc>
        <w:tc>
          <w:tcPr>
            <w:tcW w:w="50" w:type="pct"/>
            <w:shd w:val="clear" w:color="auto" w:fill="auto"/>
            <w:vAlign w:val="center"/>
          </w:tcPr>
          <w:p w14:paraId="4ACE5A09" w14:textId="77777777" w:rsidR="006F587A" w:rsidRDefault="006F587A">
            <w:pPr>
              <w:rPr>
                <w:rFonts w:ascii="Times New Roman" w:hAnsi="Times New Roman"/>
                <w:sz w:val="20"/>
                <w:szCs w:val="20"/>
              </w:rPr>
            </w:pPr>
          </w:p>
        </w:tc>
        <w:tc>
          <w:tcPr>
            <w:tcW w:w="50" w:type="pct"/>
            <w:shd w:val="clear" w:color="auto" w:fill="auto"/>
            <w:vAlign w:val="center"/>
          </w:tcPr>
          <w:p w14:paraId="4ACE5A0A" w14:textId="77777777" w:rsidR="006F587A" w:rsidRDefault="006F587A">
            <w:pPr>
              <w:rPr>
                <w:rFonts w:ascii="Times New Roman" w:hAnsi="Times New Roman"/>
                <w:sz w:val="20"/>
                <w:szCs w:val="20"/>
              </w:rPr>
            </w:pPr>
          </w:p>
        </w:tc>
        <w:tc>
          <w:tcPr>
            <w:tcW w:w="500" w:type="pct"/>
            <w:shd w:val="clear" w:color="auto" w:fill="auto"/>
            <w:vAlign w:val="center"/>
          </w:tcPr>
          <w:p w14:paraId="4ACE5A0B" w14:textId="77777777" w:rsidR="006F587A" w:rsidRDefault="006F587A">
            <w:pPr>
              <w:rPr>
                <w:rFonts w:ascii="Times New Roman" w:hAnsi="Times New Roman"/>
                <w:sz w:val="20"/>
                <w:szCs w:val="20"/>
              </w:rPr>
            </w:pPr>
          </w:p>
        </w:tc>
        <w:tc>
          <w:tcPr>
            <w:tcW w:w="50" w:type="pct"/>
            <w:shd w:val="clear" w:color="auto" w:fill="auto"/>
            <w:vAlign w:val="center"/>
          </w:tcPr>
          <w:p w14:paraId="4ACE5A0C" w14:textId="77777777" w:rsidR="006F587A" w:rsidRDefault="006F587A">
            <w:pPr>
              <w:rPr>
                <w:rFonts w:ascii="Times New Roman" w:hAnsi="Times New Roman"/>
                <w:sz w:val="20"/>
                <w:szCs w:val="20"/>
              </w:rPr>
            </w:pPr>
          </w:p>
        </w:tc>
      </w:tr>
      <w:tr w:rsidR="006F587A" w14:paraId="4ACE5A15"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5A0E"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4ACE5A0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A10"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28, </w:t>
            </w:r>
            <w:r>
              <w:rPr>
                <w:rFonts w:ascii="Arial" w:eastAsia="宋体" w:hAnsi="Arial" w:cs="Arial"/>
                <w:b/>
                <w:bCs/>
                <w:color w:val="333333"/>
                <w:sz w:val="18"/>
                <w:szCs w:val="18"/>
              </w:rPr>
              <w:br/>
              <w:t>2019</w:t>
            </w:r>
          </w:p>
        </w:tc>
        <w:tc>
          <w:tcPr>
            <w:tcW w:w="0" w:type="auto"/>
            <w:shd w:val="clear" w:color="auto" w:fill="auto"/>
            <w:tcMar>
              <w:top w:w="40" w:type="dxa"/>
              <w:left w:w="40" w:type="dxa"/>
              <w:bottom w:w="40" w:type="dxa"/>
              <w:right w:w="40" w:type="dxa"/>
            </w:tcMar>
            <w:vAlign w:val="bottom"/>
          </w:tcPr>
          <w:p w14:paraId="4ACE5A1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A12"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29, </w:t>
            </w:r>
            <w:r>
              <w:rPr>
                <w:rFonts w:ascii="Arial" w:eastAsia="宋体" w:hAnsi="Arial" w:cs="Arial"/>
                <w:b/>
                <w:bCs/>
                <w:color w:val="333333"/>
                <w:sz w:val="18"/>
                <w:szCs w:val="18"/>
              </w:rPr>
              <w:br/>
              <w:t>2018</w:t>
            </w:r>
          </w:p>
        </w:tc>
        <w:tc>
          <w:tcPr>
            <w:tcW w:w="0" w:type="auto"/>
            <w:shd w:val="clear" w:color="auto" w:fill="auto"/>
            <w:tcMar>
              <w:top w:w="40" w:type="dxa"/>
              <w:left w:w="40" w:type="dxa"/>
              <w:bottom w:w="40" w:type="dxa"/>
              <w:right w:w="40" w:type="dxa"/>
            </w:tcMar>
            <w:vAlign w:val="bottom"/>
          </w:tcPr>
          <w:p w14:paraId="4ACE5A1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A14"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30, </w:t>
            </w:r>
            <w:r>
              <w:rPr>
                <w:rFonts w:ascii="Arial" w:eastAsia="宋体" w:hAnsi="Arial" w:cs="Arial"/>
                <w:b/>
                <w:bCs/>
                <w:color w:val="333333"/>
                <w:sz w:val="18"/>
                <w:szCs w:val="18"/>
              </w:rPr>
              <w:br/>
              <w:t>2017</w:t>
            </w:r>
          </w:p>
        </w:tc>
      </w:tr>
      <w:tr w:rsidR="006F587A" w14:paraId="4ACE5A23" w14:textId="77777777">
        <w:tc>
          <w:tcPr>
            <w:tcW w:w="0" w:type="auto"/>
            <w:shd w:val="clear" w:color="auto" w:fill="auto"/>
            <w:tcMar>
              <w:top w:w="40" w:type="dxa"/>
              <w:left w:w="40" w:type="dxa"/>
              <w:bottom w:w="40" w:type="dxa"/>
              <w:right w:w="40" w:type="dxa"/>
            </w:tcMar>
            <w:vAlign w:val="bottom"/>
          </w:tcPr>
          <w:p w14:paraId="4ACE5A1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Foreign currency </w:t>
            </w:r>
            <w:r>
              <w:rPr>
                <w:rFonts w:ascii="Arial" w:eastAsia="宋体" w:hAnsi="Arial" w:cs="Arial"/>
                <w:color w:val="333333"/>
                <w:sz w:val="18"/>
                <w:szCs w:val="18"/>
              </w:rPr>
              <w:t>contracts</w:t>
            </w:r>
          </w:p>
        </w:tc>
        <w:tc>
          <w:tcPr>
            <w:tcW w:w="0" w:type="auto"/>
            <w:shd w:val="clear" w:color="auto" w:fill="auto"/>
            <w:tcMar>
              <w:top w:w="40" w:type="dxa"/>
              <w:left w:w="40" w:type="dxa"/>
              <w:bottom w:w="40" w:type="dxa"/>
              <w:right w:w="40" w:type="dxa"/>
            </w:tcMar>
            <w:vAlign w:val="bottom"/>
          </w:tcPr>
          <w:p w14:paraId="4ACE5A1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A18"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5A19"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23,981</w:t>
            </w:r>
          </w:p>
        </w:tc>
        <w:tc>
          <w:tcPr>
            <w:tcW w:w="0" w:type="auto"/>
            <w:shd w:val="clear" w:color="auto" w:fill="auto"/>
            <w:vAlign w:val="bottom"/>
          </w:tcPr>
          <w:p w14:paraId="4ACE5A1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A1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A1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5A1D"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19,223</w:t>
            </w:r>
          </w:p>
        </w:tc>
        <w:tc>
          <w:tcPr>
            <w:tcW w:w="0" w:type="auto"/>
            <w:shd w:val="clear" w:color="auto" w:fill="auto"/>
            <w:vAlign w:val="bottom"/>
          </w:tcPr>
          <w:p w14:paraId="4ACE5A1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A1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A2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5A21"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19,958</w:t>
            </w:r>
          </w:p>
        </w:tc>
        <w:tc>
          <w:tcPr>
            <w:tcW w:w="0" w:type="auto"/>
            <w:shd w:val="clear" w:color="auto" w:fill="auto"/>
            <w:vAlign w:val="bottom"/>
          </w:tcPr>
          <w:p w14:paraId="4ACE5A22" w14:textId="77777777" w:rsidR="006F587A" w:rsidRDefault="006F587A">
            <w:pPr>
              <w:textAlignment w:val="bottom"/>
              <w:rPr>
                <w:rFonts w:ascii="Times New Roman" w:hAnsi="Times New Roman"/>
                <w:sz w:val="20"/>
                <w:szCs w:val="20"/>
              </w:rPr>
            </w:pPr>
          </w:p>
        </w:tc>
      </w:tr>
      <w:tr w:rsidR="006F587A" w14:paraId="4ACE5A2E" w14:textId="77777777">
        <w:tc>
          <w:tcPr>
            <w:tcW w:w="0" w:type="auto"/>
            <w:shd w:val="clear" w:color="auto" w:fill="auto"/>
            <w:tcMar>
              <w:top w:w="40" w:type="dxa"/>
              <w:left w:w="40" w:type="dxa"/>
              <w:bottom w:w="40" w:type="dxa"/>
              <w:right w:w="40" w:type="dxa"/>
            </w:tcMar>
            <w:vAlign w:val="bottom"/>
          </w:tcPr>
          <w:p w14:paraId="4ACE5A24"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Interest rate contracts</w:t>
            </w:r>
          </w:p>
        </w:tc>
        <w:tc>
          <w:tcPr>
            <w:tcW w:w="0" w:type="auto"/>
            <w:shd w:val="clear" w:color="auto" w:fill="auto"/>
            <w:tcMar>
              <w:top w:w="40" w:type="dxa"/>
              <w:left w:w="40" w:type="dxa"/>
              <w:bottom w:w="40" w:type="dxa"/>
              <w:right w:w="40" w:type="dxa"/>
            </w:tcMar>
            <w:vAlign w:val="bottom"/>
          </w:tcPr>
          <w:p w14:paraId="4ACE5A2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A26"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14,302</w:t>
            </w:r>
          </w:p>
        </w:tc>
        <w:tc>
          <w:tcPr>
            <w:tcW w:w="0" w:type="auto"/>
            <w:shd w:val="clear" w:color="auto" w:fill="auto"/>
            <w:vAlign w:val="bottom"/>
          </w:tcPr>
          <w:p w14:paraId="4ACE5A2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A2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A2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22,447</w:t>
            </w:r>
          </w:p>
        </w:tc>
        <w:tc>
          <w:tcPr>
            <w:tcW w:w="0" w:type="auto"/>
            <w:shd w:val="clear" w:color="auto" w:fill="auto"/>
            <w:vAlign w:val="bottom"/>
          </w:tcPr>
          <w:p w14:paraId="4ACE5A2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A2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A2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16,823</w:t>
            </w:r>
          </w:p>
        </w:tc>
        <w:tc>
          <w:tcPr>
            <w:tcW w:w="0" w:type="auto"/>
            <w:shd w:val="clear" w:color="auto" w:fill="auto"/>
            <w:vAlign w:val="bottom"/>
          </w:tcPr>
          <w:p w14:paraId="4ACE5A2D" w14:textId="77777777" w:rsidR="006F587A" w:rsidRDefault="006F587A">
            <w:pPr>
              <w:textAlignment w:val="bottom"/>
              <w:rPr>
                <w:rFonts w:ascii="Times New Roman" w:hAnsi="Times New Roman"/>
                <w:sz w:val="20"/>
                <w:szCs w:val="20"/>
              </w:rPr>
            </w:pPr>
          </w:p>
        </w:tc>
      </w:tr>
      <w:tr w:rsidR="006F587A" w14:paraId="4ACE5A39" w14:textId="77777777">
        <w:tc>
          <w:tcPr>
            <w:tcW w:w="0" w:type="auto"/>
            <w:shd w:val="clear" w:color="auto" w:fill="auto"/>
            <w:tcMar>
              <w:top w:w="40" w:type="dxa"/>
              <w:left w:w="40" w:type="dxa"/>
              <w:bottom w:w="40" w:type="dxa"/>
              <w:right w:w="40" w:type="dxa"/>
            </w:tcMar>
            <w:vAlign w:val="bottom"/>
          </w:tcPr>
          <w:p w14:paraId="4ACE5A2F"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Other</w:t>
            </w:r>
          </w:p>
        </w:tc>
        <w:tc>
          <w:tcPr>
            <w:tcW w:w="0" w:type="auto"/>
            <w:shd w:val="clear" w:color="auto" w:fill="auto"/>
            <w:tcMar>
              <w:top w:w="40" w:type="dxa"/>
              <w:left w:w="40" w:type="dxa"/>
              <w:bottom w:w="40" w:type="dxa"/>
              <w:right w:w="40" w:type="dxa"/>
            </w:tcMar>
            <w:vAlign w:val="bottom"/>
          </w:tcPr>
          <w:p w14:paraId="4ACE5A3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A31"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1,753</w:t>
            </w:r>
          </w:p>
        </w:tc>
        <w:tc>
          <w:tcPr>
            <w:tcW w:w="0" w:type="auto"/>
            <w:shd w:val="clear" w:color="auto" w:fill="auto"/>
            <w:vAlign w:val="bottom"/>
          </w:tcPr>
          <w:p w14:paraId="4ACE5A3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A3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A3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1,356</w:t>
            </w:r>
          </w:p>
        </w:tc>
        <w:tc>
          <w:tcPr>
            <w:tcW w:w="0" w:type="auto"/>
            <w:shd w:val="clear" w:color="auto" w:fill="auto"/>
            <w:vAlign w:val="bottom"/>
          </w:tcPr>
          <w:p w14:paraId="4ACE5A3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A3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A3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1,636</w:t>
            </w:r>
          </w:p>
        </w:tc>
        <w:tc>
          <w:tcPr>
            <w:tcW w:w="0" w:type="auto"/>
            <w:shd w:val="clear" w:color="auto" w:fill="auto"/>
            <w:vAlign w:val="bottom"/>
          </w:tcPr>
          <w:p w14:paraId="4ACE5A38" w14:textId="77777777" w:rsidR="006F587A" w:rsidRDefault="006F587A">
            <w:pPr>
              <w:textAlignment w:val="bottom"/>
              <w:rPr>
                <w:rFonts w:ascii="Times New Roman" w:hAnsi="Times New Roman"/>
                <w:sz w:val="20"/>
                <w:szCs w:val="20"/>
              </w:rPr>
            </w:pPr>
          </w:p>
        </w:tc>
      </w:tr>
      <w:tr w:rsidR="006F587A" w14:paraId="4ACE5A47" w14:textId="77777777">
        <w:tc>
          <w:tcPr>
            <w:tcW w:w="0" w:type="auto"/>
            <w:shd w:val="clear" w:color="auto" w:fill="auto"/>
            <w:tcMar>
              <w:top w:w="40" w:type="dxa"/>
              <w:left w:w="40" w:type="dxa"/>
              <w:bottom w:w="40" w:type="dxa"/>
              <w:right w:w="40" w:type="dxa"/>
            </w:tcMar>
            <w:vAlign w:val="bottom"/>
          </w:tcPr>
          <w:p w14:paraId="4ACE5A3A" w14:textId="77777777" w:rsidR="006F587A" w:rsidRDefault="007B2B61">
            <w:pPr>
              <w:ind w:hanging="240"/>
              <w:textAlignment w:val="bottom"/>
              <w:rPr>
                <w:rFonts w:ascii="Times New Roman" w:hAnsi="Times New Roman"/>
                <w:sz w:val="18"/>
                <w:szCs w:val="18"/>
              </w:rPr>
            </w:pPr>
            <w:r>
              <w:rPr>
                <w:rFonts w:ascii="Arial" w:eastAsia="宋体" w:hAnsi="Arial" w:cs="Arial"/>
                <w:b/>
                <w:bCs/>
                <w:color w:val="333333"/>
                <w:sz w:val="18"/>
                <w:szCs w:val="18"/>
              </w:rPr>
              <w:t>Total</w:t>
            </w:r>
          </w:p>
        </w:tc>
        <w:tc>
          <w:tcPr>
            <w:tcW w:w="0" w:type="auto"/>
            <w:shd w:val="clear" w:color="auto" w:fill="auto"/>
            <w:tcMar>
              <w:top w:w="40" w:type="dxa"/>
              <w:left w:w="40" w:type="dxa"/>
              <w:bottom w:w="40" w:type="dxa"/>
              <w:right w:w="40" w:type="dxa"/>
            </w:tcMar>
            <w:vAlign w:val="bottom"/>
          </w:tcPr>
          <w:p w14:paraId="4ACE5A3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A3C"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A3D"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40,036</w:t>
            </w:r>
          </w:p>
        </w:tc>
        <w:tc>
          <w:tcPr>
            <w:tcW w:w="0" w:type="auto"/>
            <w:tcBorders>
              <w:top w:val="single" w:sz="8" w:space="0" w:color="333333"/>
              <w:bottom w:val="double" w:sz="6" w:space="0" w:color="333333"/>
            </w:tcBorders>
            <w:shd w:val="clear" w:color="auto" w:fill="auto"/>
            <w:vAlign w:val="bottom"/>
          </w:tcPr>
          <w:p w14:paraId="4ACE5A3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A3F" w14:textId="77777777" w:rsidR="006F587A" w:rsidRDefault="006F587A">
            <w:pPr>
              <w:jc w:val="right"/>
              <w:textAlignment w:val="bottom"/>
              <w:rPr>
                <w:rFonts w:ascii="Times New Roman" w:hAnsi="Times New Roman"/>
                <w:sz w:val="18"/>
                <w:szCs w:val="18"/>
              </w:rPr>
            </w:pP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A40"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A41"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43,026</w:t>
            </w:r>
          </w:p>
        </w:tc>
        <w:tc>
          <w:tcPr>
            <w:tcW w:w="0" w:type="auto"/>
            <w:tcBorders>
              <w:top w:val="single" w:sz="8" w:space="0" w:color="333333"/>
              <w:bottom w:val="double" w:sz="6" w:space="0" w:color="333333"/>
            </w:tcBorders>
            <w:shd w:val="clear" w:color="auto" w:fill="auto"/>
            <w:vAlign w:val="bottom"/>
          </w:tcPr>
          <w:p w14:paraId="4ACE5A4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A43" w14:textId="77777777" w:rsidR="006F587A" w:rsidRDefault="006F587A">
            <w:pPr>
              <w:jc w:val="right"/>
              <w:textAlignment w:val="bottom"/>
              <w:rPr>
                <w:rFonts w:ascii="Times New Roman" w:hAnsi="Times New Roman"/>
                <w:sz w:val="18"/>
                <w:szCs w:val="18"/>
              </w:rPr>
            </w:pP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A44"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A45"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38,417</w:t>
            </w:r>
          </w:p>
        </w:tc>
        <w:tc>
          <w:tcPr>
            <w:tcW w:w="0" w:type="auto"/>
            <w:tcBorders>
              <w:top w:val="single" w:sz="8" w:space="0" w:color="333333"/>
              <w:bottom w:val="double" w:sz="6" w:space="0" w:color="333333"/>
            </w:tcBorders>
            <w:shd w:val="clear" w:color="auto" w:fill="auto"/>
            <w:vAlign w:val="bottom"/>
          </w:tcPr>
          <w:p w14:paraId="4ACE5A46" w14:textId="77777777" w:rsidR="006F587A" w:rsidRDefault="006F587A">
            <w:pPr>
              <w:textAlignment w:val="bottom"/>
              <w:rPr>
                <w:rFonts w:ascii="Times New Roman" w:hAnsi="Times New Roman"/>
                <w:sz w:val="20"/>
                <w:szCs w:val="20"/>
              </w:rPr>
            </w:pPr>
          </w:p>
        </w:tc>
      </w:tr>
    </w:tbl>
    <w:p w14:paraId="4ACE5A48"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During 2019, we did not enter into any new pay variable or receive fixed interest rate swaps to hedge against changes in the fair value attributable to benchmark interest rates related to our outstanding senior notes. However, we entered into $7.1 billion </w:t>
      </w:r>
      <w:r>
        <w:rPr>
          <w:rFonts w:ascii="Arial" w:eastAsia="宋体" w:hAnsi="Arial" w:cs="Arial"/>
          <w:color w:val="333333"/>
          <w:sz w:val="18"/>
          <w:szCs w:val="18"/>
        </w:rPr>
        <w:t xml:space="preserve">of such swaps in 2018 and $4.8 billion in 2017. These hedges were designated as fair value hedges. The total notional amount of these swaps was $12.0 billion as of December 28, 2019 and $20.0 billion as of December 29, 2018. </w:t>
      </w:r>
      <w:r>
        <w:rPr>
          <w:rFonts w:ascii="Arial" w:eastAsia="宋体" w:hAnsi="Arial" w:cs="Arial"/>
          <w:color w:val="333333"/>
          <w:sz w:val="18"/>
          <w:szCs w:val="18"/>
        </w:rPr>
        <w:t xml:space="preserve">During </w:t>
      </w:r>
      <w:r>
        <w:rPr>
          <w:rFonts w:ascii="Arial" w:eastAsia="宋体" w:hAnsi="Arial" w:cs="Arial"/>
          <w:color w:val="333333"/>
          <w:sz w:val="18"/>
          <w:szCs w:val="18"/>
        </w:rPr>
        <w:t xml:space="preserve">the </w:t>
      </w:r>
      <w:r>
        <w:rPr>
          <w:rFonts w:ascii="Arial" w:eastAsia="宋体" w:hAnsi="Arial" w:cs="Arial"/>
          <w:color w:val="333333"/>
          <w:sz w:val="18"/>
          <w:szCs w:val="18"/>
        </w:rPr>
        <w:t>third</w:t>
      </w:r>
      <w:r>
        <w:rPr>
          <w:rFonts w:ascii="Arial" w:eastAsia="宋体" w:hAnsi="Arial" w:cs="Arial"/>
          <w:color w:val="333333"/>
          <w:sz w:val="18"/>
          <w:szCs w:val="18"/>
        </w:rPr>
        <w:t xml:space="preserve"> quarter of 201</w:t>
      </w:r>
      <w:r>
        <w:rPr>
          <w:rFonts w:ascii="Arial" w:eastAsia="宋体" w:hAnsi="Arial" w:cs="Arial"/>
          <w:color w:val="333333"/>
          <w:sz w:val="18"/>
          <w:szCs w:val="18"/>
        </w:rPr>
        <w:t>9</w:t>
      </w:r>
      <w:r>
        <w:rPr>
          <w:rFonts w:ascii="Arial" w:eastAsia="宋体" w:hAnsi="Arial" w:cs="Arial"/>
          <w:color w:val="333333"/>
          <w:sz w:val="18"/>
          <w:szCs w:val="18"/>
        </w:rPr>
        <w:t xml:space="preserve">, we unwound $7.1 billion of swaps, resulting in a $111 million </w:t>
      </w:r>
      <w:r>
        <w:rPr>
          <w:rFonts w:ascii="Arial" w:eastAsia="宋体" w:hAnsi="Arial" w:cs="Arial"/>
          <w:color w:val="333333"/>
          <w:sz w:val="18"/>
          <w:szCs w:val="18"/>
        </w:rPr>
        <w:t>gain</w:t>
      </w:r>
      <w:r>
        <w:rPr>
          <w:rFonts w:ascii="Arial" w:eastAsia="宋体" w:hAnsi="Arial" w:cs="Arial"/>
          <w:color w:val="333333"/>
          <w:sz w:val="18"/>
          <w:szCs w:val="18"/>
        </w:rPr>
        <w:t xml:space="preserve"> to be amortized over the remaining life of the debt.</w:t>
      </w:r>
    </w:p>
    <w:p w14:paraId="4ACE5A49" w14:textId="77777777" w:rsidR="006F587A" w:rsidRDefault="007B2B61">
      <w:pPr>
        <w:spacing w:line="288" w:lineRule="auto"/>
        <w:rPr>
          <w:rFonts w:ascii="Times New Roman" w:hAnsi="Times New Roman"/>
        </w:rPr>
      </w:pPr>
      <w:r>
        <w:rPr>
          <w:rFonts w:ascii="Arial" w:eastAsia="宋体" w:hAnsi="Arial" w:cs="Arial"/>
          <w:b/>
          <w:bCs/>
          <w:color w:val="0071C5"/>
        </w:rPr>
        <w:t>FAIR VALUE OF DERIVATIVE INSTRUMENTS IN THE CONSOLIDATED BALANCE SHEETS</w:t>
      </w:r>
    </w:p>
    <w:tbl>
      <w:tblPr>
        <w:tblW w:w="5000" w:type="pct"/>
        <w:tblCellMar>
          <w:left w:w="0" w:type="dxa"/>
          <w:right w:w="0" w:type="dxa"/>
        </w:tblCellMar>
        <w:tblLook w:val="04A0" w:firstRow="1" w:lastRow="0" w:firstColumn="1" w:lastColumn="0" w:noHBand="0" w:noVBand="1"/>
      </w:tblPr>
      <w:tblGrid>
        <w:gridCol w:w="3905"/>
        <w:gridCol w:w="130"/>
        <w:gridCol w:w="143"/>
        <w:gridCol w:w="750"/>
        <w:gridCol w:w="61"/>
        <w:gridCol w:w="130"/>
        <w:gridCol w:w="142"/>
        <w:gridCol w:w="814"/>
        <w:gridCol w:w="81"/>
        <w:gridCol w:w="130"/>
        <w:gridCol w:w="143"/>
        <w:gridCol w:w="649"/>
        <w:gridCol w:w="61"/>
        <w:gridCol w:w="130"/>
        <w:gridCol w:w="142"/>
        <w:gridCol w:w="814"/>
        <w:gridCol w:w="81"/>
      </w:tblGrid>
      <w:tr w:rsidR="006F587A" w14:paraId="4ACE5A4B" w14:textId="77777777">
        <w:tc>
          <w:tcPr>
            <w:tcW w:w="0" w:type="auto"/>
            <w:gridSpan w:val="17"/>
            <w:shd w:val="clear" w:color="auto" w:fill="auto"/>
            <w:vAlign w:val="center"/>
          </w:tcPr>
          <w:p w14:paraId="4ACE5A4A" w14:textId="77777777" w:rsidR="006F587A" w:rsidRDefault="006F587A">
            <w:pPr>
              <w:rPr>
                <w:rFonts w:ascii="Times New Roman" w:hAnsi="Times New Roman"/>
                <w:sz w:val="20"/>
                <w:szCs w:val="20"/>
              </w:rPr>
            </w:pPr>
          </w:p>
        </w:tc>
      </w:tr>
      <w:tr w:rsidR="006F587A" w14:paraId="4ACE5A5D" w14:textId="77777777">
        <w:tc>
          <w:tcPr>
            <w:tcW w:w="2400" w:type="pct"/>
            <w:shd w:val="clear" w:color="auto" w:fill="auto"/>
            <w:vAlign w:val="center"/>
          </w:tcPr>
          <w:p w14:paraId="4ACE5A4C" w14:textId="77777777" w:rsidR="006F587A" w:rsidRDefault="006F587A">
            <w:pPr>
              <w:rPr>
                <w:rFonts w:ascii="Times New Roman" w:hAnsi="Times New Roman"/>
                <w:sz w:val="20"/>
                <w:szCs w:val="20"/>
              </w:rPr>
            </w:pPr>
          </w:p>
        </w:tc>
        <w:tc>
          <w:tcPr>
            <w:tcW w:w="50" w:type="pct"/>
            <w:shd w:val="clear" w:color="auto" w:fill="auto"/>
            <w:vAlign w:val="center"/>
          </w:tcPr>
          <w:p w14:paraId="4ACE5A4D" w14:textId="77777777" w:rsidR="006F587A" w:rsidRDefault="006F587A">
            <w:pPr>
              <w:rPr>
                <w:rFonts w:ascii="Times New Roman" w:hAnsi="Times New Roman"/>
                <w:sz w:val="20"/>
                <w:szCs w:val="20"/>
              </w:rPr>
            </w:pPr>
          </w:p>
        </w:tc>
        <w:tc>
          <w:tcPr>
            <w:tcW w:w="50" w:type="pct"/>
            <w:shd w:val="clear" w:color="auto" w:fill="auto"/>
            <w:vAlign w:val="center"/>
          </w:tcPr>
          <w:p w14:paraId="4ACE5A4E" w14:textId="77777777" w:rsidR="006F587A" w:rsidRDefault="006F587A">
            <w:pPr>
              <w:rPr>
                <w:rFonts w:ascii="Times New Roman" w:hAnsi="Times New Roman"/>
                <w:sz w:val="20"/>
                <w:szCs w:val="20"/>
              </w:rPr>
            </w:pPr>
          </w:p>
        </w:tc>
        <w:tc>
          <w:tcPr>
            <w:tcW w:w="500" w:type="pct"/>
            <w:shd w:val="clear" w:color="auto" w:fill="auto"/>
            <w:vAlign w:val="center"/>
          </w:tcPr>
          <w:p w14:paraId="4ACE5A4F" w14:textId="77777777" w:rsidR="006F587A" w:rsidRDefault="006F587A">
            <w:pPr>
              <w:rPr>
                <w:rFonts w:ascii="Times New Roman" w:hAnsi="Times New Roman"/>
                <w:sz w:val="20"/>
                <w:szCs w:val="20"/>
              </w:rPr>
            </w:pPr>
          </w:p>
        </w:tc>
        <w:tc>
          <w:tcPr>
            <w:tcW w:w="50" w:type="pct"/>
            <w:shd w:val="clear" w:color="auto" w:fill="auto"/>
            <w:vAlign w:val="center"/>
          </w:tcPr>
          <w:p w14:paraId="4ACE5A50" w14:textId="77777777" w:rsidR="006F587A" w:rsidRDefault="006F587A">
            <w:pPr>
              <w:rPr>
                <w:rFonts w:ascii="Times New Roman" w:hAnsi="Times New Roman"/>
                <w:sz w:val="20"/>
                <w:szCs w:val="20"/>
              </w:rPr>
            </w:pPr>
          </w:p>
        </w:tc>
        <w:tc>
          <w:tcPr>
            <w:tcW w:w="50" w:type="pct"/>
            <w:shd w:val="clear" w:color="auto" w:fill="auto"/>
            <w:vAlign w:val="center"/>
          </w:tcPr>
          <w:p w14:paraId="4ACE5A51" w14:textId="77777777" w:rsidR="006F587A" w:rsidRDefault="006F587A">
            <w:pPr>
              <w:rPr>
                <w:rFonts w:ascii="Times New Roman" w:hAnsi="Times New Roman"/>
                <w:sz w:val="20"/>
                <w:szCs w:val="20"/>
              </w:rPr>
            </w:pPr>
          </w:p>
        </w:tc>
        <w:tc>
          <w:tcPr>
            <w:tcW w:w="50" w:type="pct"/>
            <w:shd w:val="clear" w:color="auto" w:fill="auto"/>
            <w:vAlign w:val="center"/>
          </w:tcPr>
          <w:p w14:paraId="4ACE5A52" w14:textId="77777777" w:rsidR="006F587A" w:rsidRDefault="006F587A">
            <w:pPr>
              <w:rPr>
                <w:rFonts w:ascii="Times New Roman" w:hAnsi="Times New Roman"/>
                <w:sz w:val="20"/>
                <w:szCs w:val="20"/>
              </w:rPr>
            </w:pPr>
          </w:p>
        </w:tc>
        <w:tc>
          <w:tcPr>
            <w:tcW w:w="500" w:type="pct"/>
            <w:shd w:val="clear" w:color="auto" w:fill="auto"/>
            <w:vAlign w:val="center"/>
          </w:tcPr>
          <w:p w14:paraId="4ACE5A53" w14:textId="77777777" w:rsidR="006F587A" w:rsidRDefault="006F587A">
            <w:pPr>
              <w:rPr>
                <w:rFonts w:ascii="Times New Roman" w:hAnsi="Times New Roman"/>
                <w:sz w:val="20"/>
                <w:szCs w:val="20"/>
              </w:rPr>
            </w:pPr>
          </w:p>
        </w:tc>
        <w:tc>
          <w:tcPr>
            <w:tcW w:w="50" w:type="pct"/>
            <w:shd w:val="clear" w:color="auto" w:fill="auto"/>
            <w:vAlign w:val="center"/>
          </w:tcPr>
          <w:p w14:paraId="4ACE5A54" w14:textId="77777777" w:rsidR="006F587A" w:rsidRDefault="006F587A">
            <w:pPr>
              <w:rPr>
                <w:rFonts w:ascii="Times New Roman" w:hAnsi="Times New Roman"/>
                <w:sz w:val="20"/>
                <w:szCs w:val="20"/>
              </w:rPr>
            </w:pPr>
          </w:p>
        </w:tc>
        <w:tc>
          <w:tcPr>
            <w:tcW w:w="50" w:type="pct"/>
            <w:shd w:val="clear" w:color="auto" w:fill="auto"/>
            <w:vAlign w:val="center"/>
          </w:tcPr>
          <w:p w14:paraId="4ACE5A55" w14:textId="77777777" w:rsidR="006F587A" w:rsidRDefault="006F587A">
            <w:pPr>
              <w:rPr>
                <w:rFonts w:ascii="Times New Roman" w:hAnsi="Times New Roman"/>
                <w:sz w:val="20"/>
                <w:szCs w:val="20"/>
              </w:rPr>
            </w:pPr>
          </w:p>
        </w:tc>
        <w:tc>
          <w:tcPr>
            <w:tcW w:w="50" w:type="pct"/>
            <w:shd w:val="clear" w:color="auto" w:fill="auto"/>
            <w:vAlign w:val="center"/>
          </w:tcPr>
          <w:p w14:paraId="4ACE5A56" w14:textId="77777777" w:rsidR="006F587A" w:rsidRDefault="006F587A">
            <w:pPr>
              <w:rPr>
                <w:rFonts w:ascii="Times New Roman" w:hAnsi="Times New Roman"/>
                <w:sz w:val="20"/>
                <w:szCs w:val="20"/>
              </w:rPr>
            </w:pPr>
          </w:p>
        </w:tc>
        <w:tc>
          <w:tcPr>
            <w:tcW w:w="500" w:type="pct"/>
            <w:shd w:val="clear" w:color="auto" w:fill="auto"/>
            <w:vAlign w:val="center"/>
          </w:tcPr>
          <w:p w14:paraId="4ACE5A57" w14:textId="77777777" w:rsidR="006F587A" w:rsidRDefault="006F587A">
            <w:pPr>
              <w:rPr>
                <w:rFonts w:ascii="Times New Roman" w:hAnsi="Times New Roman"/>
                <w:sz w:val="20"/>
                <w:szCs w:val="20"/>
              </w:rPr>
            </w:pPr>
          </w:p>
        </w:tc>
        <w:tc>
          <w:tcPr>
            <w:tcW w:w="50" w:type="pct"/>
            <w:shd w:val="clear" w:color="auto" w:fill="auto"/>
            <w:vAlign w:val="center"/>
          </w:tcPr>
          <w:p w14:paraId="4ACE5A58" w14:textId="77777777" w:rsidR="006F587A" w:rsidRDefault="006F587A">
            <w:pPr>
              <w:rPr>
                <w:rFonts w:ascii="Times New Roman" w:hAnsi="Times New Roman"/>
                <w:sz w:val="20"/>
                <w:szCs w:val="20"/>
              </w:rPr>
            </w:pPr>
          </w:p>
        </w:tc>
        <w:tc>
          <w:tcPr>
            <w:tcW w:w="50" w:type="pct"/>
            <w:shd w:val="clear" w:color="auto" w:fill="auto"/>
            <w:vAlign w:val="center"/>
          </w:tcPr>
          <w:p w14:paraId="4ACE5A59" w14:textId="77777777" w:rsidR="006F587A" w:rsidRDefault="006F587A">
            <w:pPr>
              <w:rPr>
                <w:rFonts w:ascii="Times New Roman" w:hAnsi="Times New Roman"/>
                <w:sz w:val="20"/>
                <w:szCs w:val="20"/>
              </w:rPr>
            </w:pPr>
          </w:p>
        </w:tc>
        <w:tc>
          <w:tcPr>
            <w:tcW w:w="50" w:type="pct"/>
            <w:shd w:val="clear" w:color="auto" w:fill="auto"/>
            <w:vAlign w:val="center"/>
          </w:tcPr>
          <w:p w14:paraId="4ACE5A5A" w14:textId="77777777" w:rsidR="006F587A" w:rsidRDefault="006F587A">
            <w:pPr>
              <w:rPr>
                <w:rFonts w:ascii="Times New Roman" w:hAnsi="Times New Roman"/>
                <w:sz w:val="20"/>
                <w:szCs w:val="20"/>
              </w:rPr>
            </w:pPr>
          </w:p>
        </w:tc>
        <w:tc>
          <w:tcPr>
            <w:tcW w:w="500" w:type="pct"/>
            <w:shd w:val="clear" w:color="auto" w:fill="auto"/>
            <w:vAlign w:val="center"/>
          </w:tcPr>
          <w:p w14:paraId="4ACE5A5B" w14:textId="77777777" w:rsidR="006F587A" w:rsidRDefault="006F587A">
            <w:pPr>
              <w:rPr>
                <w:rFonts w:ascii="Times New Roman" w:hAnsi="Times New Roman"/>
                <w:sz w:val="20"/>
                <w:szCs w:val="20"/>
              </w:rPr>
            </w:pPr>
          </w:p>
        </w:tc>
        <w:tc>
          <w:tcPr>
            <w:tcW w:w="50" w:type="pct"/>
            <w:shd w:val="clear" w:color="auto" w:fill="auto"/>
            <w:vAlign w:val="center"/>
          </w:tcPr>
          <w:p w14:paraId="4ACE5A5C" w14:textId="77777777" w:rsidR="006F587A" w:rsidRDefault="006F587A">
            <w:pPr>
              <w:rPr>
                <w:rFonts w:ascii="Times New Roman" w:hAnsi="Times New Roman"/>
                <w:sz w:val="20"/>
                <w:szCs w:val="20"/>
              </w:rPr>
            </w:pPr>
          </w:p>
        </w:tc>
      </w:tr>
      <w:tr w:rsidR="006F587A" w14:paraId="4ACE5A63" w14:textId="77777777">
        <w:tc>
          <w:tcPr>
            <w:tcW w:w="0" w:type="auto"/>
            <w:shd w:val="clear" w:color="auto" w:fill="auto"/>
            <w:tcMar>
              <w:top w:w="40" w:type="dxa"/>
              <w:left w:w="40" w:type="dxa"/>
              <w:bottom w:w="40" w:type="dxa"/>
              <w:right w:w="40" w:type="dxa"/>
            </w:tcMar>
            <w:vAlign w:val="bottom"/>
          </w:tcPr>
          <w:p w14:paraId="4ACE5A5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A5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71C5"/>
            </w:tcBorders>
            <w:shd w:val="clear" w:color="auto" w:fill="auto"/>
            <w:tcMar>
              <w:top w:w="40" w:type="dxa"/>
              <w:left w:w="40" w:type="dxa"/>
              <w:bottom w:w="40" w:type="dxa"/>
            </w:tcMar>
            <w:vAlign w:val="bottom"/>
          </w:tcPr>
          <w:p w14:paraId="4ACE5A60"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December 28, 2019</w:t>
            </w:r>
          </w:p>
        </w:tc>
        <w:tc>
          <w:tcPr>
            <w:tcW w:w="0" w:type="auto"/>
            <w:shd w:val="clear" w:color="auto" w:fill="auto"/>
            <w:tcMar>
              <w:top w:w="40" w:type="dxa"/>
              <w:left w:w="40" w:type="dxa"/>
              <w:bottom w:w="40" w:type="dxa"/>
              <w:right w:w="40" w:type="dxa"/>
            </w:tcMar>
            <w:vAlign w:val="bottom"/>
          </w:tcPr>
          <w:p w14:paraId="4ACE5A6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71C5"/>
            </w:tcBorders>
            <w:shd w:val="clear" w:color="auto" w:fill="auto"/>
            <w:tcMar>
              <w:top w:w="40" w:type="dxa"/>
              <w:left w:w="40" w:type="dxa"/>
              <w:bottom w:w="40" w:type="dxa"/>
            </w:tcMar>
            <w:vAlign w:val="bottom"/>
          </w:tcPr>
          <w:p w14:paraId="4ACE5A62"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December 29, 2018</w:t>
            </w:r>
          </w:p>
        </w:tc>
      </w:tr>
      <w:tr w:rsidR="006F587A" w14:paraId="4ACE5A6D"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5A64"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lastRenderedPageBreak/>
              <w:t>(In Millions)</w:t>
            </w:r>
          </w:p>
        </w:tc>
        <w:tc>
          <w:tcPr>
            <w:tcW w:w="0" w:type="auto"/>
            <w:shd w:val="clear" w:color="auto" w:fill="auto"/>
            <w:tcMar>
              <w:top w:w="40" w:type="dxa"/>
              <w:left w:w="40" w:type="dxa"/>
              <w:bottom w:w="40" w:type="dxa"/>
              <w:right w:w="40" w:type="dxa"/>
            </w:tcMar>
            <w:vAlign w:val="bottom"/>
          </w:tcPr>
          <w:p w14:paraId="4ACE5A6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A66"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Assets</w:t>
            </w:r>
            <w:r>
              <w:rPr>
                <w:rFonts w:ascii="Arial" w:eastAsia="宋体" w:hAnsi="Arial" w:cs="Arial"/>
                <w:b/>
                <w:bCs/>
                <w:color w:val="333333"/>
                <w:sz w:val="12"/>
                <w:szCs w:val="12"/>
              </w:rPr>
              <w:t>1</w:t>
            </w:r>
          </w:p>
        </w:tc>
        <w:tc>
          <w:tcPr>
            <w:tcW w:w="0" w:type="auto"/>
            <w:shd w:val="clear" w:color="auto" w:fill="auto"/>
            <w:tcMar>
              <w:top w:w="40" w:type="dxa"/>
              <w:left w:w="40" w:type="dxa"/>
              <w:bottom w:w="40" w:type="dxa"/>
              <w:right w:w="40" w:type="dxa"/>
            </w:tcMar>
            <w:vAlign w:val="bottom"/>
          </w:tcPr>
          <w:p w14:paraId="4ACE5A6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A68"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Liabilities</w:t>
            </w:r>
            <w:r>
              <w:rPr>
                <w:rFonts w:ascii="Arial" w:eastAsia="宋体" w:hAnsi="Arial" w:cs="Arial"/>
                <w:b/>
                <w:bCs/>
                <w:color w:val="333333"/>
                <w:sz w:val="12"/>
                <w:szCs w:val="12"/>
              </w:rPr>
              <w:t>2</w:t>
            </w:r>
          </w:p>
        </w:tc>
        <w:tc>
          <w:tcPr>
            <w:tcW w:w="0" w:type="auto"/>
            <w:shd w:val="clear" w:color="auto" w:fill="auto"/>
            <w:tcMar>
              <w:top w:w="40" w:type="dxa"/>
              <w:left w:w="40" w:type="dxa"/>
              <w:bottom w:w="40" w:type="dxa"/>
              <w:right w:w="40" w:type="dxa"/>
            </w:tcMar>
            <w:vAlign w:val="bottom"/>
          </w:tcPr>
          <w:p w14:paraId="4ACE5A6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A6A"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Assets</w:t>
            </w:r>
            <w:r>
              <w:rPr>
                <w:rFonts w:ascii="Arial" w:eastAsia="宋体" w:hAnsi="Arial" w:cs="Arial"/>
                <w:b/>
                <w:bCs/>
                <w:color w:val="333333"/>
                <w:sz w:val="12"/>
                <w:szCs w:val="12"/>
              </w:rPr>
              <w:t>1</w:t>
            </w:r>
          </w:p>
        </w:tc>
        <w:tc>
          <w:tcPr>
            <w:tcW w:w="0" w:type="auto"/>
            <w:shd w:val="clear" w:color="auto" w:fill="auto"/>
            <w:tcMar>
              <w:top w:w="40" w:type="dxa"/>
              <w:left w:w="40" w:type="dxa"/>
              <w:bottom w:w="40" w:type="dxa"/>
              <w:right w:w="40" w:type="dxa"/>
            </w:tcMar>
            <w:vAlign w:val="bottom"/>
          </w:tcPr>
          <w:p w14:paraId="4ACE5A6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A6C"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Liabilities</w:t>
            </w:r>
            <w:r>
              <w:rPr>
                <w:rFonts w:ascii="Arial" w:eastAsia="宋体" w:hAnsi="Arial" w:cs="Arial"/>
                <w:b/>
                <w:bCs/>
                <w:color w:val="333333"/>
                <w:sz w:val="12"/>
                <w:szCs w:val="12"/>
              </w:rPr>
              <w:t>2</w:t>
            </w:r>
          </w:p>
        </w:tc>
      </w:tr>
      <w:tr w:rsidR="006F587A" w14:paraId="4ACE5A77" w14:textId="77777777">
        <w:tc>
          <w:tcPr>
            <w:tcW w:w="0" w:type="auto"/>
            <w:shd w:val="clear" w:color="auto" w:fill="auto"/>
            <w:tcMar>
              <w:top w:w="40" w:type="dxa"/>
              <w:left w:w="40" w:type="dxa"/>
              <w:bottom w:w="40" w:type="dxa"/>
              <w:right w:w="40" w:type="dxa"/>
            </w:tcMar>
            <w:vAlign w:val="bottom"/>
          </w:tcPr>
          <w:p w14:paraId="4ACE5A6E"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Derivatives designated as hedging instruments</w:t>
            </w:r>
          </w:p>
        </w:tc>
        <w:tc>
          <w:tcPr>
            <w:tcW w:w="0" w:type="auto"/>
            <w:shd w:val="clear" w:color="auto" w:fill="auto"/>
            <w:tcMar>
              <w:top w:w="40" w:type="dxa"/>
              <w:left w:w="40" w:type="dxa"/>
              <w:bottom w:w="40" w:type="dxa"/>
              <w:right w:w="40" w:type="dxa"/>
            </w:tcMar>
            <w:vAlign w:val="bottom"/>
          </w:tcPr>
          <w:p w14:paraId="4ACE5A6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A7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A7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A7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A7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A7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A7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A7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5A89" w14:textId="77777777">
        <w:tc>
          <w:tcPr>
            <w:tcW w:w="0" w:type="auto"/>
            <w:shd w:val="clear" w:color="auto" w:fill="auto"/>
            <w:tcMar>
              <w:top w:w="40" w:type="dxa"/>
              <w:left w:w="240" w:type="dxa"/>
              <w:bottom w:w="40" w:type="dxa"/>
              <w:right w:w="40" w:type="dxa"/>
            </w:tcMar>
            <w:vAlign w:val="bottom"/>
          </w:tcPr>
          <w:p w14:paraId="4ACE5A7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Foreign currency contracts</w:t>
            </w:r>
            <w:r>
              <w:rPr>
                <w:rFonts w:ascii="Arial" w:eastAsia="宋体" w:hAnsi="Arial" w:cs="Arial"/>
                <w:color w:val="333333"/>
                <w:sz w:val="12"/>
                <w:szCs w:val="12"/>
              </w:rPr>
              <w:t>3</w:t>
            </w:r>
          </w:p>
        </w:tc>
        <w:tc>
          <w:tcPr>
            <w:tcW w:w="0" w:type="auto"/>
            <w:shd w:val="clear" w:color="auto" w:fill="auto"/>
            <w:tcMar>
              <w:top w:w="40" w:type="dxa"/>
              <w:left w:w="40" w:type="dxa"/>
              <w:bottom w:w="40" w:type="dxa"/>
              <w:right w:w="40" w:type="dxa"/>
            </w:tcMar>
            <w:vAlign w:val="bottom"/>
          </w:tcPr>
          <w:p w14:paraId="4ACE5A7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A7A"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5A7B"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56</w:t>
            </w:r>
          </w:p>
        </w:tc>
        <w:tc>
          <w:tcPr>
            <w:tcW w:w="0" w:type="auto"/>
            <w:shd w:val="clear" w:color="auto" w:fill="auto"/>
            <w:vAlign w:val="bottom"/>
          </w:tcPr>
          <w:p w14:paraId="4ACE5A7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A7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A7E"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5A7F"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159</w:t>
            </w:r>
          </w:p>
        </w:tc>
        <w:tc>
          <w:tcPr>
            <w:tcW w:w="0" w:type="auto"/>
            <w:shd w:val="clear" w:color="auto" w:fill="auto"/>
            <w:vAlign w:val="bottom"/>
          </w:tcPr>
          <w:p w14:paraId="4ACE5A8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A8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A8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5A83"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44</w:t>
            </w:r>
          </w:p>
        </w:tc>
        <w:tc>
          <w:tcPr>
            <w:tcW w:w="0" w:type="auto"/>
            <w:shd w:val="clear" w:color="auto" w:fill="auto"/>
            <w:vAlign w:val="bottom"/>
          </w:tcPr>
          <w:p w14:paraId="4ACE5A8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A8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A8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5A8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244</w:t>
            </w:r>
          </w:p>
        </w:tc>
        <w:tc>
          <w:tcPr>
            <w:tcW w:w="0" w:type="auto"/>
            <w:shd w:val="clear" w:color="auto" w:fill="auto"/>
            <w:vAlign w:val="bottom"/>
          </w:tcPr>
          <w:p w14:paraId="4ACE5A88" w14:textId="77777777" w:rsidR="006F587A" w:rsidRDefault="006F587A">
            <w:pPr>
              <w:textAlignment w:val="bottom"/>
              <w:rPr>
                <w:rFonts w:ascii="Times New Roman" w:hAnsi="Times New Roman"/>
                <w:sz w:val="20"/>
                <w:szCs w:val="20"/>
              </w:rPr>
            </w:pPr>
          </w:p>
        </w:tc>
      </w:tr>
      <w:tr w:rsidR="006F587A" w14:paraId="4ACE5A97" w14:textId="77777777">
        <w:tc>
          <w:tcPr>
            <w:tcW w:w="0" w:type="auto"/>
            <w:shd w:val="clear" w:color="auto" w:fill="auto"/>
            <w:tcMar>
              <w:top w:w="40" w:type="dxa"/>
              <w:left w:w="240" w:type="dxa"/>
              <w:bottom w:w="40" w:type="dxa"/>
              <w:right w:w="40" w:type="dxa"/>
            </w:tcMar>
            <w:vAlign w:val="bottom"/>
          </w:tcPr>
          <w:p w14:paraId="4ACE5A8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Interest rate contracts</w:t>
            </w:r>
          </w:p>
        </w:tc>
        <w:tc>
          <w:tcPr>
            <w:tcW w:w="0" w:type="auto"/>
            <w:shd w:val="clear" w:color="auto" w:fill="auto"/>
            <w:tcMar>
              <w:top w:w="40" w:type="dxa"/>
              <w:left w:w="40" w:type="dxa"/>
              <w:bottom w:w="40" w:type="dxa"/>
              <w:right w:w="40" w:type="dxa"/>
            </w:tcMar>
            <w:vAlign w:val="bottom"/>
          </w:tcPr>
          <w:p w14:paraId="4ACE5A8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A8C"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690</w:t>
            </w:r>
          </w:p>
        </w:tc>
        <w:tc>
          <w:tcPr>
            <w:tcW w:w="0" w:type="auto"/>
            <w:tcBorders>
              <w:bottom w:val="single" w:sz="8" w:space="0" w:color="333333"/>
            </w:tcBorders>
            <w:shd w:val="clear" w:color="auto" w:fill="auto"/>
            <w:vAlign w:val="bottom"/>
          </w:tcPr>
          <w:p w14:paraId="4ACE5A8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A8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A8F"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9</w:t>
            </w:r>
          </w:p>
        </w:tc>
        <w:tc>
          <w:tcPr>
            <w:tcW w:w="0" w:type="auto"/>
            <w:tcBorders>
              <w:bottom w:val="single" w:sz="8" w:space="0" w:color="333333"/>
            </w:tcBorders>
            <w:shd w:val="clear" w:color="auto" w:fill="auto"/>
            <w:vAlign w:val="bottom"/>
          </w:tcPr>
          <w:p w14:paraId="4ACE5A9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A9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A9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84</w:t>
            </w:r>
          </w:p>
        </w:tc>
        <w:tc>
          <w:tcPr>
            <w:tcW w:w="0" w:type="auto"/>
            <w:tcBorders>
              <w:bottom w:val="single" w:sz="8" w:space="0" w:color="333333"/>
            </w:tcBorders>
            <w:shd w:val="clear" w:color="auto" w:fill="auto"/>
            <w:vAlign w:val="bottom"/>
          </w:tcPr>
          <w:p w14:paraId="4ACE5A9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A9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A95"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474</w:t>
            </w:r>
          </w:p>
        </w:tc>
        <w:tc>
          <w:tcPr>
            <w:tcW w:w="0" w:type="auto"/>
            <w:tcBorders>
              <w:bottom w:val="single" w:sz="8" w:space="0" w:color="333333"/>
            </w:tcBorders>
            <w:shd w:val="clear" w:color="auto" w:fill="auto"/>
            <w:vAlign w:val="bottom"/>
          </w:tcPr>
          <w:p w14:paraId="4ACE5A96" w14:textId="77777777" w:rsidR="006F587A" w:rsidRDefault="006F587A">
            <w:pPr>
              <w:textAlignment w:val="bottom"/>
              <w:rPr>
                <w:rFonts w:ascii="Times New Roman" w:hAnsi="Times New Roman"/>
                <w:sz w:val="20"/>
                <w:szCs w:val="20"/>
              </w:rPr>
            </w:pPr>
          </w:p>
        </w:tc>
      </w:tr>
      <w:tr w:rsidR="006F587A" w14:paraId="4ACE5AA5" w14:textId="77777777">
        <w:tc>
          <w:tcPr>
            <w:tcW w:w="0" w:type="auto"/>
            <w:shd w:val="clear" w:color="auto" w:fill="auto"/>
            <w:tcMar>
              <w:top w:w="40" w:type="dxa"/>
              <w:left w:w="40" w:type="dxa"/>
              <w:bottom w:w="40" w:type="dxa"/>
              <w:right w:w="40" w:type="dxa"/>
            </w:tcMar>
            <w:vAlign w:val="bottom"/>
          </w:tcPr>
          <w:p w14:paraId="4ACE5A98" w14:textId="77777777" w:rsidR="006F587A" w:rsidRDefault="007B2B61">
            <w:pPr>
              <w:ind w:hanging="240"/>
              <w:textAlignment w:val="bottom"/>
              <w:rPr>
                <w:rFonts w:ascii="Times New Roman" w:hAnsi="Times New Roman"/>
                <w:sz w:val="18"/>
                <w:szCs w:val="18"/>
              </w:rPr>
            </w:pPr>
            <w:r>
              <w:rPr>
                <w:rFonts w:ascii="Arial" w:eastAsia="宋体" w:hAnsi="Arial" w:cs="Arial"/>
                <w:b/>
                <w:bCs/>
                <w:color w:val="333333"/>
                <w:sz w:val="18"/>
                <w:szCs w:val="18"/>
              </w:rPr>
              <w:t>Total derivatives designated as hedging instruments</w:t>
            </w:r>
          </w:p>
        </w:tc>
        <w:tc>
          <w:tcPr>
            <w:tcW w:w="0" w:type="auto"/>
            <w:shd w:val="clear" w:color="auto" w:fill="auto"/>
            <w:tcMar>
              <w:top w:w="40" w:type="dxa"/>
              <w:left w:w="40" w:type="dxa"/>
              <w:bottom w:w="40" w:type="dxa"/>
              <w:right w:w="40" w:type="dxa"/>
            </w:tcMar>
            <w:vAlign w:val="bottom"/>
          </w:tcPr>
          <w:p w14:paraId="4ACE5A9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5A9A"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746</w:t>
            </w:r>
          </w:p>
        </w:tc>
        <w:tc>
          <w:tcPr>
            <w:tcW w:w="0" w:type="auto"/>
            <w:tcBorders>
              <w:top w:val="single" w:sz="8" w:space="0" w:color="333333"/>
              <w:bottom w:val="single" w:sz="8" w:space="0" w:color="333333"/>
            </w:tcBorders>
            <w:shd w:val="clear" w:color="auto" w:fill="auto"/>
            <w:vAlign w:val="bottom"/>
          </w:tcPr>
          <w:p w14:paraId="4ACE5A9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A9C" w14:textId="77777777" w:rsidR="006F587A" w:rsidRDefault="006F587A">
            <w:pPr>
              <w:jc w:val="right"/>
              <w:textAlignment w:val="bottom"/>
              <w:rPr>
                <w:rFonts w:ascii="Times New Roman" w:hAnsi="Times New Roman"/>
                <w:sz w:val="18"/>
                <w:szCs w:val="18"/>
              </w:rPr>
            </w:pP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5A9D"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168</w:t>
            </w:r>
          </w:p>
        </w:tc>
        <w:tc>
          <w:tcPr>
            <w:tcW w:w="0" w:type="auto"/>
            <w:tcBorders>
              <w:top w:val="single" w:sz="8" w:space="0" w:color="333333"/>
              <w:bottom w:val="single" w:sz="8" w:space="0" w:color="333333"/>
            </w:tcBorders>
            <w:shd w:val="clear" w:color="auto" w:fill="auto"/>
            <w:vAlign w:val="bottom"/>
          </w:tcPr>
          <w:p w14:paraId="4ACE5A9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A9F" w14:textId="77777777" w:rsidR="006F587A" w:rsidRDefault="006F587A">
            <w:pPr>
              <w:jc w:val="right"/>
              <w:textAlignment w:val="bottom"/>
              <w:rPr>
                <w:rFonts w:ascii="Times New Roman" w:hAnsi="Times New Roman"/>
                <w:sz w:val="18"/>
                <w:szCs w:val="18"/>
              </w:rPr>
            </w:pP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5AA0"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128</w:t>
            </w:r>
          </w:p>
        </w:tc>
        <w:tc>
          <w:tcPr>
            <w:tcW w:w="0" w:type="auto"/>
            <w:tcBorders>
              <w:top w:val="single" w:sz="8" w:space="0" w:color="333333"/>
              <w:bottom w:val="single" w:sz="8" w:space="0" w:color="333333"/>
            </w:tcBorders>
            <w:shd w:val="clear" w:color="auto" w:fill="auto"/>
            <w:vAlign w:val="bottom"/>
          </w:tcPr>
          <w:p w14:paraId="4ACE5AA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AA2" w14:textId="77777777" w:rsidR="006F587A" w:rsidRDefault="006F587A">
            <w:pPr>
              <w:jc w:val="right"/>
              <w:textAlignment w:val="bottom"/>
              <w:rPr>
                <w:rFonts w:ascii="Times New Roman" w:hAnsi="Times New Roman"/>
                <w:sz w:val="18"/>
                <w:szCs w:val="18"/>
              </w:rPr>
            </w:pP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5AA3"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718</w:t>
            </w:r>
          </w:p>
        </w:tc>
        <w:tc>
          <w:tcPr>
            <w:tcW w:w="0" w:type="auto"/>
            <w:tcBorders>
              <w:top w:val="single" w:sz="8" w:space="0" w:color="333333"/>
              <w:bottom w:val="single" w:sz="8" w:space="0" w:color="333333"/>
            </w:tcBorders>
            <w:shd w:val="clear" w:color="auto" w:fill="auto"/>
            <w:vAlign w:val="bottom"/>
          </w:tcPr>
          <w:p w14:paraId="4ACE5AA4" w14:textId="77777777" w:rsidR="006F587A" w:rsidRDefault="006F587A">
            <w:pPr>
              <w:textAlignment w:val="bottom"/>
              <w:rPr>
                <w:rFonts w:ascii="Times New Roman" w:hAnsi="Times New Roman"/>
                <w:sz w:val="20"/>
                <w:szCs w:val="20"/>
              </w:rPr>
            </w:pPr>
          </w:p>
        </w:tc>
      </w:tr>
      <w:tr w:rsidR="006F587A" w14:paraId="4ACE5AAF" w14:textId="77777777">
        <w:tc>
          <w:tcPr>
            <w:tcW w:w="0" w:type="auto"/>
            <w:shd w:val="clear" w:color="auto" w:fill="auto"/>
            <w:tcMar>
              <w:top w:w="40" w:type="dxa"/>
              <w:left w:w="40" w:type="dxa"/>
              <w:bottom w:w="40" w:type="dxa"/>
              <w:right w:w="40" w:type="dxa"/>
            </w:tcMar>
            <w:vAlign w:val="bottom"/>
          </w:tcPr>
          <w:p w14:paraId="4ACE5AA6"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Derivatives not designated as hedging instruments</w:t>
            </w:r>
          </w:p>
        </w:tc>
        <w:tc>
          <w:tcPr>
            <w:tcW w:w="0" w:type="auto"/>
            <w:shd w:val="clear" w:color="auto" w:fill="auto"/>
            <w:tcMar>
              <w:top w:w="40" w:type="dxa"/>
              <w:left w:w="40" w:type="dxa"/>
              <w:bottom w:w="40" w:type="dxa"/>
              <w:right w:w="40" w:type="dxa"/>
            </w:tcMar>
            <w:vAlign w:val="bottom"/>
          </w:tcPr>
          <w:p w14:paraId="4ACE5AA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AA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AA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AA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AA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AA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AA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AA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5ABD" w14:textId="77777777">
        <w:tc>
          <w:tcPr>
            <w:tcW w:w="0" w:type="auto"/>
            <w:shd w:val="clear" w:color="auto" w:fill="auto"/>
            <w:tcMar>
              <w:top w:w="40" w:type="dxa"/>
              <w:left w:w="240" w:type="dxa"/>
              <w:bottom w:w="40" w:type="dxa"/>
              <w:right w:w="40" w:type="dxa"/>
            </w:tcMar>
            <w:vAlign w:val="bottom"/>
          </w:tcPr>
          <w:p w14:paraId="4ACE5AB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Foreign currency contracts</w:t>
            </w:r>
            <w:r>
              <w:rPr>
                <w:rFonts w:ascii="Arial" w:eastAsia="宋体" w:hAnsi="Arial" w:cs="Arial"/>
                <w:color w:val="333333"/>
                <w:sz w:val="12"/>
                <w:szCs w:val="12"/>
              </w:rPr>
              <w:t>3</w:t>
            </w:r>
          </w:p>
        </w:tc>
        <w:tc>
          <w:tcPr>
            <w:tcW w:w="0" w:type="auto"/>
            <w:shd w:val="clear" w:color="auto" w:fill="auto"/>
            <w:tcMar>
              <w:top w:w="40" w:type="dxa"/>
              <w:left w:w="40" w:type="dxa"/>
              <w:bottom w:w="40" w:type="dxa"/>
              <w:right w:w="40" w:type="dxa"/>
            </w:tcMar>
            <w:vAlign w:val="bottom"/>
          </w:tcPr>
          <w:p w14:paraId="4ACE5AB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AB2"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179</w:t>
            </w:r>
          </w:p>
        </w:tc>
        <w:tc>
          <w:tcPr>
            <w:tcW w:w="0" w:type="auto"/>
            <w:shd w:val="clear" w:color="auto" w:fill="auto"/>
            <w:vAlign w:val="bottom"/>
          </w:tcPr>
          <w:p w14:paraId="4ACE5AB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AB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AB5"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78</w:t>
            </w:r>
          </w:p>
        </w:tc>
        <w:tc>
          <w:tcPr>
            <w:tcW w:w="0" w:type="auto"/>
            <w:shd w:val="clear" w:color="auto" w:fill="auto"/>
            <w:vAlign w:val="bottom"/>
          </w:tcPr>
          <w:p w14:paraId="4ACE5AB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AB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AB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132</w:t>
            </w:r>
          </w:p>
        </w:tc>
        <w:tc>
          <w:tcPr>
            <w:tcW w:w="0" w:type="auto"/>
            <w:shd w:val="clear" w:color="auto" w:fill="auto"/>
            <w:vAlign w:val="bottom"/>
          </w:tcPr>
          <w:p w14:paraId="4ACE5AB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AB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AB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155</w:t>
            </w:r>
          </w:p>
        </w:tc>
        <w:tc>
          <w:tcPr>
            <w:tcW w:w="0" w:type="auto"/>
            <w:shd w:val="clear" w:color="auto" w:fill="auto"/>
            <w:vAlign w:val="bottom"/>
          </w:tcPr>
          <w:p w14:paraId="4ACE5ABC" w14:textId="77777777" w:rsidR="006F587A" w:rsidRDefault="006F587A">
            <w:pPr>
              <w:textAlignment w:val="bottom"/>
              <w:rPr>
                <w:rFonts w:ascii="Times New Roman" w:hAnsi="Times New Roman"/>
                <w:sz w:val="20"/>
                <w:szCs w:val="20"/>
              </w:rPr>
            </w:pPr>
          </w:p>
        </w:tc>
      </w:tr>
      <w:tr w:rsidR="006F587A" w14:paraId="4ACE5ACB" w14:textId="77777777">
        <w:tc>
          <w:tcPr>
            <w:tcW w:w="0" w:type="auto"/>
            <w:shd w:val="clear" w:color="auto" w:fill="auto"/>
            <w:tcMar>
              <w:top w:w="40" w:type="dxa"/>
              <w:left w:w="240" w:type="dxa"/>
              <w:bottom w:w="40" w:type="dxa"/>
              <w:right w:w="40" w:type="dxa"/>
            </w:tcMar>
            <w:vAlign w:val="bottom"/>
          </w:tcPr>
          <w:p w14:paraId="4ACE5ABE"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Interest rate contracts</w:t>
            </w:r>
          </w:p>
        </w:tc>
        <w:tc>
          <w:tcPr>
            <w:tcW w:w="0" w:type="auto"/>
            <w:shd w:val="clear" w:color="auto" w:fill="auto"/>
            <w:tcMar>
              <w:top w:w="40" w:type="dxa"/>
              <w:left w:w="40" w:type="dxa"/>
              <w:bottom w:w="40" w:type="dxa"/>
              <w:right w:w="40" w:type="dxa"/>
            </w:tcMar>
            <w:vAlign w:val="bottom"/>
          </w:tcPr>
          <w:p w14:paraId="4ACE5AB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AC0"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11</w:t>
            </w:r>
          </w:p>
        </w:tc>
        <w:tc>
          <w:tcPr>
            <w:tcW w:w="0" w:type="auto"/>
            <w:shd w:val="clear" w:color="auto" w:fill="auto"/>
            <w:vAlign w:val="bottom"/>
          </w:tcPr>
          <w:p w14:paraId="4ACE5AC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AC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AC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54</w:t>
            </w:r>
          </w:p>
        </w:tc>
        <w:tc>
          <w:tcPr>
            <w:tcW w:w="0" w:type="auto"/>
            <w:shd w:val="clear" w:color="auto" w:fill="auto"/>
            <w:vAlign w:val="bottom"/>
          </w:tcPr>
          <w:p w14:paraId="4ACE5AC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AC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AC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20</w:t>
            </w:r>
          </w:p>
        </w:tc>
        <w:tc>
          <w:tcPr>
            <w:tcW w:w="0" w:type="auto"/>
            <w:shd w:val="clear" w:color="auto" w:fill="auto"/>
            <w:vAlign w:val="bottom"/>
          </w:tcPr>
          <w:p w14:paraId="4ACE5AC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AC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AC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22</w:t>
            </w:r>
          </w:p>
        </w:tc>
        <w:tc>
          <w:tcPr>
            <w:tcW w:w="0" w:type="auto"/>
            <w:shd w:val="clear" w:color="auto" w:fill="auto"/>
            <w:vAlign w:val="bottom"/>
          </w:tcPr>
          <w:p w14:paraId="4ACE5ACA" w14:textId="77777777" w:rsidR="006F587A" w:rsidRDefault="006F587A">
            <w:pPr>
              <w:textAlignment w:val="bottom"/>
              <w:rPr>
                <w:rFonts w:ascii="Times New Roman" w:hAnsi="Times New Roman"/>
                <w:sz w:val="20"/>
                <w:szCs w:val="20"/>
              </w:rPr>
            </w:pPr>
          </w:p>
        </w:tc>
      </w:tr>
      <w:tr w:rsidR="006F587A" w14:paraId="4ACE5AD9" w14:textId="77777777">
        <w:tc>
          <w:tcPr>
            <w:tcW w:w="0" w:type="auto"/>
            <w:shd w:val="clear" w:color="auto" w:fill="auto"/>
            <w:tcMar>
              <w:top w:w="40" w:type="dxa"/>
              <w:left w:w="240" w:type="dxa"/>
              <w:bottom w:w="40" w:type="dxa"/>
              <w:right w:w="40" w:type="dxa"/>
            </w:tcMar>
            <w:vAlign w:val="bottom"/>
          </w:tcPr>
          <w:p w14:paraId="4ACE5AC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Equity contracts</w:t>
            </w:r>
          </w:p>
        </w:tc>
        <w:tc>
          <w:tcPr>
            <w:tcW w:w="0" w:type="auto"/>
            <w:shd w:val="clear" w:color="auto" w:fill="auto"/>
            <w:tcMar>
              <w:top w:w="40" w:type="dxa"/>
              <w:left w:w="40" w:type="dxa"/>
              <w:bottom w:w="40" w:type="dxa"/>
              <w:right w:w="40" w:type="dxa"/>
            </w:tcMar>
            <w:vAlign w:val="bottom"/>
          </w:tcPr>
          <w:p w14:paraId="4ACE5AC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ACE"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50</w:t>
            </w:r>
          </w:p>
        </w:tc>
        <w:tc>
          <w:tcPr>
            <w:tcW w:w="0" w:type="auto"/>
            <w:shd w:val="clear" w:color="auto" w:fill="auto"/>
            <w:vAlign w:val="bottom"/>
          </w:tcPr>
          <w:p w14:paraId="4ACE5AC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AD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AD1"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w:t>
            </w:r>
          </w:p>
        </w:tc>
        <w:tc>
          <w:tcPr>
            <w:tcW w:w="0" w:type="auto"/>
            <w:shd w:val="clear" w:color="auto" w:fill="auto"/>
            <w:vAlign w:val="bottom"/>
          </w:tcPr>
          <w:p w14:paraId="4ACE5AD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AD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AD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AD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AD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AD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AD8" w14:textId="77777777" w:rsidR="006F587A" w:rsidRDefault="006F587A">
            <w:pPr>
              <w:textAlignment w:val="bottom"/>
              <w:rPr>
                <w:rFonts w:ascii="Times New Roman" w:hAnsi="Times New Roman"/>
                <w:sz w:val="20"/>
                <w:szCs w:val="20"/>
              </w:rPr>
            </w:pPr>
          </w:p>
        </w:tc>
      </w:tr>
      <w:tr w:rsidR="006F587A" w14:paraId="4ACE5AE7" w14:textId="77777777">
        <w:tc>
          <w:tcPr>
            <w:tcW w:w="0" w:type="auto"/>
            <w:shd w:val="clear" w:color="auto" w:fill="auto"/>
            <w:tcMar>
              <w:top w:w="40" w:type="dxa"/>
              <w:left w:w="40" w:type="dxa"/>
              <w:bottom w:w="40" w:type="dxa"/>
              <w:right w:w="40" w:type="dxa"/>
            </w:tcMar>
            <w:vAlign w:val="bottom"/>
          </w:tcPr>
          <w:p w14:paraId="4ACE5ADA" w14:textId="77777777" w:rsidR="006F587A" w:rsidRDefault="007B2B61">
            <w:pPr>
              <w:ind w:hanging="240"/>
              <w:textAlignment w:val="bottom"/>
              <w:rPr>
                <w:rFonts w:ascii="Times New Roman" w:hAnsi="Times New Roman"/>
                <w:sz w:val="18"/>
                <w:szCs w:val="18"/>
              </w:rPr>
            </w:pPr>
            <w:r>
              <w:rPr>
                <w:rFonts w:ascii="Arial" w:eastAsia="宋体" w:hAnsi="Arial" w:cs="Arial"/>
                <w:b/>
                <w:bCs/>
                <w:color w:val="333333"/>
                <w:sz w:val="18"/>
                <w:szCs w:val="18"/>
              </w:rPr>
              <w:t>Total derivatives not designated as hedging instruments</w:t>
            </w:r>
          </w:p>
        </w:tc>
        <w:tc>
          <w:tcPr>
            <w:tcW w:w="0" w:type="auto"/>
            <w:shd w:val="clear" w:color="auto" w:fill="auto"/>
            <w:tcMar>
              <w:top w:w="40" w:type="dxa"/>
              <w:left w:w="40" w:type="dxa"/>
              <w:bottom w:w="40" w:type="dxa"/>
              <w:right w:w="40" w:type="dxa"/>
            </w:tcMar>
            <w:vAlign w:val="bottom"/>
          </w:tcPr>
          <w:p w14:paraId="4ACE5AD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5ADC"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240</w:t>
            </w:r>
          </w:p>
        </w:tc>
        <w:tc>
          <w:tcPr>
            <w:tcW w:w="0" w:type="auto"/>
            <w:tcBorders>
              <w:top w:val="single" w:sz="8" w:space="0" w:color="333333"/>
              <w:bottom w:val="single" w:sz="8" w:space="0" w:color="333333"/>
            </w:tcBorders>
            <w:shd w:val="clear" w:color="auto" w:fill="auto"/>
            <w:vAlign w:val="bottom"/>
          </w:tcPr>
          <w:p w14:paraId="4ACE5AD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ADE" w14:textId="77777777" w:rsidR="006F587A" w:rsidRDefault="006F587A">
            <w:pPr>
              <w:jc w:val="right"/>
              <w:textAlignment w:val="bottom"/>
              <w:rPr>
                <w:rFonts w:ascii="Times New Roman" w:hAnsi="Times New Roman"/>
                <w:sz w:val="18"/>
                <w:szCs w:val="18"/>
              </w:rPr>
            </w:pP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5ADF"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135</w:t>
            </w:r>
          </w:p>
        </w:tc>
        <w:tc>
          <w:tcPr>
            <w:tcW w:w="0" w:type="auto"/>
            <w:tcBorders>
              <w:top w:val="single" w:sz="8" w:space="0" w:color="333333"/>
              <w:bottom w:val="single" w:sz="8" w:space="0" w:color="333333"/>
            </w:tcBorders>
            <w:shd w:val="clear" w:color="auto" w:fill="auto"/>
            <w:vAlign w:val="bottom"/>
          </w:tcPr>
          <w:p w14:paraId="4ACE5AE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AE1" w14:textId="77777777" w:rsidR="006F587A" w:rsidRDefault="006F587A">
            <w:pPr>
              <w:jc w:val="right"/>
              <w:textAlignment w:val="bottom"/>
              <w:rPr>
                <w:rFonts w:ascii="Times New Roman" w:hAnsi="Times New Roman"/>
                <w:sz w:val="18"/>
                <w:szCs w:val="18"/>
              </w:rPr>
            </w:pP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5AE2"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152</w:t>
            </w:r>
          </w:p>
        </w:tc>
        <w:tc>
          <w:tcPr>
            <w:tcW w:w="0" w:type="auto"/>
            <w:tcBorders>
              <w:top w:val="single" w:sz="8" w:space="0" w:color="333333"/>
              <w:bottom w:val="single" w:sz="8" w:space="0" w:color="333333"/>
            </w:tcBorders>
            <w:shd w:val="clear" w:color="auto" w:fill="auto"/>
            <w:vAlign w:val="bottom"/>
          </w:tcPr>
          <w:p w14:paraId="4ACE5AE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AE4" w14:textId="77777777" w:rsidR="006F587A" w:rsidRDefault="006F587A">
            <w:pPr>
              <w:jc w:val="right"/>
              <w:textAlignment w:val="bottom"/>
              <w:rPr>
                <w:rFonts w:ascii="Times New Roman" w:hAnsi="Times New Roman"/>
                <w:sz w:val="18"/>
                <w:szCs w:val="18"/>
              </w:rPr>
            </w:pP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5AE5"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177</w:t>
            </w:r>
          </w:p>
        </w:tc>
        <w:tc>
          <w:tcPr>
            <w:tcW w:w="0" w:type="auto"/>
            <w:tcBorders>
              <w:top w:val="single" w:sz="8" w:space="0" w:color="333333"/>
              <w:bottom w:val="single" w:sz="8" w:space="0" w:color="333333"/>
            </w:tcBorders>
            <w:shd w:val="clear" w:color="auto" w:fill="auto"/>
            <w:vAlign w:val="bottom"/>
          </w:tcPr>
          <w:p w14:paraId="4ACE5AE6" w14:textId="77777777" w:rsidR="006F587A" w:rsidRDefault="006F587A">
            <w:pPr>
              <w:textAlignment w:val="bottom"/>
              <w:rPr>
                <w:rFonts w:ascii="Times New Roman" w:hAnsi="Times New Roman"/>
                <w:sz w:val="20"/>
                <w:szCs w:val="20"/>
              </w:rPr>
            </w:pPr>
          </w:p>
        </w:tc>
      </w:tr>
      <w:tr w:rsidR="006F587A" w14:paraId="4ACE5AF9" w14:textId="77777777">
        <w:tc>
          <w:tcPr>
            <w:tcW w:w="0" w:type="auto"/>
            <w:shd w:val="clear" w:color="auto" w:fill="auto"/>
            <w:tcMar>
              <w:top w:w="40" w:type="dxa"/>
              <w:left w:w="40" w:type="dxa"/>
              <w:bottom w:w="40" w:type="dxa"/>
              <w:right w:w="40" w:type="dxa"/>
            </w:tcMar>
            <w:vAlign w:val="bottom"/>
          </w:tcPr>
          <w:p w14:paraId="4ACE5AE8"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Total derivatives</w:t>
            </w:r>
          </w:p>
        </w:tc>
        <w:tc>
          <w:tcPr>
            <w:tcW w:w="0" w:type="auto"/>
            <w:shd w:val="clear" w:color="auto" w:fill="auto"/>
            <w:tcMar>
              <w:top w:w="40" w:type="dxa"/>
              <w:left w:w="40" w:type="dxa"/>
              <w:bottom w:w="40" w:type="dxa"/>
              <w:right w:w="40" w:type="dxa"/>
            </w:tcMar>
            <w:vAlign w:val="bottom"/>
          </w:tcPr>
          <w:p w14:paraId="4ACE5AE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333333"/>
            </w:tcBorders>
            <w:shd w:val="clear" w:color="auto" w:fill="auto"/>
            <w:tcMar>
              <w:top w:w="40" w:type="dxa"/>
              <w:left w:w="40" w:type="dxa"/>
              <w:bottom w:w="40" w:type="dxa"/>
            </w:tcMar>
            <w:vAlign w:val="bottom"/>
          </w:tcPr>
          <w:p w14:paraId="4ACE5AEA"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bottom w:val="double" w:sz="6" w:space="0" w:color="333333"/>
            </w:tcBorders>
            <w:shd w:val="clear" w:color="auto" w:fill="auto"/>
            <w:tcMar>
              <w:top w:w="40" w:type="dxa"/>
              <w:bottom w:w="40" w:type="dxa"/>
            </w:tcMar>
            <w:vAlign w:val="bottom"/>
          </w:tcPr>
          <w:p w14:paraId="4ACE5AEB"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986</w:t>
            </w:r>
          </w:p>
        </w:tc>
        <w:tc>
          <w:tcPr>
            <w:tcW w:w="0" w:type="auto"/>
            <w:tcBorders>
              <w:bottom w:val="double" w:sz="6" w:space="0" w:color="333333"/>
            </w:tcBorders>
            <w:shd w:val="clear" w:color="auto" w:fill="auto"/>
            <w:vAlign w:val="bottom"/>
          </w:tcPr>
          <w:p w14:paraId="4ACE5AE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AED" w14:textId="77777777" w:rsidR="006F587A" w:rsidRDefault="006F587A">
            <w:pPr>
              <w:jc w:val="right"/>
              <w:textAlignment w:val="bottom"/>
              <w:rPr>
                <w:rFonts w:ascii="Times New Roman" w:hAnsi="Times New Roman"/>
                <w:sz w:val="18"/>
                <w:szCs w:val="18"/>
              </w:rPr>
            </w:pPr>
          </w:p>
        </w:tc>
        <w:tc>
          <w:tcPr>
            <w:tcW w:w="0" w:type="auto"/>
            <w:tcBorders>
              <w:bottom w:val="double" w:sz="6" w:space="0" w:color="333333"/>
            </w:tcBorders>
            <w:shd w:val="clear" w:color="auto" w:fill="auto"/>
            <w:tcMar>
              <w:top w:w="40" w:type="dxa"/>
              <w:left w:w="40" w:type="dxa"/>
              <w:bottom w:w="40" w:type="dxa"/>
            </w:tcMar>
            <w:vAlign w:val="bottom"/>
          </w:tcPr>
          <w:p w14:paraId="4ACE5AEE"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bottom w:val="double" w:sz="6" w:space="0" w:color="333333"/>
            </w:tcBorders>
            <w:shd w:val="clear" w:color="auto" w:fill="auto"/>
            <w:tcMar>
              <w:top w:w="40" w:type="dxa"/>
              <w:bottom w:w="40" w:type="dxa"/>
            </w:tcMar>
            <w:vAlign w:val="bottom"/>
          </w:tcPr>
          <w:p w14:paraId="4ACE5AEF"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303</w:t>
            </w:r>
          </w:p>
        </w:tc>
        <w:tc>
          <w:tcPr>
            <w:tcW w:w="0" w:type="auto"/>
            <w:tcBorders>
              <w:bottom w:val="double" w:sz="6" w:space="0" w:color="333333"/>
            </w:tcBorders>
            <w:shd w:val="clear" w:color="auto" w:fill="auto"/>
            <w:vAlign w:val="bottom"/>
          </w:tcPr>
          <w:p w14:paraId="4ACE5AF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AF1" w14:textId="77777777" w:rsidR="006F587A" w:rsidRDefault="006F587A">
            <w:pPr>
              <w:jc w:val="right"/>
              <w:textAlignment w:val="bottom"/>
              <w:rPr>
                <w:rFonts w:ascii="Times New Roman" w:hAnsi="Times New Roman"/>
                <w:sz w:val="18"/>
                <w:szCs w:val="18"/>
              </w:rPr>
            </w:pPr>
          </w:p>
        </w:tc>
        <w:tc>
          <w:tcPr>
            <w:tcW w:w="0" w:type="auto"/>
            <w:tcBorders>
              <w:bottom w:val="double" w:sz="6" w:space="0" w:color="333333"/>
            </w:tcBorders>
            <w:shd w:val="clear" w:color="auto" w:fill="auto"/>
            <w:tcMar>
              <w:top w:w="40" w:type="dxa"/>
              <w:left w:w="40" w:type="dxa"/>
              <w:bottom w:w="40" w:type="dxa"/>
            </w:tcMar>
            <w:vAlign w:val="bottom"/>
          </w:tcPr>
          <w:p w14:paraId="4ACE5AF2"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bottom w:val="double" w:sz="6" w:space="0" w:color="333333"/>
            </w:tcBorders>
            <w:shd w:val="clear" w:color="auto" w:fill="auto"/>
            <w:tcMar>
              <w:top w:w="40" w:type="dxa"/>
              <w:bottom w:w="40" w:type="dxa"/>
            </w:tcMar>
            <w:vAlign w:val="bottom"/>
          </w:tcPr>
          <w:p w14:paraId="4ACE5AF3"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280</w:t>
            </w:r>
          </w:p>
        </w:tc>
        <w:tc>
          <w:tcPr>
            <w:tcW w:w="0" w:type="auto"/>
            <w:tcBorders>
              <w:bottom w:val="double" w:sz="6" w:space="0" w:color="333333"/>
            </w:tcBorders>
            <w:shd w:val="clear" w:color="auto" w:fill="auto"/>
            <w:vAlign w:val="bottom"/>
          </w:tcPr>
          <w:p w14:paraId="4ACE5AF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AF5" w14:textId="77777777" w:rsidR="006F587A" w:rsidRDefault="006F587A">
            <w:pPr>
              <w:jc w:val="right"/>
              <w:textAlignment w:val="bottom"/>
              <w:rPr>
                <w:rFonts w:ascii="Times New Roman" w:hAnsi="Times New Roman"/>
                <w:sz w:val="18"/>
                <w:szCs w:val="18"/>
              </w:rPr>
            </w:pPr>
          </w:p>
        </w:tc>
        <w:tc>
          <w:tcPr>
            <w:tcW w:w="0" w:type="auto"/>
            <w:tcBorders>
              <w:bottom w:val="double" w:sz="6" w:space="0" w:color="333333"/>
            </w:tcBorders>
            <w:shd w:val="clear" w:color="auto" w:fill="auto"/>
            <w:tcMar>
              <w:top w:w="40" w:type="dxa"/>
              <w:left w:w="40" w:type="dxa"/>
              <w:bottom w:w="40" w:type="dxa"/>
            </w:tcMar>
            <w:vAlign w:val="bottom"/>
          </w:tcPr>
          <w:p w14:paraId="4ACE5AF6"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bottom w:val="double" w:sz="6" w:space="0" w:color="333333"/>
            </w:tcBorders>
            <w:shd w:val="clear" w:color="auto" w:fill="auto"/>
            <w:tcMar>
              <w:top w:w="40" w:type="dxa"/>
              <w:bottom w:w="40" w:type="dxa"/>
            </w:tcMar>
            <w:vAlign w:val="bottom"/>
          </w:tcPr>
          <w:p w14:paraId="4ACE5AF7"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895</w:t>
            </w:r>
          </w:p>
        </w:tc>
        <w:tc>
          <w:tcPr>
            <w:tcW w:w="0" w:type="auto"/>
            <w:tcBorders>
              <w:bottom w:val="double" w:sz="6" w:space="0" w:color="333333"/>
            </w:tcBorders>
            <w:shd w:val="clear" w:color="auto" w:fill="auto"/>
            <w:vAlign w:val="bottom"/>
          </w:tcPr>
          <w:p w14:paraId="4ACE5AF8" w14:textId="77777777" w:rsidR="006F587A" w:rsidRDefault="006F587A">
            <w:pPr>
              <w:textAlignment w:val="bottom"/>
              <w:rPr>
                <w:rFonts w:ascii="Times New Roman" w:hAnsi="Times New Roman"/>
                <w:sz w:val="20"/>
                <w:szCs w:val="20"/>
              </w:rPr>
            </w:pPr>
          </w:p>
        </w:tc>
      </w:tr>
    </w:tbl>
    <w:p w14:paraId="4ACE5AFA" w14:textId="77777777" w:rsidR="006F587A" w:rsidRDefault="006F587A">
      <w:pPr>
        <w:spacing w:line="288" w:lineRule="auto"/>
        <w:rPr>
          <w:rFonts w:ascii="Times New Roman" w:hAnsi="Times New Roman"/>
          <w:sz w:val="20"/>
          <w:szCs w:val="20"/>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5105"/>
      </w:tblGrid>
      <w:tr w:rsidR="006F587A" w14:paraId="4ACE5AFD" w14:textId="77777777">
        <w:trPr>
          <w:tblCellSpacing w:w="0" w:type="dxa"/>
        </w:trPr>
        <w:tc>
          <w:tcPr>
            <w:tcW w:w="720" w:type="dxa"/>
            <w:shd w:val="clear" w:color="auto" w:fill="auto"/>
            <w:vAlign w:val="center"/>
          </w:tcPr>
          <w:p w14:paraId="4ACE5AFB" w14:textId="77777777" w:rsidR="006F587A" w:rsidRDefault="006F587A">
            <w:pPr>
              <w:rPr>
                <w:rFonts w:ascii="Times New Roman" w:hAnsi="Times New Roman"/>
                <w:sz w:val="20"/>
                <w:szCs w:val="20"/>
              </w:rPr>
            </w:pPr>
          </w:p>
        </w:tc>
        <w:tc>
          <w:tcPr>
            <w:tcW w:w="0" w:type="auto"/>
            <w:shd w:val="clear" w:color="auto" w:fill="auto"/>
            <w:vAlign w:val="center"/>
          </w:tcPr>
          <w:p w14:paraId="4ACE5AFC" w14:textId="77777777" w:rsidR="006F587A" w:rsidRDefault="006F587A">
            <w:pPr>
              <w:rPr>
                <w:rFonts w:ascii="Times New Roman" w:hAnsi="Times New Roman"/>
                <w:sz w:val="20"/>
                <w:szCs w:val="20"/>
              </w:rPr>
            </w:pPr>
          </w:p>
        </w:tc>
      </w:tr>
      <w:tr w:rsidR="006F587A" w14:paraId="4ACE5B00" w14:textId="77777777">
        <w:trPr>
          <w:tblCellSpacing w:w="0" w:type="dxa"/>
        </w:trPr>
        <w:tc>
          <w:tcPr>
            <w:tcW w:w="0" w:type="auto"/>
            <w:shd w:val="clear" w:color="auto" w:fill="auto"/>
          </w:tcPr>
          <w:p w14:paraId="4ACE5AFE"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0"/>
                <w:szCs w:val="10"/>
              </w:rPr>
              <w:t>1</w:t>
            </w:r>
            <w:r>
              <w:rPr>
                <w:rFonts w:ascii="Arial" w:eastAsia="宋体" w:hAnsi="Arial" w:cs="Arial"/>
                <w:i/>
                <w:iCs/>
                <w:color w:val="333333"/>
                <w:sz w:val="16"/>
                <w:szCs w:val="16"/>
              </w:rPr>
              <w:t> </w:t>
            </w:r>
          </w:p>
        </w:tc>
        <w:tc>
          <w:tcPr>
            <w:tcW w:w="0" w:type="auto"/>
            <w:shd w:val="clear" w:color="auto" w:fill="auto"/>
          </w:tcPr>
          <w:p w14:paraId="4ACE5AFF"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6"/>
                <w:szCs w:val="16"/>
              </w:rPr>
              <w:t>Derivative assets are recorded as other assets, current and non-current.</w:t>
            </w:r>
          </w:p>
        </w:tc>
      </w:tr>
    </w:tbl>
    <w:p w14:paraId="4ACE5B01"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5390"/>
      </w:tblGrid>
      <w:tr w:rsidR="006F587A" w14:paraId="4ACE5B04" w14:textId="77777777">
        <w:trPr>
          <w:tblCellSpacing w:w="0" w:type="dxa"/>
        </w:trPr>
        <w:tc>
          <w:tcPr>
            <w:tcW w:w="720" w:type="dxa"/>
            <w:shd w:val="clear" w:color="auto" w:fill="auto"/>
            <w:vAlign w:val="center"/>
          </w:tcPr>
          <w:p w14:paraId="4ACE5B02" w14:textId="77777777" w:rsidR="006F587A" w:rsidRDefault="006F587A">
            <w:pPr>
              <w:rPr>
                <w:rFonts w:ascii="Times New Roman" w:hAnsi="Times New Roman"/>
                <w:sz w:val="20"/>
                <w:szCs w:val="20"/>
              </w:rPr>
            </w:pPr>
          </w:p>
        </w:tc>
        <w:tc>
          <w:tcPr>
            <w:tcW w:w="0" w:type="auto"/>
            <w:shd w:val="clear" w:color="auto" w:fill="auto"/>
            <w:vAlign w:val="center"/>
          </w:tcPr>
          <w:p w14:paraId="4ACE5B03" w14:textId="77777777" w:rsidR="006F587A" w:rsidRDefault="006F587A">
            <w:pPr>
              <w:rPr>
                <w:rFonts w:ascii="Times New Roman" w:hAnsi="Times New Roman"/>
                <w:sz w:val="20"/>
                <w:szCs w:val="20"/>
              </w:rPr>
            </w:pPr>
          </w:p>
        </w:tc>
      </w:tr>
      <w:tr w:rsidR="006F587A" w14:paraId="4ACE5B07" w14:textId="77777777">
        <w:trPr>
          <w:tblCellSpacing w:w="0" w:type="dxa"/>
        </w:trPr>
        <w:tc>
          <w:tcPr>
            <w:tcW w:w="0" w:type="auto"/>
            <w:shd w:val="clear" w:color="auto" w:fill="auto"/>
          </w:tcPr>
          <w:p w14:paraId="4ACE5B05"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0"/>
                <w:szCs w:val="10"/>
              </w:rPr>
              <w:t>2</w:t>
            </w:r>
            <w:r>
              <w:rPr>
                <w:rFonts w:ascii="Arial" w:eastAsia="宋体" w:hAnsi="Arial" w:cs="Arial"/>
                <w:i/>
                <w:iCs/>
                <w:color w:val="333333"/>
                <w:sz w:val="16"/>
                <w:szCs w:val="16"/>
              </w:rPr>
              <w:t> </w:t>
            </w:r>
          </w:p>
        </w:tc>
        <w:tc>
          <w:tcPr>
            <w:tcW w:w="0" w:type="auto"/>
            <w:shd w:val="clear" w:color="auto" w:fill="auto"/>
          </w:tcPr>
          <w:p w14:paraId="4ACE5B06"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6"/>
                <w:szCs w:val="16"/>
              </w:rPr>
              <w:t>Derivative liabilities are recorded as other liabilities, current and non-current.</w:t>
            </w:r>
          </w:p>
        </w:tc>
      </w:tr>
    </w:tbl>
    <w:p w14:paraId="4ACE5B08" w14:textId="77777777" w:rsidR="006F587A" w:rsidRDefault="006F587A">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4198"/>
      </w:tblGrid>
      <w:tr w:rsidR="006F587A" w14:paraId="4ACE5B0B" w14:textId="77777777">
        <w:trPr>
          <w:tblCellSpacing w:w="0" w:type="dxa"/>
        </w:trPr>
        <w:tc>
          <w:tcPr>
            <w:tcW w:w="720" w:type="dxa"/>
            <w:shd w:val="clear" w:color="auto" w:fill="auto"/>
            <w:vAlign w:val="center"/>
          </w:tcPr>
          <w:p w14:paraId="4ACE5B09" w14:textId="77777777" w:rsidR="006F587A" w:rsidRDefault="006F587A">
            <w:pPr>
              <w:rPr>
                <w:rFonts w:ascii="Times New Roman" w:hAnsi="Times New Roman"/>
                <w:sz w:val="20"/>
                <w:szCs w:val="20"/>
              </w:rPr>
            </w:pPr>
          </w:p>
        </w:tc>
        <w:tc>
          <w:tcPr>
            <w:tcW w:w="0" w:type="auto"/>
            <w:shd w:val="clear" w:color="auto" w:fill="auto"/>
            <w:vAlign w:val="center"/>
          </w:tcPr>
          <w:p w14:paraId="4ACE5B0A" w14:textId="77777777" w:rsidR="006F587A" w:rsidRDefault="006F587A">
            <w:pPr>
              <w:rPr>
                <w:rFonts w:ascii="Times New Roman" w:hAnsi="Times New Roman"/>
                <w:sz w:val="20"/>
                <w:szCs w:val="20"/>
              </w:rPr>
            </w:pPr>
          </w:p>
        </w:tc>
      </w:tr>
      <w:tr w:rsidR="006F587A" w14:paraId="4ACE5B0E" w14:textId="77777777">
        <w:trPr>
          <w:tblCellSpacing w:w="0" w:type="dxa"/>
        </w:trPr>
        <w:tc>
          <w:tcPr>
            <w:tcW w:w="0" w:type="auto"/>
            <w:shd w:val="clear" w:color="auto" w:fill="auto"/>
          </w:tcPr>
          <w:p w14:paraId="4ACE5B0C"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0"/>
                <w:szCs w:val="10"/>
              </w:rPr>
              <w:t>3</w:t>
            </w:r>
            <w:r>
              <w:rPr>
                <w:rFonts w:ascii="Arial" w:eastAsia="宋体" w:hAnsi="Arial" w:cs="Arial"/>
                <w:i/>
                <w:iCs/>
                <w:color w:val="333333"/>
                <w:sz w:val="16"/>
                <w:szCs w:val="16"/>
              </w:rPr>
              <w:t> </w:t>
            </w:r>
          </w:p>
        </w:tc>
        <w:tc>
          <w:tcPr>
            <w:tcW w:w="0" w:type="auto"/>
            <w:shd w:val="clear" w:color="auto" w:fill="auto"/>
          </w:tcPr>
          <w:p w14:paraId="4ACE5B0D"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6"/>
                <w:szCs w:val="16"/>
              </w:rPr>
              <w:t>The majority of these instruments mature within 12 months.</w:t>
            </w:r>
          </w:p>
        </w:tc>
      </w:tr>
    </w:tbl>
    <w:p w14:paraId="4ACE5B0F"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5B11" w14:textId="77777777">
        <w:tc>
          <w:tcPr>
            <w:tcW w:w="0" w:type="auto"/>
            <w:gridSpan w:val="3"/>
            <w:shd w:val="clear" w:color="auto" w:fill="auto"/>
            <w:vAlign w:val="center"/>
          </w:tcPr>
          <w:p w14:paraId="4ACE5B10" w14:textId="77777777" w:rsidR="006F587A" w:rsidRDefault="006F587A">
            <w:pPr>
              <w:rPr>
                <w:rFonts w:ascii="Times New Roman" w:hAnsi="Times New Roman"/>
                <w:sz w:val="20"/>
                <w:szCs w:val="20"/>
              </w:rPr>
            </w:pPr>
          </w:p>
        </w:tc>
      </w:tr>
      <w:tr w:rsidR="006F587A" w14:paraId="4ACE5B15" w14:textId="77777777">
        <w:tc>
          <w:tcPr>
            <w:tcW w:w="1300" w:type="pct"/>
            <w:shd w:val="clear" w:color="auto" w:fill="auto"/>
            <w:vAlign w:val="center"/>
          </w:tcPr>
          <w:p w14:paraId="4ACE5B12" w14:textId="77777777" w:rsidR="006F587A" w:rsidRDefault="006F587A">
            <w:pPr>
              <w:rPr>
                <w:rFonts w:ascii="Times New Roman" w:hAnsi="Times New Roman"/>
                <w:sz w:val="20"/>
                <w:szCs w:val="20"/>
              </w:rPr>
            </w:pPr>
          </w:p>
        </w:tc>
        <w:tc>
          <w:tcPr>
            <w:tcW w:w="1600" w:type="pct"/>
            <w:shd w:val="clear" w:color="auto" w:fill="auto"/>
            <w:vAlign w:val="center"/>
          </w:tcPr>
          <w:p w14:paraId="4ACE5B13" w14:textId="77777777" w:rsidR="006F587A" w:rsidRDefault="006F587A">
            <w:pPr>
              <w:rPr>
                <w:rFonts w:ascii="Times New Roman" w:hAnsi="Times New Roman"/>
                <w:sz w:val="20"/>
                <w:szCs w:val="20"/>
              </w:rPr>
            </w:pPr>
          </w:p>
        </w:tc>
        <w:tc>
          <w:tcPr>
            <w:tcW w:w="2100" w:type="pct"/>
            <w:shd w:val="clear" w:color="auto" w:fill="auto"/>
            <w:vAlign w:val="center"/>
          </w:tcPr>
          <w:p w14:paraId="4ACE5B14" w14:textId="77777777" w:rsidR="006F587A" w:rsidRDefault="006F587A">
            <w:pPr>
              <w:rPr>
                <w:rFonts w:ascii="Times New Roman" w:hAnsi="Times New Roman"/>
                <w:sz w:val="20"/>
                <w:szCs w:val="20"/>
              </w:rPr>
            </w:pPr>
          </w:p>
        </w:tc>
      </w:tr>
      <w:tr w:rsidR="006F587A" w14:paraId="4ACE5B19" w14:textId="77777777">
        <w:tc>
          <w:tcPr>
            <w:tcW w:w="0" w:type="auto"/>
            <w:tcBorders>
              <w:top w:val="single" w:sz="8" w:space="0" w:color="0071C5"/>
            </w:tcBorders>
            <w:shd w:val="clear" w:color="auto" w:fill="auto"/>
            <w:tcMar>
              <w:top w:w="40" w:type="dxa"/>
              <w:left w:w="40" w:type="dxa"/>
              <w:bottom w:w="40" w:type="dxa"/>
              <w:right w:w="40" w:type="dxa"/>
            </w:tcMar>
            <w:vAlign w:val="bottom"/>
          </w:tcPr>
          <w:p w14:paraId="4ACE5B16" w14:textId="77777777" w:rsidR="006F587A" w:rsidRDefault="007B2B61">
            <w:pPr>
              <w:textAlignment w:val="bottom"/>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E11" wp14:editId="4ACE6E12">
                  <wp:extent cx="304800" cy="304800"/>
                  <wp:effectExtent l="0" t="0" r="0" b="0"/>
                  <wp:docPr id="213" name="图片 336"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336"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left w:val="single" w:sz="36" w:space="0" w:color="0071C5"/>
            </w:tcBorders>
            <w:shd w:val="clear" w:color="auto" w:fill="auto"/>
            <w:tcMar>
              <w:top w:w="40" w:type="dxa"/>
              <w:left w:w="40" w:type="dxa"/>
              <w:bottom w:w="40" w:type="dxa"/>
              <w:right w:w="40" w:type="dxa"/>
            </w:tcMar>
            <w:vAlign w:val="bottom"/>
          </w:tcPr>
          <w:p w14:paraId="4ACE5B17" w14:textId="77777777" w:rsidR="006F587A" w:rsidRDefault="007B2B61">
            <w:pPr>
              <w:textAlignment w:val="bottom"/>
              <w:rPr>
                <w:rFonts w:ascii="Times New Roman" w:hAnsi="Times New Roman"/>
                <w:sz w:val="16"/>
                <w:szCs w:val="16"/>
              </w:rPr>
            </w:pPr>
            <w:r>
              <w:rPr>
                <w:rFonts w:ascii="Arial" w:eastAsia="宋体" w:hAnsi="Arial" w:cs="Arial"/>
                <w:color w:val="333333"/>
                <w:sz w:val="16"/>
                <w:szCs w:val="16"/>
              </w:rPr>
              <w:t> Notes to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5B18"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99</w:t>
            </w:r>
          </w:p>
        </w:tc>
      </w:tr>
    </w:tbl>
    <w:p w14:paraId="4ACE5B1A" w14:textId="77777777" w:rsidR="006F587A" w:rsidRDefault="007B2B61">
      <w:r>
        <w:pict w14:anchorId="4ACE6E13">
          <v:rect id="_x0000_i1125" style="width:415.3pt;height:1.5pt" o:hralign="center" o:hrstd="t" o:hr="t" fillcolor="#a0a0a0" stroked="f"/>
        </w:pict>
      </w:r>
    </w:p>
    <w:p w14:paraId="4ACE5B1B" w14:textId="77777777" w:rsidR="006F587A" w:rsidRDefault="007B2B61">
      <w:pPr>
        <w:spacing w:line="288" w:lineRule="auto"/>
        <w:jc w:val="right"/>
        <w:rPr>
          <w:rFonts w:ascii="Times New Roman" w:hAnsi="Times New Roman"/>
          <w:sz w:val="16"/>
          <w:szCs w:val="16"/>
        </w:rPr>
      </w:pPr>
      <w:hyperlink r:id="rId164" w:anchor="s9DB683E2CF52561EB8A73BE37F5BF9BE" w:history="1">
        <w:r>
          <w:rPr>
            <w:rStyle w:val="a5"/>
            <w:rFonts w:ascii="Arial" w:eastAsia="宋体" w:hAnsi="Arial" w:cs="Arial"/>
            <w:b/>
            <w:bCs/>
            <w:sz w:val="16"/>
            <w:szCs w:val="16"/>
          </w:rPr>
          <w:t>Table of Contents</w:t>
        </w:r>
      </w:hyperlink>
    </w:p>
    <w:p w14:paraId="4ACE5B1C" w14:textId="77777777" w:rsidR="006F587A" w:rsidRDefault="006F587A">
      <w:pPr>
        <w:spacing w:line="288" w:lineRule="auto"/>
        <w:jc w:val="right"/>
        <w:rPr>
          <w:rFonts w:ascii="Times New Roman" w:hAnsi="Times New Roman"/>
          <w:sz w:val="16"/>
          <w:szCs w:val="16"/>
        </w:rPr>
      </w:pPr>
    </w:p>
    <w:p w14:paraId="4ACE5B1D" w14:textId="77777777" w:rsidR="006F587A" w:rsidRDefault="006F587A">
      <w:pPr>
        <w:rPr>
          <w:rFonts w:ascii="Times New Roman" w:hAnsi="Times New Roman"/>
          <w:sz w:val="20"/>
          <w:szCs w:val="20"/>
        </w:rPr>
      </w:pPr>
    </w:p>
    <w:p w14:paraId="4ACE5B1E" w14:textId="77777777" w:rsidR="006F587A" w:rsidRDefault="007B2B61">
      <w:pPr>
        <w:spacing w:line="288" w:lineRule="auto"/>
        <w:rPr>
          <w:rFonts w:ascii="Times New Roman" w:hAnsi="Times New Roman"/>
        </w:rPr>
      </w:pPr>
      <w:r>
        <w:rPr>
          <w:rFonts w:ascii="Arial" w:eastAsia="宋体" w:hAnsi="Arial" w:cs="Arial"/>
          <w:b/>
          <w:bCs/>
          <w:color w:val="0071C5"/>
        </w:rPr>
        <w:t>AMOUNTS OFFSET IN THE CONSOLIDATED BALANCE SHEETS</w:t>
      </w:r>
    </w:p>
    <w:p w14:paraId="4ACE5B1F"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The gross amounts of our </w:t>
      </w:r>
      <w:r>
        <w:rPr>
          <w:rFonts w:ascii="Arial" w:eastAsia="宋体" w:hAnsi="Arial" w:cs="Arial"/>
          <w:color w:val="333333"/>
          <w:sz w:val="18"/>
          <w:szCs w:val="18"/>
        </w:rPr>
        <w:t>derivative instruments and reverse repurchase agreements subject to master netting arrangements with various counterparties, and cash and non-cash collateral posted under such agreements at the end of each period were as follows:</w:t>
      </w:r>
    </w:p>
    <w:tbl>
      <w:tblPr>
        <w:tblW w:w="5000" w:type="pct"/>
        <w:tblCellMar>
          <w:left w:w="0" w:type="dxa"/>
          <w:right w:w="0" w:type="dxa"/>
        </w:tblCellMar>
        <w:tblLook w:val="04A0" w:firstRow="1" w:lastRow="0" w:firstColumn="1" w:lastColumn="0" w:noHBand="0" w:noVBand="1"/>
      </w:tblPr>
      <w:tblGrid>
        <w:gridCol w:w="1477"/>
        <w:gridCol w:w="130"/>
        <w:gridCol w:w="142"/>
        <w:gridCol w:w="892"/>
        <w:gridCol w:w="99"/>
        <w:gridCol w:w="130"/>
        <w:gridCol w:w="142"/>
        <w:gridCol w:w="703"/>
        <w:gridCol w:w="78"/>
        <w:gridCol w:w="130"/>
        <w:gridCol w:w="142"/>
        <w:gridCol w:w="778"/>
        <w:gridCol w:w="86"/>
        <w:gridCol w:w="130"/>
        <w:gridCol w:w="141"/>
        <w:gridCol w:w="909"/>
        <w:gridCol w:w="101"/>
        <w:gridCol w:w="130"/>
        <w:gridCol w:w="142"/>
        <w:gridCol w:w="761"/>
        <w:gridCol w:w="101"/>
        <w:gridCol w:w="130"/>
        <w:gridCol w:w="142"/>
        <w:gridCol w:w="621"/>
        <w:gridCol w:w="69"/>
      </w:tblGrid>
      <w:tr w:rsidR="006F587A" w14:paraId="4ACE5B21" w14:textId="77777777">
        <w:tc>
          <w:tcPr>
            <w:tcW w:w="0" w:type="auto"/>
            <w:gridSpan w:val="25"/>
            <w:shd w:val="clear" w:color="auto" w:fill="auto"/>
            <w:vAlign w:val="center"/>
          </w:tcPr>
          <w:p w14:paraId="4ACE5B20" w14:textId="77777777" w:rsidR="006F587A" w:rsidRDefault="006F587A">
            <w:pPr>
              <w:rPr>
                <w:rFonts w:ascii="Times New Roman" w:hAnsi="Times New Roman"/>
                <w:sz w:val="20"/>
                <w:szCs w:val="20"/>
              </w:rPr>
            </w:pPr>
          </w:p>
        </w:tc>
      </w:tr>
      <w:tr w:rsidR="006F587A" w14:paraId="4ACE5B3B" w14:textId="77777777">
        <w:tc>
          <w:tcPr>
            <w:tcW w:w="1400" w:type="pct"/>
            <w:shd w:val="clear" w:color="auto" w:fill="auto"/>
            <w:vAlign w:val="center"/>
          </w:tcPr>
          <w:p w14:paraId="4ACE5B22" w14:textId="77777777" w:rsidR="006F587A" w:rsidRDefault="006F587A">
            <w:pPr>
              <w:rPr>
                <w:rFonts w:ascii="Times New Roman" w:hAnsi="Times New Roman"/>
                <w:sz w:val="20"/>
                <w:szCs w:val="20"/>
              </w:rPr>
            </w:pPr>
          </w:p>
        </w:tc>
        <w:tc>
          <w:tcPr>
            <w:tcW w:w="50" w:type="pct"/>
            <w:shd w:val="clear" w:color="auto" w:fill="auto"/>
            <w:vAlign w:val="center"/>
          </w:tcPr>
          <w:p w14:paraId="4ACE5B23" w14:textId="77777777" w:rsidR="006F587A" w:rsidRDefault="006F587A">
            <w:pPr>
              <w:rPr>
                <w:rFonts w:ascii="Times New Roman" w:hAnsi="Times New Roman"/>
                <w:sz w:val="20"/>
                <w:szCs w:val="20"/>
              </w:rPr>
            </w:pPr>
          </w:p>
        </w:tc>
        <w:tc>
          <w:tcPr>
            <w:tcW w:w="50" w:type="pct"/>
            <w:shd w:val="clear" w:color="auto" w:fill="auto"/>
            <w:vAlign w:val="center"/>
          </w:tcPr>
          <w:p w14:paraId="4ACE5B24" w14:textId="77777777" w:rsidR="006F587A" w:rsidRDefault="006F587A">
            <w:pPr>
              <w:rPr>
                <w:rFonts w:ascii="Times New Roman" w:hAnsi="Times New Roman"/>
                <w:sz w:val="20"/>
                <w:szCs w:val="20"/>
              </w:rPr>
            </w:pPr>
          </w:p>
        </w:tc>
        <w:tc>
          <w:tcPr>
            <w:tcW w:w="450" w:type="pct"/>
            <w:shd w:val="clear" w:color="auto" w:fill="auto"/>
            <w:vAlign w:val="center"/>
          </w:tcPr>
          <w:p w14:paraId="4ACE5B25" w14:textId="77777777" w:rsidR="006F587A" w:rsidRDefault="006F587A">
            <w:pPr>
              <w:rPr>
                <w:rFonts w:ascii="Times New Roman" w:hAnsi="Times New Roman"/>
                <w:sz w:val="20"/>
                <w:szCs w:val="20"/>
              </w:rPr>
            </w:pPr>
          </w:p>
        </w:tc>
        <w:tc>
          <w:tcPr>
            <w:tcW w:w="50" w:type="pct"/>
            <w:shd w:val="clear" w:color="auto" w:fill="auto"/>
            <w:vAlign w:val="center"/>
          </w:tcPr>
          <w:p w14:paraId="4ACE5B26" w14:textId="77777777" w:rsidR="006F587A" w:rsidRDefault="006F587A">
            <w:pPr>
              <w:rPr>
                <w:rFonts w:ascii="Times New Roman" w:hAnsi="Times New Roman"/>
                <w:sz w:val="20"/>
                <w:szCs w:val="20"/>
              </w:rPr>
            </w:pPr>
          </w:p>
        </w:tc>
        <w:tc>
          <w:tcPr>
            <w:tcW w:w="50" w:type="pct"/>
            <w:shd w:val="clear" w:color="auto" w:fill="auto"/>
            <w:vAlign w:val="center"/>
          </w:tcPr>
          <w:p w14:paraId="4ACE5B27" w14:textId="77777777" w:rsidR="006F587A" w:rsidRDefault="006F587A">
            <w:pPr>
              <w:rPr>
                <w:rFonts w:ascii="Times New Roman" w:hAnsi="Times New Roman"/>
                <w:sz w:val="20"/>
                <w:szCs w:val="20"/>
              </w:rPr>
            </w:pPr>
          </w:p>
        </w:tc>
        <w:tc>
          <w:tcPr>
            <w:tcW w:w="50" w:type="pct"/>
            <w:shd w:val="clear" w:color="auto" w:fill="auto"/>
            <w:vAlign w:val="center"/>
          </w:tcPr>
          <w:p w14:paraId="4ACE5B28" w14:textId="77777777" w:rsidR="006F587A" w:rsidRDefault="006F587A">
            <w:pPr>
              <w:rPr>
                <w:rFonts w:ascii="Times New Roman" w:hAnsi="Times New Roman"/>
                <w:sz w:val="20"/>
                <w:szCs w:val="20"/>
              </w:rPr>
            </w:pPr>
          </w:p>
        </w:tc>
        <w:tc>
          <w:tcPr>
            <w:tcW w:w="450" w:type="pct"/>
            <w:shd w:val="clear" w:color="auto" w:fill="auto"/>
            <w:vAlign w:val="center"/>
          </w:tcPr>
          <w:p w14:paraId="4ACE5B29" w14:textId="77777777" w:rsidR="006F587A" w:rsidRDefault="006F587A">
            <w:pPr>
              <w:rPr>
                <w:rFonts w:ascii="Times New Roman" w:hAnsi="Times New Roman"/>
                <w:sz w:val="20"/>
                <w:szCs w:val="20"/>
              </w:rPr>
            </w:pPr>
          </w:p>
        </w:tc>
        <w:tc>
          <w:tcPr>
            <w:tcW w:w="50" w:type="pct"/>
            <w:shd w:val="clear" w:color="auto" w:fill="auto"/>
            <w:vAlign w:val="center"/>
          </w:tcPr>
          <w:p w14:paraId="4ACE5B2A" w14:textId="77777777" w:rsidR="006F587A" w:rsidRDefault="006F587A">
            <w:pPr>
              <w:rPr>
                <w:rFonts w:ascii="Times New Roman" w:hAnsi="Times New Roman"/>
                <w:sz w:val="20"/>
                <w:szCs w:val="20"/>
              </w:rPr>
            </w:pPr>
          </w:p>
        </w:tc>
        <w:tc>
          <w:tcPr>
            <w:tcW w:w="50" w:type="pct"/>
            <w:shd w:val="clear" w:color="auto" w:fill="auto"/>
            <w:vAlign w:val="center"/>
          </w:tcPr>
          <w:p w14:paraId="4ACE5B2B" w14:textId="77777777" w:rsidR="006F587A" w:rsidRDefault="006F587A">
            <w:pPr>
              <w:rPr>
                <w:rFonts w:ascii="Times New Roman" w:hAnsi="Times New Roman"/>
                <w:sz w:val="20"/>
                <w:szCs w:val="20"/>
              </w:rPr>
            </w:pPr>
          </w:p>
        </w:tc>
        <w:tc>
          <w:tcPr>
            <w:tcW w:w="50" w:type="pct"/>
            <w:shd w:val="clear" w:color="auto" w:fill="auto"/>
            <w:vAlign w:val="center"/>
          </w:tcPr>
          <w:p w14:paraId="4ACE5B2C" w14:textId="77777777" w:rsidR="006F587A" w:rsidRDefault="006F587A">
            <w:pPr>
              <w:rPr>
                <w:rFonts w:ascii="Times New Roman" w:hAnsi="Times New Roman"/>
                <w:sz w:val="20"/>
                <w:szCs w:val="20"/>
              </w:rPr>
            </w:pPr>
          </w:p>
        </w:tc>
        <w:tc>
          <w:tcPr>
            <w:tcW w:w="450" w:type="pct"/>
            <w:shd w:val="clear" w:color="auto" w:fill="auto"/>
            <w:vAlign w:val="center"/>
          </w:tcPr>
          <w:p w14:paraId="4ACE5B2D" w14:textId="77777777" w:rsidR="006F587A" w:rsidRDefault="006F587A">
            <w:pPr>
              <w:rPr>
                <w:rFonts w:ascii="Times New Roman" w:hAnsi="Times New Roman"/>
                <w:sz w:val="20"/>
                <w:szCs w:val="20"/>
              </w:rPr>
            </w:pPr>
          </w:p>
        </w:tc>
        <w:tc>
          <w:tcPr>
            <w:tcW w:w="50" w:type="pct"/>
            <w:shd w:val="clear" w:color="auto" w:fill="auto"/>
            <w:vAlign w:val="center"/>
          </w:tcPr>
          <w:p w14:paraId="4ACE5B2E" w14:textId="77777777" w:rsidR="006F587A" w:rsidRDefault="006F587A">
            <w:pPr>
              <w:rPr>
                <w:rFonts w:ascii="Times New Roman" w:hAnsi="Times New Roman"/>
                <w:sz w:val="20"/>
                <w:szCs w:val="20"/>
              </w:rPr>
            </w:pPr>
          </w:p>
        </w:tc>
        <w:tc>
          <w:tcPr>
            <w:tcW w:w="50" w:type="pct"/>
            <w:shd w:val="clear" w:color="auto" w:fill="auto"/>
            <w:vAlign w:val="center"/>
          </w:tcPr>
          <w:p w14:paraId="4ACE5B2F" w14:textId="77777777" w:rsidR="006F587A" w:rsidRDefault="006F587A">
            <w:pPr>
              <w:rPr>
                <w:rFonts w:ascii="Times New Roman" w:hAnsi="Times New Roman"/>
                <w:sz w:val="20"/>
                <w:szCs w:val="20"/>
              </w:rPr>
            </w:pPr>
          </w:p>
        </w:tc>
        <w:tc>
          <w:tcPr>
            <w:tcW w:w="50" w:type="pct"/>
            <w:shd w:val="clear" w:color="auto" w:fill="auto"/>
            <w:vAlign w:val="center"/>
          </w:tcPr>
          <w:p w14:paraId="4ACE5B30" w14:textId="77777777" w:rsidR="006F587A" w:rsidRDefault="006F587A">
            <w:pPr>
              <w:rPr>
                <w:rFonts w:ascii="Times New Roman" w:hAnsi="Times New Roman"/>
                <w:sz w:val="20"/>
                <w:szCs w:val="20"/>
              </w:rPr>
            </w:pPr>
          </w:p>
        </w:tc>
        <w:tc>
          <w:tcPr>
            <w:tcW w:w="450" w:type="pct"/>
            <w:shd w:val="clear" w:color="auto" w:fill="auto"/>
            <w:vAlign w:val="center"/>
          </w:tcPr>
          <w:p w14:paraId="4ACE5B31" w14:textId="77777777" w:rsidR="006F587A" w:rsidRDefault="006F587A">
            <w:pPr>
              <w:rPr>
                <w:rFonts w:ascii="Times New Roman" w:hAnsi="Times New Roman"/>
                <w:sz w:val="20"/>
                <w:szCs w:val="20"/>
              </w:rPr>
            </w:pPr>
          </w:p>
        </w:tc>
        <w:tc>
          <w:tcPr>
            <w:tcW w:w="50" w:type="pct"/>
            <w:shd w:val="clear" w:color="auto" w:fill="auto"/>
            <w:vAlign w:val="center"/>
          </w:tcPr>
          <w:p w14:paraId="4ACE5B32" w14:textId="77777777" w:rsidR="006F587A" w:rsidRDefault="006F587A">
            <w:pPr>
              <w:rPr>
                <w:rFonts w:ascii="Times New Roman" w:hAnsi="Times New Roman"/>
                <w:sz w:val="20"/>
                <w:szCs w:val="20"/>
              </w:rPr>
            </w:pPr>
          </w:p>
        </w:tc>
        <w:tc>
          <w:tcPr>
            <w:tcW w:w="50" w:type="pct"/>
            <w:shd w:val="clear" w:color="auto" w:fill="auto"/>
            <w:vAlign w:val="center"/>
          </w:tcPr>
          <w:p w14:paraId="4ACE5B33" w14:textId="77777777" w:rsidR="006F587A" w:rsidRDefault="006F587A">
            <w:pPr>
              <w:rPr>
                <w:rFonts w:ascii="Times New Roman" w:hAnsi="Times New Roman"/>
                <w:sz w:val="20"/>
                <w:szCs w:val="20"/>
              </w:rPr>
            </w:pPr>
          </w:p>
        </w:tc>
        <w:tc>
          <w:tcPr>
            <w:tcW w:w="50" w:type="pct"/>
            <w:shd w:val="clear" w:color="auto" w:fill="auto"/>
            <w:vAlign w:val="center"/>
          </w:tcPr>
          <w:p w14:paraId="4ACE5B34" w14:textId="77777777" w:rsidR="006F587A" w:rsidRDefault="006F587A">
            <w:pPr>
              <w:rPr>
                <w:rFonts w:ascii="Times New Roman" w:hAnsi="Times New Roman"/>
                <w:sz w:val="20"/>
                <w:szCs w:val="20"/>
              </w:rPr>
            </w:pPr>
          </w:p>
        </w:tc>
        <w:tc>
          <w:tcPr>
            <w:tcW w:w="450" w:type="pct"/>
            <w:shd w:val="clear" w:color="auto" w:fill="auto"/>
            <w:vAlign w:val="center"/>
          </w:tcPr>
          <w:p w14:paraId="4ACE5B35" w14:textId="77777777" w:rsidR="006F587A" w:rsidRDefault="006F587A">
            <w:pPr>
              <w:rPr>
                <w:rFonts w:ascii="Times New Roman" w:hAnsi="Times New Roman"/>
                <w:sz w:val="20"/>
                <w:szCs w:val="20"/>
              </w:rPr>
            </w:pPr>
          </w:p>
        </w:tc>
        <w:tc>
          <w:tcPr>
            <w:tcW w:w="50" w:type="pct"/>
            <w:shd w:val="clear" w:color="auto" w:fill="auto"/>
            <w:vAlign w:val="center"/>
          </w:tcPr>
          <w:p w14:paraId="4ACE5B36" w14:textId="77777777" w:rsidR="006F587A" w:rsidRDefault="006F587A">
            <w:pPr>
              <w:rPr>
                <w:rFonts w:ascii="Times New Roman" w:hAnsi="Times New Roman"/>
                <w:sz w:val="20"/>
                <w:szCs w:val="20"/>
              </w:rPr>
            </w:pPr>
          </w:p>
        </w:tc>
        <w:tc>
          <w:tcPr>
            <w:tcW w:w="50" w:type="pct"/>
            <w:shd w:val="clear" w:color="auto" w:fill="auto"/>
            <w:vAlign w:val="center"/>
          </w:tcPr>
          <w:p w14:paraId="4ACE5B37" w14:textId="77777777" w:rsidR="006F587A" w:rsidRDefault="006F587A">
            <w:pPr>
              <w:rPr>
                <w:rFonts w:ascii="Times New Roman" w:hAnsi="Times New Roman"/>
                <w:sz w:val="20"/>
                <w:szCs w:val="20"/>
              </w:rPr>
            </w:pPr>
          </w:p>
        </w:tc>
        <w:tc>
          <w:tcPr>
            <w:tcW w:w="50" w:type="pct"/>
            <w:shd w:val="clear" w:color="auto" w:fill="auto"/>
            <w:vAlign w:val="center"/>
          </w:tcPr>
          <w:p w14:paraId="4ACE5B38" w14:textId="77777777" w:rsidR="006F587A" w:rsidRDefault="006F587A">
            <w:pPr>
              <w:rPr>
                <w:rFonts w:ascii="Times New Roman" w:hAnsi="Times New Roman"/>
                <w:sz w:val="20"/>
                <w:szCs w:val="20"/>
              </w:rPr>
            </w:pPr>
          </w:p>
        </w:tc>
        <w:tc>
          <w:tcPr>
            <w:tcW w:w="450" w:type="pct"/>
            <w:shd w:val="clear" w:color="auto" w:fill="auto"/>
            <w:vAlign w:val="center"/>
          </w:tcPr>
          <w:p w14:paraId="4ACE5B39" w14:textId="77777777" w:rsidR="006F587A" w:rsidRDefault="006F587A">
            <w:pPr>
              <w:rPr>
                <w:rFonts w:ascii="Times New Roman" w:hAnsi="Times New Roman"/>
                <w:sz w:val="20"/>
                <w:szCs w:val="20"/>
              </w:rPr>
            </w:pPr>
          </w:p>
        </w:tc>
        <w:tc>
          <w:tcPr>
            <w:tcW w:w="50" w:type="pct"/>
            <w:shd w:val="clear" w:color="auto" w:fill="auto"/>
            <w:vAlign w:val="center"/>
          </w:tcPr>
          <w:p w14:paraId="4ACE5B3A" w14:textId="77777777" w:rsidR="006F587A" w:rsidRDefault="006F587A">
            <w:pPr>
              <w:rPr>
                <w:rFonts w:ascii="Times New Roman" w:hAnsi="Times New Roman"/>
                <w:sz w:val="20"/>
                <w:szCs w:val="20"/>
              </w:rPr>
            </w:pPr>
          </w:p>
        </w:tc>
      </w:tr>
      <w:tr w:rsidR="006F587A" w14:paraId="4ACE5B3F" w14:textId="77777777">
        <w:tc>
          <w:tcPr>
            <w:tcW w:w="0" w:type="auto"/>
            <w:shd w:val="clear" w:color="auto" w:fill="auto"/>
            <w:tcMar>
              <w:top w:w="40" w:type="dxa"/>
              <w:left w:w="40" w:type="dxa"/>
              <w:bottom w:w="40" w:type="dxa"/>
              <w:right w:w="40" w:type="dxa"/>
            </w:tcMar>
            <w:vAlign w:val="bottom"/>
          </w:tcPr>
          <w:p w14:paraId="4ACE5B3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B3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3"/>
            <w:tcBorders>
              <w:bottom w:val="single" w:sz="8" w:space="0" w:color="0071C5"/>
            </w:tcBorders>
            <w:shd w:val="clear" w:color="auto" w:fill="auto"/>
            <w:tcMar>
              <w:top w:w="40" w:type="dxa"/>
              <w:left w:w="40" w:type="dxa"/>
              <w:bottom w:w="40" w:type="dxa"/>
            </w:tcMar>
            <w:vAlign w:val="bottom"/>
          </w:tcPr>
          <w:p w14:paraId="4ACE5B3E"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December 28, 2019</w:t>
            </w:r>
          </w:p>
        </w:tc>
      </w:tr>
      <w:tr w:rsidR="006F587A" w14:paraId="4ACE5B4B" w14:textId="77777777">
        <w:tc>
          <w:tcPr>
            <w:tcW w:w="0" w:type="auto"/>
            <w:shd w:val="clear" w:color="auto" w:fill="auto"/>
            <w:tcMar>
              <w:top w:w="40" w:type="dxa"/>
              <w:left w:w="40" w:type="dxa"/>
              <w:bottom w:w="40" w:type="dxa"/>
              <w:right w:w="40" w:type="dxa"/>
            </w:tcMar>
            <w:vAlign w:val="bottom"/>
          </w:tcPr>
          <w:p w14:paraId="4ACE5B4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B4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B4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B4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B4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B4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B4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B4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71C5"/>
            </w:tcBorders>
            <w:shd w:val="clear" w:color="auto" w:fill="auto"/>
            <w:tcMar>
              <w:top w:w="40" w:type="dxa"/>
              <w:left w:w="40" w:type="dxa"/>
              <w:bottom w:w="40" w:type="dxa"/>
            </w:tcMar>
            <w:vAlign w:val="bottom"/>
          </w:tcPr>
          <w:p w14:paraId="4ACE5B48"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Gross Amounts Not Offset in the Balance Sheet</w:t>
            </w:r>
          </w:p>
        </w:tc>
        <w:tc>
          <w:tcPr>
            <w:tcW w:w="0" w:type="auto"/>
            <w:shd w:val="clear" w:color="auto" w:fill="auto"/>
            <w:tcMar>
              <w:top w:w="40" w:type="dxa"/>
              <w:left w:w="40" w:type="dxa"/>
              <w:bottom w:w="40" w:type="dxa"/>
              <w:right w:w="40" w:type="dxa"/>
            </w:tcMar>
            <w:vAlign w:val="bottom"/>
          </w:tcPr>
          <w:p w14:paraId="4ACE5B4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B4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5B59"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5B4C"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4ACE5B4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B4E"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Gross Amounts Recognized</w:t>
            </w:r>
          </w:p>
        </w:tc>
        <w:tc>
          <w:tcPr>
            <w:tcW w:w="0" w:type="auto"/>
            <w:shd w:val="clear" w:color="auto" w:fill="auto"/>
            <w:tcMar>
              <w:top w:w="40" w:type="dxa"/>
              <w:left w:w="40" w:type="dxa"/>
              <w:bottom w:w="40" w:type="dxa"/>
              <w:right w:w="40" w:type="dxa"/>
            </w:tcMar>
            <w:vAlign w:val="bottom"/>
          </w:tcPr>
          <w:p w14:paraId="4ACE5B4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B50"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Gross Amounts Offset in the Balance Sheet</w:t>
            </w:r>
          </w:p>
        </w:tc>
        <w:tc>
          <w:tcPr>
            <w:tcW w:w="0" w:type="auto"/>
            <w:shd w:val="clear" w:color="auto" w:fill="auto"/>
            <w:tcMar>
              <w:top w:w="40" w:type="dxa"/>
              <w:left w:w="40" w:type="dxa"/>
              <w:bottom w:w="40" w:type="dxa"/>
              <w:right w:w="40" w:type="dxa"/>
            </w:tcMar>
            <w:vAlign w:val="bottom"/>
          </w:tcPr>
          <w:p w14:paraId="4ACE5B5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B52"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Net Amounts Presented in the Balance </w:t>
            </w:r>
            <w:r>
              <w:rPr>
                <w:rFonts w:ascii="Arial" w:eastAsia="宋体" w:hAnsi="Arial" w:cs="Arial"/>
                <w:b/>
                <w:bCs/>
                <w:color w:val="333333"/>
                <w:sz w:val="18"/>
                <w:szCs w:val="18"/>
              </w:rPr>
              <w:t>Sheet</w:t>
            </w:r>
          </w:p>
        </w:tc>
        <w:tc>
          <w:tcPr>
            <w:tcW w:w="0" w:type="auto"/>
            <w:shd w:val="clear" w:color="auto" w:fill="auto"/>
            <w:tcMar>
              <w:top w:w="40" w:type="dxa"/>
              <w:left w:w="40" w:type="dxa"/>
              <w:bottom w:w="40" w:type="dxa"/>
              <w:right w:w="40" w:type="dxa"/>
            </w:tcMar>
            <w:vAlign w:val="bottom"/>
          </w:tcPr>
          <w:p w14:paraId="4ACE5B5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B54"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Financial Instruments</w:t>
            </w:r>
          </w:p>
        </w:tc>
        <w:tc>
          <w:tcPr>
            <w:tcW w:w="0" w:type="auto"/>
            <w:shd w:val="clear" w:color="auto" w:fill="auto"/>
            <w:tcMar>
              <w:top w:w="40" w:type="dxa"/>
              <w:left w:w="40" w:type="dxa"/>
              <w:bottom w:w="40" w:type="dxa"/>
              <w:right w:w="40" w:type="dxa"/>
            </w:tcMar>
            <w:vAlign w:val="bottom"/>
          </w:tcPr>
          <w:p w14:paraId="4ACE5B5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B56"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Cash and Non-Cash Collateral Received or Pledged</w:t>
            </w:r>
          </w:p>
        </w:tc>
        <w:tc>
          <w:tcPr>
            <w:tcW w:w="0" w:type="auto"/>
            <w:shd w:val="clear" w:color="auto" w:fill="auto"/>
            <w:tcMar>
              <w:top w:w="40" w:type="dxa"/>
              <w:left w:w="40" w:type="dxa"/>
              <w:bottom w:w="40" w:type="dxa"/>
              <w:right w:w="40" w:type="dxa"/>
            </w:tcMar>
            <w:vAlign w:val="bottom"/>
          </w:tcPr>
          <w:p w14:paraId="4ACE5B5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B58"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Net Amount</w:t>
            </w:r>
          </w:p>
        </w:tc>
      </w:tr>
      <w:tr w:rsidR="006F587A" w14:paraId="4ACE5B67" w14:textId="77777777">
        <w:tc>
          <w:tcPr>
            <w:tcW w:w="0" w:type="auto"/>
            <w:shd w:val="clear" w:color="auto" w:fill="auto"/>
            <w:tcMar>
              <w:top w:w="40" w:type="dxa"/>
              <w:left w:w="40" w:type="dxa"/>
              <w:bottom w:w="40" w:type="dxa"/>
              <w:right w:w="40" w:type="dxa"/>
            </w:tcMar>
            <w:vAlign w:val="bottom"/>
          </w:tcPr>
          <w:p w14:paraId="4ACE5B5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Assets:</w:t>
            </w:r>
          </w:p>
        </w:tc>
        <w:tc>
          <w:tcPr>
            <w:tcW w:w="0" w:type="auto"/>
            <w:shd w:val="clear" w:color="auto" w:fill="auto"/>
            <w:tcMar>
              <w:top w:w="40" w:type="dxa"/>
              <w:left w:w="40" w:type="dxa"/>
              <w:bottom w:w="40" w:type="dxa"/>
              <w:right w:w="40" w:type="dxa"/>
            </w:tcMar>
            <w:vAlign w:val="bottom"/>
          </w:tcPr>
          <w:p w14:paraId="4ACE5B5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B5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B5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B5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B5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B6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B6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B6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B6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B6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B6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B6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5B81" w14:textId="77777777">
        <w:tc>
          <w:tcPr>
            <w:tcW w:w="0" w:type="auto"/>
            <w:shd w:val="clear" w:color="auto" w:fill="auto"/>
            <w:tcMar>
              <w:top w:w="40" w:type="dxa"/>
              <w:left w:w="240" w:type="dxa"/>
              <w:bottom w:w="40" w:type="dxa"/>
              <w:right w:w="40" w:type="dxa"/>
            </w:tcMar>
            <w:vAlign w:val="bottom"/>
          </w:tcPr>
          <w:p w14:paraId="4ACE5B68"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Derivative assets subject to master netting arrangements</w:t>
            </w:r>
          </w:p>
        </w:tc>
        <w:tc>
          <w:tcPr>
            <w:tcW w:w="0" w:type="auto"/>
            <w:shd w:val="clear" w:color="auto" w:fill="auto"/>
            <w:tcMar>
              <w:top w:w="40" w:type="dxa"/>
              <w:left w:w="40" w:type="dxa"/>
              <w:bottom w:w="40" w:type="dxa"/>
              <w:right w:w="40" w:type="dxa"/>
            </w:tcMar>
            <w:vAlign w:val="bottom"/>
          </w:tcPr>
          <w:p w14:paraId="4ACE5B6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B6A"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5B6B"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974</w:t>
            </w:r>
          </w:p>
        </w:tc>
        <w:tc>
          <w:tcPr>
            <w:tcW w:w="0" w:type="auto"/>
            <w:shd w:val="clear" w:color="auto" w:fill="auto"/>
            <w:vAlign w:val="bottom"/>
          </w:tcPr>
          <w:p w14:paraId="4ACE5B6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B6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B6E"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5B6F"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5B7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B7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B72"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5B7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974</w:t>
            </w:r>
          </w:p>
        </w:tc>
        <w:tc>
          <w:tcPr>
            <w:tcW w:w="0" w:type="auto"/>
            <w:shd w:val="clear" w:color="auto" w:fill="auto"/>
            <w:vAlign w:val="bottom"/>
          </w:tcPr>
          <w:p w14:paraId="4ACE5B7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B7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B76"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5B77"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(144</w:t>
            </w:r>
          </w:p>
        </w:tc>
        <w:tc>
          <w:tcPr>
            <w:tcW w:w="0" w:type="auto"/>
            <w:shd w:val="clear" w:color="auto" w:fill="auto"/>
            <w:tcMar>
              <w:top w:w="40" w:type="dxa"/>
              <w:bottom w:w="40" w:type="dxa"/>
              <w:right w:w="40" w:type="dxa"/>
            </w:tcMar>
            <w:vAlign w:val="bottom"/>
          </w:tcPr>
          <w:p w14:paraId="4ACE5B78"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5B7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B7A"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5B7B"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(808</w:t>
            </w:r>
          </w:p>
        </w:tc>
        <w:tc>
          <w:tcPr>
            <w:tcW w:w="0" w:type="auto"/>
            <w:shd w:val="clear" w:color="auto" w:fill="auto"/>
            <w:tcMar>
              <w:top w:w="40" w:type="dxa"/>
              <w:bottom w:w="40" w:type="dxa"/>
              <w:right w:w="40" w:type="dxa"/>
            </w:tcMar>
            <w:vAlign w:val="bottom"/>
          </w:tcPr>
          <w:p w14:paraId="4ACE5B7C"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5B7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B7E"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5B7F"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22</w:t>
            </w:r>
          </w:p>
        </w:tc>
        <w:tc>
          <w:tcPr>
            <w:tcW w:w="0" w:type="auto"/>
            <w:shd w:val="clear" w:color="auto" w:fill="auto"/>
            <w:vAlign w:val="bottom"/>
          </w:tcPr>
          <w:p w14:paraId="4ACE5B80" w14:textId="77777777" w:rsidR="006F587A" w:rsidRDefault="006F587A">
            <w:pPr>
              <w:textAlignment w:val="bottom"/>
              <w:rPr>
                <w:rFonts w:ascii="Times New Roman" w:hAnsi="Times New Roman"/>
                <w:sz w:val="20"/>
                <w:szCs w:val="20"/>
              </w:rPr>
            </w:pPr>
          </w:p>
        </w:tc>
      </w:tr>
      <w:tr w:rsidR="006F587A" w14:paraId="4ACE5B95" w14:textId="77777777">
        <w:tc>
          <w:tcPr>
            <w:tcW w:w="0" w:type="auto"/>
            <w:shd w:val="clear" w:color="auto" w:fill="auto"/>
            <w:tcMar>
              <w:top w:w="40" w:type="dxa"/>
              <w:left w:w="240" w:type="dxa"/>
              <w:bottom w:w="40" w:type="dxa"/>
              <w:right w:w="40" w:type="dxa"/>
            </w:tcMar>
            <w:vAlign w:val="bottom"/>
          </w:tcPr>
          <w:p w14:paraId="4ACE5B82"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lastRenderedPageBreak/>
              <w:t>Reverse repurchase agreements</w:t>
            </w:r>
          </w:p>
        </w:tc>
        <w:tc>
          <w:tcPr>
            <w:tcW w:w="0" w:type="auto"/>
            <w:shd w:val="clear" w:color="auto" w:fill="auto"/>
            <w:tcMar>
              <w:top w:w="40" w:type="dxa"/>
              <w:left w:w="40" w:type="dxa"/>
              <w:bottom w:w="40" w:type="dxa"/>
              <w:right w:w="40" w:type="dxa"/>
            </w:tcMar>
            <w:vAlign w:val="bottom"/>
          </w:tcPr>
          <w:p w14:paraId="4ACE5B8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B84"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1,850</w:t>
            </w:r>
          </w:p>
        </w:tc>
        <w:tc>
          <w:tcPr>
            <w:tcW w:w="0" w:type="auto"/>
            <w:tcBorders>
              <w:bottom w:val="single" w:sz="8" w:space="0" w:color="333333"/>
            </w:tcBorders>
            <w:shd w:val="clear" w:color="auto" w:fill="auto"/>
            <w:vAlign w:val="bottom"/>
          </w:tcPr>
          <w:p w14:paraId="4ACE5B8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B8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B87"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tcBorders>
              <w:bottom w:val="single" w:sz="8" w:space="0" w:color="333333"/>
            </w:tcBorders>
            <w:shd w:val="clear" w:color="auto" w:fill="auto"/>
            <w:vAlign w:val="bottom"/>
          </w:tcPr>
          <w:p w14:paraId="4ACE5B8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B8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B8A"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1,850</w:t>
            </w:r>
          </w:p>
        </w:tc>
        <w:tc>
          <w:tcPr>
            <w:tcW w:w="0" w:type="auto"/>
            <w:tcBorders>
              <w:bottom w:val="single" w:sz="8" w:space="0" w:color="333333"/>
            </w:tcBorders>
            <w:shd w:val="clear" w:color="auto" w:fill="auto"/>
            <w:vAlign w:val="bottom"/>
          </w:tcPr>
          <w:p w14:paraId="4ACE5B8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B8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B8D"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tcBorders>
              <w:bottom w:val="single" w:sz="8" w:space="0" w:color="333333"/>
            </w:tcBorders>
            <w:shd w:val="clear" w:color="auto" w:fill="auto"/>
            <w:vAlign w:val="bottom"/>
          </w:tcPr>
          <w:p w14:paraId="4ACE5B8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B8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B90"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(1,850</w:t>
            </w:r>
          </w:p>
        </w:tc>
        <w:tc>
          <w:tcPr>
            <w:tcW w:w="0" w:type="auto"/>
            <w:tcBorders>
              <w:bottom w:val="single" w:sz="8" w:space="0" w:color="333333"/>
            </w:tcBorders>
            <w:shd w:val="clear" w:color="auto" w:fill="auto"/>
            <w:tcMar>
              <w:top w:w="40" w:type="dxa"/>
              <w:bottom w:w="40" w:type="dxa"/>
              <w:right w:w="40" w:type="dxa"/>
            </w:tcMar>
            <w:vAlign w:val="bottom"/>
          </w:tcPr>
          <w:p w14:paraId="4ACE5B91"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5B9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B9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tcBorders>
              <w:bottom w:val="single" w:sz="8" w:space="0" w:color="333333"/>
            </w:tcBorders>
            <w:shd w:val="clear" w:color="auto" w:fill="auto"/>
            <w:vAlign w:val="bottom"/>
          </w:tcPr>
          <w:p w14:paraId="4ACE5B94" w14:textId="77777777" w:rsidR="006F587A" w:rsidRDefault="006F587A">
            <w:pPr>
              <w:textAlignment w:val="bottom"/>
              <w:rPr>
                <w:rFonts w:ascii="Times New Roman" w:hAnsi="Times New Roman"/>
                <w:sz w:val="20"/>
                <w:szCs w:val="20"/>
              </w:rPr>
            </w:pPr>
          </w:p>
        </w:tc>
      </w:tr>
      <w:tr w:rsidR="006F587A" w14:paraId="4ACE5BA9" w14:textId="77777777">
        <w:tc>
          <w:tcPr>
            <w:tcW w:w="0" w:type="auto"/>
            <w:shd w:val="clear" w:color="auto" w:fill="auto"/>
            <w:tcMar>
              <w:top w:w="40" w:type="dxa"/>
              <w:left w:w="40" w:type="dxa"/>
              <w:bottom w:w="40" w:type="dxa"/>
              <w:right w:w="40" w:type="dxa"/>
            </w:tcMar>
            <w:vAlign w:val="bottom"/>
          </w:tcPr>
          <w:p w14:paraId="4ACE5B96"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Total assets</w:t>
            </w:r>
          </w:p>
        </w:tc>
        <w:tc>
          <w:tcPr>
            <w:tcW w:w="0" w:type="auto"/>
            <w:shd w:val="clear" w:color="auto" w:fill="auto"/>
            <w:tcMar>
              <w:top w:w="40" w:type="dxa"/>
              <w:left w:w="40" w:type="dxa"/>
              <w:bottom w:w="40" w:type="dxa"/>
              <w:right w:w="40" w:type="dxa"/>
            </w:tcMar>
            <w:vAlign w:val="bottom"/>
          </w:tcPr>
          <w:p w14:paraId="4ACE5B9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333333"/>
            </w:tcBorders>
            <w:shd w:val="clear" w:color="auto" w:fill="auto"/>
            <w:tcMar>
              <w:top w:w="40" w:type="dxa"/>
              <w:left w:w="40" w:type="dxa"/>
              <w:bottom w:w="40" w:type="dxa"/>
            </w:tcMar>
            <w:vAlign w:val="bottom"/>
          </w:tcPr>
          <w:p w14:paraId="4ACE5B98"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2,824</w:t>
            </w:r>
          </w:p>
        </w:tc>
        <w:tc>
          <w:tcPr>
            <w:tcW w:w="0" w:type="auto"/>
            <w:tcBorders>
              <w:bottom w:val="double" w:sz="6" w:space="0" w:color="333333"/>
            </w:tcBorders>
            <w:shd w:val="clear" w:color="auto" w:fill="auto"/>
            <w:vAlign w:val="bottom"/>
          </w:tcPr>
          <w:p w14:paraId="4ACE5B9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B9A" w14:textId="77777777" w:rsidR="006F587A" w:rsidRDefault="006F587A">
            <w:pPr>
              <w:jc w:val="right"/>
              <w:textAlignment w:val="bottom"/>
              <w:rPr>
                <w:rFonts w:ascii="Times New Roman" w:hAnsi="Times New Roman"/>
                <w:sz w:val="18"/>
                <w:szCs w:val="18"/>
              </w:rPr>
            </w:pPr>
          </w:p>
        </w:tc>
        <w:tc>
          <w:tcPr>
            <w:tcW w:w="0" w:type="auto"/>
            <w:gridSpan w:val="2"/>
            <w:tcBorders>
              <w:bottom w:val="double" w:sz="6" w:space="0" w:color="333333"/>
            </w:tcBorders>
            <w:shd w:val="clear" w:color="auto" w:fill="auto"/>
            <w:tcMar>
              <w:top w:w="40" w:type="dxa"/>
              <w:left w:w="40" w:type="dxa"/>
              <w:bottom w:w="40" w:type="dxa"/>
            </w:tcMar>
            <w:vAlign w:val="bottom"/>
          </w:tcPr>
          <w:p w14:paraId="4ACE5B9B"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bottom w:val="double" w:sz="6" w:space="0" w:color="333333"/>
            </w:tcBorders>
            <w:shd w:val="clear" w:color="auto" w:fill="auto"/>
            <w:vAlign w:val="bottom"/>
          </w:tcPr>
          <w:p w14:paraId="4ACE5B9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B9D" w14:textId="77777777" w:rsidR="006F587A" w:rsidRDefault="006F587A">
            <w:pPr>
              <w:jc w:val="right"/>
              <w:textAlignment w:val="bottom"/>
              <w:rPr>
                <w:rFonts w:ascii="Times New Roman" w:hAnsi="Times New Roman"/>
                <w:sz w:val="18"/>
                <w:szCs w:val="18"/>
              </w:rPr>
            </w:pPr>
          </w:p>
        </w:tc>
        <w:tc>
          <w:tcPr>
            <w:tcW w:w="0" w:type="auto"/>
            <w:gridSpan w:val="2"/>
            <w:tcBorders>
              <w:bottom w:val="double" w:sz="6" w:space="0" w:color="333333"/>
            </w:tcBorders>
            <w:shd w:val="clear" w:color="auto" w:fill="auto"/>
            <w:tcMar>
              <w:top w:w="40" w:type="dxa"/>
              <w:left w:w="40" w:type="dxa"/>
              <w:bottom w:w="40" w:type="dxa"/>
            </w:tcMar>
            <w:vAlign w:val="bottom"/>
          </w:tcPr>
          <w:p w14:paraId="4ACE5B9E"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2,824</w:t>
            </w:r>
          </w:p>
        </w:tc>
        <w:tc>
          <w:tcPr>
            <w:tcW w:w="0" w:type="auto"/>
            <w:tcBorders>
              <w:bottom w:val="double" w:sz="6" w:space="0" w:color="333333"/>
            </w:tcBorders>
            <w:shd w:val="clear" w:color="auto" w:fill="auto"/>
            <w:vAlign w:val="bottom"/>
          </w:tcPr>
          <w:p w14:paraId="4ACE5B9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BA0" w14:textId="77777777" w:rsidR="006F587A" w:rsidRDefault="006F587A">
            <w:pPr>
              <w:jc w:val="right"/>
              <w:textAlignment w:val="bottom"/>
              <w:rPr>
                <w:rFonts w:ascii="Times New Roman" w:hAnsi="Times New Roman"/>
                <w:sz w:val="18"/>
                <w:szCs w:val="18"/>
              </w:rPr>
            </w:pPr>
          </w:p>
        </w:tc>
        <w:tc>
          <w:tcPr>
            <w:tcW w:w="0" w:type="auto"/>
            <w:gridSpan w:val="2"/>
            <w:tcBorders>
              <w:bottom w:val="double" w:sz="6" w:space="0" w:color="333333"/>
            </w:tcBorders>
            <w:shd w:val="clear" w:color="auto" w:fill="auto"/>
            <w:tcMar>
              <w:top w:w="40" w:type="dxa"/>
              <w:left w:w="40" w:type="dxa"/>
              <w:bottom w:w="40" w:type="dxa"/>
            </w:tcMar>
            <w:vAlign w:val="bottom"/>
          </w:tcPr>
          <w:p w14:paraId="4ACE5BA1"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(144</w:t>
            </w:r>
          </w:p>
        </w:tc>
        <w:tc>
          <w:tcPr>
            <w:tcW w:w="0" w:type="auto"/>
            <w:tcBorders>
              <w:bottom w:val="double" w:sz="6" w:space="0" w:color="333333"/>
            </w:tcBorders>
            <w:shd w:val="clear" w:color="auto" w:fill="auto"/>
            <w:tcMar>
              <w:top w:w="40" w:type="dxa"/>
              <w:bottom w:w="40" w:type="dxa"/>
              <w:right w:w="40" w:type="dxa"/>
            </w:tcMar>
            <w:vAlign w:val="bottom"/>
          </w:tcPr>
          <w:p w14:paraId="4ACE5BA2"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left w:w="40" w:type="dxa"/>
              <w:bottom w:w="40" w:type="dxa"/>
              <w:right w:w="40" w:type="dxa"/>
            </w:tcMar>
            <w:vAlign w:val="bottom"/>
          </w:tcPr>
          <w:p w14:paraId="4ACE5BA3" w14:textId="77777777" w:rsidR="006F587A" w:rsidRDefault="006F587A">
            <w:pPr>
              <w:jc w:val="right"/>
              <w:textAlignment w:val="bottom"/>
              <w:rPr>
                <w:rFonts w:ascii="Times New Roman" w:hAnsi="Times New Roman"/>
                <w:sz w:val="18"/>
                <w:szCs w:val="18"/>
              </w:rPr>
            </w:pPr>
          </w:p>
        </w:tc>
        <w:tc>
          <w:tcPr>
            <w:tcW w:w="0" w:type="auto"/>
            <w:gridSpan w:val="2"/>
            <w:tcBorders>
              <w:bottom w:val="double" w:sz="6" w:space="0" w:color="333333"/>
            </w:tcBorders>
            <w:shd w:val="clear" w:color="auto" w:fill="auto"/>
            <w:tcMar>
              <w:top w:w="40" w:type="dxa"/>
              <w:left w:w="40" w:type="dxa"/>
              <w:bottom w:w="40" w:type="dxa"/>
            </w:tcMar>
            <w:vAlign w:val="bottom"/>
          </w:tcPr>
          <w:p w14:paraId="4ACE5BA4"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(2,658</w:t>
            </w:r>
          </w:p>
        </w:tc>
        <w:tc>
          <w:tcPr>
            <w:tcW w:w="0" w:type="auto"/>
            <w:tcBorders>
              <w:bottom w:val="double" w:sz="6" w:space="0" w:color="333333"/>
            </w:tcBorders>
            <w:shd w:val="clear" w:color="auto" w:fill="auto"/>
            <w:tcMar>
              <w:top w:w="40" w:type="dxa"/>
              <w:bottom w:w="40" w:type="dxa"/>
              <w:right w:w="40" w:type="dxa"/>
            </w:tcMar>
            <w:vAlign w:val="bottom"/>
          </w:tcPr>
          <w:p w14:paraId="4ACE5BA5"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left w:w="40" w:type="dxa"/>
              <w:bottom w:w="40" w:type="dxa"/>
              <w:right w:w="40" w:type="dxa"/>
            </w:tcMar>
            <w:vAlign w:val="bottom"/>
          </w:tcPr>
          <w:p w14:paraId="4ACE5BA6" w14:textId="77777777" w:rsidR="006F587A" w:rsidRDefault="006F587A">
            <w:pPr>
              <w:jc w:val="right"/>
              <w:textAlignment w:val="bottom"/>
              <w:rPr>
                <w:rFonts w:ascii="Times New Roman" w:hAnsi="Times New Roman"/>
                <w:sz w:val="18"/>
                <w:szCs w:val="18"/>
              </w:rPr>
            </w:pPr>
          </w:p>
        </w:tc>
        <w:tc>
          <w:tcPr>
            <w:tcW w:w="0" w:type="auto"/>
            <w:gridSpan w:val="2"/>
            <w:tcBorders>
              <w:bottom w:val="double" w:sz="6" w:space="0" w:color="333333"/>
            </w:tcBorders>
            <w:shd w:val="clear" w:color="auto" w:fill="auto"/>
            <w:tcMar>
              <w:top w:w="40" w:type="dxa"/>
              <w:left w:w="40" w:type="dxa"/>
              <w:bottom w:w="40" w:type="dxa"/>
            </w:tcMar>
            <w:vAlign w:val="bottom"/>
          </w:tcPr>
          <w:p w14:paraId="4ACE5BA7"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22</w:t>
            </w:r>
          </w:p>
        </w:tc>
        <w:tc>
          <w:tcPr>
            <w:tcW w:w="0" w:type="auto"/>
            <w:tcBorders>
              <w:bottom w:val="double" w:sz="6" w:space="0" w:color="333333"/>
            </w:tcBorders>
            <w:shd w:val="clear" w:color="auto" w:fill="auto"/>
            <w:vAlign w:val="bottom"/>
          </w:tcPr>
          <w:p w14:paraId="4ACE5BA8" w14:textId="77777777" w:rsidR="006F587A" w:rsidRDefault="006F587A">
            <w:pPr>
              <w:textAlignment w:val="bottom"/>
              <w:rPr>
                <w:rFonts w:ascii="Times New Roman" w:hAnsi="Times New Roman"/>
                <w:sz w:val="20"/>
                <w:szCs w:val="20"/>
              </w:rPr>
            </w:pPr>
          </w:p>
        </w:tc>
      </w:tr>
      <w:tr w:rsidR="006F587A" w14:paraId="4ACE5BB7" w14:textId="77777777">
        <w:tc>
          <w:tcPr>
            <w:tcW w:w="0" w:type="auto"/>
            <w:shd w:val="clear" w:color="auto" w:fill="auto"/>
            <w:tcMar>
              <w:top w:w="40" w:type="dxa"/>
              <w:left w:w="40" w:type="dxa"/>
              <w:bottom w:w="40" w:type="dxa"/>
              <w:right w:w="40" w:type="dxa"/>
            </w:tcMar>
            <w:vAlign w:val="bottom"/>
          </w:tcPr>
          <w:p w14:paraId="4ACE5BA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Liabilities:</w:t>
            </w:r>
          </w:p>
        </w:tc>
        <w:tc>
          <w:tcPr>
            <w:tcW w:w="0" w:type="auto"/>
            <w:shd w:val="clear" w:color="auto" w:fill="auto"/>
            <w:tcMar>
              <w:top w:w="40" w:type="dxa"/>
              <w:left w:w="40" w:type="dxa"/>
              <w:bottom w:w="40" w:type="dxa"/>
              <w:right w:w="40" w:type="dxa"/>
            </w:tcMar>
            <w:vAlign w:val="bottom"/>
          </w:tcPr>
          <w:p w14:paraId="4ACE5BA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BA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BA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BA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BA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BB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BB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BB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BB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BB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BB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BB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5BCB" w14:textId="77777777">
        <w:tc>
          <w:tcPr>
            <w:tcW w:w="0" w:type="auto"/>
            <w:shd w:val="clear" w:color="auto" w:fill="auto"/>
            <w:tcMar>
              <w:top w:w="40" w:type="dxa"/>
              <w:left w:w="240" w:type="dxa"/>
              <w:bottom w:w="40" w:type="dxa"/>
              <w:right w:w="40" w:type="dxa"/>
            </w:tcMar>
            <w:vAlign w:val="bottom"/>
          </w:tcPr>
          <w:p w14:paraId="4ACE5BB8"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Derivative liabilities subject to master netting arrangements</w:t>
            </w:r>
          </w:p>
        </w:tc>
        <w:tc>
          <w:tcPr>
            <w:tcW w:w="0" w:type="auto"/>
            <w:shd w:val="clear" w:color="auto" w:fill="auto"/>
            <w:tcMar>
              <w:top w:w="40" w:type="dxa"/>
              <w:left w:w="40" w:type="dxa"/>
              <w:bottom w:w="40" w:type="dxa"/>
              <w:right w:w="40" w:type="dxa"/>
            </w:tcMar>
            <w:vAlign w:val="bottom"/>
          </w:tcPr>
          <w:p w14:paraId="4ACE5BB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BBA"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262</w:t>
            </w:r>
          </w:p>
        </w:tc>
        <w:tc>
          <w:tcPr>
            <w:tcW w:w="0" w:type="auto"/>
            <w:tcBorders>
              <w:bottom w:val="single" w:sz="8" w:space="0" w:color="333333"/>
            </w:tcBorders>
            <w:shd w:val="clear" w:color="auto" w:fill="auto"/>
            <w:vAlign w:val="bottom"/>
          </w:tcPr>
          <w:p w14:paraId="4ACE5BB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BB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BBD"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tcBorders>
              <w:bottom w:val="single" w:sz="8" w:space="0" w:color="333333"/>
            </w:tcBorders>
            <w:shd w:val="clear" w:color="auto" w:fill="auto"/>
            <w:vAlign w:val="bottom"/>
          </w:tcPr>
          <w:p w14:paraId="4ACE5BB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BB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BC0"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262</w:t>
            </w:r>
          </w:p>
        </w:tc>
        <w:tc>
          <w:tcPr>
            <w:tcW w:w="0" w:type="auto"/>
            <w:tcBorders>
              <w:bottom w:val="single" w:sz="8" w:space="0" w:color="333333"/>
            </w:tcBorders>
            <w:shd w:val="clear" w:color="auto" w:fill="auto"/>
            <w:vAlign w:val="bottom"/>
          </w:tcPr>
          <w:p w14:paraId="4ACE5BC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BC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BC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(144</w:t>
            </w:r>
          </w:p>
        </w:tc>
        <w:tc>
          <w:tcPr>
            <w:tcW w:w="0" w:type="auto"/>
            <w:tcBorders>
              <w:bottom w:val="single" w:sz="8" w:space="0" w:color="333333"/>
            </w:tcBorders>
            <w:shd w:val="clear" w:color="auto" w:fill="auto"/>
            <w:tcMar>
              <w:top w:w="40" w:type="dxa"/>
              <w:bottom w:w="40" w:type="dxa"/>
              <w:right w:w="40" w:type="dxa"/>
            </w:tcMar>
            <w:vAlign w:val="bottom"/>
          </w:tcPr>
          <w:p w14:paraId="4ACE5BC4"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5BC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BC6"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(72</w:t>
            </w:r>
          </w:p>
        </w:tc>
        <w:tc>
          <w:tcPr>
            <w:tcW w:w="0" w:type="auto"/>
            <w:tcBorders>
              <w:bottom w:val="single" w:sz="8" w:space="0" w:color="333333"/>
            </w:tcBorders>
            <w:shd w:val="clear" w:color="auto" w:fill="auto"/>
            <w:tcMar>
              <w:top w:w="40" w:type="dxa"/>
              <w:bottom w:w="40" w:type="dxa"/>
              <w:right w:w="40" w:type="dxa"/>
            </w:tcMar>
            <w:vAlign w:val="bottom"/>
          </w:tcPr>
          <w:p w14:paraId="4ACE5BC7"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5BC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BC9"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46</w:t>
            </w:r>
          </w:p>
        </w:tc>
        <w:tc>
          <w:tcPr>
            <w:tcW w:w="0" w:type="auto"/>
            <w:tcBorders>
              <w:bottom w:val="single" w:sz="8" w:space="0" w:color="333333"/>
            </w:tcBorders>
            <w:shd w:val="clear" w:color="auto" w:fill="auto"/>
            <w:vAlign w:val="bottom"/>
          </w:tcPr>
          <w:p w14:paraId="4ACE5BCA" w14:textId="77777777" w:rsidR="006F587A" w:rsidRDefault="006F587A">
            <w:pPr>
              <w:textAlignment w:val="bottom"/>
              <w:rPr>
                <w:rFonts w:ascii="Times New Roman" w:hAnsi="Times New Roman"/>
                <w:sz w:val="20"/>
                <w:szCs w:val="20"/>
              </w:rPr>
            </w:pPr>
          </w:p>
        </w:tc>
      </w:tr>
      <w:tr w:rsidR="006F587A" w14:paraId="4ACE5BE5" w14:textId="77777777">
        <w:tc>
          <w:tcPr>
            <w:tcW w:w="0" w:type="auto"/>
            <w:shd w:val="clear" w:color="auto" w:fill="auto"/>
            <w:tcMar>
              <w:top w:w="40" w:type="dxa"/>
              <w:left w:w="40" w:type="dxa"/>
              <w:bottom w:w="40" w:type="dxa"/>
              <w:right w:w="40" w:type="dxa"/>
            </w:tcMar>
            <w:vAlign w:val="bottom"/>
          </w:tcPr>
          <w:p w14:paraId="4ACE5BCC"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Total liabilities</w:t>
            </w:r>
          </w:p>
        </w:tc>
        <w:tc>
          <w:tcPr>
            <w:tcW w:w="0" w:type="auto"/>
            <w:shd w:val="clear" w:color="auto" w:fill="auto"/>
            <w:tcMar>
              <w:top w:w="40" w:type="dxa"/>
              <w:left w:w="40" w:type="dxa"/>
              <w:bottom w:w="40" w:type="dxa"/>
              <w:right w:w="40" w:type="dxa"/>
            </w:tcMar>
            <w:vAlign w:val="bottom"/>
          </w:tcPr>
          <w:p w14:paraId="4ACE5BC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BCE"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BCF"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262</w:t>
            </w:r>
          </w:p>
        </w:tc>
        <w:tc>
          <w:tcPr>
            <w:tcW w:w="0" w:type="auto"/>
            <w:tcBorders>
              <w:top w:val="single" w:sz="8" w:space="0" w:color="333333"/>
              <w:bottom w:val="double" w:sz="6" w:space="0" w:color="333333"/>
            </w:tcBorders>
            <w:shd w:val="clear" w:color="auto" w:fill="auto"/>
            <w:vAlign w:val="bottom"/>
          </w:tcPr>
          <w:p w14:paraId="4ACE5BD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BD1" w14:textId="77777777" w:rsidR="006F587A" w:rsidRDefault="006F587A">
            <w:pPr>
              <w:jc w:val="right"/>
              <w:textAlignment w:val="bottom"/>
              <w:rPr>
                <w:rFonts w:ascii="Times New Roman" w:hAnsi="Times New Roman"/>
                <w:sz w:val="18"/>
                <w:szCs w:val="18"/>
              </w:rPr>
            </w:pP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BD2"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BD3"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vAlign w:val="bottom"/>
          </w:tcPr>
          <w:p w14:paraId="4ACE5BD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BD5" w14:textId="77777777" w:rsidR="006F587A" w:rsidRDefault="006F587A">
            <w:pPr>
              <w:jc w:val="right"/>
              <w:textAlignment w:val="bottom"/>
              <w:rPr>
                <w:rFonts w:ascii="Times New Roman" w:hAnsi="Times New Roman"/>
                <w:sz w:val="18"/>
                <w:szCs w:val="18"/>
              </w:rPr>
            </w:pP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BD6"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BD7"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262</w:t>
            </w:r>
          </w:p>
        </w:tc>
        <w:tc>
          <w:tcPr>
            <w:tcW w:w="0" w:type="auto"/>
            <w:tcBorders>
              <w:top w:val="single" w:sz="8" w:space="0" w:color="333333"/>
              <w:bottom w:val="double" w:sz="6" w:space="0" w:color="333333"/>
            </w:tcBorders>
            <w:shd w:val="clear" w:color="auto" w:fill="auto"/>
            <w:vAlign w:val="bottom"/>
          </w:tcPr>
          <w:p w14:paraId="4ACE5BD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BD9" w14:textId="77777777" w:rsidR="006F587A" w:rsidRDefault="006F587A">
            <w:pPr>
              <w:jc w:val="right"/>
              <w:textAlignment w:val="bottom"/>
              <w:rPr>
                <w:rFonts w:ascii="Times New Roman" w:hAnsi="Times New Roman"/>
                <w:sz w:val="18"/>
                <w:szCs w:val="18"/>
              </w:rPr>
            </w:pP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BDA"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BDB"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(144</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4ACE5BDC"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left w:w="40" w:type="dxa"/>
              <w:bottom w:w="40" w:type="dxa"/>
              <w:right w:w="40" w:type="dxa"/>
            </w:tcMar>
            <w:vAlign w:val="bottom"/>
          </w:tcPr>
          <w:p w14:paraId="4ACE5BDD" w14:textId="77777777" w:rsidR="006F587A" w:rsidRDefault="006F587A">
            <w:pPr>
              <w:jc w:val="right"/>
              <w:textAlignment w:val="bottom"/>
              <w:rPr>
                <w:rFonts w:ascii="Times New Roman" w:hAnsi="Times New Roman"/>
                <w:sz w:val="18"/>
                <w:szCs w:val="18"/>
              </w:rPr>
            </w:pP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BDE"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BDF"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(72</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4ACE5BE0"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left w:w="40" w:type="dxa"/>
              <w:bottom w:w="40" w:type="dxa"/>
              <w:right w:w="40" w:type="dxa"/>
            </w:tcMar>
            <w:vAlign w:val="bottom"/>
          </w:tcPr>
          <w:p w14:paraId="4ACE5BE1" w14:textId="77777777" w:rsidR="006F587A" w:rsidRDefault="006F587A">
            <w:pPr>
              <w:jc w:val="right"/>
              <w:textAlignment w:val="bottom"/>
              <w:rPr>
                <w:rFonts w:ascii="Times New Roman" w:hAnsi="Times New Roman"/>
                <w:sz w:val="18"/>
                <w:szCs w:val="18"/>
              </w:rPr>
            </w:pP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BE2"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BE3"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46</w:t>
            </w:r>
          </w:p>
        </w:tc>
        <w:tc>
          <w:tcPr>
            <w:tcW w:w="0" w:type="auto"/>
            <w:tcBorders>
              <w:top w:val="single" w:sz="8" w:space="0" w:color="333333"/>
              <w:bottom w:val="double" w:sz="6" w:space="0" w:color="333333"/>
            </w:tcBorders>
            <w:shd w:val="clear" w:color="auto" w:fill="auto"/>
            <w:vAlign w:val="bottom"/>
          </w:tcPr>
          <w:p w14:paraId="4ACE5BE4" w14:textId="77777777" w:rsidR="006F587A" w:rsidRDefault="006F587A">
            <w:pPr>
              <w:textAlignment w:val="bottom"/>
              <w:rPr>
                <w:rFonts w:ascii="Times New Roman" w:hAnsi="Times New Roman"/>
                <w:sz w:val="20"/>
                <w:szCs w:val="20"/>
              </w:rPr>
            </w:pPr>
          </w:p>
        </w:tc>
      </w:tr>
    </w:tbl>
    <w:p w14:paraId="4ACE5BE6" w14:textId="77777777" w:rsidR="006F587A" w:rsidRDefault="006F587A">
      <w:pPr>
        <w:rPr>
          <w:vanish/>
        </w:rPr>
      </w:pPr>
    </w:p>
    <w:tbl>
      <w:tblPr>
        <w:tblW w:w="5000" w:type="pct"/>
        <w:tblCellMar>
          <w:left w:w="0" w:type="dxa"/>
          <w:right w:w="0" w:type="dxa"/>
        </w:tblCellMar>
        <w:tblLook w:val="04A0" w:firstRow="1" w:lastRow="0" w:firstColumn="1" w:lastColumn="0" w:noHBand="0" w:noVBand="1"/>
      </w:tblPr>
      <w:tblGrid>
        <w:gridCol w:w="1477"/>
        <w:gridCol w:w="130"/>
        <w:gridCol w:w="142"/>
        <w:gridCol w:w="892"/>
        <w:gridCol w:w="99"/>
        <w:gridCol w:w="130"/>
        <w:gridCol w:w="142"/>
        <w:gridCol w:w="703"/>
        <w:gridCol w:w="78"/>
        <w:gridCol w:w="130"/>
        <w:gridCol w:w="142"/>
        <w:gridCol w:w="778"/>
        <w:gridCol w:w="86"/>
        <w:gridCol w:w="130"/>
        <w:gridCol w:w="141"/>
        <w:gridCol w:w="909"/>
        <w:gridCol w:w="101"/>
        <w:gridCol w:w="130"/>
        <w:gridCol w:w="142"/>
        <w:gridCol w:w="761"/>
        <w:gridCol w:w="101"/>
        <w:gridCol w:w="130"/>
        <w:gridCol w:w="142"/>
        <w:gridCol w:w="621"/>
        <w:gridCol w:w="69"/>
      </w:tblGrid>
      <w:tr w:rsidR="006F587A" w14:paraId="4ACE5BE8" w14:textId="77777777">
        <w:tc>
          <w:tcPr>
            <w:tcW w:w="0" w:type="auto"/>
            <w:gridSpan w:val="25"/>
            <w:shd w:val="clear" w:color="auto" w:fill="auto"/>
            <w:vAlign w:val="center"/>
          </w:tcPr>
          <w:p w14:paraId="4ACE5BE7" w14:textId="77777777" w:rsidR="006F587A" w:rsidRDefault="006F587A">
            <w:pPr>
              <w:rPr>
                <w:rFonts w:ascii="Times New Roman" w:hAnsi="Times New Roman"/>
                <w:sz w:val="20"/>
                <w:szCs w:val="20"/>
              </w:rPr>
            </w:pPr>
          </w:p>
        </w:tc>
      </w:tr>
      <w:tr w:rsidR="006F587A" w14:paraId="4ACE5C02" w14:textId="77777777">
        <w:tc>
          <w:tcPr>
            <w:tcW w:w="1400" w:type="pct"/>
            <w:shd w:val="clear" w:color="auto" w:fill="auto"/>
            <w:vAlign w:val="center"/>
          </w:tcPr>
          <w:p w14:paraId="4ACE5BE9" w14:textId="77777777" w:rsidR="006F587A" w:rsidRDefault="006F587A">
            <w:pPr>
              <w:rPr>
                <w:rFonts w:ascii="Times New Roman" w:hAnsi="Times New Roman"/>
                <w:sz w:val="20"/>
                <w:szCs w:val="20"/>
              </w:rPr>
            </w:pPr>
          </w:p>
        </w:tc>
        <w:tc>
          <w:tcPr>
            <w:tcW w:w="50" w:type="pct"/>
            <w:shd w:val="clear" w:color="auto" w:fill="auto"/>
            <w:vAlign w:val="center"/>
          </w:tcPr>
          <w:p w14:paraId="4ACE5BEA" w14:textId="77777777" w:rsidR="006F587A" w:rsidRDefault="006F587A">
            <w:pPr>
              <w:rPr>
                <w:rFonts w:ascii="Times New Roman" w:hAnsi="Times New Roman"/>
                <w:sz w:val="20"/>
                <w:szCs w:val="20"/>
              </w:rPr>
            </w:pPr>
          </w:p>
        </w:tc>
        <w:tc>
          <w:tcPr>
            <w:tcW w:w="50" w:type="pct"/>
            <w:shd w:val="clear" w:color="auto" w:fill="auto"/>
            <w:vAlign w:val="center"/>
          </w:tcPr>
          <w:p w14:paraId="4ACE5BEB" w14:textId="77777777" w:rsidR="006F587A" w:rsidRDefault="006F587A">
            <w:pPr>
              <w:rPr>
                <w:rFonts w:ascii="Times New Roman" w:hAnsi="Times New Roman"/>
                <w:sz w:val="20"/>
                <w:szCs w:val="20"/>
              </w:rPr>
            </w:pPr>
          </w:p>
        </w:tc>
        <w:tc>
          <w:tcPr>
            <w:tcW w:w="450" w:type="pct"/>
            <w:shd w:val="clear" w:color="auto" w:fill="auto"/>
            <w:vAlign w:val="center"/>
          </w:tcPr>
          <w:p w14:paraId="4ACE5BEC" w14:textId="77777777" w:rsidR="006F587A" w:rsidRDefault="006F587A">
            <w:pPr>
              <w:rPr>
                <w:rFonts w:ascii="Times New Roman" w:hAnsi="Times New Roman"/>
                <w:sz w:val="20"/>
                <w:szCs w:val="20"/>
              </w:rPr>
            </w:pPr>
          </w:p>
        </w:tc>
        <w:tc>
          <w:tcPr>
            <w:tcW w:w="50" w:type="pct"/>
            <w:shd w:val="clear" w:color="auto" w:fill="auto"/>
            <w:vAlign w:val="center"/>
          </w:tcPr>
          <w:p w14:paraId="4ACE5BED" w14:textId="77777777" w:rsidR="006F587A" w:rsidRDefault="006F587A">
            <w:pPr>
              <w:rPr>
                <w:rFonts w:ascii="Times New Roman" w:hAnsi="Times New Roman"/>
                <w:sz w:val="20"/>
                <w:szCs w:val="20"/>
              </w:rPr>
            </w:pPr>
          </w:p>
        </w:tc>
        <w:tc>
          <w:tcPr>
            <w:tcW w:w="50" w:type="pct"/>
            <w:shd w:val="clear" w:color="auto" w:fill="auto"/>
            <w:vAlign w:val="center"/>
          </w:tcPr>
          <w:p w14:paraId="4ACE5BEE" w14:textId="77777777" w:rsidR="006F587A" w:rsidRDefault="006F587A">
            <w:pPr>
              <w:rPr>
                <w:rFonts w:ascii="Times New Roman" w:hAnsi="Times New Roman"/>
                <w:sz w:val="20"/>
                <w:szCs w:val="20"/>
              </w:rPr>
            </w:pPr>
          </w:p>
        </w:tc>
        <w:tc>
          <w:tcPr>
            <w:tcW w:w="50" w:type="pct"/>
            <w:shd w:val="clear" w:color="auto" w:fill="auto"/>
            <w:vAlign w:val="center"/>
          </w:tcPr>
          <w:p w14:paraId="4ACE5BEF" w14:textId="77777777" w:rsidR="006F587A" w:rsidRDefault="006F587A">
            <w:pPr>
              <w:rPr>
                <w:rFonts w:ascii="Times New Roman" w:hAnsi="Times New Roman"/>
                <w:sz w:val="20"/>
                <w:szCs w:val="20"/>
              </w:rPr>
            </w:pPr>
          </w:p>
        </w:tc>
        <w:tc>
          <w:tcPr>
            <w:tcW w:w="450" w:type="pct"/>
            <w:shd w:val="clear" w:color="auto" w:fill="auto"/>
            <w:vAlign w:val="center"/>
          </w:tcPr>
          <w:p w14:paraId="4ACE5BF0" w14:textId="77777777" w:rsidR="006F587A" w:rsidRDefault="006F587A">
            <w:pPr>
              <w:rPr>
                <w:rFonts w:ascii="Times New Roman" w:hAnsi="Times New Roman"/>
                <w:sz w:val="20"/>
                <w:szCs w:val="20"/>
              </w:rPr>
            </w:pPr>
          </w:p>
        </w:tc>
        <w:tc>
          <w:tcPr>
            <w:tcW w:w="50" w:type="pct"/>
            <w:shd w:val="clear" w:color="auto" w:fill="auto"/>
            <w:vAlign w:val="center"/>
          </w:tcPr>
          <w:p w14:paraId="4ACE5BF1" w14:textId="77777777" w:rsidR="006F587A" w:rsidRDefault="006F587A">
            <w:pPr>
              <w:rPr>
                <w:rFonts w:ascii="Times New Roman" w:hAnsi="Times New Roman"/>
                <w:sz w:val="20"/>
                <w:szCs w:val="20"/>
              </w:rPr>
            </w:pPr>
          </w:p>
        </w:tc>
        <w:tc>
          <w:tcPr>
            <w:tcW w:w="50" w:type="pct"/>
            <w:shd w:val="clear" w:color="auto" w:fill="auto"/>
            <w:vAlign w:val="center"/>
          </w:tcPr>
          <w:p w14:paraId="4ACE5BF2" w14:textId="77777777" w:rsidR="006F587A" w:rsidRDefault="006F587A">
            <w:pPr>
              <w:rPr>
                <w:rFonts w:ascii="Times New Roman" w:hAnsi="Times New Roman"/>
                <w:sz w:val="20"/>
                <w:szCs w:val="20"/>
              </w:rPr>
            </w:pPr>
          </w:p>
        </w:tc>
        <w:tc>
          <w:tcPr>
            <w:tcW w:w="50" w:type="pct"/>
            <w:shd w:val="clear" w:color="auto" w:fill="auto"/>
            <w:vAlign w:val="center"/>
          </w:tcPr>
          <w:p w14:paraId="4ACE5BF3" w14:textId="77777777" w:rsidR="006F587A" w:rsidRDefault="006F587A">
            <w:pPr>
              <w:rPr>
                <w:rFonts w:ascii="Times New Roman" w:hAnsi="Times New Roman"/>
                <w:sz w:val="20"/>
                <w:szCs w:val="20"/>
              </w:rPr>
            </w:pPr>
          </w:p>
        </w:tc>
        <w:tc>
          <w:tcPr>
            <w:tcW w:w="450" w:type="pct"/>
            <w:shd w:val="clear" w:color="auto" w:fill="auto"/>
            <w:vAlign w:val="center"/>
          </w:tcPr>
          <w:p w14:paraId="4ACE5BF4" w14:textId="77777777" w:rsidR="006F587A" w:rsidRDefault="006F587A">
            <w:pPr>
              <w:rPr>
                <w:rFonts w:ascii="Times New Roman" w:hAnsi="Times New Roman"/>
                <w:sz w:val="20"/>
                <w:szCs w:val="20"/>
              </w:rPr>
            </w:pPr>
          </w:p>
        </w:tc>
        <w:tc>
          <w:tcPr>
            <w:tcW w:w="50" w:type="pct"/>
            <w:shd w:val="clear" w:color="auto" w:fill="auto"/>
            <w:vAlign w:val="center"/>
          </w:tcPr>
          <w:p w14:paraId="4ACE5BF5" w14:textId="77777777" w:rsidR="006F587A" w:rsidRDefault="006F587A">
            <w:pPr>
              <w:rPr>
                <w:rFonts w:ascii="Times New Roman" w:hAnsi="Times New Roman"/>
                <w:sz w:val="20"/>
                <w:szCs w:val="20"/>
              </w:rPr>
            </w:pPr>
          </w:p>
        </w:tc>
        <w:tc>
          <w:tcPr>
            <w:tcW w:w="50" w:type="pct"/>
            <w:shd w:val="clear" w:color="auto" w:fill="auto"/>
            <w:vAlign w:val="center"/>
          </w:tcPr>
          <w:p w14:paraId="4ACE5BF6" w14:textId="77777777" w:rsidR="006F587A" w:rsidRDefault="006F587A">
            <w:pPr>
              <w:rPr>
                <w:rFonts w:ascii="Times New Roman" w:hAnsi="Times New Roman"/>
                <w:sz w:val="20"/>
                <w:szCs w:val="20"/>
              </w:rPr>
            </w:pPr>
          </w:p>
        </w:tc>
        <w:tc>
          <w:tcPr>
            <w:tcW w:w="50" w:type="pct"/>
            <w:shd w:val="clear" w:color="auto" w:fill="auto"/>
            <w:vAlign w:val="center"/>
          </w:tcPr>
          <w:p w14:paraId="4ACE5BF7" w14:textId="77777777" w:rsidR="006F587A" w:rsidRDefault="006F587A">
            <w:pPr>
              <w:rPr>
                <w:rFonts w:ascii="Times New Roman" w:hAnsi="Times New Roman"/>
                <w:sz w:val="20"/>
                <w:szCs w:val="20"/>
              </w:rPr>
            </w:pPr>
          </w:p>
        </w:tc>
        <w:tc>
          <w:tcPr>
            <w:tcW w:w="450" w:type="pct"/>
            <w:shd w:val="clear" w:color="auto" w:fill="auto"/>
            <w:vAlign w:val="center"/>
          </w:tcPr>
          <w:p w14:paraId="4ACE5BF8" w14:textId="77777777" w:rsidR="006F587A" w:rsidRDefault="006F587A">
            <w:pPr>
              <w:rPr>
                <w:rFonts w:ascii="Times New Roman" w:hAnsi="Times New Roman"/>
                <w:sz w:val="20"/>
                <w:szCs w:val="20"/>
              </w:rPr>
            </w:pPr>
          </w:p>
        </w:tc>
        <w:tc>
          <w:tcPr>
            <w:tcW w:w="50" w:type="pct"/>
            <w:shd w:val="clear" w:color="auto" w:fill="auto"/>
            <w:vAlign w:val="center"/>
          </w:tcPr>
          <w:p w14:paraId="4ACE5BF9" w14:textId="77777777" w:rsidR="006F587A" w:rsidRDefault="006F587A">
            <w:pPr>
              <w:rPr>
                <w:rFonts w:ascii="Times New Roman" w:hAnsi="Times New Roman"/>
                <w:sz w:val="20"/>
                <w:szCs w:val="20"/>
              </w:rPr>
            </w:pPr>
          </w:p>
        </w:tc>
        <w:tc>
          <w:tcPr>
            <w:tcW w:w="50" w:type="pct"/>
            <w:shd w:val="clear" w:color="auto" w:fill="auto"/>
            <w:vAlign w:val="center"/>
          </w:tcPr>
          <w:p w14:paraId="4ACE5BFA" w14:textId="77777777" w:rsidR="006F587A" w:rsidRDefault="006F587A">
            <w:pPr>
              <w:rPr>
                <w:rFonts w:ascii="Times New Roman" w:hAnsi="Times New Roman"/>
                <w:sz w:val="20"/>
                <w:szCs w:val="20"/>
              </w:rPr>
            </w:pPr>
          </w:p>
        </w:tc>
        <w:tc>
          <w:tcPr>
            <w:tcW w:w="50" w:type="pct"/>
            <w:shd w:val="clear" w:color="auto" w:fill="auto"/>
            <w:vAlign w:val="center"/>
          </w:tcPr>
          <w:p w14:paraId="4ACE5BFB" w14:textId="77777777" w:rsidR="006F587A" w:rsidRDefault="006F587A">
            <w:pPr>
              <w:rPr>
                <w:rFonts w:ascii="Times New Roman" w:hAnsi="Times New Roman"/>
                <w:sz w:val="20"/>
                <w:szCs w:val="20"/>
              </w:rPr>
            </w:pPr>
          </w:p>
        </w:tc>
        <w:tc>
          <w:tcPr>
            <w:tcW w:w="450" w:type="pct"/>
            <w:shd w:val="clear" w:color="auto" w:fill="auto"/>
            <w:vAlign w:val="center"/>
          </w:tcPr>
          <w:p w14:paraId="4ACE5BFC" w14:textId="77777777" w:rsidR="006F587A" w:rsidRDefault="006F587A">
            <w:pPr>
              <w:rPr>
                <w:rFonts w:ascii="Times New Roman" w:hAnsi="Times New Roman"/>
                <w:sz w:val="20"/>
                <w:szCs w:val="20"/>
              </w:rPr>
            </w:pPr>
          </w:p>
        </w:tc>
        <w:tc>
          <w:tcPr>
            <w:tcW w:w="50" w:type="pct"/>
            <w:shd w:val="clear" w:color="auto" w:fill="auto"/>
            <w:vAlign w:val="center"/>
          </w:tcPr>
          <w:p w14:paraId="4ACE5BFD" w14:textId="77777777" w:rsidR="006F587A" w:rsidRDefault="006F587A">
            <w:pPr>
              <w:rPr>
                <w:rFonts w:ascii="Times New Roman" w:hAnsi="Times New Roman"/>
                <w:sz w:val="20"/>
                <w:szCs w:val="20"/>
              </w:rPr>
            </w:pPr>
          </w:p>
        </w:tc>
        <w:tc>
          <w:tcPr>
            <w:tcW w:w="50" w:type="pct"/>
            <w:shd w:val="clear" w:color="auto" w:fill="auto"/>
            <w:vAlign w:val="center"/>
          </w:tcPr>
          <w:p w14:paraId="4ACE5BFE" w14:textId="77777777" w:rsidR="006F587A" w:rsidRDefault="006F587A">
            <w:pPr>
              <w:rPr>
                <w:rFonts w:ascii="Times New Roman" w:hAnsi="Times New Roman"/>
                <w:sz w:val="20"/>
                <w:szCs w:val="20"/>
              </w:rPr>
            </w:pPr>
          </w:p>
        </w:tc>
        <w:tc>
          <w:tcPr>
            <w:tcW w:w="50" w:type="pct"/>
            <w:shd w:val="clear" w:color="auto" w:fill="auto"/>
            <w:vAlign w:val="center"/>
          </w:tcPr>
          <w:p w14:paraId="4ACE5BFF" w14:textId="77777777" w:rsidR="006F587A" w:rsidRDefault="006F587A">
            <w:pPr>
              <w:rPr>
                <w:rFonts w:ascii="Times New Roman" w:hAnsi="Times New Roman"/>
                <w:sz w:val="20"/>
                <w:szCs w:val="20"/>
              </w:rPr>
            </w:pPr>
          </w:p>
        </w:tc>
        <w:tc>
          <w:tcPr>
            <w:tcW w:w="450" w:type="pct"/>
            <w:shd w:val="clear" w:color="auto" w:fill="auto"/>
            <w:vAlign w:val="center"/>
          </w:tcPr>
          <w:p w14:paraId="4ACE5C00" w14:textId="77777777" w:rsidR="006F587A" w:rsidRDefault="006F587A">
            <w:pPr>
              <w:rPr>
                <w:rFonts w:ascii="Times New Roman" w:hAnsi="Times New Roman"/>
                <w:sz w:val="20"/>
                <w:szCs w:val="20"/>
              </w:rPr>
            </w:pPr>
          </w:p>
        </w:tc>
        <w:tc>
          <w:tcPr>
            <w:tcW w:w="50" w:type="pct"/>
            <w:shd w:val="clear" w:color="auto" w:fill="auto"/>
            <w:vAlign w:val="center"/>
          </w:tcPr>
          <w:p w14:paraId="4ACE5C01" w14:textId="77777777" w:rsidR="006F587A" w:rsidRDefault="006F587A">
            <w:pPr>
              <w:rPr>
                <w:rFonts w:ascii="Times New Roman" w:hAnsi="Times New Roman"/>
                <w:sz w:val="20"/>
                <w:szCs w:val="20"/>
              </w:rPr>
            </w:pPr>
          </w:p>
        </w:tc>
      </w:tr>
      <w:tr w:rsidR="006F587A" w14:paraId="4ACE5C06" w14:textId="77777777">
        <w:tc>
          <w:tcPr>
            <w:tcW w:w="0" w:type="auto"/>
            <w:shd w:val="clear" w:color="auto" w:fill="auto"/>
            <w:tcMar>
              <w:top w:w="40" w:type="dxa"/>
              <w:left w:w="40" w:type="dxa"/>
              <w:bottom w:w="40" w:type="dxa"/>
              <w:right w:w="40" w:type="dxa"/>
            </w:tcMar>
            <w:vAlign w:val="bottom"/>
          </w:tcPr>
          <w:p w14:paraId="4ACE5C0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C0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3"/>
            <w:tcBorders>
              <w:bottom w:val="single" w:sz="8" w:space="0" w:color="0071C5"/>
            </w:tcBorders>
            <w:shd w:val="clear" w:color="auto" w:fill="auto"/>
            <w:tcMar>
              <w:top w:w="40" w:type="dxa"/>
              <w:left w:w="40" w:type="dxa"/>
              <w:bottom w:w="40" w:type="dxa"/>
            </w:tcMar>
            <w:vAlign w:val="bottom"/>
          </w:tcPr>
          <w:p w14:paraId="4ACE5C05"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December 29, 2018</w:t>
            </w:r>
          </w:p>
        </w:tc>
      </w:tr>
      <w:tr w:rsidR="006F587A" w14:paraId="4ACE5C12" w14:textId="77777777">
        <w:tc>
          <w:tcPr>
            <w:tcW w:w="0" w:type="auto"/>
            <w:shd w:val="clear" w:color="auto" w:fill="auto"/>
            <w:tcMar>
              <w:top w:w="40" w:type="dxa"/>
              <w:left w:w="40" w:type="dxa"/>
              <w:bottom w:w="40" w:type="dxa"/>
              <w:right w:w="40" w:type="dxa"/>
            </w:tcMar>
            <w:vAlign w:val="bottom"/>
          </w:tcPr>
          <w:p w14:paraId="4ACE5C0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C0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C0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C0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C0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C0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C0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C0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71C5"/>
            </w:tcBorders>
            <w:shd w:val="clear" w:color="auto" w:fill="auto"/>
            <w:tcMar>
              <w:top w:w="40" w:type="dxa"/>
              <w:left w:w="40" w:type="dxa"/>
              <w:bottom w:w="40" w:type="dxa"/>
            </w:tcMar>
            <w:vAlign w:val="bottom"/>
          </w:tcPr>
          <w:p w14:paraId="4ACE5C0F"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Gross Amounts Not Offset in the Balance Sheet</w:t>
            </w:r>
          </w:p>
        </w:tc>
        <w:tc>
          <w:tcPr>
            <w:tcW w:w="0" w:type="auto"/>
            <w:shd w:val="clear" w:color="auto" w:fill="auto"/>
            <w:tcMar>
              <w:top w:w="40" w:type="dxa"/>
              <w:left w:w="40" w:type="dxa"/>
              <w:bottom w:w="40" w:type="dxa"/>
              <w:right w:w="40" w:type="dxa"/>
            </w:tcMar>
            <w:vAlign w:val="bottom"/>
          </w:tcPr>
          <w:p w14:paraId="4ACE5C1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C1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5C20"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5C13"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4ACE5C1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C15"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Gross Amounts Recognized</w:t>
            </w:r>
          </w:p>
        </w:tc>
        <w:tc>
          <w:tcPr>
            <w:tcW w:w="0" w:type="auto"/>
            <w:shd w:val="clear" w:color="auto" w:fill="auto"/>
            <w:tcMar>
              <w:top w:w="40" w:type="dxa"/>
              <w:left w:w="40" w:type="dxa"/>
              <w:bottom w:w="40" w:type="dxa"/>
              <w:right w:w="40" w:type="dxa"/>
            </w:tcMar>
            <w:vAlign w:val="bottom"/>
          </w:tcPr>
          <w:p w14:paraId="4ACE5C1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C17"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Gross Amounts Offset in the Balance Sheet</w:t>
            </w:r>
          </w:p>
        </w:tc>
        <w:tc>
          <w:tcPr>
            <w:tcW w:w="0" w:type="auto"/>
            <w:shd w:val="clear" w:color="auto" w:fill="auto"/>
            <w:tcMar>
              <w:top w:w="40" w:type="dxa"/>
              <w:left w:w="40" w:type="dxa"/>
              <w:bottom w:w="40" w:type="dxa"/>
              <w:right w:w="40" w:type="dxa"/>
            </w:tcMar>
            <w:vAlign w:val="bottom"/>
          </w:tcPr>
          <w:p w14:paraId="4ACE5C1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C19"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Net Amounts Presented in the Balance Sheet</w:t>
            </w:r>
          </w:p>
        </w:tc>
        <w:tc>
          <w:tcPr>
            <w:tcW w:w="0" w:type="auto"/>
            <w:shd w:val="clear" w:color="auto" w:fill="auto"/>
            <w:tcMar>
              <w:top w:w="40" w:type="dxa"/>
              <w:left w:w="40" w:type="dxa"/>
              <w:bottom w:w="40" w:type="dxa"/>
              <w:right w:w="40" w:type="dxa"/>
            </w:tcMar>
            <w:vAlign w:val="bottom"/>
          </w:tcPr>
          <w:p w14:paraId="4ACE5C1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C1B"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Financial Instruments</w:t>
            </w:r>
          </w:p>
        </w:tc>
        <w:tc>
          <w:tcPr>
            <w:tcW w:w="0" w:type="auto"/>
            <w:shd w:val="clear" w:color="auto" w:fill="auto"/>
            <w:tcMar>
              <w:top w:w="40" w:type="dxa"/>
              <w:left w:w="40" w:type="dxa"/>
              <w:bottom w:w="40" w:type="dxa"/>
              <w:right w:w="40" w:type="dxa"/>
            </w:tcMar>
            <w:vAlign w:val="bottom"/>
          </w:tcPr>
          <w:p w14:paraId="4ACE5C1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C1D"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Cash and Non-Cash Collateral Received or Pledged</w:t>
            </w:r>
          </w:p>
        </w:tc>
        <w:tc>
          <w:tcPr>
            <w:tcW w:w="0" w:type="auto"/>
            <w:shd w:val="clear" w:color="auto" w:fill="auto"/>
            <w:tcMar>
              <w:top w:w="40" w:type="dxa"/>
              <w:left w:w="40" w:type="dxa"/>
              <w:bottom w:w="40" w:type="dxa"/>
              <w:right w:w="40" w:type="dxa"/>
            </w:tcMar>
            <w:vAlign w:val="bottom"/>
          </w:tcPr>
          <w:p w14:paraId="4ACE5C1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C1F"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Net Amount</w:t>
            </w:r>
          </w:p>
        </w:tc>
      </w:tr>
      <w:tr w:rsidR="006F587A" w14:paraId="4ACE5C2E" w14:textId="77777777">
        <w:tc>
          <w:tcPr>
            <w:tcW w:w="0" w:type="auto"/>
            <w:shd w:val="clear" w:color="auto" w:fill="auto"/>
            <w:tcMar>
              <w:top w:w="40" w:type="dxa"/>
              <w:left w:w="40" w:type="dxa"/>
              <w:bottom w:w="40" w:type="dxa"/>
              <w:right w:w="40" w:type="dxa"/>
            </w:tcMar>
            <w:vAlign w:val="bottom"/>
          </w:tcPr>
          <w:p w14:paraId="4ACE5C2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Assets:</w:t>
            </w:r>
          </w:p>
        </w:tc>
        <w:tc>
          <w:tcPr>
            <w:tcW w:w="0" w:type="auto"/>
            <w:shd w:val="clear" w:color="auto" w:fill="auto"/>
            <w:tcMar>
              <w:top w:w="40" w:type="dxa"/>
              <w:left w:w="40" w:type="dxa"/>
              <w:bottom w:w="40" w:type="dxa"/>
              <w:right w:w="40" w:type="dxa"/>
            </w:tcMar>
            <w:vAlign w:val="bottom"/>
          </w:tcPr>
          <w:p w14:paraId="4ACE5C2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C2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C2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C2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C2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C2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C2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C2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C2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C2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C2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C2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5C48" w14:textId="77777777">
        <w:tc>
          <w:tcPr>
            <w:tcW w:w="0" w:type="auto"/>
            <w:shd w:val="clear" w:color="auto" w:fill="auto"/>
            <w:tcMar>
              <w:top w:w="40" w:type="dxa"/>
              <w:left w:w="240" w:type="dxa"/>
              <w:bottom w:w="40" w:type="dxa"/>
              <w:right w:w="40" w:type="dxa"/>
            </w:tcMar>
            <w:vAlign w:val="bottom"/>
          </w:tcPr>
          <w:p w14:paraId="4ACE5C2F"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Derivative assets subject to master netting arrangements</w:t>
            </w:r>
          </w:p>
        </w:tc>
        <w:tc>
          <w:tcPr>
            <w:tcW w:w="0" w:type="auto"/>
            <w:shd w:val="clear" w:color="auto" w:fill="auto"/>
            <w:tcMar>
              <w:top w:w="40" w:type="dxa"/>
              <w:left w:w="40" w:type="dxa"/>
              <w:bottom w:w="40" w:type="dxa"/>
              <w:right w:w="40" w:type="dxa"/>
            </w:tcMar>
            <w:vAlign w:val="bottom"/>
          </w:tcPr>
          <w:p w14:paraId="4ACE5C3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C3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5C3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292</w:t>
            </w:r>
          </w:p>
        </w:tc>
        <w:tc>
          <w:tcPr>
            <w:tcW w:w="0" w:type="auto"/>
            <w:shd w:val="clear" w:color="auto" w:fill="auto"/>
            <w:vAlign w:val="bottom"/>
          </w:tcPr>
          <w:p w14:paraId="4ACE5C3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C3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C3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5C3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C3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C3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C3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5C3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292</w:t>
            </w:r>
          </w:p>
        </w:tc>
        <w:tc>
          <w:tcPr>
            <w:tcW w:w="0" w:type="auto"/>
            <w:shd w:val="clear" w:color="auto" w:fill="auto"/>
            <w:vAlign w:val="bottom"/>
          </w:tcPr>
          <w:p w14:paraId="4ACE5C3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C3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C3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5C3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(220</w:t>
            </w:r>
          </w:p>
        </w:tc>
        <w:tc>
          <w:tcPr>
            <w:tcW w:w="0" w:type="auto"/>
            <w:shd w:val="clear" w:color="auto" w:fill="auto"/>
            <w:tcMar>
              <w:top w:w="40" w:type="dxa"/>
              <w:bottom w:w="40" w:type="dxa"/>
              <w:right w:w="40" w:type="dxa"/>
            </w:tcMar>
            <w:vAlign w:val="bottom"/>
          </w:tcPr>
          <w:p w14:paraId="4ACE5C3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5C4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C4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5C4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(72</w:t>
            </w:r>
          </w:p>
        </w:tc>
        <w:tc>
          <w:tcPr>
            <w:tcW w:w="0" w:type="auto"/>
            <w:shd w:val="clear" w:color="auto" w:fill="auto"/>
            <w:tcMar>
              <w:top w:w="40" w:type="dxa"/>
              <w:bottom w:w="40" w:type="dxa"/>
              <w:right w:w="40" w:type="dxa"/>
            </w:tcMar>
            <w:vAlign w:val="bottom"/>
          </w:tcPr>
          <w:p w14:paraId="4ACE5C4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5C4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C4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5C4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5C47" w14:textId="77777777" w:rsidR="006F587A" w:rsidRDefault="006F587A">
            <w:pPr>
              <w:textAlignment w:val="bottom"/>
              <w:rPr>
                <w:rFonts w:ascii="Times New Roman" w:hAnsi="Times New Roman"/>
                <w:sz w:val="20"/>
                <w:szCs w:val="20"/>
              </w:rPr>
            </w:pPr>
          </w:p>
        </w:tc>
      </w:tr>
      <w:tr w:rsidR="006F587A" w14:paraId="4ACE5C5C" w14:textId="77777777">
        <w:tc>
          <w:tcPr>
            <w:tcW w:w="0" w:type="auto"/>
            <w:shd w:val="clear" w:color="auto" w:fill="auto"/>
            <w:tcMar>
              <w:top w:w="40" w:type="dxa"/>
              <w:left w:w="240" w:type="dxa"/>
              <w:bottom w:w="40" w:type="dxa"/>
              <w:right w:w="40" w:type="dxa"/>
            </w:tcMar>
            <w:vAlign w:val="bottom"/>
          </w:tcPr>
          <w:p w14:paraId="4ACE5C49"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Reverse repurchase agreements</w:t>
            </w:r>
          </w:p>
        </w:tc>
        <w:tc>
          <w:tcPr>
            <w:tcW w:w="0" w:type="auto"/>
            <w:shd w:val="clear" w:color="auto" w:fill="auto"/>
            <w:tcMar>
              <w:top w:w="40" w:type="dxa"/>
              <w:left w:w="40" w:type="dxa"/>
              <w:bottom w:w="40" w:type="dxa"/>
              <w:right w:w="40" w:type="dxa"/>
            </w:tcMar>
            <w:vAlign w:val="bottom"/>
          </w:tcPr>
          <w:p w14:paraId="4ACE5C4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C4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2,099</w:t>
            </w:r>
          </w:p>
        </w:tc>
        <w:tc>
          <w:tcPr>
            <w:tcW w:w="0" w:type="auto"/>
            <w:tcBorders>
              <w:bottom w:val="single" w:sz="8" w:space="0" w:color="333333"/>
            </w:tcBorders>
            <w:shd w:val="clear" w:color="auto" w:fill="auto"/>
            <w:vAlign w:val="bottom"/>
          </w:tcPr>
          <w:p w14:paraId="4ACE5C4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C4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C4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tcBorders>
              <w:bottom w:val="single" w:sz="8" w:space="0" w:color="333333"/>
            </w:tcBorders>
            <w:shd w:val="clear" w:color="auto" w:fill="auto"/>
            <w:vAlign w:val="bottom"/>
          </w:tcPr>
          <w:p w14:paraId="4ACE5C4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C5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C51"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2,099</w:t>
            </w:r>
          </w:p>
        </w:tc>
        <w:tc>
          <w:tcPr>
            <w:tcW w:w="0" w:type="auto"/>
            <w:tcBorders>
              <w:bottom w:val="single" w:sz="8" w:space="0" w:color="333333"/>
            </w:tcBorders>
            <w:shd w:val="clear" w:color="auto" w:fill="auto"/>
            <w:vAlign w:val="bottom"/>
          </w:tcPr>
          <w:p w14:paraId="4ACE5C5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C5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C5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tcBorders>
              <w:bottom w:val="single" w:sz="8" w:space="0" w:color="333333"/>
            </w:tcBorders>
            <w:shd w:val="clear" w:color="auto" w:fill="auto"/>
            <w:vAlign w:val="bottom"/>
          </w:tcPr>
          <w:p w14:paraId="4ACE5C5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C5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C5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(1,999</w:t>
            </w:r>
          </w:p>
        </w:tc>
        <w:tc>
          <w:tcPr>
            <w:tcW w:w="0" w:type="auto"/>
            <w:tcBorders>
              <w:bottom w:val="single" w:sz="8" w:space="0" w:color="333333"/>
            </w:tcBorders>
            <w:shd w:val="clear" w:color="auto" w:fill="auto"/>
            <w:tcMar>
              <w:top w:w="40" w:type="dxa"/>
              <w:bottom w:w="40" w:type="dxa"/>
              <w:right w:w="40" w:type="dxa"/>
            </w:tcMar>
            <w:vAlign w:val="bottom"/>
          </w:tcPr>
          <w:p w14:paraId="4ACE5C5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5C5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C5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100</w:t>
            </w:r>
          </w:p>
        </w:tc>
        <w:tc>
          <w:tcPr>
            <w:tcW w:w="0" w:type="auto"/>
            <w:tcBorders>
              <w:bottom w:val="single" w:sz="8" w:space="0" w:color="333333"/>
            </w:tcBorders>
            <w:shd w:val="clear" w:color="auto" w:fill="auto"/>
            <w:vAlign w:val="bottom"/>
          </w:tcPr>
          <w:p w14:paraId="4ACE5C5B" w14:textId="77777777" w:rsidR="006F587A" w:rsidRDefault="006F587A">
            <w:pPr>
              <w:textAlignment w:val="bottom"/>
              <w:rPr>
                <w:rFonts w:ascii="Times New Roman" w:hAnsi="Times New Roman"/>
                <w:sz w:val="20"/>
                <w:szCs w:val="20"/>
              </w:rPr>
            </w:pPr>
          </w:p>
        </w:tc>
      </w:tr>
      <w:tr w:rsidR="006F587A" w14:paraId="4ACE5C70" w14:textId="77777777">
        <w:tc>
          <w:tcPr>
            <w:tcW w:w="0" w:type="auto"/>
            <w:shd w:val="clear" w:color="auto" w:fill="auto"/>
            <w:tcMar>
              <w:top w:w="40" w:type="dxa"/>
              <w:left w:w="40" w:type="dxa"/>
              <w:bottom w:w="40" w:type="dxa"/>
              <w:right w:w="40" w:type="dxa"/>
            </w:tcMar>
            <w:vAlign w:val="bottom"/>
          </w:tcPr>
          <w:p w14:paraId="4ACE5C5D"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Total assets</w:t>
            </w:r>
          </w:p>
        </w:tc>
        <w:tc>
          <w:tcPr>
            <w:tcW w:w="0" w:type="auto"/>
            <w:shd w:val="clear" w:color="auto" w:fill="auto"/>
            <w:tcMar>
              <w:top w:w="40" w:type="dxa"/>
              <w:left w:w="40" w:type="dxa"/>
              <w:bottom w:w="40" w:type="dxa"/>
              <w:right w:w="40" w:type="dxa"/>
            </w:tcMar>
            <w:vAlign w:val="bottom"/>
          </w:tcPr>
          <w:p w14:paraId="4ACE5C5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333333"/>
            </w:tcBorders>
            <w:shd w:val="clear" w:color="auto" w:fill="auto"/>
            <w:tcMar>
              <w:top w:w="40" w:type="dxa"/>
              <w:left w:w="40" w:type="dxa"/>
              <w:bottom w:w="40" w:type="dxa"/>
            </w:tcMar>
            <w:vAlign w:val="bottom"/>
          </w:tcPr>
          <w:p w14:paraId="4ACE5C5F"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2,391</w:t>
            </w:r>
          </w:p>
        </w:tc>
        <w:tc>
          <w:tcPr>
            <w:tcW w:w="0" w:type="auto"/>
            <w:tcBorders>
              <w:bottom w:val="double" w:sz="6" w:space="0" w:color="333333"/>
            </w:tcBorders>
            <w:shd w:val="clear" w:color="auto" w:fill="auto"/>
            <w:vAlign w:val="bottom"/>
          </w:tcPr>
          <w:p w14:paraId="4ACE5C6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C61" w14:textId="77777777" w:rsidR="006F587A" w:rsidRDefault="006F587A">
            <w:pPr>
              <w:jc w:val="right"/>
              <w:textAlignment w:val="bottom"/>
              <w:rPr>
                <w:rFonts w:ascii="Times New Roman" w:hAnsi="Times New Roman"/>
                <w:sz w:val="18"/>
                <w:szCs w:val="18"/>
              </w:rPr>
            </w:pPr>
          </w:p>
        </w:tc>
        <w:tc>
          <w:tcPr>
            <w:tcW w:w="0" w:type="auto"/>
            <w:gridSpan w:val="2"/>
            <w:tcBorders>
              <w:bottom w:val="double" w:sz="6" w:space="0" w:color="333333"/>
            </w:tcBorders>
            <w:shd w:val="clear" w:color="auto" w:fill="auto"/>
            <w:tcMar>
              <w:top w:w="40" w:type="dxa"/>
              <w:left w:w="40" w:type="dxa"/>
              <w:bottom w:w="40" w:type="dxa"/>
            </w:tcMar>
            <w:vAlign w:val="bottom"/>
          </w:tcPr>
          <w:p w14:paraId="4ACE5C62"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bottom w:val="double" w:sz="6" w:space="0" w:color="333333"/>
            </w:tcBorders>
            <w:shd w:val="clear" w:color="auto" w:fill="auto"/>
            <w:vAlign w:val="bottom"/>
          </w:tcPr>
          <w:p w14:paraId="4ACE5C6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C64" w14:textId="77777777" w:rsidR="006F587A" w:rsidRDefault="006F587A">
            <w:pPr>
              <w:jc w:val="right"/>
              <w:textAlignment w:val="bottom"/>
              <w:rPr>
                <w:rFonts w:ascii="Times New Roman" w:hAnsi="Times New Roman"/>
                <w:sz w:val="18"/>
                <w:szCs w:val="18"/>
              </w:rPr>
            </w:pPr>
          </w:p>
        </w:tc>
        <w:tc>
          <w:tcPr>
            <w:tcW w:w="0" w:type="auto"/>
            <w:gridSpan w:val="2"/>
            <w:tcBorders>
              <w:bottom w:val="double" w:sz="6" w:space="0" w:color="333333"/>
            </w:tcBorders>
            <w:shd w:val="clear" w:color="auto" w:fill="auto"/>
            <w:tcMar>
              <w:top w:w="40" w:type="dxa"/>
              <w:left w:w="40" w:type="dxa"/>
              <w:bottom w:w="40" w:type="dxa"/>
            </w:tcMar>
            <w:vAlign w:val="bottom"/>
          </w:tcPr>
          <w:p w14:paraId="4ACE5C65"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2,391</w:t>
            </w:r>
          </w:p>
        </w:tc>
        <w:tc>
          <w:tcPr>
            <w:tcW w:w="0" w:type="auto"/>
            <w:tcBorders>
              <w:bottom w:val="double" w:sz="6" w:space="0" w:color="333333"/>
            </w:tcBorders>
            <w:shd w:val="clear" w:color="auto" w:fill="auto"/>
            <w:vAlign w:val="bottom"/>
          </w:tcPr>
          <w:p w14:paraId="4ACE5C6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C67" w14:textId="77777777" w:rsidR="006F587A" w:rsidRDefault="006F587A">
            <w:pPr>
              <w:jc w:val="right"/>
              <w:textAlignment w:val="bottom"/>
              <w:rPr>
                <w:rFonts w:ascii="Times New Roman" w:hAnsi="Times New Roman"/>
                <w:sz w:val="18"/>
                <w:szCs w:val="18"/>
              </w:rPr>
            </w:pPr>
          </w:p>
        </w:tc>
        <w:tc>
          <w:tcPr>
            <w:tcW w:w="0" w:type="auto"/>
            <w:gridSpan w:val="2"/>
            <w:tcBorders>
              <w:bottom w:val="double" w:sz="6" w:space="0" w:color="333333"/>
            </w:tcBorders>
            <w:shd w:val="clear" w:color="auto" w:fill="auto"/>
            <w:tcMar>
              <w:top w:w="40" w:type="dxa"/>
              <w:left w:w="40" w:type="dxa"/>
              <w:bottom w:w="40" w:type="dxa"/>
            </w:tcMar>
            <w:vAlign w:val="bottom"/>
          </w:tcPr>
          <w:p w14:paraId="4ACE5C68"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(220</w:t>
            </w:r>
          </w:p>
        </w:tc>
        <w:tc>
          <w:tcPr>
            <w:tcW w:w="0" w:type="auto"/>
            <w:tcBorders>
              <w:bottom w:val="double" w:sz="6" w:space="0" w:color="333333"/>
            </w:tcBorders>
            <w:shd w:val="clear" w:color="auto" w:fill="auto"/>
            <w:tcMar>
              <w:top w:w="40" w:type="dxa"/>
              <w:bottom w:w="40" w:type="dxa"/>
              <w:right w:w="40" w:type="dxa"/>
            </w:tcMar>
            <w:vAlign w:val="bottom"/>
          </w:tcPr>
          <w:p w14:paraId="4ACE5C69"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4ACE5C6A" w14:textId="77777777" w:rsidR="006F587A" w:rsidRDefault="006F587A">
            <w:pPr>
              <w:jc w:val="right"/>
              <w:textAlignment w:val="bottom"/>
              <w:rPr>
                <w:rFonts w:ascii="Times New Roman" w:hAnsi="Times New Roman"/>
                <w:sz w:val="18"/>
                <w:szCs w:val="18"/>
              </w:rPr>
            </w:pPr>
          </w:p>
        </w:tc>
        <w:tc>
          <w:tcPr>
            <w:tcW w:w="0" w:type="auto"/>
            <w:gridSpan w:val="2"/>
            <w:tcBorders>
              <w:bottom w:val="double" w:sz="6" w:space="0" w:color="333333"/>
            </w:tcBorders>
            <w:shd w:val="clear" w:color="auto" w:fill="auto"/>
            <w:tcMar>
              <w:top w:w="40" w:type="dxa"/>
              <w:left w:w="40" w:type="dxa"/>
              <w:bottom w:w="40" w:type="dxa"/>
            </w:tcMar>
            <w:vAlign w:val="bottom"/>
          </w:tcPr>
          <w:p w14:paraId="4ACE5C6B"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(2,071</w:t>
            </w:r>
          </w:p>
        </w:tc>
        <w:tc>
          <w:tcPr>
            <w:tcW w:w="0" w:type="auto"/>
            <w:tcBorders>
              <w:bottom w:val="double" w:sz="6" w:space="0" w:color="333333"/>
            </w:tcBorders>
            <w:shd w:val="clear" w:color="auto" w:fill="auto"/>
            <w:tcMar>
              <w:top w:w="40" w:type="dxa"/>
              <w:bottom w:w="40" w:type="dxa"/>
              <w:right w:w="40" w:type="dxa"/>
            </w:tcMar>
            <w:vAlign w:val="bottom"/>
          </w:tcPr>
          <w:p w14:paraId="4ACE5C6C"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4ACE5C6D" w14:textId="77777777" w:rsidR="006F587A" w:rsidRDefault="006F587A">
            <w:pPr>
              <w:jc w:val="right"/>
              <w:textAlignment w:val="bottom"/>
              <w:rPr>
                <w:rFonts w:ascii="Times New Roman" w:hAnsi="Times New Roman"/>
                <w:sz w:val="18"/>
                <w:szCs w:val="18"/>
              </w:rPr>
            </w:pPr>
          </w:p>
        </w:tc>
        <w:tc>
          <w:tcPr>
            <w:tcW w:w="0" w:type="auto"/>
            <w:gridSpan w:val="2"/>
            <w:tcBorders>
              <w:bottom w:val="double" w:sz="6" w:space="0" w:color="333333"/>
            </w:tcBorders>
            <w:shd w:val="clear" w:color="auto" w:fill="auto"/>
            <w:tcMar>
              <w:top w:w="40" w:type="dxa"/>
              <w:left w:w="40" w:type="dxa"/>
              <w:bottom w:w="40" w:type="dxa"/>
            </w:tcMar>
            <w:vAlign w:val="bottom"/>
          </w:tcPr>
          <w:p w14:paraId="4ACE5C6E"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100</w:t>
            </w:r>
          </w:p>
        </w:tc>
        <w:tc>
          <w:tcPr>
            <w:tcW w:w="0" w:type="auto"/>
            <w:tcBorders>
              <w:bottom w:val="double" w:sz="6" w:space="0" w:color="333333"/>
            </w:tcBorders>
            <w:shd w:val="clear" w:color="auto" w:fill="auto"/>
            <w:vAlign w:val="bottom"/>
          </w:tcPr>
          <w:p w14:paraId="4ACE5C6F" w14:textId="77777777" w:rsidR="006F587A" w:rsidRDefault="006F587A">
            <w:pPr>
              <w:textAlignment w:val="bottom"/>
              <w:rPr>
                <w:rFonts w:ascii="Times New Roman" w:hAnsi="Times New Roman"/>
                <w:sz w:val="20"/>
                <w:szCs w:val="20"/>
              </w:rPr>
            </w:pPr>
          </w:p>
        </w:tc>
      </w:tr>
      <w:tr w:rsidR="006F587A" w14:paraId="4ACE5C7E" w14:textId="77777777">
        <w:tc>
          <w:tcPr>
            <w:tcW w:w="0" w:type="auto"/>
            <w:shd w:val="clear" w:color="auto" w:fill="auto"/>
            <w:tcMar>
              <w:top w:w="40" w:type="dxa"/>
              <w:left w:w="40" w:type="dxa"/>
              <w:bottom w:w="40" w:type="dxa"/>
              <w:right w:w="40" w:type="dxa"/>
            </w:tcMar>
            <w:vAlign w:val="bottom"/>
          </w:tcPr>
          <w:p w14:paraId="4ACE5C7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Liabilities:</w:t>
            </w:r>
          </w:p>
        </w:tc>
        <w:tc>
          <w:tcPr>
            <w:tcW w:w="0" w:type="auto"/>
            <w:shd w:val="clear" w:color="auto" w:fill="auto"/>
            <w:tcMar>
              <w:top w:w="40" w:type="dxa"/>
              <w:left w:w="40" w:type="dxa"/>
              <w:bottom w:w="40" w:type="dxa"/>
              <w:right w:w="40" w:type="dxa"/>
            </w:tcMar>
            <w:vAlign w:val="bottom"/>
          </w:tcPr>
          <w:p w14:paraId="4ACE5C7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C7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C7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C7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C7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C7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C7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C7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C7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C7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C7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C7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5C92" w14:textId="77777777">
        <w:tc>
          <w:tcPr>
            <w:tcW w:w="0" w:type="auto"/>
            <w:shd w:val="clear" w:color="auto" w:fill="auto"/>
            <w:tcMar>
              <w:top w:w="40" w:type="dxa"/>
              <w:left w:w="240" w:type="dxa"/>
              <w:bottom w:w="40" w:type="dxa"/>
              <w:right w:w="40" w:type="dxa"/>
            </w:tcMar>
            <w:vAlign w:val="bottom"/>
          </w:tcPr>
          <w:p w14:paraId="4ACE5C7F" w14:textId="77777777" w:rsidR="006F587A" w:rsidRDefault="007B2B61">
            <w:pPr>
              <w:ind w:hanging="240"/>
              <w:textAlignment w:val="bottom"/>
              <w:rPr>
                <w:rFonts w:ascii="Times New Roman" w:hAnsi="Times New Roman"/>
                <w:sz w:val="18"/>
                <w:szCs w:val="18"/>
              </w:rPr>
            </w:pPr>
            <w:r>
              <w:rPr>
                <w:rFonts w:ascii="Arial" w:eastAsia="宋体" w:hAnsi="Arial" w:cs="Arial"/>
                <w:color w:val="333333"/>
                <w:sz w:val="18"/>
                <w:szCs w:val="18"/>
              </w:rPr>
              <w:t>Derivative liabilities subject to master netting arrangements</w:t>
            </w:r>
          </w:p>
        </w:tc>
        <w:tc>
          <w:tcPr>
            <w:tcW w:w="0" w:type="auto"/>
            <w:shd w:val="clear" w:color="auto" w:fill="auto"/>
            <w:tcMar>
              <w:top w:w="40" w:type="dxa"/>
              <w:left w:w="40" w:type="dxa"/>
              <w:bottom w:w="40" w:type="dxa"/>
              <w:right w:w="40" w:type="dxa"/>
            </w:tcMar>
            <w:vAlign w:val="bottom"/>
          </w:tcPr>
          <w:p w14:paraId="4ACE5C8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C81"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890</w:t>
            </w:r>
          </w:p>
        </w:tc>
        <w:tc>
          <w:tcPr>
            <w:tcW w:w="0" w:type="auto"/>
            <w:tcBorders>
              <w:bottom w:val="single" w:sz="8" w:space="0" w:color="333333"/>
            </w:tcBorders>
            <w:shd w:val="clear" w:color="auto" w:fill="auto"/>
            <w:vAlign w:val="bottom"/>
          </w:tcPr>
          <w:p w14:paraId="4ACE5C8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C8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C8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tcBorders>
              <w:bottom w:val="single" w:sz="8" w:space="0" w:color="333333"/>
            </w:tcBorders>
            <w:shd w:val="clear" w:color="auto" w:fill="auto"/>
            <w:vAlign w:val="bottom"/>
          </w:tcPr>
          <w:p w14:paraId="4ACE5C8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C8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C8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890</w:t>
            </w:r>
          </w:p>
        </w:tc>
        <w:tc>
          <w:tcPr>
            <w:tcW w:w="0" w:type="auto"/>
            <w:tcBorders>
              <w:bottom w:val="single" w:sz="8" w:space="0" w:color="333333"/>
            </w:tcBorders>
            <w:shd w:val="clear" w:color="auto" w:fill="auto"/>
            <w:vAlign w:val="bottom"/>
          </w:tcPr>
          <w:p w14:paraId="4ACE5C8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C8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C8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(220</w:t>
            </w:r>
          </w:p>
        </w:tc>
        <w:tc>
          <w:tcPr>
            <w:tcW w:w="0" w:type="auto"/>
            <w:tcBorders>
              <w:bottom w:val="single" w:sz="8" w:space="0" w:color="333333"/>
            </w:tcBorders>
            <w:shd w:val="clear" w:color="auto" w:fill="auto"/>
            <w:tcMar>
              <w:top w:w="40" w:type="dxa"/>
              <w:bottom w:w="40" w:type="dxa"/>
              <w:right w:w="40" w:type="dxa"/>
            </w:tcMar>
            <w:vAlign w:val="bottom"/>
          </w:tcPr>
          <w:p w14:paraId="4ACE5C8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5C8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C8D"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(576</w:t>
            </w:r>
          </w:p>
        </w:tc>
        <w:tc>
          <w:tcPr>
            <w:tcW w:w="0" w:type="auto"/>
            <w:tcBorders>
              <w:bottom w:val="single" w:sz="8" w:space="0" w:color="333333"/>
            </w:tcBorders>
            <w:shd w:val="clear" w:color="auto" w:fill="auto"/>
            <w:tcMar>
              <w:top w:w="40" w:type="dxa"/>
              <w:bottom w:w="40" w:type="dxa"/>
              <w:right w:w="40" w:type="dxa"/>
            </w:tcMar>
            <w:vAlign w:val="bottom"/>
          </w:tcPr>
          <w:p w14:paraId="4ACE5C8E"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5C8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C90"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94</w:t>
            </w:r>
          </w:p>
        </w:tc>
        <w:tc>
          <w:tcPr>
            <w:tcW w:w="0" w:type="auto"/>
            <w:tcBorders>
              <w:bottom w:val="single" w:sz="8" w:space="0" w:color="333333"/>
            </w:tcBorders>
            <w:shd w:val="clear" w:color="auto" w:fill="auto"/>
            <w:vAlign w:val="bottom"/>
          </w:tcPr>
          <w:p w14:paraId="4ACE5C91" w14:textId="77777777" w:rsidR="006F587A" w:rsidRDefault="006F587A">
            <w:pPr>
              <w:textAlignment w:val="bottom"/>
              <w:rPr>
                <w:rFonts w:ascii="Times New Roman" w:hAnsi="Times New Roman"/>
                <w:sz w:val="20"/>
                <w:szCs w:val="20"/>
              </w:rPr>
            </w:pPr>
          </w:p>
        </w:tc>
      </w:tr>
      <w:tr w:rsidR="006F587A" w14:paraId="4ACE5CAC" w14:textId="77777777">
        <w:tc>
          <w:tcPr>
            <w:tcW w:w="0" w:type="auto"/>
            <w:shd w:val="clear" w:color="auto" w:fill="auto"/>
            <w:tcMar>
              <w:top w:w="40" w:type="dxa"/>
              <w:left w:w="40" w:type="dxa"/>
              <w:bottom w:w="40" w:type="dxa"/>
              <w:right w:w="40" w:type="dxa"/>
            </w:tcMar>
            <w:vAlign w:val="bottom"/>
          </w:tcPr>
          <w:p w14:paraId="4ACE5C93"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Total liabilities</w:t>
            </w:r>
          </w:p>
        </w:tc>
        <w:tc>
          <w:tcPr>
            <w:tcW w:w="0" w:type="auto"/>
            <w:shd w:val="clear" w:color="auto" w:fill="auto"/>
            <w:tcMar>
              <w:top w:w="40" w:type="dxa"/>
              <w:left w:w="40" w:type="dxa"/>
              <w:bottom w:w="40" w:type="dxa"/>
              <w:right w:w="40" w:type="dxa"/>
            </w:tcMar>
            <w:vAlign w:val="bottom"/>
          </w:tcPr>
          <w:p w14:paraId="4ACE5C9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C95"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C96"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890</w:t>
            </w:r>
          </w:p>
        </w:tc>
        <w:tc>
          <w:tcPr>
            <w:tcW w:w="0" w:type="auto"/>
            <w:tcBorders>
              <w:top w:val="single" w:sz="8" w:space="0" w:color="333333"/>
              <w:bottom w:val="double" w:sz="6" w:space="0" w:color="333333"/>
            </w:tcBorders>
            <w:shd w:val="clear" w:color="auto" w:fill="auto"/>
            <w:vAlign w:val="bottom"/>
          </w:tcPr>
          <w:p w14:paraId="4ACE5C9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C98" w14:textId="77777777" w:rsidR="006F587A" w:rsidRDefault="006F587A">
            <w:pPr>
              <w:jc w:val="right"/>
              <w:textAlignment w:val="bottom"/>
              <w:rPr>
                <w:rFonts w:ascii="Times New Roman" w:hAnsi="Times New Roman"/>
                <w:sz w:val="18"/>
                <w:szCs w:val="18"/>
              </w:rPr>
            </w:pP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C99"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C9A"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vAlign w:val="bottom"/>
          </w:tcPr>
          <w:p w14:paraId="4ACE5C9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C9C" w14:textId="77777777" w:rsidR="006F587A" w:rsidRDefault="006F587A">
            <w:pPr>
              <w:jc w:val="right"/>
              <w:textAlignment w:val="bottom"/>
              <w:rPr>
                <w:rFonts w:ascii="Times New Roman" w:hAnsi="Times New Roman"/>
                <w:sz w:val="18"/>
                <w:szCs w:val="18"/>
              </w:rPr>
            </w:pP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C9D"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C9E"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890</w:t>
            </w:r>
          </w:p>
        </w:tc>
        <w:tc>
          <w:tcPr>
            <w:tcW w:w="0" w:type="auto"/>
            <w:tcBorders>
              <w:top w:val="single" w:sz="8" w:space="0" w:color="333333"/>
              <w:bottom w:val="double" w:sz="6" w:space="0" w:color="333333"/>
            </w:tcBorders>
            <w:shd w:val="clear" w:color="auto" w:fill="auto"/>
            <w:vAlign w:val="bottom"/>
          </w:tcPr>
          <w:p w14:paraId="4ACE5C9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CA0" w14:textId="77777777" w:rsidR="006F587A" w:rsidRDefault="006F587A">
            <w:pPr>
              <w:jc w:val="right"/>
              <w:textAlignment w:val="bottom"/>
              <w:rPr>
                <w:rFonts w:ascii="Times New Roman" w:hAnsi="Times New Roman"/>
                <w:sz w:val="18"/>
                <w:szCs w:val="18"/>
              </w:rPr>
            </w:pP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CA1"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CA2"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(220</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4ACE5CA3"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4ACE5CA4" w14:textId="77777777" w:rsidR="006F587A" w:rsidRDefault="006F587A">
            <w:pPr>
              <w:jc w:val="right"/>
              <w:textAlignment w:val="bottom"/>
              <w:rPr>
                <w:rFonts w:ascii="Times New Roman" w:hAnsi="Times New Roman"/>
                <w:sz w:val="18"/>
                <w:szCs w:val="18"/>
              </w:rPr>
            </w:pP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CA5"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CA6"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(576</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4ACE5CA7"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4ACE5CA8" w14:textId="77777777" w:rsidR="006F587A" w:rsidRDefault="006F587A">
            <w:pPr>
              <w:jc w:val="right"/>
              <w:textAlignment w:val="bottom"/>
              <w:rPr>
                <w:rFonts w:ascii="Times New Roman" w:hAnsi="Times New Roman"/>
                <w:sz w:val="18"/>
                <w:szCs w:val="18"/>
              </w:rPr>
            </w:pP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CA9"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CAA"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94</w:t>
            </w:r>
          </w:p>
        </w:tc>
        <w:tc>
          <w:tcPr>
            <w:tcW w:w="0" w:type="auto"/>
            <w:tcBorders>
              <w:top w:val="single" w:sz="8" w:space="0" w:color="333333"/>
              <w:bottom w:val="double" w:sz="6" w:space="0" w:color="333333"/>
            </w:tcBorders>
            <w:shd w:val="clear" w:color="auto" w:fill="auto"/>
            <w:vAlign w:val="bottom"/>
          </w:tcPr>
          <w:p w14:paraId="4ACE5CAB" w14:textId="77777777" w:rsidR="006F587A" w:rsidRDefault="006F587A">
            <w:pPr>
              <w:textAlignment w:val="bottom"/>
              <w:rPr>
                <w:rFonts w:ascii="Times New Roman" w:hAnsi="Times New Roman"/>
                <w:sz w:val="20"/>
                <w:szCs w:val="20"/>
              </w:rPr>
            </w:pPr>
          </w:p>
        </w:tc>
      </w:tr>
    </w:tbl>
    <w:p w14:paraId="4ACE5CAD" w14:textId="77777777" w:rsidR="006F587A" w:rsidRDefault="006F587A">
      <w:pPr>
        <w:spacing w:line="288" w:lineRule="auto"/>
        <w:rPr>
          <w:rFonts w:ascii="Times New Roman" w:hAnsi="Times New Roman"/>
          <w:sz w:val="20"/>
          <w:szCs w:val="20"/>
        </w:rPr>
      </w:pPr>
    </w:p>
    <w:p w14:paraId="4ACE5CAE"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obtain and secure available collateral from counterparties against obligations, including securitie</w:t>
      </w:r>
      <w:r>
        <w:rPr>
          <w:rFonts w:ascii="Arial" w:eastAsia="宋体" w:hAnsi="Arial" w:cs="Arial"/>
          <w:color w:val="333333"/>
          <w:sz w:val="18"/>
          <w:szCs w:val="18"/>
        </w:rPr>
        <w:t>s lending transactions and reverse repurchase agreements, when we deem it appropriate.</w:t>
      </w:r>
    </w:p>
    <w:p w14:paraId="4ACE5CAF" w14:textId="77777777" w:rsidR="006F587A" w:rsidRDefault="006F587A">
      <w:pPr>
        <w:spacing w:line="288" w:lineRule="auto"/>
        <w:rPr>
          <w:rFonts w:ascii="Times New Roman" w:hAnsi="Times New Roman"/>
          <w:sz w:val="18"/>
          <w:szCs w:val="18"/>
        </w:rPr>
      </w:pPr>
    </w:p>
    <w:p w14:paraId="4ACE5CB0"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5CB2" w14:textId="77777777">
        <w:tc>
          <w:tcPr>
            <w:tcW w:w="0" w:type="auto"/>
            <w:gridSpan w:val="3"/>
            <w:shd w:val="clear" w:color="auto" w:fill="auto"/>
            <w:vAlign w:val="center"/>
          </w:tcPr>
          <w:p w14:paraId="4ACE5CB1" w14:textId="77777777" w:rsidR="006F587A" w:rsidRDefault="006F587A">
            <w:pPr>
              <w:rPr>
                <w:rFonts w:ascii="Times New Roman" w:hAnsi="Times New Roman"/>
                <w:sz w:val="20"/>
                <w:szCs w:val="20"/>
              </w:rPr>
            </w:pPr>
          </w:p>
        </w:tc>
      </w:tr>
      <w:tr w:rsidR="006F587A" w14:paraId="4ACE5CB6" w14:textId="77777777">
        <w:tc>
          <w:tcPr>
            <w:tcW w:w="1300" w:type="pct"/>
            <w:shd w:val="clear" w:color="auto" w:fill="auto"/>
            <w:vAlign w:val="center"/>
          </w:tcPr>
          <w:p w14:paraId="4ACE5CB3" w14:textId="77777777" w:rsidR="006F587A" w:rsidRDefault="006F587A">
            <w:pPr>
              <w:rPr>
                <w:rFonts w:ascii="Times New Roman" w:hAnsi="Times New Roman"/>
                <w:sz w:val="20"/>
                <w:szCs w:val="20"/>
              </w:rPr>
            </w:pPr>
          </w:p>
        </w:tc>
        <w:tc>
          <w:tcPr>
            <w:tcW w:w="1600" w:type="pct"/>
            <w:shd w:val="clear" w:color="auto" w:fill="auto"/>
            <w:vAlign w:val="center"/>
          </w:tcPr>
          <w:p w14:paraId="4ACE5CB4" w14:textId="77777777" w:rsidR="006F587A" w:rsidRDefault="006F587A">
            <w:pPr>
              <w:rPr>
                <w:rFonts w:ascii="Times New Roman" w:hAnsi="Times New Roman"/>
                <w:sz w:val="20"/>
                <w:szCs w:val="20"/>
              </w:rPr>
            </w:pPr>
          </w:p>
        </w:tc>
        <w:tc>
          <w:tcPr>
            <w:tcW w:w="2100" w:type="pct"/>
            <w:shd w:val="clear" w:color="auto" w:fill="auto"/>
            <w:vAlign w:val="center"/>
          </w:tcPr>
          <w:p w14:paraId="4ACE5CB5" w14:textId="77777777" w:rsidR="006F587A" w:rsidRDefault="006F587A">
            <w:pPr>
              <w:rPr>
                <w:rFonts w:ascii="Times New Roman" w:hAnsi="Times New Roman"/>
                <w:sz w:val="20"/>
                <w:szCs w:val="20"/>
              </w:rPr>
            </w:pPr>
          </w:p>
        </w:tc>
      </w:tr>
      <w:tr w:rsidR="006F587A" w14:paraId="4ACE5CBA" w14:textId="77777777">
        <w:tc>
          <w:tcPr>
            <w:tcW w:w="0" w:type="auto"/>
            <w:tcBorders>
              <w:top w:val="single" w:sz="8" w:space="0" w:color="0071C5"/>
            </w:tcBorders>
            <w:shd w:val="clear" w:color="auto" w:fill="auto"/>
            <w:tcMar>
              <w:top w:w="40" w:type="dxa"/>
              <w:left w:w="40" w:type="dxa"/>
              <w:bottom w:w="40" w:type="dxa"/>
              <w:right w:w="40" w:type="dxa"/>
            </w:tcMar>
            <w:vAlign w:val="bottom"/>
          </w:tcPr>
          <w:p w14:paraId="4ACE5CB7" w14:textId="77777777" w:rsidR="006F587A" w:rsidRDefault="007B2B61">
            <w:pPr>
              <w:textAlignment w:val="bottom"/>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E14" wp14:editId="4ACE6E15">
                  <wp:extent cx="304800" cy="304800"/>
                  <wp:effectExtent l="0" t="0" r="0" b="0"/>
                  <wp:docPr id="214" name="图片 338"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338"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left w:val="single" w:sz="36" w:space="0" w:color="0071C5"/>
            </w:tcBorders>
            <w:shd w:val="clear" w:color="auto" w:fill="auto"/>
            <w:tcMar>
              <w:top w:w="40" w:type="dxa"/>
              <w:left w:w="40" w:type="dxa"/>
              <w:bottom w:w="40" w:type="dxa"/>
              <w:right w:w="40" w:type="dxa"/>
            </w:tcMar>
            <w:vAlign w:val="bottom"/>
          </w:tcPr>
          <w:p w14:paraId="4ACE5CB8" w14:textId="77777777" w:rsidR="006F587A" w:rsidRDefault="007B2B61">
            <w:pPr>
              <w:textAlignment w:val="bottom"/>
              <w:rPr>
                <w:rFonts w:ascii="Times New Roman" w:hAnsi="Times New Roman"/>
                <w:sz w:val="16"/>
                <w:szCs w:val="16"/>
              </w:rPr>
            </w:pPr>
            <w:r>
              <w:rPr>
                <w:rFonts w:ascii="Arial" w:eastAsia="宋体" w:hAnsi="Arial" w:cs="Arial"/>
                <w:color w:val="333333"/>
                <w:sz w:val="16"/>
                <w:szCs w:val="16"/>
              </w:rPr>
              <w:t> Notes to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5CB9"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100</w:t>
            </w:r>
          </w:p>
        </w:tc>
      </w:tr>
    </w:tbl>
    <w:p w14:paraId="4ACE5CBB" w14:textId="77777777" w:rsidR="006F587A" w:rsidRDefault="007B2B61">
      <w:r>
        <w:pict w14:anchorId="4ACE6E16">
          <v:rect id="_x0000_i1126" style="width:415.3pt;height:1.5pt" o:hralign="center" o:hrstd="t" o:hr="t" fillcolor="#a0a0a0" stroked="f"/>
        </w:pict>
      </w:r>
    </w:p>
    <w:p w14:paraId="4ACE5CBC" w14:textId="77777777" w:rsidR="006F587A" w:rsidRDefault="007B2B61">
      <w:pPr>
        <w:spacing w:line="288" w:lineRule="auto"/>
        <w:jc w:val="right"/>
        <w:rPr>
          <w:rFonts w:ascii="Times New Roman" w:hAnsi="Times New Roman"/>
          <w:sz w:val="16"/>
          <w:szCs w:val="16"/>
        </w:rPr>
      </w:pPr>
      <w:hyperlink r:id="rId165" w:anchor="s9DB683E2CF52561EB8A73BE37F5BF9BE" w:history="1">
        <w:r>
          <w:rPr>
            <w:rStyle w:val="a5"/>
            <w:rFonts w:ascii="Arial" w:eastAsia="宋体" w:hAnsi="Arial" w:cs="Arial"/>
            <w:b/>
            <w:bCs/>
            <w:sz w:val="16"/>
            <w:szCs w:val="16"/>
          </w:rPr>
          <w:t>Table of Contents</w:t>
        </w:r>
      </w:hyperlink>
    </w:p>
    <w:p w14:paraId="4ACE5CBD" w14:textId="77777777" w:rsidR="006F587A" w:rsidRDefault="006F587A">
      <w:pPr>
        <w:spacing w:line="288" w:lineRule="auto"/>
        <w:jc w:val="right"/>
        <w:rPr>
          <w:rFonts w:ascii="Times New Roman" w:hAnsi="Times New Roman"/>
          <w:sz w:val="16"/>
          <w:szCs w:val="16"/>
        </w:rPr>
      </w:pPr>
    </w:p>
    <w:p w14:paraId="4ACE5CBE" w14:textId="77777777" w:rsidR="006F587A" w:rsidRDefault="006F587A">
      <w:pPr>
        <w:rPr>
          <w:rFonts w:ascii="Times New Roman" w:hAnsi="Times New Roman"/>
          <w:sz w:val="20"/>
          <w:szCs w:val="20"/>
        </w:rPr>
      </w:pPr>
    </w:p>
    <w:p w14:paraId="4ACE5CBF" w14:textId="77777777" w:rsidR="006F587A" w:rsidRDefault="007B2B61">
      <w:pPr>
        <w:spacing w:line="288" w:lineRule="auto"/>
        <w:rPr>
          <w:rFonts w:ascii="Times New Roman" w:hAnsi="Times New Roman"/>
        </w:rPr>
      </w:pPr>
      <w:r>
        <w:rPr>
          <w:rFonts w:ascii="Arial" w:eastAsia="宋体" w:hAnsi="Arial" w:cs="Arial"/>
          <w:b/>
          <w:bCs/>
          <w:color w:val="0071C5"/>
        </w:rPr>
        <w:t>DERIVATIVES IN CASH FLOW HEDGING RELATIONSHIPS</w:t>
      </w:r>
    </w:p>
    <w:p w14:paraId="4ACE5CC0"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The before-tax net </w:t>
      </w:r>
      <w:r>
        <w:rPr>
          <w:rFonts w:ascii="Arial" w:eastAsia="宋体" w:hAnsi="Arial" w:cs="Arial"/>
          <w:color w:val="333333"/>
          <w:sz w:val="18"/>
          <w:szCs w:val="18"/>
        </w:rPr>
        <w:t xml:space="preserve">gains or losses attributed to the effective portion of cash flow hedges recognized in other comprehensive income (loss) were $11 million net losses in 2019 ($310 million net losses in 2018 </w:t>
      </w:r>
      <w:r>
        <w:rPr>
          <w:rFonts w:ascii="Arial" w:eastAsia="宋体" w:hAnsi="Arial" w:cs="Arial"/>
          <w:color w:val="333333"/>
          <w:sz w:val="18"/>
          <w:szCs w:val="18"/>
        </w:rPr>
        <w:lastRenderedPageBreak/>
        <w:t xml:space="preserve">and $605 million net gains in 2017). Substantially all of our cash </w:t>
      </w:r>
      <w:r>
        <w:rPr>
          <w:rFonts w:ascii="Arial" w:eastAsia="宋体" w:hAnsi="Arial" w:cs="Arial"/>
          <w:color w:val="333333"/>
          <w:sz w:val="18"/>
          <w:szCs w:val="18"/>
        </w:rPr>
        <w:t>flow hedges are foreign currency contracts for all periods presented.</w:t>
      </w:r>
    </w:p>
    <w:p w14:paraId="4ACE5CC1"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Amounts excluded from effectiveness testing were insignificant during all periods presented.</w:t>
      </w:r>
    </w:p>
    <w:p w14:paraId="4ACE5CC2"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For information on the unrealized holding gains (losses) on derivatives reclassified out of a</w:t>
      </w:r>
      <w:r>
        <w:rPr>
          <w:rFonts w:ascii="Arial" w:eastAsia="宋体" w:hAnsi="Arial" w:cs="Arial"/>
          <w:color w:val="333333"/>
          <w:sz w:val="18"/>
          <w:szCs w:val="18"/>
        </w:rPr>
        <w:t>ccumulated other comprehensive income into the Consolidated Statements of Income, see "Note 16: Other Comprehensive Income (Loss)."</w:t>
      </w:r>
    </w:p>
    <w:p w14:paraId="4ACE5CC3" w14:textId="77777777" w:rsidR="006F587A" w:rsidRDefault="007B2B61">
      <w:pPr>
        <w:spacing w:line="288" w:lineRule="auto"/>
        <w:rPr>
          <w:rFonts w:ascii="Times New Roman" w:hAnsi="Times New Roman"/>
        </w:rPr>
      </w:pPr>
      <w:r>
        <w:rPr>
          <w:rFonts w:ascii="Arial" w:eastAsia="宋体" w:hAnsi="Arial" w:cs="Arial"/>
          <w:b/>
          <w:bCs/>
          <w:color w:val="0071C5"/>
        </w:rPr>
        <w:t>DERIVATIVES IN FAIR VALUE HEDGING RELATIONSHIPS</w:t>
      </w:r>
    </w:p>
    <w:p w14:paraId="4ACE5CC4" w14:textId="77777777" w:rsidR="006F587A" w:rsidRDefault="007B2B61">
      <w:pPr>
        <w:spacing w:line="288" w:lineRule="auto"/>
        <w:rPr>
          <w:rFonts w:ascii="Times New Roman" w:hAnsi="Times New Roman"/>
          <w:sz w:val="20"/>
          <w:szCs w:val="20"/>
        </w:rPr>
      </w:pPr>
      <w:r>
        <w:rPr>
          <w:rFonts w:ascii="Arial" w:eastAsia="宋体" w:hAnsi="Arial" w:cs="Arial"/>
          <w:color w:val="333333"/>
          <w:sz w:val="18"/>
          <w:szCs w:val="18"/>
        </w:rPr>
        <w:t>The effects of derivative instruments designated as fair value hedges, recog</w:t>
      </w:r>
      <w:r>
        <w:rPr>
          <w:rFonts w:ascii="Arial" w:eastAsia="宋体" w:hAnsi="Arial" w:cs="Arial"/>
          <w:color w:val="333333"/>
          <w:sz w:val="18"/>
          <w:szCs w:val="18"/>
        </w:rPr>
        <w:t>nized in interest and other, net for each period were as follows:</w:t>
      </w:r>
    </w:p>
    <w:tbl>
      <w:tblPr>
        <w:tblW w:w="5000" w:type="pct"/>
        <w:tblCellMar>
          <w:left w:w="0" w:type="dxa"/>
          <w:right w:w="0" w:type="dxa"/>
        </w:tblCellMar>
        <w:tblLook w:val="04A0" w:firstRow="1" w:lastRow="0" w:firstColumn="1" w:lastColumn="0" w:noHBand="0" w:noVBand="1"/>
      </w:tblPr>
      <w:tblGrid>
        <w:gridCol w:w="4973"/>
        <w:gridCol w:w="130"/>
        <w:gridCol w:w="142"/>
        <w:gridCol w:w="738"/>
        <w:gridCol w:w="101"/>
        <w:gridCol w:w="130"/>
        <w:gridCol w:w="142"/>
        <w:gridCol w:w="738"/>
        <w:gridCol w:w="101"/>
        <w:gridCol w:w="130"/>
        <w:gridCol w:w="142"/>
        <w:gridCol w:w="738"/>
        <w:gridCol w:w="101"/>
      </w:tblGrid>
      <w:tr w:rsidR="006F587A" w14:paraId="4ACE5CC6" w14:textId="77777777">
        <w:tc>
          <w:tcPr>
            <w:tcW w:w="0" w:type="auto"/>
            <w:gridSpan w:val="13"/>
            <w:shd w:val="clear" w:color="auto" w:fill="auto"/>
            <w:vAlign w:val="center"/>
          </w:tcPr>
          <w:p w14:paraId="4ACE5CC5" w14:textId="77777777" w:rsidR="006F587A" w:rsidRDefault="006F587A">
            <w:pPr>
              <w:rPr>
                <w:rFonts w:ascii="Times New Roman" w:hAnsi="Times New Roman"/>
                <w:sz w:val="20"/>
                <w:szCs w:val="20"/>
              </w:rPr>
            </w:pPr>
          </w:p>
        </w:tc>
      </w:tr>
      <w:tr w:rsidR="006F587A" w14:paraId="4ACE5CD4" w14:textId="77777777">
        <w:tc>
          <w:tcPr>
            <w:tcW w:w="3050" w:type="pct"/>
            <w:shd w:val="clear" w:color="auto" w:fill="auto"/>
            <w:vAlign w:val="center"/>
          </w:tcPr>
          <w:p w14:paraId="4ACE5CC7" w14:textId="77777777" w:rsidR="006F587A" w:rsidRDefault="006F587A">
            <w:pPr>
              <w:rPr>
                <w:rFonts w:ascii="Times New Roman" w:hAnsi="Times New Roman"/>
                <w:sz w:val="20"/>
                <w:szCs w:val="20"/>
              </w:rPr>
            </w:pPr>
          </w:p>
        </w:tc>
        <w:tc>
          <w:tcPr>
            <w:tcW w:w="50" w:type="pct"/>
            <w:shd w:val="clear" w:color="auto" w:fill="auto"/>
            <w:vAlign w:val="center"/>
          </w:tcPr>
          <w:p w14:paraId="4ACE5CC8" w14:textId="77777777" w:rsidR="006F587A" w:rsidRDefault="006F587A">
            <w:pPr>
              <w:rPr>
                <w:rFonts w:ascii="Times New Roman" w:hAnsi="Times New Roman"/>
                <w:sz w:val="20"/>
                <w:szCs w:val="20"/>
              </w:rPr>
            </w:pPr>
          </w:p>
        </w:tc>
        <w:tc>
          <w:tcPr>
            <w:tcW w:w="50" w:type="pct"/>
            <w:shd w:val="clear" w:color="auto" w:fill="auto"/>
            <w:vAlign w:val="center"/>
          </w:tcPr>
          <w:p w14:paraId="4ACE5CC9" w14:textId="77777777" w:rsidR="006F587A" w:rsidRDefault="006F587A">
            <w:pPr>
              <w:rPr>
                <w:rFonts w:ascii="Times New Roman" w:hAnsi="Times New Roman"/>
                <w:sz w:val="20"/>
                <w:szCs w:val="20"/>
              </w:rPr>
            </w:pPr>
          </w:p>
        </w:tc>
        <w:tc>
          <w:tcPr>
            <w:tcW w:w="500" w:type="pct"/>
            <w:shd w:val="clear" w:color="auto" w:fill="auto"/>
            <w:vAlign w:val="center"/>
          </w:tcPr>
          <w:p w14:paraId="4ACE5CCA" w14:textId="77777777" w:rsidR="006F587A" w:rsidRDefault="006F587A">
            <w:pPr>
              <w:rPr>
                <w:rFonts w:ascii="Times New Roman" w:hAnsi="Times New Roman"/>
                <w:sz w:val="20"/>
                <w:szCs w:val="20"/>
              </w:rPr>
            </w:pPr>
          </w:p>
        </w:tc>
        <w:tc>
          <w:tcPr>
            <w:tcW w:w="50" w:type="pct"/>
            <w:shd w:val="clear" w:color="auto" w:fill="auto"/>
            <w:vAlign w:val="center"/>
          </w:tcPr>
          <w:p w14:paraId="4ACE5CCB" w14:textId="77777777" w:rsidR="006F587A" w:rsidRDefault="006F587A">
            <w:pPr>
              <w:rPr>
                <w:rFonts w:ascii="Times New Roman" w:hAnsi="Times New Roman"/>
                <w:sz w:val="20"/>
                <w:szCs w:val="20"/>
              </w:rPr>
            </w:pPr>
          </w:p>
        </w:tc>
        <w:tc>
          <w:tcPr>
            <w:tcW w:w="50" w:type="pct"/>
            <w:shd w:val="clear" w:color="auto" w:fill="auto"/>
            <w:vAlign w:val="center"/>
          </w:tcPr>
          <w:p w14:paraId="4ACE5CCC" w14:textId="77777777" w:rsidR="006F587A" w:rsidRDefault="006F587A">
            <w:pPr>
              <w:rPr>
                <w:rFonts w:ascii="Times New Roman" w:hAnsi="Times New Roman"/>
                <w:sz w:val="20"/>
                <w:szCs w:val="20"/>
              </w:rPr>
            </w:pPr>
          </w:p>
        </w:tc>
        <w:tc>
          <w:tcPr>
            <w:tcW w:w="50" w:type="pct"/>
            <w:shd w:val="clear" w:color="auto" w:fill="auto"/>
            <w:vAlign w:val="center"/>
          </w:tcPr>
          <w:p w14:paraId="4ACE5CCD" w14:textId="77777777" w:rsidR="006F587A" w:rsidRDefault="006F587A">
            <w:pPr>
              <w:rPr>
                <w:rFonts w:ascii="Times New Roman" w:hAnsi="Times New Roman"/>
                <w:sz w:val="20"/>
                <w:szCs w:val="20"/>
              </w:rPr>
            </w:pPr>
          </w:p>
        </w:tc>
        <w:tc>
          <w:tcPr>
            <w:tcW w:w="500" w:type="pct"/>
            <w:shd w:val="clear" w:color="auto" w:fill="auto"/>
            <w:vAlign w:val="center"/>
          </w:tcPr>
          <w:p w14:paraId="4ACE5CCE" w14:textId="77777777" w:rsidR="006F587A" w:rsidRDefault="006F587A">
            <w:pPr>
              <w:rPr>
                <w:rFonts w:ascii="Times New Roman" w:hAnsi="Times New Roman"/>
                <w:sz w:val="20"/>
                <w:szCs w:val="20"/>
              </w:rPr>
            </w:pPr>
          </w:p>
        </w:tc>
        <w:tc>
          <w:tcPr>
            <w:tcW w:w="50" w:type="pct"/>
            <w:shd w:val="clear" w:color="auto" w:fill="auto"/>
            <w:vAlign w:val="center"/>
          </w:tcPr>
          <w:p w14:paraId="4ACE5CCF" w14:textId="77777777" w:rsidR="006F587A" w:rsidRDefault="006F587A">
            <w:pPr>
              <w:rPr>
                <w:rFonts w:ascii="Times New Roman" w:hAnsi="Times New Roman"/>
                <w:sz w:val="20"/>
                <w:szCs w:val="20"/>
              </w:rPr>
            </w:pPr>
          </w:p>
        </w:tc>
        <w:tc>
          <w:tcPr>
            <w:tcW w:w="50" w:type="pct"/>
            <w:shd w:val="clear" w:color="auto" w:fill="auto"/>
            <w:vAlign w:val="center"/>
          </w:tcPr>
          <w:p w14:paraId="4ACE5CD0" w14:textId="77777777" w:rsidR="006F587A" w:rsidRDefault="006F587A">
            <w:pPr>
              <w:rPr>
                <w:rFonts w:ascii="Times New Roman" w:hAnsi="Times New Roman"/>
                <w:sz w:val="20"/>
                <w:szCs w:val="20"/>
              </w:rPr>
            </w:pPr>
          </w:p>
        </w:tc>
        <w:tc>
          <w:tcPr>
            <w:tcW w:w="50" w:type="pct"/>
            <w:shd w:val="clear" w:color="auto" w:fill="auto"/>
            <w:vAlign w:val="center"/>
          </w:tcPr>
          <w:p w14:paraId="4ACE5CD1" w14:textId="77777777" w:rsidR="006F587A" w:rsidRDefault="006F587A">
            <w:pPr>
              <w:rPr>
                <w:rFonts w:ascii="Times New Roman" w:hAnsi="Times New Roman"/>
                <w:sz w:val="20"/>
                <w:szCs w:val="20"/>
              </w:rPr>
            </w:pPr>
          </w:p>
        </w:tc>
        <w:tc>
          <w:tcPr>
            <w:tcW w:w="500" w:type="pct"/>
            <w:shd w:val="clear" w:color="auto" w:fill="auto"/>
            <w:vAlign w:val="center"/>
          </w:tcPr>
          <w:p w14:paraId="4ACE5CD2" w14:textId="77777777" w:rsidR="006F587A" w:rsidRDefault="006F587A">
            <w:pPr>
              <w:rPr>
                <w:rFonts w:ascii="Times New Roman" w:hAnsi="Times New Roman"/>
                <w:sz w:val="20"/>
                <w:szCs w:val="20"/>
              </w:rPr>
            </w:pPr>
          </w:p>
        </w:tc>
        <w:tc>
          <w:tcPr>
            <w:tcW w:w="50" w:type="pct"/>
            <w:shd w:val="clear" w:color="auto" w:fill="auto"/>
            <w:vAlign w:val="center"/>
          </w:tcPr>
          <w:p w14:paraId="4ACE5CD3" w14:textId="77777777" w:rsidR="006F587A" w:rsidRDefault="006F587A">
            <w:pPr>
              <w:rPr>
                <w:rFonts w:ascii="Times New Roman" w:hAnsi="Times New Roman"/>
                <w:sz w:val="20"/>
                <w:szCs w:val="20"/>
              </w:rPr>
            </w:pPr>
          </w:p>
        </w:tc>
      </w:tr>
      <w:tr w:rsidR="006F587A" w14:paraId="4ACE5CDA" w14:textId="77777777">
        <w:tc>
          <w:tcPr>
            <w:tcW w:w="0" w:type="auto"/>
            <w:shd w:val="clear" w:color="auto" w:fill="auto"/>
            <w:tcMar>
              <w:top w:w="40" w:type="dxa"/>
              <w:left w:w="40" w:type="dxa"/>
              <w:bottom w:w="40" w:type="dxa"/>
              <w:right w:w="40" w:type="dxa"/>
            </w:tcMar>
            <w:vAlign w:val="bottom"/>
          </w:tcPr>
          <w:p w14:paraId="4ACE5CD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CD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71C5"/>
            </w:tcBorders>
            <w:shd w:val="clear" w:color="auto" w:fill="auto"/>
            <w:tcMar>
              <w:top w:w="40" w:type="dxa"/>
              <w:left w:w="40" w:type="dxa"/>
              <w:bottom w:w="40" w:type="dxa"/>
            </w:tcMar>
            <w:vAlign w:val="bottom"/>
          </w:tcPr>
          <w:p w14:paraId="4ACE5CD7"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Gains (Losses)</w:t>
            </w:r>
          </w:p>
          <w:p w14:paraId="4ACE5CD8"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Recognized in Statement of Income on</w:t>
            </w:r>
          </w:p>
          <w:p w14:paraId="4ACE5CD9"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Derivatives</w:t>
            </w:r>
          </w:p>
        </w:tc>
      </w:tr>
      <w:tr w:rsidR="006F587A" w14:paraId="4ACE5CE2"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5CDB"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Years Ended (In Millions)</w:t>
            </w:r>
          </w:p>
        </w:tc>
        <w:tc>
          <w:tcPr>
            <w:tcW w:w="0" w:type="auto"/>
            <w:shd w:val="clear" w:color="auto" w:fill="auto"/>
            <w:tcMar>
              <w:top w:w="40" w:type="dxa"/>
              <w:left w:w="40" w:type="dxa"/>
              <w:bottom w:w="40" w:type="dxa"/>
              <w:right w:w="40" w:type="dxa"/>
            </w:tcMar>
            <w:vAlign w:val="bottom"/>
          </w:tcPr>
          <w:p w14:paraId="4ACE5CD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CDD"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28, </w:t>
            </w:r>
            <w:r>
              <w:rPr>
                <w:rFonts w:ascii="Arial" w:eastAsia="宋体" w:hAnsi="Arial" w:cs="Arial"/>
                <w:b/>
                <w:bCs/>
                <w:color w:val="333333"/>
                <w:sz w:val="18"/>
                <w:szCs w:val="18"/>
              </w:rPr>
              <w:br/>
              <w:t>2019</w:t>
            </w:r>
          </w:p>
        </w:tc>
        <w:tc>
          <w:tcPr>
            <w:tcW w:w="0" w:type="auto"/>
            <w:shd w:val="clear" w:color="auto" w:fill="auto"/>
            <w:tcMar>
              <w:top w:w="40" w:type="dxa"/>
              <w:left w:w="40" w:type="dxa"/>
              <w:bottom w:w="40" w:type="dxa"/>
              <w:right w:w="40" w:type="dxa"/>
            </w:tcMar>
            <w:vAlign w:val="bottom"/>
          </w:tcPr>
          <w:p w14:paraId="4ACE5CD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CDF"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29, </w:t>
            </w:r>
            <w:r>
              <w:rPr>
                <w:rFonts w:ascii="Arial" w:eastAsia="宋体" w:hAnsi="Arial" w:cs="Arial"/>
                <w:b/>
                <w:bCs/>
                <w:color w:val="333333"/>
                <w:sz w:val="18"/>
                <w:szCs w:val="18"/>
              </w:rPr>
              <w:br/>
              <w:t>2018</w:t>
            </w:r>
          </w:p>
        </w:tc>
        <w:tc>
          <w:tcPr>
            <w:tcW w:w="0" w:type="auto"/>
            <w:shd w:val="clear" w:color="auto" w:fill="auto"/>
            <w:tcMar>
              <w:top w:w="40" w:type="dxa"/>
              <w:left w:w="40" w:type="dxa"/>
              <w:bottom w:w="40" w:type="dxa"/>
              <w:right w:w="40" w:type="dxa"/>
            </w:tcMar>
            <w:vAlign w:val="bottom"/>
          </w:tcPr>
          <w:p w14:paraId="4ACE5CE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CE1"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30, </w:t>
            </w:r>
            <w:r>
              <w:rPr>
                <w:rFonts w:ascii="Arial" w:eastAsia="宋体" w:hAnsi="Arial" w:cs="Arial"/>
                <w:b/>
                <w:bCs/>
                <w:color w:val="333333"/>
                <w:sz w:val="18"/>
                <w:szCs w:val="18"/>
              </w:rPr>
              <w:br/>
              <w:t>2017</w:t>
            </w:r>
          </w:p>
        </w:tc>
      </w:tr>
      <w:tr w:rsidR="006F587A" w14:paraId="4ACE5CF0" w14:textId="77777777">
        <w:tc>
          <w:tcPr>
            <w:tcW w:w="0" w:type="auto"/>
            <w:shd w:val="clear" w:color="auto" w:fill="auto"/>
            <w:tcMar>
              <w:top w:w="40" w:type="dxa"/>
              <w:left w:w="40" w:type="dxa"/>
              <w:bottom w:w="40" w:type="dxa"/>
              <w:right w:w="40" w:type="dxa"/>
            </w:tcMar>
          </w:tcPr>
          <w:p w14:paraId="4ACE5CE3"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 xml:space="preserve">Interest rate </w:t>
            </w:r>
            <w:r>
              <w:rPr>
                <w:rFonts w:ascii="Arial" w:eastAsia="宋体" w:hAnsi="Arial" w:cs="Arial"/>
                <w:color w:val="333333"/>
                <w:sz w:val="18"/>
                <w:szCs w:val="18"/>
              </w:rPr>
              <w:t>contracts</w:t>
            </w:r>
          </w:p>
        </w:tc>
        <w:tc>
          <w:tcPr>
            <w:tcW w:w="0" w:type="auto"/>
            <w:shd w:val="clear" w:color="auto" w:fill="auto"/>
            <w:tcMar>
              <w:top w:w="40" w:type="dxa"/>
              <w:left w:w="40" w:type="dxa"/>
              <w:bottom w:w="40" w:type="dxa"/>
              <w:right w:w="40" w:type="dxa"/>
            </w:tcMar>
            <w:vAlign w:val="bottom"/>
          </w:tcPr>
          <w:p w14:paraId="4ACE5CE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CE5"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5CE6"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1,071</w:t>
            </w:r>
          </w:p>
        </w:tc>
        <w:tc>
          <w:tcPr>
            <w:tcW w:w="0" w:type="auto"/>
            <w:shd w:val="clear" w:color="auto" w:fill="auto"/>
            <w:vAlign w:val="bottom"/>
          </w:tcPr>
          <w:p w14:paraId="4ACE5CE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CE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CE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5CE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(138</w:t>
            </w:r>
          </w:p>
        </w:tc>
        <w:tc>
          <w:tcPr>
            <w:tcW w:w="0" w:type="auto"/>
            <w:shd w:val="clear" w:color="auto" w:fill="auto"/>
            <w:tcMar>
              <w:top w:w="40" w:type="dxa"/>
              <w:bottom w:w="40" w:type="dxa"/>
              <w:right w:w="40" w:type="dxa"/>
            </w:tcMar>
            <w:vAlign w:val="bottom"/>
          </w:tcPr>
          <w:p w14:paraId="4ACE5CE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5CE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CE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5CE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(68</w:t>
            </w:r>
          </w:p>
        </w:tc>
        <w:tc>
          <w:tcPr>
            <w:tcW w:w="0" w:type="auto"/>
            <w:shd w:val="clear" w:color="auto" w:fill="auto"/>
            <w:tcMar>
              <w:top w:w="40" w:type="dxa"/>
              <w:bottom w:w="40" w:type="dxa"/>
              <w:right w:w="40" w:type="dxa"/>
            </w:tcMar>
            <w:vAlign w:val="bottom"/>
          </w:tcPr>
          <w:p w14:paraId="4ACE5CE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5CFB" w14:textId="77777777">
        <w:tc>
          <w:tcPr>
            <w:tcW w:w="0" w:type="auto"/>
            <w:shd w:val="clear" w:color="auto" w:fill="auto"/>
            <w:tcMar>
              <w:top w:w="40" w:type="dxa"/>
              <w:left w:w="40" w:type="dxa"/>
              <w:bottom w:w="40" w:type="dxa"/>
              <w:right w:w="40" w:type="dxa"/>
            </w:tcMar>
          </w:tcPr>
          <w:p w14:paraId="4ACE5CF1"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Hedged items</w:t>
            </w:r>
          </w:p>
        </w:tc>
        <w:tc>
          <w:tcPr>
            <w:tcW w:w="0" w:type="auto"/>
            <w:shd w:val="clear" w:color="auto" w:fill="auto"/>
            <w:tcMar>
              <w:top w:w="40" w:type="dxa"/>
              <w:left w:w="40" w:type="dxa"/>
              <w:bottom w:w="40" w:type="dxa"/>
              <w:right w:w="40" w:type="dxa"/>
            </w:tcMar>
            <w:vAlign w:val="bottom"/>
          </w:tcPr>
          <w:p w14:paraId="4ACE5CF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CF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(1,071</w:t>
            </w:r>
          </w:p>
        </w:tc>
        <w:tc>
          <w:tcPr>
            <w:tcW w:w="0" w:type="auto"/>
            <w:shd w:val="clear" w:color="auto" w:fill="auto"/>
            <w:tcMar>
              <w:top w:w="40" w:type="dxa"/>
              <w:bottom w:w="40" w:type="dxa"/>
              <w:right w:w="40" w:type="dxa"/>
            </w:tcMar>
            <w:vAlign w:val="bottom"/>
          </w:tcPr>
          <w:p w14:paraId="4ACE5CF4"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5CF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CF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138</w:t>
            </w:r>
          </w:p>
        </w:tc>
        <w:tc>
          <w:tcPr>
            <w:tcW w:w="0" w:type="auto"/>
            <w:shd w:val="clear" w:color="auto" w:fill="auto"/>
            <w:vAlign w:val="bottom"/>
          </w:tcPr>
          <w:p w14:paraId="4ACE5CF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CF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CF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68</w:t>
            </w:r>
          </w:p>
        </w:tc>
        <w:tc>
          <w:tcPr>
            <w:tcW w:w="0" w:type="auto"/>
            <w:shd w:val="clear" w:color="auto" w:fill="auto"/>
            <w:vAlign w:val="bottom"/>
          </w:tcPr>
          <w:p w14:paraId="4ACE5CFA" w14:textId="77777777" w:rsidR="006F587A" w:rsidRDefault="006F587A">
            <w:pPr>
              <w:textAlignment w:val="bottom"/>
              <w:rPr>
                <w:rFonts w:ascii="Times New Roman" w:hAnsi="Times New Roman"/>
                <w:sz w:val="20"/>
                <w:szCs w:val="20"/>
              </w:rPr>
            </w:pPr>
          </w:p>
        </w:tc>
      </w:tr>
      <w:tr w:rsidR="006F587A" w14:paraId="4ACE5D09" w14:textId="77777777">
        <w:tc>
          <w:tcPr>
            <w:tcW w:w="0" w:type="auto"/>
            <w:shd w:val="clear" w:color="auto" w:fill="auto"/>
            <w:tcMar>
              <w:top w:w="40" w:type="dxa"/>
              <w:left w:w="40" w:type="dxa"/>
              <w:bottom w:w="40" w:type="dxa"/>
              <w:right w:w="40" w:type="dxa"/>
            </w:tcMar>
          </w:tcPr>
          <w:p w14:paraId="4ACE5CFC" w14:textId="77777777" w:rsidR="006F587A" w:rsidRDefault="007B2B61">
            <w:pPr>
              <w:textAlignment w:val="top"/>
              <w:rPr>
                <w:rFonts w:ascii="Times New Roman" w:hAnsi="Times New Roman"/>
                <w:sz w:val="18"/>
                <w:szCs w:val="18"/>
              </w:rPr>
            </w:pPr>
            <w:r>
              <w:rPr>
                <w:rFonts w:ascii="Arial" w:eastAsia="宋体" w:hAnsi="Arial" w:cs="Arial"/>
                <w:b/>
                <w:bCs/>
                <w:color w:val="333333"/>
                <w:sz w:val="18"/>
                <w:szCs w:val="18"/>
              </w:rPr>
              <w:t>Total</w:t>
            </w:r>
          </w:p>
        </w:tc>
        <w:tc>
          <w:tcPr>
            <w:tcW w:w="0" w:type="auto"/>
            <w:shd w:val="clear" w:color="auto" w:fill="auto"/>
            <w:tcMar>
              <w:top w:w="40" w:type="dxa"/>
              <w:left w:w="40" w:type="dxa"/>
              <w:bottom w:w="40" w:type="dxa"/>
              <w:right w:w="40" w:type="dxa"/>
            </w:tcMar>
            <w:vAlign w:val="bottom"/>
          </w:tcPr>
          <w:p w14:paraId="4ACE5CF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CFE"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CFF"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vAlign w:val="bottom"/>
          </w:tcPr>
          <w:p w14:paraId="4ACE5D0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D0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D02"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D03"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vAlign w:val="bottom"/>
          </w:tcPr>
          <w:p w14:paraId="4ACE5D0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D0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D06"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D07"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vAlign w:val="bottom"/>
          </w:tcPr>
          <w:p w14:paraId="4ACE5D08" w14:textId="77777777" w:rsidR="006F587A" w:rsidRDefault="006F587A">
            <w:pPr>
              <w:textAlignment w:val="bottom"/>
              <w:rPr>
                <w:rFonts w:ascii="Times New Roman" w:hAnsi="Times New Roman"/>
                <w:sz w:val="20"/>
                <w:szCs w:val="20"/>
              </w:rPr>
            </w:pPr>
          </w:p>
        </w:tc>
      </w:tr>
    </w:tbl>
    <w:p w14:paraId="4ACE5D0A" w14:textId="77777777" w:rsidR="006F587A" w:rsidRDefault="006F587A"/>
    <w:p w14:paraId="4ACE5D0B" w14:textId="77777777" w:rsidR="006F587A" w:rsidRDefault="007B2B61">
      <w:pPr>
        <w:spacing w:line="288" w:lineRule="auto"/>
        <w:rPr>
          <w:rFonts w:ascii="Times New Roman" w:hAnsi="Times New Roman"/>
          <w:sz w:val="20"/>
          <w:szCs w:val="20"/>
        </w:rPr>
      </w:pPr>
      <w:r>
        <w:rPr>
          <w:rFonts w:ascii="Arial" w:eastAsia="宋体" w:hAnsi="Arial" w:cs="Arial"/>
          <w:color w:val="333333"/>
          <w:sz w:val="18"/>
          <w:szCs w:val="18"/>
        </w:rPr>
        <w:t xml:space="preserve">The amounts recorded on the Consolidated Balance Sheet related to cumulative basis adjustments for fair value hedges for each period were as </w:t>
      </w:r>
      <w:r>
        <w:rPr>
          <w:rFonts w:ascii="Arial" w:eastAsia="宋体" w:hAnsi="Arial" w:cs="Arial"/>
          <w:color w:val="333333"/>
          <w:sz w:val="18"/>
          <w:szCs w:val="18"/>
        </w:rPr>
        <w:t>follows:</w:t>
      </w:r>
    </w:p>
    <w:tbl>
      <w:tblPr>
        <w:tblW w:w="5000" w:type="pct"/>
        <w:tblCellMar>
          <w:left w:w="0" w:type="dxa"/>
          <w:right w:w="0" w:type="dxa"/>
        </w:tblCellMar>
        <w:tblLook w:val="04A0" w:firstRow="1" w:lastRow="0" w:firstColumn="1" w:lastColumn="0" w:noHBand="0" w:noVBand="1"/>
      </w:tblPr>
      <w:tblGrid>
        <w:gridCol w:w="3896"/>
        <w:gridCol w:w="130"/>
        <w:gridCol w:w="141"/>
        <w:gridCol w:w="740"/>
        <w:gridCol w:w="100"/>
        <w:gridCol w:w="130"/>
        <w:gridCol w:w="141"/>
        <w:gridCol w:w="740"/>
        <w:gridCol w:w="100"/>
        <w:gridCol w:w="130"/>
        <w:gridCol w:w="142"/>
        <w:gridCol w:w="740"/>
        <w:gridCol w:w="100"/>
        <w:gridCol w:w="130"/>
        <w:gridCol w:w="141"/>
        <w:gridCol w:w="740"/>
        <w:gridCol w:w="65"/>
      </w:tblGrid>
      <w:tr w:rsidR="006F587A" w14:paraId="4ACE5D0D" w14:textId="77777777">
        <w:tc>
          <w:tcPr>
            <w:tcW w:w="0" w:type="auto"/>
            <w:gridSpan w:val="17"/>
            <w:shd w:val="clear" w:color="auto" w:fill="auto"/>
            <w:vAlign w:val="center"/>
          </w:tcPr>
          <w:p w14:paraId="4ACE5D0C" w14:textId="77777777" w:rsidR="006F587A" w:rsidRDefault="006F587A">
            <w:pPr>
              <w:rPr>
                <w:rFonts w:ascii="Times New Roman" w:hAnsi="Times New Roman"/>
                <w:sz w:val="20"/>
                <w:szCs w:val="20"/>
              </w:rPr>
            </w:pPr>
          </w:p>
        </w:tc>
      </w:tr>
      <w:tr w:rsidR="006F587A" w14:paraId="4ACE5D1F" w14:textId="77777777">
        <w:tc>
          <w:tcPr>
            <w:tcW w:w="2400" w:type="pct"/>
            <w:shd w:val="clear" w:color="auto" w:fill="auto"/>
            <w:vAlign w:val="center"/>
          </w:tcPr>
          <w:p w14:paraId="4ACE5D0E" w14:textId="77777777" w:rsidR="006F587A" w:rsidRDefault="006F587A">
            <w:pPr>
              <w:rPr>
                <w:rFonts w:ascii="Times New Roman" w:hAnsi="Times New Roman"/>
                <w:sz w:val="20"/>
                <w:szCs w:val="20"/>
              </w:rPr>
            </w:pPr>
          </w:p>
        </w:tc>
        <w:tc>
          <w:tcPr>
            <w:tcW w:w="50" w:type="pct"/>
            <w:shd w:val="clear" w:color="auto" w:fill="auto"/>
            <w:vAlign w:val="center"/>
          </w:tcPr>
          <w:p w14:paraId="4ACE5D0F" w14:textId="77777777" w:rsidR="006F587A" w:rsidRDefault="006F587A">
            <w:pPr>
              <w:rPr>
                <w:rFonts w:ascii="Times New Roman" w:hAnsi="Times New Roman"/>
                <w:sz w:val="20"/>
                <w:szCs w:val="20"/>
              </w:rPr>
            </w:pPr>
          </w:p>
        </w:tc>
        <w:tc>
          <w:tcPr>
            <w:tcW w:w="50" w:type="pct"/>
            <w:shd w:val="clear" w:color="auto" w:fill="auto"/>
            <w:vAlign w:val="center"/>
          </w:tcPr>
          <w:p w14:paraId="4ACE5D10" w14:textId="77777777" w:rsidR="006F587A" w:rsidRDefault="006F587A">
            <w:pPr>
              <w:rPr>
                <w:rFonts w:ascii="Times New Roman" w:hAnsi="Times New Roman"/>
                <w:sz w:val="20"/>
                <w:szCs w:val="20"/>
              </w:rPr>
            </w:pPr>
          </w:p>
        </w:tc>
        <w:tc>
          <w:tcPr>
            <w:tcW w:w="500" w:type="pct"/>
            <w:shd w:val="clear" w:color="auto" w:fill="auto"/>
            <w:vAlign w:val="center"/>
          </w:tcPr>
          <w:p w14:paraId="4ACE5D11" w14:textId="77777777" w:rsidR="006F587A" w:rsidRDefault="006F587A">
            <w:pPr>
              <w:rPr>
                <w:rFonts w:ascii="Times New Roman" w:hAnsi="Times New Roman"/>
                <w:sz w:val="20"/>
                <w:szCs w:val="20"/>
              </w:rPr>
            </w:pPr>
          </w:p>
        </w:tc>
        <w:tc>
          <w:tcPr>
            <w:tcW w:w="50" w:type="pct"/>
            <w:shd w:val="clear" w:color="auto" w:fill="auto"/>
            <w:vAlign w:val="center"/>
          </w:tcPr>
          <w:p w14:paraId="4ACE5D12" w14:textId="77777777" w:rsidR="006F587A" w:rsidRDefault="006F587A">
            <w:pPr>
              <w:rPr>
                <w:rFonts w:ascii="Times New Roman" w:hAnsi="Times New Roman"/>
                <w:sz w:val="20"/>
                <w:szCs w:val="20"/>
              </w:rPr>
            </w:pPr>
          </w:p>
        </w:tc>
        <w:tc>
          <w:tcPr>
            <w:tcW w:w="50" w:type="pct"/>
            <w:shd w:val="clear" w:color="auto" w:fill="auto"/>
            <w:vAlign w:val="center"/>
          </w:tcPr>
          <w:p w14:paraId="4ACE5D13" w14:textId="77777777" w:rsidR="006F587A" w:rsidRDefault="006F587A">
            <w:pPr>
              <w:rPr>
                <w:rFonts w:ascii="Times New Roman" w:hAnsi="Times New Roman"/>
                <w:sz w:val="20"/>
                <w:szCs w:val="20"/>
              </w:rPr>
            </w:pPr>
          </w:p>
        </w:tc>
        <w:tc>
          <w:tcPr>
            <w:tcW w:w="50" w:type="pct"/>
            <w:shd w:val="clear" w:color="auto" w:fill="auto"/>
            <w:vAlign w:val="center"/>
          </w:tcPr>
          <w:p w14:paraId="4ACE5D14" w14:textId="77777777" w:rsidR="006F587A" w:rsidRDefault="006F587A">
            <w:pPr>
              <w:rPr>
                <w:rFonts w:ascii="Times New Roman" w:hAnsi="Times New Roman"/>
                <w:sz w:val="20"/>
                <w:szCs w:val="20"/>
              </w:rPr>
            </w:pPr>
          </w:p>
        </w:tc>
        <w:tc>
          <w:tcPr>
            <w:tcW w:w="500" w:type="pct"/>
            <w:shd w:val="clear" w:color="auto" w:fill="auto"/>
            <w:vAlign w:val="center"/>
          </w:tcPr>
          <w:p w14:paraId="4ACE5D15" w14:textId="77777777" w:rsidR="006F587A" w:rsidRDefault="006F587A">
            <w:pPr>
              <w:rPr>
                <w:rFonts w:ascii="Times New Roman" w:hAnsi="Times New Roman"/>
                <w:sz w:val="20"/>
                <w:szCs w:val="20"/>
              </w:rPr>
            </w:pPr>
          </w:p>
        </w:tc>
        <w:tc>
          <w:tcPr>
            <w:tcW w:w="50" w:type="pct"/>
            <w:shd w:val="clear" w:color="auto" w:fill="auto"/>
            <w:vAlign w:val="center"/>
          </w:tcPr>
          <w:p w14:paraId="4ACE5D16" w14:textId="77777777" w:rsidR="006F587A" w:rsidRDefault="006F587A">
            <w:pPr>
              <w:rPr>
                <w:rFonts w:ascii="Times New Roman" w:hAnsi="Times New Roman"/>
                <w:sz w:val="20"/>
                <w:szCs w:val="20"/>
              </w:rPr>
            </w:pPr>
          </w:p>
        </w:tc>
        <w:tc>
          <w:tcPr>
            <w:tcW w:w="50" w:type="pct"/>
            <w:shd w:val="clear" w:color="auto" w:fill="auto"/>
            <w:vAlign w:val="center"/>
          </w:tcPr>
          <w:p w14:paraId="4ACE5D17" w14:textId="77777777" w:rsidR="006F587A" w:rsidRDefault="006F587A">
            <w:pPr>
              <w:rPr>
                <w:rFonts w:ascii="Times New Roman" w:hAnsi="Times New Roman"/>
                <w:sz w:val="20"/>
                <w:szCs w:val="20"/>
              </w:rPr>
            </w:pPr>
          </w:p>
        </w:tc>
        <w:tc>
          <w:tcPr>
            <w:tcW w:w="50" w:type="pct"/>
            <w:shd w:val="clear" w:color="auto" w:fill="auto"/>
            <w:vAlign w:val="center"/>
          </w:tcPr>
          <w:p w14:paraId="4ACE5D18" w14:textId="77777777" w:rsidR="006F587A" w:rsidRDefault="006F587A">
            <w:pPr>
              <w:rPr>
                <w:rFonts w:ascii="Times New Roman" w:hAnsi="Times New Roman"/>
                <w:sz w:val="20"/>
                <w:szCs w:val="20"/>
              </w:rPr>
            </w:pPr>
          </w:p>
        </w:tc>
        <w:tc>
          <w:tcPr>
            <w:tcW w:w="500" w:type="pct"/>
            <w:shd w:val="clear" w:color="auto" w:fill="auto"/>
            <w:vAlign w:val="center"/>
          </w:tcPr>
          <w:p w14:paraId="4ACE5D19" w14:textId="77777777" w:rsidR="006F587A" w:rsidRDefault="006F587A">
            <w:pPr>
              <w:rPr>
                <w:rFonts w:ascii="Times New Roman" w:hAnsi="Times New Roman"/>
                <w:sz w:val="20"/>
                <w:szCs w:val="20"/>
              </w:rPr>
            </w:pPr>
          </w:p>
        </w:tc>
        <w:tc>
          <w:tcPr>
            <w:tcW w:w="50" w:type="pct"/>
            <w:shd w:val="clear" w:color="auto" w:fill="auto"/>
            <w:vAlign w:val="center"/>
          </w:tcPr>
          <w:p w14:paraId="4ACE5D1A" w14:textId="77777777" w:rsidR="006F587A" w:rsidRDefault="006F587A">
            <w:pPr>
              <w:rPr>
                <w:rFonts w:ascii="Times New Roman" w:hAnsi="Times New Roman"/>
                <w:sz w:val="20"/>
                <w:szCs w:val="20"/>
              </w:rPr>
            </w:pPr>
          </w:p>
        </w:tc>
        <w:tc>
          <w:tcPr>
            <w:tcW w:w="50" w:type="pct"/>
            <w:shd w:val="clear" w:color="auto" w:fill="auto"/>
            <w:vAlign w:val="center"/>
          </w:tcPr>
          <w:p w14:paraId="4ACE5D1B" w14:textId="77777777" w:rsidR="006F587A" w:rsidRDefault="006F587A">
            <w:pPr>
              <w:rPr>
                <w:rFonts w:ascii="Times New Roman" w:hAnsi="Times New Roman"/>
                <w:sz w:val="20"/>
                <w:szCs w:val="20"/>
              </w:rPr>
            </w:pPr>
          </w:p>
        </w:tc>
        <w:tc>
          <w:tcPr>
            <w:tcW w:w="50" w:type="pct"/>
            <w:shd w:val="clear" w:color="auto" w:fill="auto"/>
            <w:vAlign w:val="center"/>
          </w:tcPr>
          <w:p w14:paraId="4ACE5D1C" w14:textId="77777777" w:rsidR="006F587A" w:rsidRDefault="006F587A">
            <w:pPr>
              <w:rPr>
                <w:rFonts w:ascii="Times New Roman" w:hAnsi="Times New Roman"/>
                <w:sz w:val="20"/>
                <w:szCs w:val="20"/>
              </w:rPr>
            </w:pPr>
          </w:p>
        </w:tc>
        <w:tc>
          <w:tcPr>
            <w:tcW w:w="500" w:type="pct"/>
            <w:shd w:val="clear" w:color="auto" w:fill="auto"/>
            <w:vAlign w:val="center"/>
          </w:tcPr>
          <w:p w14:paraId="4ACE5D1D" w14:textId="77777777" w:rsidR="006F587A" w:rsidRDefault="006F587A">
            <w:pPr>
              <w:rPr>
                <w:rFonts w:ascii="Times New Roman" w:hAnsi="Times New Roman"/>
                <w:sz w:val="20"/>
                <w:szCs w:val="20"/>
              </w:rPr>
            </w:pPr>
          </w:p>
        </w:tc>
        <w:tc>
          <w:tcPr>
            <w:tcW w:w="50" w:type="pct"/>
            <w:shd w:val="clear" w:color="auto" w:fill="auto"/>
            <w:vAlign w:val="center"/>
          </w:tcPr>
          <w:p w14:paraId="4ACE5D1E" w14:textId="77777777" w:rsidR="006F587A" w:rsidRDefault="006F587A">
            <w:pPr>
              <w:rPr>
                <w:rFonts w:ascii="Times New Roman" w:hAnsi="Times New Roman"/>
                <w:sz w:val="20"/>
                <w:szCs w:val="20"/>
              </w:rPr>
            </w:pPr>
          </w:p>
        </w:tc>
      </w:tr>
      <w:tr w:rsidR="006F587A" w14:paraId="4ACE5D25" w14:textId="77777777">
        <w:tc>
          <w:tcPr>
            <w:tcW w:w="0" w:type="auto"/>
            <w:shd w:val="clear" w:color="auto" w:fill="auto"/>
            <w:tcMar>
              <w:top w:w="40" w:type="dxa"/>
              <w:left w:w="40" w:type="dxa"/>
              <w:bottom w:w="40" w:type="dxa"/>
              <w:right w:w="40" w:type="dxa"/>
            </w:tcMar>
            <w:vAlign w:val="bottom"/>
          </w:tcPr>
          <w:p w14:paraId="4ACE5D20"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Line Item in the Consolidated Balance Sheet in Which the Hedged Item Is Included</w:t>
            </w:r>
          </w:p>
        </w:tc>
        <w:tc>
          <w:tcPr>
            <w:tcW w:w="0" w:type="auto"/>
            <w:shd w:val="clear" w:color="auto" w:fill="auto"/>
            <w:tcMar>
              <w:top w:w="40" w:type="dxa"/>
              <w:left w:w="40" w:type="dxa"/>
              <w:bottom w:w="40" w:type="dxa"/>
              <w:right w:w="40" w:type="dxa"/>
            </w:tcMar>
            <w:vAlign w:val="bottom"/>
          </w:tcPr>
          <w:p w14:paraId="4ACE5D2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71C5"/>
            </w:tcBorders>
            <w:shd w:val="clear" w:color="auto" w:fill="auto"/>
            <w:tcMar>
              <w:top w:w="40" w:type="dxa"/>
              <w:left w:w="40" w:type="dxa"/>
              <w:bottom w:w="40" w:type="dxa"/>
            </w:tcMar>
            <w:vAlign w:val="bottom"/>
          </w:tcPr>
          <w:p w14:paraId="4ACE5D22"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Carrying Amount of the Hedged Item Asset/(Liabilities)</w:t>
            </w:r>
          </w:p>
        </w:tc>
        <w:tc>
          <w:tcPr>
            <w:tcW w:w="0" w:type="auto"/>
            <w:shd w:val="clear" w:color="auto" w:fill="auto"/>
            <w:tcMar>
              <w:top w:w="40" w:type="dxa"/>
              <w:left w:w="40" w:type="dxa"/>
              <w:bottom w:w="40" w:type="dxa"/>
              <w:right w:w="40" w:type="dxa"/>
            </w:tcMar>
            <w:vAlign w:val="bottom"/>
          </w:tcPr>
          <w:p w14:paraId="4ACE5D2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71C5"/>
            </w:tcBorders>
            <w:shd w:val="clear" w:color="auto" w:fill="auto"/>
            <w:tcMar>
              <w:top w:w="40" w:type="dxa"/>
              <w:left w:w="40" w:type="dxa"/>
              <w:bottom w:w="40" w:type="dxa"/>
            </w:tcMar>
            <w:vAlign w:val="bottom"/>
          </w:tcPr>
          <w:p w14:paraId="4ACE5D24"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Cumulative Amount of Fair Value Hedging Adjustment Included in the Carrying </w:t>
            </w:r>
            <w:r>
              <w:rPr>
                <w:rFonts w:ascii="Arial" w:eastAsia="宋体" w:hAnsi="Arial" w:cs="Arial"/>
                <w:b/>
                <w:bCs/>
                <w:color w:val="333333"/>
                <w:sz w:val="18"/>
                <w:szCs w:val="18"/>
              </w:rPr>
              <w:t>Amount Assets/(Liabilities)</w:t>
            </w:r>
          </w:p>
        </w:tc>
      </w:tr>
      <w:tr w:rsidR="006F587A" w14:paraId="4ACE5D2F"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5D26"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 xml:space="preserve">Years Ended </w:t>
            </w:r>
            <w:r>
              <w:rPr>
                <w:rFonts w:ascii="Arial" w:eastAsia="宋体" w:hAnsi="Arial" w:cs="Arial"/>
                <w:b/>
                <w:bCs/>
                <w:color w:val="333333"/>
                <w:sz w:val="18"/>
                <w:szCs w:val="18"/>
              </w:rPr>
              <w:br/>
              <w:t>(In Millions)</w:t>
            </w:r>
          </w:p>
        </w:tc>
        <w:tc>
          <w:tcPr>
            <w:tcW w:w="0" w:type="auto"/>
            <w:shd w:val="clear" w:color="auto" w:fill="auto"/>
            <w:tcMar>
              <w:top w:w="40" w:type="dxa"/>
              <w:left w:w="40" w:type="dxa"/>
              <w:bottom w:w="40" w:type="dxa"/>
              <w:right w:w="40" w:type="dxa"/>
            </w:tcMar>
            <w:vAlign w:val="bottom"/>
          </w:tcPr>
          <w:p w14:paraId="4ACE5D2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D28"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28, </w:t>
            </w:r>
            <w:r>
              <w:rPr>
                <w:rFonts w:ascii="Arial" w:eastAsia="宋体" w:hAnsi="Arial" w:cs="Arial"/>
                <w:b/>
                <w:bCs/>
                <w:color w:val="333333"/>
                <w:sz w:val="18"/>
                <w:szCs w:val="18"/>
              </w:rPr>
              <w:br/>
              <w:t>2019</w:t>
            </w:r>
          </w:p>
        </w:tc>
        <w:tc>
          <w:tcPr>
            <w:tcW w:w="0" w:type="auto"/>
            <w:shd w:val="clear" w:color="auto" w:fill="auto"/>
            <w:tcMar>
              <w:top w:w="40" w:type="dxa"/>
              <w:left w:w="40" w:type="dxa"/>
              <w:bottom w:w="40" w:type="dxa"/>
              <w:right w:w="40" w:type="dxa"/>
            </w:tcMar>
            <w:vAlign w:val="bottom"/>
          </w:tcPr>
          <w:p w14:paraId="4ACE5D2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D2A"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29, </w:t>
            </w:r>
            <w:r>
              <w:rPr>
                <w:rFonts w:ascii="Arial" w:eastAsia="宋体" w:hAnsi="Arial" w:cs="Arial"/>
                <w:b/>
                <w:bCs/>
                <w:color w:val="333333"/>
                <w:sz w:val="18"/>
                <w:szCs w:val="18"/>
              </w:rPr>
              <w:br/>
              <w:t>2018</w:t>
            </w:r>
          </w:p>
        </w:tc>
        <w:tc>
          <w:tcPr>
            <w:tcW w:w="0" w:type="auto"/>
            <w:shd w:val="clear" w:color="auto" w:fill="auto"/>
            <w:tcMar>
              <w:top w:w="40" w:type="dxa"/>
              <w:left w:w="40" w:type="dxa"/>
              <w:bottom w:w="40" w:type="dxa"/>
              <w:right w:w="40" w:type="dxa"/>
            </w:tcMar>
            <w:vAlign w:val="bottom"/>
          </w:tcPr>
          <w:p w14:paraId="4ACE5D2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D2C"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28, </w:t>
            </w:r>
            <w:r>
              <w:rPr>
                <w:rFonts w:ascii="Arial" w:eastAsia="宋体" w:hAnsi="Arial" w:cs="Arial"/>
                <w:b/>
                <w:bCs/>
                <w:color w:val="333333"/>
                <w:sz w:val="18"/>
                <w:szCs w:val="18"/>
              </w:rPr>
              <w:br/>
              <w:t>2019</w:t>
            </w:r>
          </w:p>
        </w:tc>
        <w:tc>
          <w:tcPr>
            <w:tcW w:w="0" w:type="auto"/>
            <w:shd w:val="clear" w:color="auto" w:fill="auto"/>
            <w:tcMar>
              <w:top w:w="40" w:type="dxa"/>
              <w:left w:w="40" w:type="dxa"/>
              <w:bottom w:w="40" w:type="dxa"/>
              <w:right w:w="40" w:type="dxa"/>
            </w:tcMar>
            <w:vAlign w:val="bottom"/>
          </w:tcPr>
          <w:p w14:paraId="4ACE5D2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D2E"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29, </w:t>
            </w:r>
            <w:r>
              <w:rPr>
                <w:rFonts w:ascii="Arial" w:eastAsia="宋体" w:hAnsi="Arial" w:cs="Arial"/>
                <w:b/>
                <w:bCs/>
                <w:color w:val="333333"/>
                <w:sz w:val="18"/>
                <w:szCs w:val="18"/>
              </w:rPr>
              <w:br/>
              <w:t>2018</w:t>
            </w:r>
          </w:p>
        </w:tc>
      </w:tr>
      <w:tr w:rsidR="006F587A" w14:paraId="4ACE5D41" w14:textId="77777777">
        <w:tc>
          <w:tcPr>
            <w:tcW w:w="0" w:type="auto"/>
            <w:shd w:val="clear" w:color="auto" w:fill="auto"/>
            <w:tcMar>
              <w:top w:w="40" w:type="dxa"/>
              <w:left w:w="40" w:type="dxa"/>
              <w:bottom w:w="40" w:type="dxa"/>
              <w:right w:w="40" w:type="dxa"/>
            </w:tcMar>
          </w:tcPr>
          <w:p w14:paraId="4ACE5D30"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Long-term debt</w:t>
            </w:r>
          </w:p>
        </w:tc>
        <w:tc>
          <w:tcPr>
            <w:tcW w:w="0" w:type="auto"/>
            <w:shd w:val="clear" w:color="auto" w:fill="auto"/>
            <w:tcMar>
              <w:top w:w="40" w:type="dxa"/>
              <w:left w:w="40" w:type="dxa"/>
              <w:bottom w:w="40" w:type="dxa"/>
              <w:right w:w="40" w:type="dxa"/>
            </w:tcMar>
            <w:vAlign w:val="bottom"/>
          </w:tcPr>
          <w:p w14:paraId="4ACE5D3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D32"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5D3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(12,678</w:t>
            </w:r>
          </w:p>
        </w:tc>
        <w:tc>
          <w:tcPr>
            <w:tcW w:w="0" w:type="auto"/>
            <w:shd w:val="clear" w:color="auto" w:fill="auto"/>
            <w:tcMar>
              <w:top w:w="40" w:type="dxa"/>
              <w:bottom w:w="40" w:type="dxa"/>
              <w:right w:w="40" w:type="dxa"/>
            </w:tcMar>
            <w:vAlign w:val="bottom"/>
          </w:tcPr>
          <w:p w14:paraId="4ACE5D34"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5D3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D3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5D3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(19,622</w:t>
            </w:r>
          </w:p>
        </w:tc>
        <w:tc>
          <w:tcPr>
            <w:tcW w:w="0" w:type="auto"/>
            <w:shd w:val="clear" w:color="auto" w:fill="auto"/>
            <w:tcMar>
              <w:top w:w="40" w:type="dxa"/>
              <w:bottom w:w="40" w:type="dxa"/>
              <w:right w:w="40" w:type="dxa"/>
            </w:tcMar>
            <w:vAlign w:val="bottom"/>
          </w:tcPr>
          <w:p w14:paraId="4ACE5D3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5D3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D3A"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5D3B"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(681</w:t>
            </w:r>
          </w:p>
        </w:tc>
        <w:tc>
          <w:tcPr>
            <w:tcW w:w="0" w:type="auto"/>
            <w:shd w:val="clear" w:color="auto" w:fill="auto"/>
            <w:tcMar>
              <w:top w:w="40" w:type="dxa"/>
              <w:bottom w:w="40" w:type="dxa"/>
              <w:right w:w="40" w:type="dxa"/>
            </w:tcMar>
            <w:vAlign w:val="bottom"/>
          </w:tcPr>
          <w:p w14:paraId="4ACE5D3C"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5D3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D3E"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5D3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390</w:t>
            </w:r>
          </w:p>
        </w:tc>
        <w:tc>
          <w:tcPr>
            <w:tcW w:w="0" w:type="auto"/>
            <w:shd w:val="clear" w:color="auto" w:fill="auto"/>
            <w:vAlign w:val="bottom"/>
          </w:tcPr>
          <w:p w14:paraId="4ACE5D40" w14:textId="77777777" w:rsidR="006F587A" w:rsidRDefault="006F587A">
            <w:pPr>
              <w:textAlignment w:val="bottom"/>
              <w:rPr>
                <w:rFonts w:ascii="Times New Roman" w:hAnsi="Times New Roman"/>
                <w:sz w:val="20"/>
                <w:szCs w:val="20"/>
              </w:rPr>
            </w:pPr>
          </w:p>
        </w:tc>
      </w:tr>
    </w:tbl>
    <w:p w14:paraId="4ACE5D42" w14:textId="77777777" w:rsidR="006F587A" w:rsidRDefault="006F587A"/>
    <w:p w14:paraId="4ACE5D43" w14:textId="77777777" w:rsidR="006F587A" w:rsidRDefault="006F587A">
      <w:pPr>
        <w:spacing w:line="288" w:lineRule="auto"/>
        <w:rPr>
          <w:rFonts w:ascii="Times New Roman" w:hAnsi="Times New Roman"/>
          <w:sz w:val="18"/>
          <w:szCs w:val="18"/>
        </w:rPr>
      </w:pPr>
    </w:p>
    <w:p w14:paraId="4ACE5D44" w14:textId="77777777" w:rsidR="006F587A" w:rsidRDefault="007B2B61">
      <w:pPr>
        <w:spacing w:line="288" w:lineRule="auto"/>
        <w:rPr>
          <w:rFonts w:ascii="Times New Roman" w:hAnsi="Times New Roman"/>
        </w:rPr>
      </w:pPr>
      <w:r>
        <w:rPr>
          <w:rFonts w:ascii="Arial" w:eastAsia="宋体" w:hAnsi="Arial" w:cs="Arial"/>
          <w:b/>
          <w:bCs/>
          <w:color w:val="0071C5"/>
        </w:rPr>
        <w:t>DERIVATIVES NOT DESIGNATED AS HEDGING INSTRUMENTS</w:t>
      </w:r>
    </w:p>
    <w:p w14:paraId="4ACE5D45" w14:textId="77777777" w:rsidR="006F587A" w:rsidRDefault="007B2B61">
      <w:pPr>
        <w:spacing w:line="288" w:lineRule="auto"/>
        <w:rPr>
          <w:rFonts w:ascii="Times New Roman" w:hAnsi="Times New Roman"/>
          <w:sz w:val="20"/>
          <w:szCs w:val="20"/>
        </w:rPr>
      </w:pPr>
      <w:r>
        <w:rPr>
          <w:rFonts w:ascii="Arial" w:eastAsia="宋体" w:hAnsi="Arial" w:cs="Arial"/>
          <w:color w:val="333333"/>
          <w:sz w:val="18"/>
          <w:szCs w:val="18"/>
        </w:rPr>
        <w:t xml:space="preserve">The effects of derivative instruments not designated as hedging instruments on the Consolidated Statements of Income for each period were as follows: </w:t>
      </w:r>
    </w:p>
    <w:tbl>
      <w:tblPr>
        <w:tblW w:w="5000" w:type="pct"/>
        <w:tblCellMar>
          <w:left w:w="0" w:type="dxa"/>
          <w:right w:w="0" w:type="dxa"/>
        </w:tblCellMar>
        <w:tblLook w:val="04A0" w:firstRow="1" w:lastRow="0" w:firstColumn="1" w:lastColumn="0" w:noHBand="0" w:noVBand="1"/>
      </w:tblPr>
      <w:tblGrid>
        <w:gridCol w:w="2076"/>
        <w:gridCol w:w="130"/>
        <w:gridCol w:w="2740"/>
        <w:gridCol w:w="130"/>
        <w:gridCol w:w="142"/>
        <w:gridCol w:w="748"/>
        <w:gridCol w:w="100"/>
        <w:gridCol w:w="130"/>
        <w:gridCol w:w="142"/>
        <w:gridCol w:w="748"/>
        <w:gridCol w:w="100"/>
        <w:gridCol w:w="130"/>
        <w:gridCol w:w="142"/>
        <w:gridCol w:w="748"/>
        <w:gridCol w:w="100"/>
      </w:tblGrid>
      <w:tr w:rsidR="006F587A" w14:paraId="4ACE5D47" w14:textId="77777777">
        <w:tc>
          <w:tcPr>
            <w:tcW w:w="0" w:type="auto"/>
            <w:gridSpan w:val="15"/>
            <w:shd w:val="clear" w:color="auto" w:fill="auto"/>
            <w:vAlign w:val="center"/>
          </w:tcPr>
          <w:p w14:paraId="4ACE5D46" w14:textId="77777777" w:rsidR="006F587A" w:rsidRDefault="006F587A">
            <w:pPr>
              <w:rPr>
                <w:rFonts w:ascii="Times New Roman" w:hAnsi="Times New Roman"/>
                <w:sz w:val="20"/>
                <w:szCs w:val="20"/>
              </w:rPr>
            </w:pPr>
          </w:p>
        </w:tc>
      </w:tr>
      <w:tr w:rsidR="006F587A" w14:paraId="4ACE5D57" w14:textId="77777777">
        <w:tc>
          <w:tcPr>
            <w:tcW w:w="1300" w:type="pct"/>
            <w:shd w:val="clear" w:color="auto" w:fill="auto"/>
            <w:vAlign w:val="center"/>
          </w:tcPr>
          <w:p w14:paraId="4ACE5D48" w14:textId="77777777" w:rsidR="006F587A" w:rsidRDefault="006F587A">
            <w:pPr>
              <w:rPr>
                <w:rFonts w:ascii="Times New Roman" w:hAnsi="Times New Roman"/>
                <w:sz w:val="20"/>
                <w:szCs w:val="20"/>
              </w:rPr>
            </w:pPr>
          </w:p>
        </w:tc>
        <w:tc>
          <w:tcPr>
            <w:tcW w:w="50" w:type="pct"/>
            <w:shd w:val="clear" w:color="auto" w:fill="auto"/>
            <w:vAlign w:val="center"/>
          </w:tcPr>
          <w:p w14:paraId="4ACE5D49" w14:textId="77777777" w:rsidR="006F587A" w:rsidRDefault="006F587A">
            <w:pPr>
              <w:rPr>
                <w:rFonts w:ascii="Times New Roman" w:hAnsi="Times New Roman"/>
                <w:sz w:val="20"/>
                <w:szCs w:val="20"/>
              </w:rPr>
            </w:pPr>
          </w:p>
        </w:tc>
        <w:tc>
          <w:tcPr>
            <w:tcW w:w="1700" w:type="pct"/>
            <w:shd w:val="clear" w:color="auto" w:fill="auto"/>
            <w:vAlign w:val="center"/>
          </w:tcPr>
          <w:p w14:paraId="4ACE5D4A" w14:textId="77777777" w:rsidR="006F587A" w:rsidRDefault="006F587A">
            <w:pPr>
              <w:rPr>
                <w:rFonts w:ascii="Times New Roman" w:hAnsi="Times New Roman"/>
                <w:sz w:val="20"/>
                <w:szCs w:val="20"/>
              </w:rPr>
            </w:pPr>
          </w:p>
        </w:tc>
        <w:tc>
          <w:tcPr>
            <w:tcW w:w="50" w:type="pct"/>
            <w:shd w:val="clear" w:color="auto" w:fill="auto"/>
            <w:vAlign w:val="center"/>
          </w:tcPr>
          <w:p w14:paraId="4ACE5D4B" w14:textId="77777777" w:rsidR="006F587A" w:rsidRDefault="006F587A">
            <w:pPr>
              <w:rPr>
                <w:rFonts w:ascii="Times New Roman" w:hAnsi="Times New Roman"/>
                <w:sz w:val="20"/>
                <w:szCs w:val="20"/>
              </w:rPr>
            </w:pPr>
          </w:p>
        </w:tc>
        <w:tc>
          <w:tcPr>
            <w:tcW w:w="50" w:type="pct"/>
            <w:shd w:val="clear" w:color="auto" w:fill="auto"/>
            <w:vAlign w:val="center"/>
          </w:tcPr>
          <w:p w14:paraId="4ACE5D4C" w14:textId="77777777" w:rsidR="006F587A" w:rsidRDefault="006F587A">
            <w:pPr>
              <w:rPr>
                <w:rFonts w:ascii="Times New Roman" w:hAnsi="Times New Roman"/>
                <w:sz w:val="20"/>
                <w:szCs w:val="20"/>
              </w:rPr>
            </w:pPr>
          </w:p>
        </w:tc>
        <w:tc>
          <w:tcPr>
            <w:tcW w:w="500" w:type="pct"/>
            <w:shd w:val="clear" w:color="auto" w:fill="auto"/>
            <w:vAlign w:val="center"/>
          </w:tcPr>
          <w:p w14:paraId="4ACE5D4D" w14:textId="77777777" w:rsidR="006F587A" w:rsidRDefault="006F587A">
            <w:pPr>
              <w:rPr>
                <w:rFonts w:ascii="Times New Roman" w:hAnsi="Times New Roman"/>
                <w:sz w:val="20"/>
                <w:szCs w:val="20"/>
              </w:rPr>
            </w:pPr>
          </w:p>
        </w:tc>
        <w:tc>
          <w:tcPr>
            <w:tcW w:w="50" w:type="pct"/>
            <w:shd w:val="clear" w:color="auto" w:fill="auto"/>
            <w:vAlign w:val="center"/>
          </w:tcPr>
          <w:p w14:paraId="4ACE5D4E" w14:textId="77777777" w:rsidR="006F587A" w:rsidRDefault="006F587A">
            <w:pPr>
              <w:rPr>
                <w:rFonts w:ascii="Times New Roman" w:hAnsi="Times New Roman"/>
                <w:sz w:val="20"/>
                <w:szCs w:val="20"/>
              </w:rPr>
            </w:pPr>
          </w:p>
        </w:tc>
        <w:tc>
          <w:tcPr>
            <w:tcW w:w="50" w:type="pct"/>
            <w:shd w:val="clear" w:color="auto" w:fill="auto"/>
            <w:vAlign w:val="center"/>
          </w:tcPr>
          <w:p w14:paraId="4ACE5D4F" w14:textId="77777777" w:rsidR="006F587A" w:rsidRDefault="006F587A">
            <w:pPr>
              <w:rPr>
                <w:rFonts w:ascii="Times New Roman" w:hAnsi="Times New Roman"/>
                <w:sz w:val="20"/>
                <w:szCs w:val="20"/>
              </w:rPr>
            </w:pPr>
          </w:p>
        </w:tc>
        <w:tc>
          <w:tcPr>
            <w:tcW w:w="50" w:type="pct"/>
            <w:shd w:val="clear" w:color="auto" w:fill="auto"/>
            <w:vAlign w:val="center"/>
          </w:tcPr>
          <w:p w14:paraId="4ACE5D50" w14:textId="77777777" w:rsidR="006F587A" w:rsidRDefault="006F587A">
            <w:pPr>
              <w:rPr>
                <w:rFonts w:ascii="Times New Roman" w:hAnsi="Times New Roman"/>
                <w:sz w:val="20"/>
                <w:szCs w:val="20"/>
              </w:rPr>
            </w:pPr>
          </w:p>
        </w:tc>
        <w:tc>
          <w:tcPr>
            <w:tcW w:w="500" w:type="pct"/>
            <w:shd w:val="clear" w:color="auto" w:fill="auto"/>
            <w:vAlign w:val="center"/>
          </w:tcPr>
          <w:p w14:paraId="4ACE5D51" w14:textId="77777777" w:rsidR="006F587A" w:rsidRDefault="006F587A">
            <w:pPr>
              <w:rPr>
                <w:rFonts w:ascii="Times New Roman" w:hAnsi="Times New Roman"/>
                <w:sz w:val="20"/>
                <w:szCs w:val="20"/>
              </w:rPr>
            </w:pPr>
          </w:p>
        </w:tc>
        <w:tc>
          <w:tcPr>
            <w:tcW w:w="50" w:type="pct"/>
            <w:shd w:val="clear" w:color="auto" w:fill="auto"/>
            <w:vAlign w:val="center"/>
          </w:tcPr>
          <w:p w14:paraId="4ACE5D52" w14:textId="77777777" w:rsidR="006F587A" w:rsidRDefault="006F587A">
            <w:pPr>
              <w:rPr>
                <w:rFonts w:ascii="Times New Roman" w:hAnsi="Times New Roman"/>
                <w:sz w:val="20"/>
                <w:szCs w:val="20"/>
              </w:rPr>
            </w:pPr>
          </w:p>
        </w:tc>
        <w:tc>
          <w:tcPr>
            <w:tcW w:w="50" w:type="pct"/>
            <w:shd w:val="clear" w:color="auto" w:fill="auto"/>
            <w:vAlign w:val="center"/>
          </w:tcPr>
          <w:p w14:paraId="4ACE5D53" w14:textId="77777777" w:rsidR="006F587A" w:rsidRDefault="006F587A">
            <w:pPr>
              <w:rPr>
                <w:rFonts w:ascii="Times New Roman" w:hAnsi="Times New Roman"/>
                <w:sz w:val="20"/>
                <w:szCs w:val="20"/>
              </w:rPr>
            </w:pPr>
          </w:p>
        </w:tc>
        <w:tc>
          <w:tcPr>
            <w:tcW w:w="50" w:type="pct"/>
            <w:shd w:val="clear" w:color="auto" w:fill="auto"/>
            <w:vAlign w:val="center"/>
          </w:tcPr>
          <w:p w14:paraId="4ACE5D54" w14:textId="77777777" w:rsidR="006F587A" w:rsidRDefault="006F587A">
            <w:pPr>
              <w:rPr>
                <w:rFonts w:ascii="Times New Roman" w:hAnsi="Times New Roman"/>
                <w:sz w:val="20"/>
                <w:szCs w:val="20"/>
              </w:rPr>
            </w:pPr>
          </w:p>
        </w:tc>
        <w:tc>
          <w:tcPr>
            <w:tcW w:w="500" w:type="pct"/>
            <w:shd w:val="clear" w:color="auto" w:fill="auto"/>
            <w:vAlign w:val="center"/>
          </w:tcPr>
          <w:p w14:paraId="4ACE5D55" w14:textId="77777777" w:rsidR="006F587A" w:rsidRDefault="006F587A">
            <w:pPr>
              <w:rPr>
                <w:rFonts w:ascii="Times New Roman" w:hAnsi="Times New Roman"/>
                <w:sz w:val="20"/>
                <w:szCs w:val="20"/>
              </w:rPr>
            </w:pPr>
          </w:p>
        </w:tc>
        <w:tc>
          <w:tcPr>
            <w:tcW w:w="50" w:type="pct"/>
            <w:shd w:val="clear" w:color="auto" w:fill="auto"/>
            <w:vAlign w:val="center"/>
          </w:tcPr>
          <w:p w14:paraId="4ACE5D56" w14:textId="77777777" w:rsidR="006F587A" w:rsidRDefault="006F587A">
            <w:pPr>
              <w:rPr>
                <w:rFonts w:ascii="Times New Roman" w:hAnsi="Times New Roman"/>
                <w:sz w:val="20"/>
                <w:szCs w:val="20"/>
              </w:rPr>
            </w:pPr>
          </w:p>
        </w:tc>
      </w:tr>
      <w:tr w:rsidR="006F587A" w14:paraId="4ACE5D62"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5D58"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Years Ended (In Millions)</w:t>
            </w:r>
          </w:p>
        </w:tc>
        <w:tc>
          <w:tcPr>
            <w:tcW w:w="0" w:type="auto"/>
            <w:shd w:val="clear" w:color="auto" w:fill="auto"/>
            <w:tcMar>
              <w:top w:w="40" w:type="dxa"/>
              <w:left w:w="40" w:type="dxa"/>
              <w:bottom w:w="40" w:type="dxa"/>
              <w:right w:w="40" w:type="dxa"/>
            </w:tcMar>
            <w:vAlign w:val="bottom"/>
          </w:tcPr>
          <w:p w14:paraId="4ACE5D5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71C5"/>
            </w:tcBorders>
            <w:shd w:val="clear" w:color="auto" w:fill="auto"/>
            <w:tcMar>
              <w:top w:w="40" w:type="dxa"/>
              <w:left w:w="40" w:type="dxa"/>
              <w:bottom w:w="40" w:type="dxa"/>
              <w:right w:w="40" w:type="dxa"/>
            </w:tcMar>
            <w:vAlign w:val="bottom"/>
          </w:tcPr>
          <w:p w14:paraId="4ACE5D5A"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Location of Gains (Losses)</w:t>
            </w:r>
          </w:p>
          <w:p w14:paraId="4ACE5D5B"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Recognized in Income on </w:t>
            </w:r>
            <w:r>
              <w:rPr>
                <w:rFonts w:ascii="Arial" w:eastAsia="宋体" w:hAnsi="Arial" w:cs="Arial"/>
                <w:b/>
                <w:bCs/>
                <w:color w:val="333333"/>
                <w:sz w:val="18"/>
                <w:szCs w:val="18"/>
              </w:rPr>
              <w:t>Derivatives</w:t>
            </w:r>
          </w:p>
        </w:tc>
        <w:tc>
          <w:tcPr>
            <w:tcW w:w="0" w:type="auto"/>
            <w:shd w:val="clear" w:color="auto" w:fill="auto"/>
            <w:tcMar>
              <w:top w:w="40" w:type="dxa"/>
              <w:left w:w="40" w:type="dxa"/>
              <w:bottom w:w="40" w:type="dxa"/>
              <w:right w:w="40" w:type="dxa"/>
            </w:tcMar>
            <w:vAlign w:val="bottom"/>
          </w:tcPr>
          <w:p w14:paraId="4ACE5D5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D5D"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28, </w:t>
            </w:r>
            <w:r>
              <w:rPr>
                <w:rFonts w:ascii="Arial" w:eastAsia="宋体" w:hAnsi="Arial" w:cs="Arial"/>
                <w:b/>
                <w:bCs/>
                <w:color w:val="333333"/>
                <w:sz w:val="18"/>
                <w:szCs w:val="18"/>
              </w:rPr>
              <w:br/>
              <w:t>2019</w:t>
            </w:r>
          </w:p>
        </w:tc>
        <w:tc>
          <w:tcPr>
            <w:tcW w:w="0" w:type="auto"/>
            <w:shd w:val="clear" w:color="auto" w:fill="auto"/>
            <w:tcMar>
              <w:top w:w="40" w:type="dxa"/>
              <w:left w:w="40" w:type="dxa"/>
              <w:bottom w:w="40" w:type="dxa"/>
              <w:right w:w="40" w:type="dxa"/>
            </w:tcMar>
            <w:vAlign w:val="bottom"/>
          </w:tcPr>
          <w:p w14:paraId="4ACE5D5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D5F"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29, </w:t>
            </w:r>
            <w:r>
              <w:rPr>
                <w:rFonts w:ascii="Arial" w:eastAsia="宋体" w:hAnsi="Arial" w:cs="Arial"/>
                <w:b/>
                <w:bCs/>
                <w:color w:val="333333"/>
                <w:sz w:val="18"/>
                <w:szCs w:val="18"/>
              </w:rPr>
              <w:br/>
              <w:t>2018</w:t>
            </w:r>
          </w:p>
        </w:tc>
        <w:tc>
          <w:tcPr>
            <w:tcW w:w="0" w:type="auto"/>
            <w:shd w:val="clear" w:color="auto" w:fill="auto"/>
            <w:tcMar>
              <w:top w:w="40" w:type="dxa"/>
              <w:left w:w="40" w:type="dxa"/>
              <w:bottom w:w="40" w:type="dxa"/>
              <w:right w:w="40" w:type="dxa"/>
            </w:tcMar>
            <w:vAlign w:val="bottom"/>
          </w:tcPr>
          <w:p w14:paraId="4ACE5D6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D61"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30, </w:t>
            </w:r>
            <w:r>
              <w:rPr>
                <w:rFonts w:ascii="Arial" w:eastAsia="宋体" w:hAnsi="Arial" w:cs="Arial"/>
                <w:b/>
                <w:bCs/>
                <w:color w:val="333333"/>
                <w:sz w:val="18"/>
                <w:szCs w:val="18"/>
              </w:rPr>
              <w:br/>
              <w:t>2017</w:t>
            </w:r>
          </w:p>
        </w:tc>
      </w:tr>
      <w:tr w:rsidR="006F587A" w14:paraId="4ACE5D72" w14:textId="77777777">
        <w:tc>
          <w:tcPr>
            <w:tcW w:w="0" w:type="auto"/>
            <w:tcBorders>
              <w:top w:val="single" w:sz="8" w:space="0" w:color="0071C5"/>
            </w:tcBorders>
            <w:shd w:val="clear" w:color="auto" w:fill="auto"/>
            <w:tcMar>
              <w:top w:w="40" w:type="dxa"/>
              <w:left w:w="40" w:type="dxa"/>
              <w:bottom w:w="40" w:type="dxa"/>
              <w:right w:w="40" w:type="dxa"/>
            </w:tcMar>
          </w:tcPr>
          <w:p w14:paraId="4ACE5D63"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Foreign currency contracts</w:t>
            </w:r>
          </w:p>
        </w:tc>
        <w:tc>
          <w:tcPr>
            <w:tcW w:w="0" w:type="auto"/>
            <w:shd w:val="clear" w:color="auto" w:fill="auto"/>
            <w:tcMar>
              <w:top w:w="40" w:type="dxa"/>
              <w:left w:w="40" w:type="dxa"/>
              <w:bottom w:w="40" w:type="dxa"/>
              <w:right w:w="40" w:type="dxa"/>
            </w:tcMar>
            <w:vAlign w:val="bottom"/>
          </w:tcPr>
          <w:p w14:paraId="4ACE5D6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D6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Interest and other, net</w:t>
            </w:r>
          </w:p>
        </w:tc>
        <w:tc>
          <w:tcPr>
            <w:tcW w:w="0" w:type="auto"/>
            <w:shd w:val="clear" w:color="auto" w:fill="auto"/>
            <w:tcMar>
              <w:top w:w="40" w:type="dxa"/>
              <w:left w:w="40" w:type="dxa"/>
              <w:bottom w:w="40" w:type="dxa"/>
              <w:right w:w="40" w:type="dxa"/>
            </w:tcMar>
            <w:vAlign w:val="bottom"/>
          </w:tcPr>
          <w:p w14:paraId="4ACE5D6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D67"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5D68"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204</w:t>
            </w:r>
          </w:p>
        </w:tc>
        <w:tc>
          <w:tcPr>
            <w:tcW w:w="0" w:type="auto"/>
            <w:shd w:val="clear" w:color="auto" w:fill="auto"/>
            <w:vAlign w:val="bottom"/>
          </w:tcPr>
          <w:p w14:paraId="4ACE5D6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D6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D6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5D6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372</w:t>
            </w:r>
          </w:p>
        </w:tc>
        <w:tc>
          <w:tcPr>
            <w:tcW w:w="0" w:type="auto"/>
            <w:shd w:val="clear" w:color="auto" w:fill="auto"/>
            <w:vAlign w:val="bottom"/>
          </w:tcPr>
          <w:p w14:paraId="4ACE5D6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D6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D6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5D70"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(547</w:t>
            </w:r>
          </w:p>
        </w:tc>
        <w:tc>
          <w:tcPr>
            <w:tcW w:w="0" w:type="auto"/>
            <w:shd w:val="clear" w:color="auto" w:fill="auto"/>
            <w:tcMar>
              <w:top w:w="40" w:type="dxa"/>
              <w:bottom w:w="40" w:type="dxa"/>
              <w:right w:w="40" w:type="dxa"/>
            </w:tcMar>
            <w:vAlign w:val="bottom"/>
          </w:tcPr>
          <w:p w14:paraId="4ACE5D7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5D7F" w14:textId="77777777">
        <w:tc>
          <w:tcPr>
            <w:tcW w:w="0" w:type="auto"/>
            <w:shd w:val="clear" w:color="auto" w:fill="auto"/>
            <w:tcMar>
              <w:top w:w="40" w:type="dxa"/>
              <w:left w:w="40" w:type="dxa"/>
              <w:bottom w:w="40" w:type="dxa"/>
              <w:right w:w="40" w:type="dxa"/>
            </w:tcMar>
          </w:tcPr>
          <w:p w14:paraId="4ACE5D73"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Interest rate contracts</w:t>
            </w:r>
          </w:p>
        </w:tc>
        <w:tc>
          <w:tcPr>
            <w:tcW w:w="0" w:type="auto"/>
            <w:shd w:val="clear" w:color="auto" w:fill="auto"/>
            <w:tcMar>
              <w:top w:w="40" w:type="dxa"/>
              <w:left w:w="40" w:type="dxa"/>
              <w:bottom w:w="40" w:type="dxa"/>
              <w:right w:w="40" w:type="dxa"/>
            </w:tcMar>
            <w:vAlign w:val="bottom"/>
          </w:tcPr>
          <w:p w14:paraId="4ACE5D7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D7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Interest and other, net</w:t>
            </w:r>
          </w:p>
        </w:tc>
        <w:tc>
          <w:tcPr>
            <w:tcW w:w="0" w:type="auto"/>
            <w:shd w:val="clear" w:color="auto" w:fill="auto"/>
            <w:tcMar>
              <w:top w:w="40" w:type="dxa"/>
              <w:left w:w="40" w:type="dxa"/>
              <w:bottom w:w="40" w:type="dxa"/>
              <w:right w:w="40" w:type="dxa"/>
            </w:tcMar>
            <w:vAlign w:val="bottom"/>
          </w:tcPr>
          <w:p w14:paraId="4ACE5D7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D77"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(32</w:t>
            </w:r>
          </w:p>
        </w:tc>
        <w:tc>
          <w:tcPr>
            <w:tcW w:w="0" w:type="auto"/>
            <w:shd w:val="clear" w:color="auto" w:fill="auto"/>
            <w:tcMar>
              <w:top w:w="40" w:type="dxa"/>
              <w:bottom w:w="40" w:type="dxa"/>
              <w:right w:w="40" w:type="dxa"/>
            </w:tcMar>
            <w:vAlign w:val="bottom"/>
          </w:tcPr>
          <w:p w14:paraId="4ACE5D78"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5D7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D7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9</w:t>
            </w:r>
          </w:p>
        </w:tc>
        <w:tc>
          <w:tcPr>
            <w:tcW w:w="0" w:type="auto"/>
            <w:shd w:val="clear" w:color="auto" w:fill="auto"/>
            <w:vAlign w:val="bottom"/>
          </w:tcPr>
          <w:p w14:paraId="4ACE5D7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D7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D7D"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9</w:t>
            </w:r>
          </w:p>
        </w:tc>
        <w:tc>
          <w:tcPr>
            <w:tcW w:w="0" w:type="auto"/>
            <w:shd w:val="clear" w:color="auto" w:fill="auto"/>
            <w:vAlign w:val="bottom"/>
          </w:tcPr>
          <w:p w14:paraId="4ACE5D7E" w14:textId="77777777" w:rsidR="006F587A" w:rsidRDefault="006F587A">
            <w:pPr>
              <w:textAlignment w:val="bottom"/>
              <w:rPr>
                <w:rFonts w:ascii="Times New Roman" w:hAnsi="Times New Roman"/>
                <w:sz w:val="20"/>
                <w:szCs w:val="20"/>
              </w:rPr>
            </w:pPr>
          </w:p>
        </w:tc>
      </w:tr>
      <w:tr w:rsidR="006F587A" w14:paraId="4ACE5D8C" w14:textId="77777777">
        <w:tc>
          <w:tcPr>
            <w:tcW w:w="0" w:type="auto"/>
            <w:shd w:val="clear" w:color="auto" w:fill="auto"/>
            <w:tcMar>
              <w:top w:w="40" w:type="dxa"/>
              <w:left w:w="40" w:type="dxa"/>
              <w:bottom w:w="40" w:type="dxa"/>
              <w:right w:w="40" w:type="dxa"/>
            </w:tcMar>
          </w:tcPr>
          <w:p w14:paraId="4ACE5D80"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Other</w:t>
            </w:r>
          </w:p>
        </w:tc>
        <w:tc>
          <w:tcPr>
            <w:tcW w:w="0" w:type="auto"/>
            <w:shd w:val="clear" w:color="auto" w:fill="auto"/>
            <w:tcMar>
              <w:top w:w="40" w:type="dxa"/>
              <w:left w:w="40" w:type="dxa"/>
              <w:bottom w:w="40" w:type="dxa"/>
              <w:right w:w="40" w:type="dxa"/>
            </w:tcMar>
            <w:vAlign w:val="bottom"/>
          </w:tcPr>
          <w:p w14:paraId="4ACE5D8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D8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Various</w:t>
            </w:r>
          </w:p>
        </w:tc>
        <w:tc>
          <w:tcPr>
            <w:tcW w:w="0" w:type="auto"/>
            <w:shd w:val="clear" w:color="auto" w:fill="auto"/>
            <w:tcMar>
              <w:top w:w="40" w:type="dxa"/>
              <w:left w:w="40" w:type="dxa"/>
              <w:bottom w:w="40" w:type="dxa"/>
              <w:right w:w="40" w:type="dxa"/>
            </w:tcMar>
            <w:vAlign w:val="bottom"/>
          </w:tcPr>
          <w:p w14:paraId="4ACE5D8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D84"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297</w:t>
            </w:r>
          </w:p>
        </w:tc>
        <w:tc>
          <w:tcPr>
            <w:tcW w:w="0" w:type="auto"/>
            <w:shd w:val="clear" w:color="auto" w:fill="auto"/>
            <w:vAlign w:val="bottom"/>
          </w:tcPr>
          <w:p w14:paraId="4ACE5D8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D8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D8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(147</w:t>
            </w:r>
          </w:p>
        </w:tc>
        <w:tc>
          <w:tcPr>
            <w:tcW w:w="0" w:type="auto"/>
            <w:shd w:val="clear" w:color="auto" w:fill="auto"/>
            <w:tcMar>
              <w:top w:w="40" w:type="dxa"/>
              <w:bottom w:w="40" w:type="dxa"/>
              <w:right w:w="40" w:type="dxa"/>
            </w:tcMar>
            <w:vAlign w:val="bottom"/>
          </w:tcPr>
          <w:p w14:paraId="4ACE5D8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5D8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D8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203</w:t>
            </w:r>
          </w:p>
        </w:tc>
        <w:tc>
          <w:tcPr>
            <w:tcW w:w="0" w:type="auto"/>
            <w:shd w:val="clear" w:color="auto" w:fill="auto"/>
            <w:vAlign w:val="bottom"/>
          </w:tcPr>
          <w:p w14:paraId="4ACE5D8B" w14:textId="77777777" w:rsidR="006F587A" w:rsidRDefault="006F587A">
            <w:pPr>
              <w:textAlignment w:val="bottom"/>
              <w:rPr>
                <w:rFonts w:ascii="Times New Roman" w:hAnsi="Times New Roman"/>
                <w:sz w:val="20"/>
                <w:szCs w:val="20"/>
              </w:rPr>
            </w:pPr>
          </w:p>
        </w:tc>
      </w:tr>
      <w:tr w:rsidR="006F587A" w14:paraId="4ACE5D9A" w14:textId="77777777">
        <w:tc>
          <w:tcPr>
            <w:tcW w:w="0" w:type="auto"/>
            <w:gridSpan w:val="3"/>
            <w:shd w:val="clear" w:color="auto" w:fill="auto"/>
            <w:tcMar>
              <w:top w:w="40" w:type="dxa"/>
              <w:left w:w="40" w:type="dxa"/>
              <w:bottom w:w="40" w:type="dxa"/>
              <w:right w:w="40" w:type="dxa"/>
            </w:tcMar>
          </w:tcPr>
          <w:p w14:paraId="4ACE5D8D" w14:textId="77777777" w:rsidR="006F587A" w:rsidRDefault="007B2B61">
            <w:pPr>
              <w:textAlignment w:val="top"/>
              <w:rPr>
                <w:rFonts w:ascii="Times New Roman" w:hAnsi="Times New Roman"/>
                <w:sz w:val="18"/>
                <w:szCs w:val="18"/>
              </w:rPr>
            </w:pPr>
            <w:r>
              <w:rPr>
                <w:rFonts w:ascii="Arial" w:eastAsia="宋体" w:hAnsi="Arial" w:cs="Arial"/>
                <w:b/>
                <w:bCs/>
                <w:color w:val="333333"/>
                <w:sz w:val="18"/>
                <w:szCs w:val="18"/>
              </w:rPr>
              <w:t>Total</w:t>
            </w:r>
          </w:p>
        </w:tc>
        <w:tc>
          <w:tcPr>
            <w:tcW w:w="0" w:type="auto"/>
            <w:shd w:val="clear" w:color="auto" w:fill="auto"/>
            <w:tcMar>
              <w:top w:w="40" w:type="dxa"/>
              <w:left w:w="40" w:type="dxa"/>
              <w:bottom w:w="40" w:type="dxa"/>
              <w:right w:w="40" w:type="dxa"/>
            </w:tcMar>
            <w:vAlign w:val="bottom"/>
          </w:tcPr>
          <w:p w14:paraId="4ACE5D8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D8F"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D90"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469</w:t>
            </w:r>
          </w:p>
        </w:tc>
        <w:tc>
          <w:tcPr>
            <w:tcW w:w="0" w:type="auto"/>
            <w:tcBorders>
              <w:top w:val="single" w:sz="8" w:space="0" w:color="333333"/>
              <w:bottom w:val="double" w:sz="6" w:space="0" w:color="333333"/>
            </w:tcBorders>
            <w:shd w:val="clear" w:color="auto" w:fill="auto"/>
            <w:vAlign w:val="bottom"/>
          </w:tcPr>
          <w:p w14:paraId="4ACE5D9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D92" w14:textId="77777777" w:rsidR="006F587A" w:rsidRDefault="006F587A">
            <w:pPr>
              <w:jc w:val="right"/>
              <w:textAlignment w:val="bottom"/>
              <w:rPr>
                <w:rFonts w:ascii="Times New Roman" w:hAnsi="Times New Roman"/>
                <w:sz w:val="18"/>
                <w:szCs w:val="18"/>
              </w:rPr>
            </w:pP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D93"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D94"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234</w:t>
            </w:r>
          </w:p>
        </w:tc>
        <w:tc>
          <w:tcPr>
            <w:tcW w:w="0" w:type="auto"/>
            <w:tcBorders>
              <w:top w:val="single" w:sz="8" w:space="0" w:color="333333"/>
              <w:bottom w:val="double" w:sz="6" w:space="0" w:color="333333"/>
            </w:tcBorders>
            <w:shd w:val="clear" w:color="auto" w:fill="auto"/>
            <w:vAlign w:val="bottom"/>
          </w:tcPr>
          <w:p w14:paraId="4ACE5D9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D96" w14:textId="77777777" w:rsidR="006F587A" w:rsidRDefault="006F587A">
            <w:pPr>
              <w:jc w:val="right"/>
              <w:textAlignment w:val="bottom"/>
              <w:rPr>
                <w:rFonts w:ascii="Times New Roman" w:hAnsi="Times New Roman"/>
                <w:sz w:val="18"/>
                <w:szCs w:val="18"/>
              </w:rPr>
            </w:pP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5D97"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5D98"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(335</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4ACE5D99"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r>
    </w:tbl>
    <w:p w14:paraId="4ACE5D9B" w14:textId="77777777" w:rsidR="006F587A" w:rsidRDefault="006F587A"/>
    <w:p w14:paraId="4ACE5D9C" w14:textId="77777777" w:rsidR="006F587A" w:rsidRDefault="006F587A">
      <w:pPr>
        <w:spacing w:line="288" w:lineRule="auto"/>
        <w:jc w:val="center"/>
        <w:rPr>
          <w:rFonts w:ascii="Times New Roman" w:hAnsi="Times New Roman"/>
          <w:sz w:val="18"/>
          <w:szCs w:val="18"/>
        </w:rPr>
      </w:pPr>
    </w:p>
    <w:p w14:paraId="4ACE5D9D"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5D9F" w14:textId="77777777">
        <w:tc>
          <w:tcPr>
            <w:tcW w:w="0" w:type="auto"/>
            <w:gridSpan w:val="3"/>
            <w:shd w:val="clear" w:color="auto" w:fill="auto"/>
            <w:vAlign w:val="center"/>
          </w:tcPr>
          <w:p w14:paraId="4ACE5D9E" w14:textId="77777777" w:rsidR="006F587A" w:rsidRDefault="006F587A">
            <w:pPr>
              <w:rPr>
                <w:rFonts w:ascii="Times New Roman" w:hAnsi="Times New Roman"/>
                <w:sz w:val="20"/>
                <w:szCs w:val="20"/>
              </w:rPr>
            </w:pPr>
          </w:p>
        </w:tc>
      </w:tr>
      <w:tr w:rsidR="006F587A" w14:paraId="4ACE5DA3" w14:textId="77777777">
        <w:tc>
          <w:tcPr>
            <w:tcW w:w="1300" w:type="pct"/>
            <w:shd w:val="clear" w:color="auto" w:fill="auto"/>
            <w:vAlign w:val="center"/>
          </w:tcPr>
          <w:p w14:paraId="4ACE5DA0" w14:textId="77777777" w:rsidR="006F587A" w:rsidRDefault="006F587A">
            <w:pPr>
              <w:rPr>
                <w:rFonts w:ascii="Times New Roman" w:hAnsi="Times New Roman"/>
                <w:sz w:val="20"/>
                <w:szCs w:val="20"/>
              </w:rPr>
            </w:pPr>
          </w:p>
        </w:tc>
        <w:tc>
          <w:tcPr>
            <w:tcW w:w="1600" w:type="pct"/>
            <w:shd w:val="clear" w:color="auto" w:fill="auto"/>
            <w:vAlign w:val="center"/>
          </w:tcPr>
          <w:p w14:paraId="4ACE5DA1" w14:textId="77777777" w:rsidR="006F587A" w:rsidRDefault="006F587A">
            <w:pPr>
              <w:rPr>
                <w:rFonts w:ascii="Times New Roman" w:hAnsi="Times New Roman"/>
                <w:sz w:val="20"/>
                <w:szCs w:val="20"/>
              </w:rPr>
            </w:pPr>
          </w:p>
        </w:tc>
        <w:tc>
          <w:tcPr>
            <w:tcW w:w="2100" w:type="pct"/>
            <w:shd w:val="clear" w:color="auto" w:fill="auto"/>
            <w:vAlign w:val="center"/>
          </w:tcPr>
          <w:p w14:paraId="4ACE5DA2" w14:textId="77777777" w:rsidR="006F587A" w:rsidRDefault="006F587A">
            <w:pPr>
              <w:rPr>
                <w:rFonts w:ascii="Times New Roman" w:hAnsi="Times New Roman"/>
                <w:sz w:val="20"/>
                <w:szCs w:val="20"/>
              </w:rPr>
            </w:pPr>
          </w:p>
        </w:tc>
      </w:tr>
      <w:tr w:rsidR="006F587A" w14:paraId="4ACE5DA7" w14:textId="77777777">
        <w:tc>
          <w:tcPr>
            <w:tcW w:w="0" w:type="auto"/>
            <w:tcBorders>
              <w:top w:val="single" w:sz="8" w:space="0" w:color="0071C5"/>
            </w:tcBorders>
            <w:shd w:val="clear" w:color="auto" w:fill="auto"/>
            <w:tcMar>
              <w:top w:w="40" w:type="dxa"/>
              <w:left w:w="40" w:type="dxa"/>
              <w:bottom w:w="40" w:type="dxa"/>
              <w:right w:w="40" w:type="dxa"/>
            </w:tcMar>
            <w:vAlign w:val="bottom"/>
          </w:tcPr>
          <w:p w14:paraId="4ACE5DA4" w14:textId="77777777" w:rsidR="006F587A" w:rsidRDefault="007B2B61">
            <w:pPr>
              <w:textAlignment w:val="bottom"/>
              <w:rPr>
                <w:rFonts w:ascii="Times New Roman" w:hAnsi="Times New Roman"/>
                <w:sz w:val="16"/>
                <w:szCs w:val="16"/>
              </w:rPr>
            </w:pPr>
            <w:r>
              <w:rPr>
                <w:rFonts w:ascii="Times New Roman" w:eastAsia="宋体" w:hAnsi="Times New Roman"/>
                <w:sz w:val="16"/>
                <w:szCs w:val="16"/>
              </w:rPr>
              <w:lastRenderedPageBreak/>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E17" wp14:editId="4ACE6E18">
                  <wp:extent cx="304800" cy="304800"/>
                  <wp:effectExtent l="0" t="0" r="0" b="0"/>
                  <wp:docPr id="148" name="图片 340"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340"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left w:val="single" w:sz="36" w:space="0" w:color="0071C5"/>
            </w:tcBorders>
            <w:shd w:val="clear" w:color="auto" w:fill="auto"/>
            <w:tcMar>
              <w:top w:w="40" w:type="dxa"/>
              <w:left w:w="40" w:type="dxa"/>
              <w:bottom w:w="40" w:type="dxa"/>
              <w:right w:w="40" w:type="dxa"/>
            </w:tcMar>
            <w:vAlign w:val="bottom"/>
          </w:tcPr>
          <w:p w14:paraId="4ACE5DA5" w14:textId="77777777" w:rsidR="006F587A" w:rsidRDefault="007B2B61">
            <w:pPr>
              <w:textAlignment w:val="bottom"/>
              <w:rPr>
                <w:rFonts w:ascii="Times New Roman" w:hAnsi="Times New Roman"/>
                <w:sz w:val="16"/>
                <w:szCs w:val="16"/>
              </w:rPr>
            </w:pPr>
            <w:r>
              <w:rPr>
                <w:rFonts w:ascii="Arial" w:eastAsia="宋体" w:hAnsi="Arial" w:cs="Arial"/>
                <w:color w:val="333333"/>
                <w:sz w:val="16"/>
                <w:szCs w:val="16"/>
              </w:rPr>
              <w:t> Notes to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5DA6"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101</w:t>
            </w:r>
          </w:p>
        </w:tc>
      </w:tr>
    </w:tbl>
    <w:p w14:paraId="4ACE5DA8" w14:textId="77777777" w:rsidR="006F587A" w:rsidRDefault="007B2B61">
      <w:r>
        <w:pict w14:anchorId="4ACE6E19">
          <v:rect id="_x0000_i1127" style="width:415.3pt;height:1.5pt" o:hralign="center" o:hrstd="t" o:hr="t" fillcolor="#a0a0a0" stroked="f"/>
        </w:pict>
      </w:r>
    </w:p>
    <w:p w14:paraId="4ACE5DA9" w14:textId="77777777" w:rsidR="006F587A" w:rsidRDefault="007B2B61">
      <w:pPr>
        <w:spacing w:line="288" w:lineRule="auto"/>
        <w:jc w:val="right"/>
        <w:rPr>
          <w:rFonts w:ascii="Times New Roman" w:hAnsi="Times New Roman"/>
          <w:sz w:val="16"/>
          <w:szCs w:val="16"/>
        </w:rPr>
      </w:pPr>
      <w:hyperlink r:id="rId166" w:anchor="s9DB683E2CF52561EB8A73BE37F5BF9BE" w:history="1">
        <w:r>
          <w:rPr>
            <w:rStyle w:val="a5"/>
            <w:rFonts w:ascii="Arial" w:eastAsia="宋体" w:hAnsi="Arial" w:cs="Arial"/>
            <w:b/>
            <w:bCs/>
            <w:sz w:val="16"/>
            <w:szCs w:val="16"/>
          </w:rPr>
          <w:t>Table of Contents</w:t>
        </w:r>
      </w:hyperlink>
    </w:p>
    <w:p w14:paraId="4ACE5DAA" w14:textId="77777777" w:rsidR="006F587A" w:rsidRDefault="006F587A">
      <w:pPr>
        <w:spacing w:line="288" w:lineRule="auto"/>
        <w:jc w:val="right"/>
        <w:rPr>
          <w:rFonts w:ascii="Times New Roman" w:hAnsi="Times New Roman"/>
          <w:sz w:val="16"/>
          <w:szCs w:val="16"/>
        </w:rPr>
      </w:pPr>
    </w:p>
    <w:p w14:paraId="4ACE5DAB"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1080"/>
        <w:gridCol w:w="7226"/>
      </w:tblGrid>
      <w:tr w:rsidR="006F587A" w14:paraId="4ACE5DAD" w14:textId="77777777">
        <w:tc>
          <w:tcPr>
            <w:tcW w:w="0" w:type="auto"/>
            <w:gridSpan w:val="2"/>
            <w:shd w:val="clear" w:color="auto" w:fill="auto"/>
            <w:vAlign w:val="center"/>
          </w:tcPr>
          <w:p w14:paraId="4ACE5DAC" w14:textId="77777777" w:rsidR="006F587A" w:rsidRDefault="006F587A">
            <w:pPr>
              <w:rPr>
                <w:rFonts w:ascii="Times New Roman" w:hAnsi="Times New Roman"/>
                <w:sz w:val="20"/>
                <w:szCs w:val="20"/>
              </w:rPr>
            </w:pPr>
          </w:p>
        </w:tc>
      </w:tr>
      <w:tr w:rsidR="006F587A" w14:paraId="4ACE5DB0" w14:textId="77777777">
        <w:tc>
          <w:tcPr>
            <w:tcW w:w="650" w:type="pct"/>
            <w:shd w:val="clear" w:color="auto" w:fill="auto"/>
            <w:vAlign w:val="center"/>
          </w:tcPr>
          <w:p w14:paraId="4ACE5DAE" w14:textId="77777777" w:rsidR="006F587A" w:rsidRDefault="006F587A">
            <w:pPr>
              <w:rPr>
                <w:rFonts w:ascii="Times New Roman" w:hAnsi="Times New Roman"/>
                <w:sz w:val="20"/>
                <w:szCs w:val="20"/>
              </w:rPr>
            </w:pPr>
          </w:p>
        </w:tc>
        <w:tc>
          <w:tcPr>
            <w:tcW w:w="4350" w:type="pct"/>
            <w:shd w:val="clear" w:color="auto" w:fill="auto"/>
            <w:vAlign w:val="center"/>
          </w:tcPr>
          <w:p w14:paraId="4ACE5DAF" w14:textId="77777777" w:rsidR="006F587A" w:rsidRDefault="006F587A">
            <w:pPr>
              <w:rPr>
                <w:rFonts w:ascii="Times New Roman" w:hAnsi="Times New Roman"/>
                <w:sz w:val="20"/>
                <w:szCs w:val="20"/>
              </w:rPr>
            </w:pPr>
          </w:p>
        </w:tc>
      </w:tr>
      <w:tr w:rsidR="006F587A" w14:paraId="4ACE5DB3" w14:textId="77777777">
        <w:tc>
          <w:tcPr>
            <w:tcW w:w="0" w:type="auto"/>
            <w:tcBorders>
              <w:bottom w:val="single" w:sz="8" w:space="0" w:color="0071C5"/>
            </w:tcBorders>
            <w:shd w:val="clear" w:color="auto" w:fill="0071C5"/>
            <w:tcMar>
              <w:top w:w="40" w:type="dxa"/>
              <w:left w:w="40" w:type="dxa"/>
              <w:bottom w:w="40" w:type="dxa"/>
              <w:right w:w="40" w:type="dxa"/>
            </w:tcMar>
            <w:vAlign w:val="bottom"/>
          </w:tcPr>
          <w:p w14:paraId="4ACE5DB1" w14:textId="77777777" w:rsidR="006F587A" w:rsidRDefault="007B2B61">
            <w:pPr>
              <w:textAlignment w:val="bottom"/>
              <w:rPr>
                <w:rFonts w:ascii="Times New Roman" w:hAnsi="Times New Roman"/>
                <w:sz w:val="28"/>
                <w:szCs w:val="28"/>
              </w:rPr>
            </w:pPr>
            <w:r>
              <w:rPr>
                <w:rFonts w:ascii="Arial" w:eastAsia="宋体" w:hAnsi="Arial" w:cs="Arial"/>
                <w:b/>
                <w:bCs/>
                <w:color w:val="FFFFFF"/>
                <w:sz w:val="28"/>
                <w:szCs w:val="28"/>
                <w:shd w:val="clear" w:color="auto" w:fill="0071C5"/>
              </w:rPr>
              <w:t xml:space="preserve">NOTE 18 : </w:t>
            </w:r>
          </w:p>
        </w:tc>
        <w:tc>
          <w:tcPr>
            <w:tcW w:w="0" w:type="auto"/>
            <w:tcBorders>
              <w:bottom w:val="single" w:sz="8" w:space="0" w:color="0071C5"/>
            </w:tcBorders>
            <w:shd w:val="clear" w:color="auto" w:fill="auto"/>
            <w:tcMar>
              <w:top w:w="40" w:type="dxa"/>
              <w:left w:w="40" w:type="dxa"/>
              <w:bottom w:w="40" w:type="dxa"/>
              <w:right w:w="40" w:type="dxa"/>
            </w:tcMar>
            <w:vAlign w:val="bottom"/>
          </w:tcPr>
          <w:p w14:paraId="4ACE5DB2" w14:textId="77777777" w:rsidR="006F587A" w:rsidRDefault="007B2B61">
            <w:pPr>
              <w:textAlignment w:val="bottom"/>
              <w:rPr>
                <w:rFonts w:ascii="Times New Roman" w:hAnsi="Times New Roman"/>
                <w:sz w:val="28"/>
                <w:szCs w:val="28"/>
              </w:rPr>
            </w:pPr>
            <w:r>
              <w:rPr>
                <w:rFonts w:ascii="Arial" w:eastAsia="宋体" w:hAnsi="Arial" w:cs="Arial"/>
                <w:b/>
                <w:bCs/>
                <w:color w:val="0071C5"/>
                <w:sz w:val="28"/>
                <w:szCs w:val="28"/>
              </w:rPr>
              <w:t>RETIREMENT BENEFIT PLANS</w:t>
            </w:r>
          </w:p>
        </w:tc>
      </w:tr>
    </w:tbl>
    <w:p w14:paraId="4ACE5DB4" w14:textId="77777777" w:rsidR="006F587A" w:rsidRDefault="006F587A">
      <w:pPr>
        <w:spacing w:line="288" w:lineRule="auto"/>
        <w:rPr>
          <w:rFonts w:ascii="Times New Roman" w:hAnsi="Times New Roman"/>
          <w:sz w:val="28"/>
          <w:szCs w:val="28"/>
        </w:rPr>
      </w:pPr>
    </w:p>
    <w:p w14:paraId="4ACE5DB5" w14:textId="77777777" w:rsidR="006F587A" w:rsidRDefault="007B2B61">
      <w:pPr>
        <w:spacing w:line="288" w:lineRule="auto"/>
        <w:rPr>
          <w:rFonts w:ascii="Times New Roman" w:hAnsi="Times New Roman"/>
        </w:rPr>
      </w:pPr>
      <w:r>
        <w:rPr>
          <w:rFonts w:ascii="Arial" w:eastAsia="宋体" w:hAnsi="Arial" w:cs="Arial"/>
          <w:b/>
          <w:bCs/>
          <w:color w:val="0071C5"/>
        </w:rPr>
        <w:t>DEFINED CONTRIBUTION PLANS</w:t>
      </w:r>
    </w:p>
    <w:p w14:paraId="4ACE5DB6"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provide tax-qualified defined contribution plans for the benefit of eligible employees, former employees, and retirees in the U.S. and certain other countries. The plans are designed to provide employees with an accumulation of funds for retirement on a</w:t>
      </w:r>
      <w:r>
        <w:rPr>
          <w:rFonts w:ascii="Arial" w:eastAsia="宋体" w:hAnsi="Arial" w:cs="Arial"/>
          <w:color w:val="333333"/>
          <w:sz w:val="18"/>
          <w:szCs w:val="18"/>
        </w:rPr>
        <w:t xml:space="preserve"> tax-deferred basis. For the benefit of eligible U.S. employees, we also provide an unfunded non-tax-qualified supplemental deferred compensation plan for certain highly compensated employees. </w:t>
      </w:r>
    </w:p>
    <w:p w14:paraId="4ACE5DB7"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expensed $379 million for discretionary contributions to th</w:t>
      </w:r>
      <w:r>
        <w:rPr>
          <w:rFonts w:ascii="Arial" w:eastAsia="宋体" w:hAnsi="Arial" w:cs="Arial"/>
          <w:color w:val="333333"/>
          <w:sz w:val="18"/>
          <w:szCs w:val="18"/>
        </w:rPr>
        <w:t xml:space="preserve">e U.S. qualified defined contribution and non-qualified deferred compensation plans in 2019 ($372 million in 2018 and $346 million in 2017). </w:t>
      </w:r>
    </w:p>
    <w:p w14:paraId="4ACE5DB8" w14:textId="77777777" w:rsidR="006F587A" w:rsidRDefault="007B2B61">
      <w:pPr>
        <w:spacing w:line="288" w:lineRule="auto"/>
        <w:rPr>
          <w:rFonts w:ascii="Times New Roman" w:hAnsi="Times New Roman"/>
        </w:rPr>
      </w:pPr>
      <w:r>
        <w:rPr>
          <w:rFonts w:ascii="Arial" w:eastAsia="宋体" w:hAnsi="Arial" w:cs="Arial"/>
          <w:b/>
          <w:bCs/>
          <w:color w:val="0071C5"/>
        </w:rPr>
        <w:t>U.S. RETIREE MEDICAL PLAN</w:t>
      </w:r>
    </w:p>
    <w:p w14:paraId="4ACE5DB9"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Upon retirement, we provide benefits to eligible U.S. employees who were hired prior to </w:t>
      </w:r>
      <w:r>
        <w:rPr>
          <w:rFonts w:ascii="Arial" w:eastAsia="宋体" w:hAnsi="Arial" w:cs="Arial"/>
          <w:color w:val="333333"/>
          <w:sz w:val="18"/>
          <w:szCs w:val="18"/>
        </w:rPr>
        <w:t>2014 under the U.S. Retiree Medical Plan. The benefits can be used to pay all or a portion of the cost to purchase eligible coverage in a medical plan.</w:t>
      </w:r>
    </w:p>
    <w:p w14:paraId="4ACE5DBA"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As of December 28, 2019 and December 29, 2018, the projected benefit obligation was $633 million and $54</w:t>
      </w:r>
      <w:r>
        <w:rPr>
          <w:rFonts w:ascii="Arial" w:eastAsia="宋体" w:hAnsi="Arial" w:cs="Arial"/>
          <w:color w:val="333333"/>
          <w:sz w:val="18"/>
          <w:szCs w:val="18"/>
        </w:rPr>
        <w:t>7 million, respectively, which used the discount rate of 3.3% and 4.4%, respectively. The December 28, 2019 and December 29, 2018 corresponding fair value of plan assets was $553 million and $476 million, respectively.</w:t>
      </w:r>
    </w:p>
    <w:p w14:paraId="4ACE5DBB"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The investment strategy for U.S. Reti</w:t>
      </w:r>
      <w:r>
        <w:rPr>
          <w:rFonts w:ascii="Arial" w:eastAsia="宋体" w:hAnsi="Arial" w:cs="Arial"/>
          <w:color w:val="333333"/>
          <w:sz w:val="18"/>
          <w:szCs w:val="18"/>
        </w:rPr>
        <w:t>ree Medical Plan assets is to invest primarily in liquid assets, due to the level of expected future benefit payments. The assets are invested solely in a tax-aware global equity portfolio, which is actively managed by an external investment manager. The t</w:t>
      </w:r>
      <w:r>
        <w:rPr>
          <w:rFonts w:ascii="Arial" w:eastAsia="宋体" w:hAnsi="Arial" w:cs="Arial"/>
          <w:color w:val="333333"/>
          <w:sz w:val="18"/>
          <w:szCs w:val="18"/>
        </w:rPr>
        <w:t>ax-aware global equity portfolio is composed of a diversified mix of equities in developed countries. As of December 28, 2019, substantially all of the U.S. Retiree Medical Plan assets were invested in exchange-traded equity securities and were measured at</w:t>
      </w:r>
      <w:r>
        <w:rPr>
          <w:rFonts w:ascii="Arial" w:eastAsia="宋体" w:hAnsi="Arial" w:cs="Arial"/>
          <w:color w:val="333333"/>
          <w:sz w:val="18"/>
          <w:szCs w:val="18"/>
        </w:rPr>
        <w:t xml:space="preserve"> fair value using Level 1 inputs.</w:t>
      </w:r>
    </w:p>
    <w:p w14:paraId="4ACE5DBC" w14:textId="77777777" w:rsidR="006F587A" w:rsidRDefault="007B2B61">
      <w:pPr>
        <w:spacing w:line="288" w:lineRule="auto"/>
        <w:rPr>
          <w:rFonts w:ascii="Times New Roman" w:hAnsi="Times New Roman"/>
          <w:sz w:val="20"/>
          <w:szCs w:val="20"/>
        </w:rPr>
      </w:pPr>
      <w:r>
        <w:rPr>
          <w:rFonts w:ascii="Arial" w:eastAsia="宋体" w:hAnsi="Arial" w:cs="Arial"/>
          <w:color w:val="333333"/>
          <w:sz w:val="18"/>
          <w:szCs w:val="18"/>
        </w:rPr>
        <w:t xml:space="preserve">The estimated benefit payments for this plan over the next 10 years are as follows: </w:t>
      </w:r>
    </w:p>
    <w:tbl>
      <w:tblPr>
        <w:tblW w:w="5000" w:type="pct"/>
        <w:tblCellMar>
          <w:left w:w="0" w:type="dxa"/>
          <w:right w:w="0" w:type="dxa"/>
        </w:tblCellMar>
        <w:tblLook w:val="04A0" w:firstRow="1" w:lastRow="0" w:firstColumn="1" w:lastColumn="0" w:noHBand="0" w:noVBand="1"/>
      </w:tblPr>
      <w:tblGrid>
        <w:gridCol w:w="2261"/>
        <w:gridCol w:w="130"/>
        <w:gridCol w:w="142"/>
        <w:gridCol w:w="683"/>
        <w:gridCol w:w="43"/>
        <w:gridCol w:w="130"/>
        <w:gridCol w:w="142"/>
        <w:gridCol w:w="665"/>
        <w:gridCol w:w="43"/>
        <w:gridCol w:w="130"/>
        <w:gridCol w:w="142"/>
        <w:gridCol w:w="665"/>
        <w:gridCol w:w="43"/>
        <w:gridCol w:w="130"/>
        <w:gridCol w:w="142"/>
        <w:gridCol w:w="665"/>
        <w:gridCol w:w="43"/>
        <w:gridCol w:w="130"/>
        <w:gridCol w:w="142"/>
        <w:gridCol w:w="665"/>
        <w:gridCol w:w="43"/>
        <w:gridCol w:w="130"/>
        <w:gridCol w:w="142"/>
        <w:gridCol w:w="770"/>
        <w:gridCol w:w="85"/>
      </w:tblGrid>
      <w:tr w:rsidR="006F587A" w14:paraId="4ACE5DBE" w14:textId="77777777">
        <w:tc>
          <w:tcPr>
            <w:tcW w:w="0" w:type="auto"/>
            <w:gridSpan w:val="25"/>
            <w:shd w:val="clear" w:color="auto" w:fill="auto"/>
            <w:vAlign w:val="center"/>
          </w:tcPr>
          <w:p w14:paraId="4ACE5DBD" w14:textId="77777777" w:rsidR="006F587A" w:rsidRDefault="006F587A">
            <w:pPr>
              <w:rPr>
                <w:rFonts w:ascii="Times New Roman" w:hAnsi="Times New Roman"/>
                <w:sz w:val="20"/>
                <w:szCs w:val="20"/>
              </w:rPr>
            </w:pPr>
          </w:p>
        </w:tc>
      </w:tr>
      <w:tr w:rsidR="006F587A" w14:paraId="4ACE5DD8" w14:textId="77777777">
        <w:tc>
          <w:tcPr>
            <w:tcW w:w="1400" w:type="pct"/>
            <w:shd w:val="clear" w:color="auto" w:fill="auto"/>
            <w:vAlign w:val="center"/>
          </w:tcPr>
          <w:p w14:paraId="4ACE5DBF" w14:textId="77777777" w:rsidR="006F587A" w:rsidRDefault="006F587A">
            <w:pPr>
              <w:rPr>
                <w:rFonts w:ascii="Times New Roman" w:hAnsi="Times New Roman"/>
                <w:sz w:val="20"/>
                <w:szCs w:val="20"/>
              </w:rPr>
            </w:pPr>
          </w:p>
        </w:tc>
        <w:tc>
          <w:tcPr>
            <w:tcW w:w="50" w:type="pct"/>
            <w:shd w:val="clear" w:color="auto" w:fill="auto"/>
            <w:vAlign w:val="center"/>
          </w:tcPr>
          <w:p w14:paraId="4ACE5DC0" w14:textId="77777777" w:rsidR="006F587A" w:rsidRDefault="006F587A">
            <w:pPr>
              <w:rPr>
                <w:rFonts w:ascii="Times New Roman" w:hAnsi="Times New Roman"/>
                <w:sz w:val="20"/>
                <w:szCs w:val="20"/>
              </w:rPr>
            </w:pPr>
          </w:p>
        </w:tc>
        <w:tc>
          <w:tcPr>
            <w:tcW w:w="50" w:type="pct"/>
            <w:shd w:val="clear" w:color="auto" w:fill="auto"/>
            <w:vAlign w:val="center"/>
          </w:tcPr>
          <w:p w14:paraId="4ACE5DC1" w14:textId="77777777" w:rsidR="006F587A" w:rsidRDefault="006F587A">
            <w:pPr>
              <w:rPr>
                <w:rFonts w:ascii="Times New Roman" w:hAnsi="Times New Roman"/>
                <w:sz w:val="20"/>
                <w:szCs w:val="20"/>
              </w:rPr>
            </w:pPr>
          </w:p>
        </w:tc>
        <w:tc>
          <w:tcPr>
            <w:tcW w:w="450" w:type="pct"/>
            <w:shd w:val="clear" w:color="auto" w:fill="auto"/>
            <w:vAlign w:val="center"/>
          </w:tcPr>
          <w:p w14:paraId="4ACE5DC2" w14:textId="77777777" w:rsidR="006F587A" w:rsidRDefault="006F587A">
            <w:pPr>
              <w:rPr>
                <w:rFonts w:ascii="Times New Roman" w:hAnsi="Times New Roman"/>
                <w:sz w:val="20"/>
                <w:szCs w:val="20"/>
              </w:rPr>
            </w:pPr>
          </w:p>
        </w:tc>
        <w:tc>
          <w:tcPr>
            <w:tcW w:w="50" w:type="pct"/>
            <w:shd w:val="clear" w:color="auto" w:fill="auto"/>
            <w:vAlign w:val="center"/>
          </w:tcPr>
          <w:p w14:paraId="4ACE5DC3" w14:textId="77777777" w:rsidR="006F587A" w:rsidRDefault="006F587A">
            <w:pPr>
              <w:rPr>
                <w:rFonts w:ascii="Times New Roman" w:hAnsi="Times New Roman"/>
                <w:sz w:val="20"/>
                <w:szCs w:val="20"/>
              </w:rPr>
            </w:pPr>
          </w:p>
        </w:tc>
        <w:tc>
          <w:tcPr>
            <w:tcW w:w="50" w:type="pct"/>
            <w:shd w:val="clear" w:color="auto" w:fill="auto"/>
            <w:vAlign w:val="center"/>
          </w:tcPr>
          <w:p w14:paraId="4ACE5DC4" w14:textId="77777777" w:rsidR="006F587A" w:rsidRDefault="006F587A">
            <w:pPr>
              <w:rPr>
                <w:rFonts w:ascii="Times New Roman" w:hAnsi="Times New Roman"/>
                <w:sz w:val="20"/>
                <w:szCs w:val="20"/>
              </w:rPr>
            </w:pPr>
          </w:p>
        </w:tc>
        <w:tc>
          <w:tcPr>
            <w:tcW w:w="50" w:type="pct"/>
            <w:shd w:val="clear" w:color="auto" w:fill="auto"/>
            <w:vAlign w:val="center"/>
          </w:tcPr>
          <w:p w14:paraId="4ACE5DC5" w14:textId="77777777" w:rsidR="006F587A" w:rsidRDefault="006F587A">
            <w:pPr>
              <w:rPr>
                <w:rFonts w:ascii="Times New Roman" w:hAnsi="Times New Roman"/>
                <w:sz w:val="20"/>
                <w:szCs w:val="20"/>
              </w:rPr>
            </w:pPr>
          </w:p>
        </w:tc>
        <w:tc>
          <w:tcPr>
            <w:tcW w:w="450" w:type="pct"/>
            <w:shd w:val="clear" w:color="auto" w:fill="auto"/>
            <w:vAlign w:val="center"/>
          </w:tcPr>
          <w:p w14:paraId="4ACE5DC6" w14:textId="77777777" w:rsidR="006F587A" w:rsidRDefault="006F587A">
            <w:pPr>
              <w:rPr>
                <w:rFonts w:ascii="Times New Roman" w:hAnsi="Times New Roman"/>
                <w:sz w:val="20"/>
                <w:szCs w:val="20"/>
              </w:rPr>
            </w:pPr>
          </w:p>
        </w:tc>
        <w:tc>
          <w:tcPr>
            <w:tcW w:w="50" w:type="pct"/>
            <w:shd w:val="clear" w:color="auto" w:fill="auto"/>
            <w:vAlign w:val="center"/>
          </w:tcPr>
          <w:p w14:paraId="4ACE5DC7" w14:textId="77777777" w:rsidR="006F587A" w:rsidRDefault="006F587A">
            <w:pPr>
              <w:rPr>
                <w:rFonts w:ascii="Times New Roman" w:hAnsi="Times New Roman"/>
                <w:sz w:val="20"/>
                <w:szCs w:val="20"/>
              </w:rPr>
            </w:pPr>
          </w:p>
        </w:tc>
        <w:tc>
          <w:tcPr>
            <w:tcW w:w="50" w:type="pct"/>
            <w:shd w:val="clear" w:color="auto" w:fill="auto"/>
            <w:vAlign w:val="center"/>
          </w:tcPr>
          <w:p w14:paraId="4ACE5DC8" w14:textId="77777777" w:rsidR="006F587A" w:rsidRDefault="006F587A">
            <w:pPr>
              <w:rPr>
                <w:rFonts w:ascii="Times New Roman" w:hAnsi="Times New Roman"/>
                <w:sz w:val="20"/>
                <w:szCs w:val="20"/>
              </w:rPr>
            </w:pPr>
          </w:p>
        </w:tc>
        <w:tc>
          <w:tcPr>
            <w:tcW w:w="50" w:type="pct"/>
            <w:shd w:val="clear" w:color="auto" w:fill="auto"/>
            <w:vAlign w:val="center"/>
          </w:tcPr>
          <w:p w14:paraId="4ACE5DC9" w14:textId="77777777" w:rsidR="006F587A" w:rsidRDefault="006F587A">
            <w:pPr>
              <w:rPr>
                <w:rFonts w:ascii="Times New Roman" w:hAnsi="Times New Roman"/>
                <w:sz w:val="20"/>
                <w:szCs w:val="20"/>
              </w:rPr>
            </w:pPr>
          </w:p>
        </w:tc>
        <w:tc>
          <w:tcPr>
            <w:tcW w:w="450" w:type="pct"/>
            <w:shd w:val="clear" w:color="auto" w:fill="auto"/>
            <w:vAlign w:val="center"/>
          </w:tcPr>
          <w:p w14:paraId="4ACE5DCA" w14:textId="77777777" w:rsidR="006F587A" w:rsidRDefault="006F587A">
            <w:pPr>
              <w:rPr>
                <w:rFonts w:ascii="Times New Roman" w:hAnsi="Times New Roman"/>
                <w:sz w:val="20"/>
                <w:szCs w:val="20"/>
              </w:rPr>
            </w:pPr>
          </w:p>
        </w:tc>
        <w:tc>
          <w:tcPr>
            <w:tcW w:w="50" w:type="pct"/>
            <w:shd w:val="clear" w:color="auto" w:fill="auto"/>
            <w:vAlign w:val="center"/>
          </w:tcPr>
          <w:p w14:paraId="4ACE5DCB" w14:textId="77777777" w:rsidR="006F587A" w:rsidRDefault="006F587A">
            <w:pPr>
              <w:rPr>
                <w:rFonts w:ascii="Times New Roman" w:hAnsi="Times New Roman"/>
                <w:sz w:val="20"/>
                <w:szCs w:val="20"/>
              </w:rPr>
            </w:pPr>
          </w:p>
        </w:tc>
        <w:tc>
          <w:tcPr>
            <w:tcW w:w="50" w:type="pct"/>
            <w:shd w:val="clear" w:color="auto" w:fill="auto"/>
            <w:vAlign w:val="center"/>
          </w:tcPr>
          <w:p w14:paraId="4ACE5DCC" w14:textId="77777777" w:rsidR="006F587A" w:rsidRDefault="006F587A">
            <w:pPr>
              <w:rPr>
                <w:rFonts w:ascii="Times New Roman" w:hAnsi="Times New Roman"/>
                <w:sz w:val="20"/>
                <w:szCs w:val="20"/>
              </w:rPr>
            </w:pPr>
          </w:p>
        </w:tc>
        <w:tc>
          <w:tcPr>
            <w:tcW w:w="50" w:type="pct"/>
            <w:shd w:val="clear" w:color="auto" w:fill="auto"/>
            <w:vAlign w:val="center"/>
          </w:tcPr>
          <w:p w14:paraId="4ACE5DCD" w14:textId="77777777" w:rsidR="006F587A" w:rsidRDefault="006F587A">
            <w:pPr>
              <w:rPr>
                <w:rFonts w:ascii="Times New Roman" w:hAnsi="Times New Roman"/>
                <w:sz w:val="20"/>
                <w:szCs w:val="20"/>
              </w:rPr>
            </w:pPr>
          </w:p>
        </w:tc>
        <w:tc>
          <w:tcPr>
            <w:tcW w:w="450" w:type="pct"/>
            <w:shd w:val="clear" w:color="auto" w:fill="auto"/>
            <w:vAlign w:val="center"/>
          </w:tcPr>
          <w:p w14:paraId="4ACE5DCE" w14:textId="77777777" w:rsidR="006F587A" w:rsidRDefault="006F587A">
            <w:pPr>
              <w:rPr>
                <w:rFonts w:ascii="Times New Roman" w:hAnsi="Times New Roman"/>
                <w:sz w:val="20"/>
                <w:szCs w:val="20"/>
              </w:rPr>
            </w:pPr>
          </w:p>
        </w:tc>
        <w:tc>
          <w:tcPr>
            <w:tcW w:w="50" w:type="pct"/>
            <w:shd w:val="clear" w:color="auto" w:fill="auto"/>
            <w:vAlign w:val="center"/>
          </w:tcPr>
          <w:p w14:paraId="4ACE5DCF" w14:textId="77777777" w:rsidR="006F587A" w:rsidRDefault="006F587A">
            <w:pPr>
              <w:rPr>
                <w:rFonts w:ascii="Times New Roman" w:hAnsi="Times New Roman"/>
                <w:sz w:val="20"/>
                <w:szCs w:val="20"/>
              </w:rPr>
            </w:pPr>
          </w:p>
        </w:tc>
        <w:tc>
          <w:tcPr>
            <w:tcW w:w="50" w:type="pct"/>
            <w:shd w:val="clear" w:color="auto" w:fill="auto"/>
            <w:vAlign w:val="center"/>
          </w:tcPr>
          <w:p w14:paraId="4ACE5DD0" w14:textId="77777777" w:rsidR="006F587A" w:rsidRDefault="006F587A">
            <w:pPr>
              <w:rPr>
                <w:rFonts w:ascii="Times New Roman" w:hAnsi="Times New Roman"/>
                <w:sz w:val="20"/>
                <w:szCs w:val="20"/>
              </w:rPr>
            </w:pPr>
          </w:p>
        </w:tc>
        <w:tc>
          <w:tcPr>
            <w:tcW w:w="50" w:type="pct"/>
            <w:shd w:val="clear" w:color="auto" w:fill="auto"/>
            <w:vAlign w:val="center"/>
          </w:tcPr>
          <w:p w14:paraId="4ACE5DD1" w14:textId="77777777" w:rsidR="006F587A" w:rsidRDefault="006F587A">
            <w:pPr>
              <w:rPr>
                <w:rFonts w:ascii="Times New Roman" w:hAnsi="Times New Roman"/>
                <w:sz w:val="20"/>
                <w:szCs w:val="20"/>
              </w:rPr>
            </w:pPr>
          </w:p>
        </w:tc>
        <w:tc>
          <w:tcPr>
            <w:tcW w:w="450" w:type="pct"/>
            <w:shd w:val="clear" w:color="auto" w:fill="auto"/>
            <w:vAlign w:val="center"/>
          </w:tcPr>
          <w:p w14:paraId="4ACE5DD2" w14:textId="77777777" w:rsidR="006F587A" w:rsidRDefault="006F587A">
            <w:pPr>
              <w:rPr>
                <w:rFonts w:ascii="Times New Roman" w:hAnsi="Times New Roman"/>
                <w:sz w:val="20"/>
                <w:szCs w:val="20"/>
              </w:rPr>
            </w:pPr>
          </w:p>
        </w:tc>
        <w:tc>
          <w:tcPr>
            <w:tcW w:w="50" w:type="pct"/>
            <w:shd w:val="clear" w:color="auto" w:fill="auto"/>
            <w:vAlign w:val="center"/>
          </w:tcPr>
          <w:p w14:paraId="4ACE5DD3" w14:textId="77777777" w:rsidR="006F587A" w:rsidRDefault="006F587A">
            <w:pPr>
              <w:rPr>
                <w:rFonts w:ascii="Times New Roman" w:hAnsi="Times New Roman"/>
                <w:sz w:val="20"/>
                <w:szCs w:val="20"/>
              </w:rPr>
            </w:pPr>
          </w:p>
        </w:tc>
        <w:tc>
          <w:tcPr>
            <w:tcW w:w="50" w:type="pct"/>
            <w:shd w:val="clear" w:color="auto" w:fill="auto"/>
            <w:vAlign w:val="center"/>
          </w:tcPr>
          <w:p w14:paraId="4ACE5DD4" w14:textId="77777777" w:rsidR="006F587A" w:rsidRDefault="006F587A">
            <w:pPr>
              <w:rPr>
                <w:rFonts w:ascii="Times New Roman" w:hAnsi="Times New Roman"/>
                <w:sz w:val="20"/>
                <w:szCs w:val="20"/>
              </w:rPr>
            </w:pPr>
          </w:p>
        </w:tc>
        <w:tc>
          <w:tcPr>
            <w:tcW w:w="50" w:type="pct"/>
            <w:shd w:val="clear" w:color="auto" w:fill="auto"/>
            <w:vAlign w:val="center"/>
          </w:tcPr>
          <w:p w14:paraId="4ACE5DD5" w14:textId="77777777" w:rsidR="006F587A" w:rsidRDefault="006F587A">
            <w:pPr>
              <w:rPr>
                <w:rFonts w:ascii="Times New Roman" w:hAnsi="Times New Roman"/>
                <w:sz w:val="20"/>
                <w:szCs w:val="20"/>
              </w:rPr>
            </w:pPr>
          </w:p>
        </w:tc>
        <w:tc>
          <w:tcPr>
            <w:tcW w:w="450" w:type="pct"/>
            <w:shd w:val="clear" w:color="auto" w:fill="auto"/>
            <w:vAlign w:val="center"/>
          </w:tcPr>
          <w:p w14:paraId="4ACE5DD6" w14:textId="77777777" w:rsidR="006F587A" w:rsidRDefault="006F587A">
            <w:pPr>
              <w:rPr>
                <w:rFonts w:ascii="Times New Roman" w:hAnsi="Times New Roman"/>
                <w:sz w:val="20"/>
                <w:szCs w:val="20"/>
              </w:rPr>
            </w:pPr>
          </w:p>
        </w:tc>
        <w:tc>
          <w:tcPr>
            <w:tcW w:w="50" w:type="pct"/>
            <w:shd w:val="clear" w:color="auto" w:fill="auto"/>
            <w:vAlign w:val="center"/>
          </w:tcPr>
          <w:p w14:paraId="4ACE5DD7" w14:textId="77777777" w:rsidR="006F587A" w:rsidRDefault="006F587A">
            <w:pPr>
              <w:rPr>
                <w:rFonts w:ascii="Times New Roman" w:hAnsi="Times New Roman"/>
                <w:sz w:val="20"/>
                <w:szCs w:val="20"/>
              </w:rPr>
            </w:pPr>
          </w:p>
        </w:tc>
      </w:tr>
      <w:tr w:rsidR="006F587A" w14:paraId="4ACE5DE6"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5DD9"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4ACE5DD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DDB"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2020</w:t>
            </w:r>
          </w:p>
        </w:tc>
        <w:tc>
          <w:tcPr>
            <w:tcW w:w="0" w:type="auto"/>
            <w:shd w:val="clear" w:color="auto" w:fill="auto"/>
            <w:tcMar>
              <w:top w:w="40" w:type="dxa"/>
              <w:left w:w="40" w:type="dxa"/>
              <w:bottom w:w="40" w:type="dxa"/>
              <w:right w:w="40" w:type="dxa"/>
            </w:tcMar>
            <w:vAlign w:val="bottom"/>
          </w:tcPr>
          <w:p w14:paraId="4ACE5DD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DDD"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2021</w:t>
            </w:r>
          </w:p>
        </w:tc>
        <w:tc>
          <w:tcPr>
            <w:tcW w:w="0" w:type="auto"/>
            <w:shd w:val="clear" w:color="auto" w:fill="auto"/>
            <w:tcMar>
              <w:top w:w="40" w:type="dxa"/>
              <w:left w:w="40" w:type="dxa"/>
              <w:bottom w:w="40" w:type="dxa"/>
              <w:right w:w="40" w:type="dxa"/>
            </w:tcMar>
            <w:vAlign w:val="bottom"/>
          </w:tcPr>
          <w:p w14:paraId="4ACE5DD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DDF"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2022</w:t>
            </w:r>
          </w:p>
        </w:tc>
        <w:tc>
          <w:tcPr>
            <w:tcW w:w="0" w:type="auto"/>
            <w:shd w:val="clear" w:color="auto" w:fill="auto"/>
            <w:tcMar>
              <w:top w:w="40" w:type="dxa"/>
              <w:left w:w="40" w:type="dxa"/>
              <w:bottom w:w="40" w:type="dxa"/>
              <w:right w:w="40" w:type="dxa"/>
            </w:tcMar>
            <w:vAlign w:val="bottom"/>
          </w:tcPr>
          <w:p w14:paraId="4ACE5DE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DE1"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2023</w:t>
            </w:r>
          </w:p>
        </w:tc>
        <w:tc>
          <w:tcPr>
            <w:tcW w:w="0" w:type="auto"/>
            <w:shd w:val="clear" w:color="auto" w:fill="auto"/>
            <w:tcMar>
              <w:top w:w="40" w:type="dxa"/>
              <w:left w:w="40" w:type="dxa"/>
              <w:bottom w:w="40" w:type="dxa"/>
              <w:right w:w="40" w:type="dxa"/>
            </w:tcMar>
            <w:vAlign w:val="bottom"/>
          </w:tcPr>
          <w:p w14:paraId="4ACE5DE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DE3"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2024</w:t>
            </w:r>
          </w:p>
        </w:tc>
        <w:tc>
          <w:tcPr>
            <w:tcW w:w="0" w:type="auto"/>
            <w:shd w:val="clear" w:color="auto" w:fill="auto"/>
            <w:tcMar>
              <w:top w:w="40" w:type="dxa"/>
              <w:left w:w="40" w:type="dxa"/>
              <w:bottom w:w="40" w:type="dxa"/>
              <w:right w:w="40" w:type="dxa"/>
            </w:tcMar>
            <w:vAlign w:val="bottom"/>
          </w:tcPr>
          <w:p w14:paraId="4ACE5DE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DE5"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2025-2029</w:t>
            </w:r>
          </w:p>
        </w:tc>
      </w:tr>
      <w:tr w:rsidR="006F587A" w14:paraId="4ACE5E00" w14:textId="77777777">
        <w:tc>
          <w:tcPr>
            <w:tcW w:w="0" w:type="auto"/>
            <w:shd w:val="clear" w:color="auto" w:fill="auto"/>
            <w:tcMar>
              <w:top w:w="40" w:type="dxa"/>
              <w:left w:w="40" w:type="dxa"/>
              <w:bottom w:w="40" w:type="dxa"/>
              <w:right w:w="40" w:type="dxa"/>
            </w:tcMar>
            <w:vAlign w:val="bottom"/>
          </w:tcPr>
          <w:p w14:paraId="4ACE5DE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Postretirement Medical Benefits</w:t>
            </w:r>
          </w:p>
        </w:tc>
        <w:tc>
          <w:tcPr>
            <w:tcW w:w="0" w:type="auto"/>
            <w:shd w:val="clear" w:color="auto" w:fill="auto"/>
            <w:tcMar>
              <w:top w:w="40" w:type="dxa"/>
              <w:left w:w="40" w:type="dxa"/>
              <w:bottom w:w="40" w:type="dxa"/>
              <w:right w:w="40" w:type="dxa"/>
            </w:tcMar>
            <w:vAlign w:val="bottom"/>
          </w:tcPr>
          <w:p w14:paraId="4ACE5DE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5DE9"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tcBorders>
              <w:top w:val="single" w:sz="8" w:space="0" w:color="0071C5"/>
            </w:tcBorders>
            <w:shd w:val="clear" w:color="auto" w:fill="auto"/>
            <w:tcMar>
              <w:top w:w="40" w:type="dxa"/>
              <w:bottom w:w="40" w:type="dxa"/>
            </w:tcMar>
            <w:vAlign w:val="bottom"/>
          </w:tcPr>
          <w:p w14:paraId="4ACE5DEA"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28</w:t>
            </w:r>
          </w:p>
        </w:tc>
        <w:tc>
          <w:tcPr>
            <w:tcW w:w="0" w:type="auto"/>
            <w:tcBorders>
              <w:top w:val="single" w:sz="8" w:space="0" w:color="0071C5"/>
            </w:tcBorders>
            <w:shd w:val="clear" w:color="auto" w:fill="auto"/>
            <w:vAlign w:val="bottom"/>
          </w:tcPr>
          <w:p w14:paraId="4ACE5DE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DE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5DED"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tcBorders>
              <w:top w:val="single" w:sz="8" w:space="0" w:color="0071C5"/>
            </w:tcBorders>
            <w:shd w:val="clear" w:color="auto" w:fill="auto"/>
            <w:tcMar>
              <w:top w:w="40" w:type="dxa"/>
              <w:bottom w:w="40" w:type="dxa"/>
            </w:tcMar>
            <w:vAlign w:val="bottom"/>
          </w:tcPr>
          <w:p w14:paraId="4ACE5DEE"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30</w:t>
            </w:r>
          </w:p>
        </w:tc>
        <w:tc>
          <w:tcPr>
            <w:tcW w:w="0" w:type="auto"/>
            <w:tcBorders>
              <w:top w:val="single" w:sz="8" w:space="0" w:color="0071C5"/>
            </w:tcBorders>
            <w:shd w:val="clear" w:color="auto" w:fill="auto"/>
            <w:vAlign w:val="bottom"/>
          </w:tcPr>
          <w:p w14:paraId="4ACE5DE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DF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5DF1"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tcBorders>
              <w:top w:val="single" w:sz="8" w:space="0" w:color="0071C5"/>
            </w:tcBorders>
            <w:shd w:val="clear" w:color="auto" w:fill="auto"/>
            <w:tcMar>
              <w:top w:w="40" w:type="dxa"/>
              <w:bottom w:w="40" w:type="dxa"/>
            </w:tcMar>
            <w:vAlign w:val="bottom"/>
          </w:tcPr>
          <w:p w14:paraId="4ACE5DF2"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31</w:t>
            </w:r>
          </w:p>
        </w:tc>
        <w:tc>
          <w:tcPr>
            <w:tcW w:w="0" w:type="auto"/>
            <w:tcBorders>
              <w:top w:val="single" w:sz="8" w:space="0" w:color="0071C5"/>
            </w:tcBorders>
            <w:shd w:val="clear" w:color="auto" w:fill="auto"/>
            <w:vAlign w:val="bottom"/>
          </w:tcPr>
          <w:p w14:paraId="4ACE5DF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DF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5DF5"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tcBorders>
              <w:top w:val="single" w:sz="8" w:space="0" w:color="0071C5"/>
            </w:tcBorders>
            <w:shd w:val="clear" w:color="auto" w:fill="auto"/>
            <w:tcMar>
              <w:top w:w="40" w:type="dxa"/>
              <w:bottom w:w="40" w:type="dxa"/>
            </w:tcMar>
            <w:vAlign w:val="bottom"/>
          </w:tcPr>
          <w:p w14:paraId="4ACE5DF6"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32</w:t>
            </w:r>
          </w:p>
        </w:tc>
        <w:tc>
          <w:tcPr>
            <w:tcW w:w="0" w:type="auto"/>
            <w:tcBorders>
              <w:top w:val="single" w:sz="8" w:space="0" w:color="0071C5"/>
            </w:tcBorders>
            <w:shd w:val="clear" w:color="auto" w:fill="auto"/>
            <w:vAlign w:val="bottom"/>
          </w:tcPr>
          <w:p w14:paraId="4ACE5DF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DF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5DF9"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tcBorders>
              <w:top w:val="single" w:sz="8" w:space="0" w:color="0071C5"/>
            </w:tcBorders>
            <w:shd w:val="clear" w:color="auto" w:fill="auto"/>
            <w:tcMar>
              <w:top w:w="40" w:type="dxa"/>
              <w:bottom w:w="40" w:type="dxa"/>
            </w:tcMar>
            <w:vAlign w:val="bottom"/>
          </w:tcPr>
          <w:p w14:paraId="4ACE5DFA"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34</w:t>
            </w:r>
          </w:p>
        </w:tc>
        <w:tc>
          <w:tcPr>
            <w:tcW w:w="0" w:type="auto"/>
            <w:tcBorders>
              <w:top w:val="single" w:sz="8" w:space="0" w:color="0071C5"/>
            </w:tcBorders>
            <w:shd w:val="clear" w:color="auto" w:fill="auto"/>
            <w:vAlign w:val="bottom"/>
          </w:tcPr>
          <w:p w14:paraId="4ACE5DF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DF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5DFD"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tcBorders>
              <w:top w:val="single" w:sz="8" w:space="0" w:color="0071C5"/>
            </w:tcBorders>
            <w:shd w:val="clear" w:color="auto" w:fill="auto"/>
            <w:tcMar>
              <w:top w:w="40" w:type="dxa"/>
              <w:bottom w:w="40" w:type="dxa"/>
            </w:tcMar>
            <w:vAlign w:val="bottom"/>
          </w:tcPr>
          <w:p w14:paraId="4ACE5DFE"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183</w:t>
            </w:r>
          </w:p>
        </w:tc>
        <w:tc>
          <w:tcPr>
            <w:tcW w:w="0" w:type="auto"/>
            <w:tcBorders>
              <w:top w:val="single" w:sz="8" w:space="0" w:color="0071C5"/>
            </w:tcBorders>
            <w:shd w:val="clear" w:color="auto" w:fill="auto"/>
            <w:vAlign w:val="bottom"/>
          </w:tcPr>
          <w:p w14:paraId="4ACE5DFF" w14:textId="77777777" w:rsidR="006F587A" w:rsidRDefault="006F587A">
            <w:pPr>
              <w:textAlignment w:val="bottom"/>
              <w:rPr>
                <w:rFonts w:ascii="Times New Roman" w:hAnsi="Times New Roman"/>
                <w:sz w:val="20"/>
                <w:szCs w:val="20"/>
              </w:rPr>
            </w:pPr>
          </w:p>
        </w:tc>
      </w:tr>
    </w:tbl>
    <w:p w14:paraId="4ACE5E01" w14:textId="77777777" w:rsidR="006F587A" w:rsidRDefault="006F587A"/>
    <w:p w14:paraId="4ACE5E02" w14:textId="77777777" w:rsidR="006F587A" w:rsidRDefault="007B2B61">
      <w:pPr>
        <w:spacing w:line="288" w:lineRule="auto"/>
        <w:rPr>
          <w:rFonts w:ascii="Times New Roman" w:hAnsi="Times New Roman"/>
        </w:rPr>
      </w:pPr>
      <w:r>
        <w:rPr>
          <w:rFonts w:ascii="Arial" w:eastAsia="宋体" w:hAnsi="Arial" w:cs="Arial"/>
          <w:b/>
          <w:bCs/>
          <w:color w:val="0071C5"/>
        </w:rPr>
        <w:t>PENSION BENEFIT PLANS</w:t>
      </w:r>
    </w:p>
    <w:p w14:paraId="4ACE5E03"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We provide defined-benefit pension plans in certain countries, most significantly the U.S., Ireland, Germany, and Israel. The </w:t>
      </w:r>
      <w:r>
        <w:rPr>
          <w:rFonts w:ascii="Arial" w:eastAsia="宋体" w:hAnsi="Arial" w:cs="Arial"/>
          <w:color w:val="333333"/>
          <w:sz w:val="18"/>
          <w:szCs w:val="18"/>
        </w:rPr>
        <w:t xml:space="preserve">substantial majority of the plans' benefits have been frozen and beginning on January 1, 2020, future benefit accruals for the U.S. Pension Plan will be frozen to remaining eligible employees, which reduced our projected benefit obligation by $150 million </w:t>
      </w:r>
      <w:r>
        <w:rPr>
          <w:rFonts w:ascii="Arial" w:eastAsia="宋体" w:hAnsi="Arial" w:cs="Arial"/>
          <w:color w:val="333333"/>
          <w:sz w:val="18"/>
          <w:szCs w:val="18"/>
        </w:rPr>
        <w:t>at December 29, 2018.</w:t>
      </w:r>
    </w:p>
    <w:p w14:paraId="4ACE5E04" w14:textId="77777777" w:rsidR="006F587A" w:rsidRDefault="006F587A">
      <w:pPr>
        <w:spacing w:line="288" w:lineRule="auto"/>
        <w:rPr>
          <w:rFonts w:ascii="Times New Roman" w:hAnsi="Times New Roman"/>
          <w:sz w:val="18"/>
          <w:szCs w:val="18"/>
        </w:rPr>
      </w:pPr>
    </w:p>
    <w:p w14:paraId="4ACE5E05" w14:textId="77777777" w:rsidR="006F587A" w:rsidRDefault="006F587A">
      <w:pPr>
        <w:spacing w:line="288" w:lineRule="auto"/>
        <w:rPr>
          <w:rFonts w:ascii="Times New Roman" w:hAnsi="Times New Roman"/>
          <w:sz w:val="18"/>
          <w:szCs w:val="18"/>
        </w:rPr>
      </w:pPr>
    </w:p>
    <w:p w14:paraId="4ACE5E06"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5E08" w14:textId="77777777">
        <w:tc>
          <w:tcPr>
            <w:tcW w:w="0" w:type="auto"/>
            <w:gridSpan w:val="3"/>
            <w:shd w:val="clear" w:color="auto" w:fill="auto"/>
            <w:vAlign w:val="center"/>
          </w:tcPr>
          <w:p w14:paraId="4ACE5E07" w14:textId="77777777" w:rsidR="006F587A" w:rsidRDefault="006F587A">
            <w:pPr>
              <w:rPr>
                <w:rFonts w:ascii="Times New Roman" w:hAnsi="Times New Roman"/>
                <w:sz w:val="20"/>
                <w:szCs w:val="20"/>
              </w:rPr>
            </w:pPr>
          </w:p>
        </w:tc>
      </w:tr>
      <w:tr w:rsidR="006F587A" w14:paraId="4ACE5E0C" w14:textId="77777777">
        <w:tc>
          <w:tcPr>
            <w:tcW w:w="1300" w:type="pct"/>
            <w:shd w:val="clear" w:color="auto" w:fill="auto"/>
            <w:vAlign w:val="center"/>
          </w:tcPr>
          <w:p w14:paraId="4ACE5E09" w14:textId="77777777" w:rsidR="006F587A" w:rsidRDefault="006F587A">
            <w:pPr>
              <w:rPr>
                <w:rFonts w:ascii="Times New Roman" w:hAnsi="Times New Roman"/>
                <w:sz w:val="20"/>
                <w:szCs w:val="20"/>
              </w:rPr>
            </w:pPr>
          </w:p>
        </w:tc>
        <w:tc>
          <w:tcPr>
            <w:tcW w:w="1600" w:type="pct"/>
            <w:shd w:val="clear" w:color="auto" w:fill="auto"/>
            <w:vAlign w:val="center"/>
          </w:tcPr>
          <w:p w14:paraId="4ACE5E0A" w14:textId="77777777" w:rsidR="006F587A" w:rsidRDefault="006F587A">
            <w:pPr>
              <w:rPr>
                <w:rFonts w:ascii="Times New Roman" w:hAnsi="Times New Roman"/>
                <w:sz w:val="20"/>
                <w:szCs w:val="20"/>
              </w:rPr>
            </w:pPr>
          </w:p>
        </w:tc>
        <w:tc>
          <w:tcPr>
            <w:tcW w:w="2100" w:type="pct"/>
            <w:shd w:val="clear" w:color="auto" w:fill="auto"/>
            <w:vAlign w:val="center"/>
          </w:tcPr>
          <w:p w14:paraId="4ACE5E0B" w14:textId="77777777" w:rsidR="006F587A" w:rsidRDefault="006F587A">
            <w:pPr>
              <w:rPr>
                <w:rFonts w:ascii="Times New Roman" w:hAnsi="Times New Roman"/>
                <w:sz w:val="20"/>
                <w:szCs w:val="20"/>
              </w:rPr>
            </w:pPr>
          </w:p>
        </w:tc>
      </w:tr>
      <w:tr w:rsidR="006F587A" w14:paraId="4ACE5E10" w14:textId="77777777">
        <w:tc>
          <w:tcPr>
            <w:tcW w:w="0" w:type="auto"/>
            <w:tcBorders>
              <w:top w:val="single" w:sz="8" w:space="0" w:color="0071C5"/>
            </w:tcBorders>
            <w:shd w:val="clear" w:color="auto" w:fill="auto"/>
            <w:tcMar>
              <w:top w:w="40" w:type="dxa"/>
              <w:left w:w="40" w:type="dxa"/>
              <w:bottom w:w="40" w:type="dxa"/>
              <w:right w:w="40" w:type="dxa"/>
            </w:tcMar>
            <w:vAlign w:val="bottom"/>
          </w:tcPr>
          <w:p w14:paraId="4ACE5E0D" w14:textId="77777777" w:rsidR="006F587A" w:rsidRDefault="007B2B61">
            <w:pPr>
              <w:textAlignment w:val="bottom"/>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E1A" wp14:editId="4ACE6E1B">
                  <wp:extent cx="304800" cy="304800"/>
                  <wp:effectExtent l="0" t="0" r="0" b="0"/>
                  <wp:docPr id="146" name="图片 342"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342"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xml:space="preserve">  FINANCIAL </w:t>
            </w:r>
            <w:r>
              <w:rPr>
                <w:rFonts w:ascii="Arial" w:eastAsia="宋体" w:hAnsi="Arial" w:cs="Arial"/>
                <w:color w:val="333333"/>
                <w:sz w:val="16"/>
                <w:szCs w:val="16"/>
              </w:rPr>
              <w:lastRenderedPageBreak/>
              <w:t>STATEMENTS</w:t>
            </w:r>
          </w:p>
        </w:tc>
        <w:tc>
          <w:tcPr>
            <w:tcW w:w="0" w:type="auto"/>
            <w:tcBorders>
              <w:top w:val="single" w:sz="8" w:space="0" w:color="0071C5"/>
              <w:left w:val="single" w:sz="36" w:space="0" w:color="0071C5"/>
            </w:tcBorders>
            <w:shd w:val="clear" w:color="auto" w:fill="auto"/>
            <w:tcMar>
              <w:top w:w="40" w:type="dxa"/>
              <w:left w:w="40" w:type="dxa"/>
              <w:bottom w:w="40" w:type="dxa"/>
              <w:right w:w="40" w:type="dxa"/>
            </w:tcMar>
            <w:vAlign w:val="bottom"/>
          </w:tcPr>
          <w:p w14:paraId="4ACE5E0E" w14:textId="77777777" w:rsidR="006F587A" w:rsidRDefault="007B2B61">
            <w:pPr>
              <w:textAlignment w:val="bottom"/>
              <w:rPr>
                <w:rFonts w:ascii="Times New Roman" w:hAnsi="Times New Roman"/>
                <w:sz w:val="16"/>
                <w:szCs w:val="16"/>
              </w:rPr>
            </w:pPr>
            <w:r>
              <w:rPr>
                <w:rFonts w:ascii="Arial" w:eastAsia="宋体" w:hAnsi="Arial" w:cs="Arial"/>
                <w:color w:val="333333"/>
                <w:sz w:val="16"/>
                <w:szCs w:val="16"/>
              </w:rPr>
              <w:lastRenderedPageBreak/>
              <w:t> Notes to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5E0F"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102</w:t>
            </w:r>
          </w:p>
        </w:tc>
      </w:tr>
    </w:tbl>
    <w:p w14:paraId="4ACE5E11" w14:textId="77777777" w:rsidR="006F587A" w:rsidRDefault="007B2B61">
      <w:r>
        <w:pict w14:anchorId="4ACE6E1C">
          <v:rect id="_x0000_i1128" style="width:415.3pt;height:1.5pt" o:hralign="center" o:hrstd="t" o:hr="t" fillcolor="#a0a0a0" stroked="f"/>
        </w:pict>
      </w:r>
    </w:p>
    <w:p w14:paraId="4ACE5E12" w14:textId="77777777" w:rsidR="006F587A" w:rsidRDefault="007B2B61">
      <w:pPr>
        <w:spacing w:line="288" w:lineRule="auto"/>
        <w:jc w:val="right"/>
        <w:rPr>
          <w:rFonts w:ascii="Times New Roman" w:hAnsi="Times New Roman"/>
          <w:sz w:val="16"/>
          <w:szCs w:val="16"/>
        </w:rPr>
      </w:pPr>
      <w:hyperlink r:id="rId167" w:anchor="s9DB683E2CF52561EB8A73BE37F5BF9BE" w:history="1">
        <w:r>
          <w:rPr>
            <w:rStyle w:val="a5"/>
            <w:rFonts w:ascii="Arial" w:eastAsia="宋体" w:hAnsi="Arial" w:cs="Arial"/>
            <w:b/>
            <w:bCs/>
            <w:sz w:val="16"/>
            <w:szCs w:val="16"/>
          </w:rPr>
          <w:t>Table of Contents</w:t>
        </w:r>
      </w:hyperlink>
    </w:p>
    <w:p w14:paraId="4ACE5E13" w14:textId="77777777" w:rsidR="006F587A" w:rsidRDefault="006F587A">
      <w:pPr>
        <w:spacing w:line="288" w:lineRule="auto"/>
        <w:jc w:val="right"/>
        <w:rPr>
          <w:rFonts w:ascii="Times New Roman" w:hAnsi="Times New Roman"/>
          <w:sz w:val="16"/>
          <w:szCs w:val="16"/>
        </w:rPr>
      </w:pPr>
    </w:p>
    <w:p w14:paraId="4ACE5E14" w14:textId="77777777" w:rsidR="006F587A" w:rsidRDefault="006F587A">
      <w:pPr>
        <w:rPr>
          <w:rFonts w:ascii="Times New Roman" w:hAnsi="Times New Roman"/>
          <w:sz w:val="20"/>
          <w:szCs w:val="20"/>
        </w:rPr>
      </w:pPr>
    </w:p>
    <w:p w14:paraId="4ACE5E15" w14:textId="77777777" w:rsidR="006F587A" w:rsidRDefault="007B2B61">
      <w:pPr>
        <w:spacing w:line="288" w:lineRule="auto"/>
        <w:rPr>
          <w:rFonts w:ascii="Times New Roman" w:hAnsi="Times New Roman"/>
        </w:rPr>
      </w:pPr>
      <w:r>
        <w:rPr>
          <w:rFonts w:ascii="Arial" w:eastAsia="宋体" w:hAnsi="Arial" w:cs="Arial"/>
          <w:b/>
          <w:bCs/>
          <w:color w:val="0071C5"/>
        </w:rPr>
        <w:t>BENEFIT OBLIGATION AND PLAN ASSETS FOR PENSION BENEFIT PLANS</w:t>
      </w:r>
    </w:p>
    <w:p w14:paraId="4ACE5E16" w14:textId="77777777" w:rsidR="006F587A" w:rsidRDefault="007B2B61">
      <w:pPr>
        <w:spacing w:line="288" w:lineRule="auto"/>
        <w:rPr>
          <w:rFonts w:ascii="Times New Roman" w:hAnsi="Times New Roman"/>
          <w:sz w:val="20"/>
          <w:szCs w:val="20"/>
        </w:rPr>
      </w:pPr>
      <w:r>
        <w:rPr>
          <w:rFonts w:ascii="Arial" w:eastAsia="宋体" w:hAnsi="Arial" w:cs="Arial"/>
          <w:color w:val="333333"/>
          <w:sz w:val="18"/>
          <w:szCs w:val="18"/>
        </w:rPr>
        <w:t>The vested ben</w:t>
      </w:r>
      <w:r>
        <w:rPr>
          <w:rFonts w:ascii="Arial" w:eastAsia="宋体" w:hAnsi="Arial" w:cs="Arial"/>
          <w:color w:val="333333"/>
          <w:sz w:val="18"/>
          <w:szCs w:val="18"/>
        </w:rPr>
        <w:t>efit obligation for a defined-benefit pension plan is the actuarial present value of the vested benefits to which the employee is currently entitled based on the employee's expected date of separation or retirement.</w:t>
      </w:r>
    </w:p>
    <w:tbl>
      <w:tblPr>
        <w:tblW w:w="5000" w:type="pct"/>
        <w:tblCellMar>
          <w:left w:w="0" w:type="dxa"/>
          <w:right w:w="0" w:type="dxa"/>
        </w:tblCellMar>
        <w:tblLook w:val="04A0" w:firstRow="1" w:lastRow="0" w:firstColumn="1" w:lastColumn="0" w:noHBand="0" w:noVBand="1"/>
      </w:tblPr>
      <w:tblGrid>
        <w:gridCol w:w="6064"/>
        <w:gridCol w:w="130"/>
        <w:gridCol w:w="142"/>
        <w:gridCol w:w="749"/>
        <w:gridCol w:w="100"/>
        <w:gridCol w:w="130"/>
        <w:gridCol w:w="142"/>
        <w:gridCol w:w="749"/>
        <w:gridCol w:w="100"/>
      </w:tblGrid>
      <w:tr w:rsidR="006F587A" w14:paraId="4ACE5E18" w14:textId="77777777">
        <w:tc>
          <w:tcPr>
            <w:tcW w:w="0" w:type="auto"/>
            <w:gridSpan w:val="9"/>
            <w:shd w:val="clear" w:color="auto" w:fill="auto"/>
            <w:vAlign w:val="center"/>
          </w:tcPr>
          <w:p w14:paraId="4ACE5E17" w14:textId="77777777" w:rsidR="006F587A" w:rsidRDefault="006F587A">
            <w:pPr>
              <w:rPr>
                <w:rFonts w:ascii="Times New Roman" w:hAnsi="Times New Roman"/>
                <w:sz w:val="20"/>
                <w:szCs w:val="20"/>
              </w:rPr>
            </w:pPr>
          </w:p>
        </w:tc>
      </w:tr>
      <w:tr w:rsidR="006F587A" w14:paraId="4ACE5E22" w14:textId="77777777">
        <w:tc>
          <w:tcPr>
            <w:tcW w:w="3700" w:type="pct"/>
            <w:shd w:val="clear" w:color="auto" w:fill="auto"/>
            <w:vAlign w:val="center"/>
          </w:tcPr>
          <w:p w14:paraId="4ACE5E19" w14:textId="77777777" w:rsidR="006F587A" w:rsidRDefault="006F587A">
            <w:pPr>
              <w:rPr>
                <w:rFonts w:ascii="Times New Roman" w:hAnsi="Times New Roman"/>
                <w:sz w:val="20"/>
                <w:szCs w:val="20"/>
              </w:rPr>
            </w:pPr>
          </w:p>
        </w:tc>
        <w:tc>
          <w:tcPr>
            <w:tcW w:w="50" w:type="pct"/>
            <w:shd w:val="clear" w:color="auto" w:fill="auto"/>
            <w:vAlign w:val="center"/>
          </w:tcPr>
          <w:p w14:paraId="4ACE5E1A" w14:textId="77777777" w:rsidR="006F587A" w:rsidRDefault="006F587A">
            <w:pPr>
              <w:rPr>
                <w:rFonts w:ascii="Times New Roman" w:hAnsi="Times New Roman"/>
                <w:sz w:val="20"/>
                <w:szCs w:val="20"/>
              </w:rPr>
            </w:pPr>
          </w:p>
        </w:tc>
        <w:tc>
          <w:tcPr>
            <w:tcW w:w="50" w:type="pct"/>
            <w:shd w:val="clear" w:color="auto" w:fill="auto"/>
            <w:vAlign w:val="center"/>
          </w:tcPr>
          <w:p w14:paraId="4ACE5E1B" w14:textId="77777777" w:rsidR="006F587A" w:rsidRDefault="006F587A">
            <w:pPr>
              <w:rPr>
                <w:rFonts w:ascii="Times New Roman" w:hAnsi="Times New Roman"/>
                <w:sz w:val="20"/>
                <w:szCs w:val="20"/>
              </w:rPr>
            </w:pPr>
          </w:p>
        </w:tc>
        <w:tc>
          <w:tcPr>
            <w:tcW w:w="500" w:type="pct"/>
            <w:shd w:val="clear" w:color="auto" w:fill="auto"/>
            <w:vAlign w:val="center"/>
          </w:tcPr>
          <w:p w14:paraId="4ACE5E1C" w14:textId="77777777" w:rsidR="006F587A" w:rsidRDefault="006F587A">
            <w:pPr>
              <w:rPr>
                <w:rFonts w:ascii="Times New Roman" w:hAnsi="Times New Roman"/>
                <w:sz w:val="20"/>
                <w:szCs w:val="20"/>
              </w:rPr>
            </w:pPr>
          </w:p>
        </w:tc>
        <w:tc>
          <w:tcPr>
            <w:tcW w:w="50" w:type="pct"/>
            <w:shd w:val="clear" w:color="auto" w:fill="auto"/>
            <w:vAlign w:val="center"/>
          </w:tcPr>
          <w:p w14:paraId="4ACE5E1D" w14:textId="77777777" w:rsidR="006F587A" w:rsidRDefault="006F587A">
            <w:pPr>
              <w:rPr>
                <w:rFonts w:ascii="Times New Roman" w:hAnsi="Times New Roman"/>
                <w:sz w:val="20"/>
                <w:szCs w:val="20"/>
              </w:rPr>
            </w:pPr>
          </w:p>
        </w:tc>
        <w:tc>
          <w:tcPr>
            <w:tcW w:w="50" w:type="pct"/>
            <w:shd w:val="clear" w:color="auto" w:fill="auto"/>
            <w:vAlign w:val="center"/>
          </w:tcPr>
          <w:p w14:paraId="4ACE5E1E" w14:textId="77777777" w:rsidR="006F587A" w:rsidRDefault="006F587A">
            <w:pPr>
              <w:rPr>
                <w:rFonts w:ascii="Times New Roman" w:hAnsi="Times New Roman"/>
                <w:sz w:val="20"/>
                <w:szCs w:val="20"/>
              </w:rPr>
            </w:pPr>
          </w:p>
        </w:tc>
        <w:tc>
          <w:tcPr>
            <w:tcW w:w="50" w:type="pct"/>
            <w:shd w:val="clear" w:color="auto" w:fill="auto"/>
            <w:vAlign w:val="center"/>
          </w:tcPr>
          <w:p w14:paraId="4ACE5E1F" w14:textId="77777777" w:rsidR="006F587A" w:rsidRDefault="006F587A">
            <w:pPr>
              <w:rPr>
                <w:rFonts w:ascii="Times New Roman" w:hAnsi="Times New Roman"/>
                <w:sz w:val="20"/>
                <w:szCs w:val="20"/>
              </w:rPr>
            </w:pPr>
          </w:p>
        </w:tc>
        <w:tc>
          <w:tcPr>
            <w:tcW w:w="500" w:type="pct"/>
            <w:shd w:val="clear" w:color="auto" w:fill="auto"/>
            <w:vAlign w:val="center"/>
          </w:tcPr>
          <w:p w14:paraId="4ACE5E20" w14:textId="77777777" w:rsidR="006F587A" w:rsidRDefault="006F587A">
            <w:pPr>
              <w:rPr>
                <w:rFonts w:ascii="Times New Roman" w:hAnsi="Times New Roman"/>
                <w:sz w:val="20"/>
                <w:szCs w:val="20"/>
              </w:rPr>
            </w:pPr>
          </w:p>
        </w:tc>
        <w:tc>
          <w:tcPr>
            <w:tcW w:w="50" w:type="pct"/>
            <w:shd w:val="clear" w:color="auto" w:fill="auto"/>
            <w:vAlign w:val="center"/>
          </w:tcPr>
          <w:p w14:paraId="4ACE5E21" w14:textId="77777777" w:rsidR="006F587A" w:rsidRDefault="006F587A">
            <w:pPr>
              <w:rPr>
                <w:rFonts w:ascii="Times New Roman" w:hAnsi="Times New Roman"/>
                <w:sz w:val="20"/>
                <w:szCs w:val="20"/>
              </w:rPr>
            </w:pPr>
          </w:p>
        </w:tc>
      </w:tr>
      <w:tr w:rsidR="006F587A" w14:paraId="4ACE5E28"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5E23"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 </w:t>
            </w:r>
            <w:r>
              <w:rPr>
                <w:rFonts w:ascii="Arial" w:eastAsia="宋体" w:hAnsi="Arial" w:cs="Arial"/>
                <w:b/>
                <w:bCs/>
                <w:color w:val="333333"/>
                <w:sz w:val="18"/>
                <w:szCs w:val="18"/>
              </w:rPr>
              <w:br/>
              <w:t>(In Millions)</w:t>
            </w:r>
          </w:p>
        </w:tc>
        <w:tc>
          <w:tcPr>
            <w:tcW w:w="0" w:type="auto"/>
            <w:shd w:val="clear" w:color="auto" w:fill="auto"/>
            <w:tcMar>
              <w:top w:w="40" w:type="dxa"/>
              <w:left w:w="40" w:type="dxa"/>
              <w:bottom w:w="40" w:type="dxa"/>
              <w:right w:w="40" w:type="dxa"/>
            </w:tcMar>
            <w:vAlign w:val="bottom"/>
          </w:tcPr>
          <w:p w14:paraId="4ACE5E2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E25"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28, </w:t>
            </w:r>
            <w:r>
              <w:rPr>
                <w:rFonts w:ascii="Arial" w:eastAsia="宋体" w:hAnsi="Arial" w:cs="Arial"/>
                <w:b/>
                <w:bCs/>
                <w:color w:val="333333"/>
                <w:sz w:val="18"/>
                <w:szCs w:val="18"/>
              </w:rPr>
              <w:br/>
              <w:t>2019</w:t>
            </w:r>
          </w:p>
        </w:tc>
        <w:tc>
          <w:tcPr>
            <w:tcW w:w="0" w:type="auto"/>
            <w:shd w:val="clear" w:color="auto" w:fill="auto"/>
            <w:tcMar>
              <w:top w:w="40" w:type="dxa"/>
              <w:left w:w="40" w:type="dxa"/>
              <w:bottom w:w="40" w:type="dxa"/>
              <w:right w:w="40" w:type="dxa"/>
            </w:tcMar>
            <w:vAlign w:val="bottom"/>
          </w:tcPr>
          <w:p w14:paraId="4ACE5E2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E27"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29, </w:t>
            </w:r>
            <w:r>
              <w:rPr>
                <w:rFonts w:ascii="Arial" w:eastAsia="宋体" w:hAnsi="Arial" w:cs="Arial"/>
                <w:b/>
                <w:bCs/>
                <w:color w:val="333333"/>
                <w:sz w:val="18"/>
                <w:szCs w:val="18"/>
              </w:rPr>
              <w:br/>
              <w:t>2018</w:t>
            </w:r>
          </w:p>
        </w:tc>
      </w:tr>
      <w:tr w:rsidR="006F587A" w14:paraId="4ACE5E2E" w14:textId="77777777">
        <w:tc>
          <w:tcPr>
            <w:tcW w:w="0" w:type="auto"/>
            <w:shd w:val="clear" w:color="auto" w:fill="auto"/>
            <w:tcMar>
              <w:top w:w="40" w:type="dxa"/>
              <w:left w:w="40" w:type="dxa"/>
              <w:bottom w:w="40" w:type="dxa"/>
              <w:right w:w="40" w:type="dxa"/>
            </w:tcMar>
            <w:vAlign w:val="bottom"/>
          </w:tcPr>
          <w:p w14:paraId="4ACE5E29"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Changes in projected benefit obligation:</w:t>
            </w:r>
          </w:p>
        </w:tc>
        <w:tc>
          <w:tcPr>
            <w:tcW w:w="0" w:type="auto"/>
            <w:shd w:val="clear" w:color="auto" w:fill="auto"/>
            <w:tcMar>
              <w:top w:w="40" w:type="dxa"/>
              <w:left w:w="40" w:type="dxa"/>
              <w:bottom w:w="40" w:type="dxa"/>
              <w:right w:w="40" w:type="dxa"/>
            </w:tcMar>
            <w:vAlign w:val="bottom"/>
          </w:tcPr>
          <w:p w14:paraId="4ACE5E2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E2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E2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E2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5E38" w14:textId="77777777">
        <w:tc>
          <w:tcPr>
            <w:tcW w:w="0" w:type="auto"/>
            <w:shd w:val="clear" w:color="auto" w:fill="auto"/>
            <w:tcMar>
              <w:top w:w="40" w:type="dxa"/>
              <w:left w:w="240" w:type="dxa"/>
              <w:bottom w:w="40" w:type="dxa"/>
              <w:right w:w="40" w:type="dxa"/>
            </w:tcMar>
            <w:vAlign w:val="bottom"/>
          </w:tcPr>
          <w:p w14:paraId="4ACE5E2F"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Beginning projected benefit obligation</w:t>
            </w:r>
          </w:p>
        </w:tc>
        <w:tc>
          <w:tcPr>
            <w:tcW w:w="0" w:type="auto"/>
            <w:shd w:val="clear" w:color="auto" w:fill="auto"/>
            <w:tcMar>
              <w:top w:w="40" w:type="dxa"/>
              <w:left w:w="40" w:type="dxa"/>
              <w:bottom w:w="40" w:type="dxa"/>
              <w:right w:w="40" w:type="dxa"/>
            </w:tcMar>
            <w:vAlign w:val="bottom"/>
          </w:tcPr>
          <w:p w14:paraId="4ACE5E3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E31"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bottom w:w="40" w:type="dxa"/>
            </w:tcMar>
            <w:vAlign w:val="bottom"/>
          </w:tcPr>
          <w:p w14:paraId="4ACE5E32"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3,433</w:t>
            </w:r>
          </w:p>
        </w:tc>
        <w:tc>
          <w:tcPr>
            <w:tcW w:w="0" w:type="auto"/>
            <w:shd w:val="clear" w:color="auto" w:fill="auto"/>
            <w:vAlign w:val="bottom"/>
          </w:tcPr>
          <w:p w14:paraId="4ACE5E3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E3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E35"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bottom w:w="40" w:type="dxa"/>
            </w:tcMar>
            <w:vAlign w:val="bottom"/>
          </w:tcPr>
          <w:p w14:paraId="4ACE5E36"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3,842</w:t>
            </w:r>
          </w:p>
        </w:tc>
        <w:tc>
          <w:tcPr>
            <w:tcW w:w="0" w:type="auto"/>
            <w:shd w:val="clear" w:color="auto" w:fill="auto"/>
            <w:vAlign w:val="bottom"/>
          </w:tcPr>
          <w:p w14:paraId="4ACE5E37" w14:textId="77777777" w:rsidR="006F587A" w:rsidRDefault="006F587A">
            <w:pPr>
              <w:textAlignment w:val="bottom"/>
              <w:rPr>
                <w:rFonts w:ascii="Times New Roman" w:hAnsi="Times New Roman"/>
                <w:sz w:val="20"/>
                <w:szCs w:val="20"/>
              </w:rPr>
            </w:pPr>
          </w:p>
        </w:tc>
      </w:tr>
      <w:tr w:rsidR="006F587A" w14:paraId="4ACE5E40" w14:textId="77777777">
        <w:tc>
          <w:tcPr>
            <w:tcW w:w="0" w:type="auto"/>
            <w:shd w:val="clear" w:color="auto" w:fill="auto"/>
            <w:tcMar>
              <w:top w:w="40" w:type="dxa"/>
              <w:left w:w="240" w:type="dxa"/>
              <w:bottom w:w="40" w:type="dxa"/>
              <w:right w:w="40" w:type="dxa"/>
            </w:tcMar>
            <w:vAlign w:val="bottom"/>
          </w:tcPr>
          <w:p w14:paraId="4ACE5E3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Service cost</w:t>
            </w:r>
          </w:p>
        </w:tc>
        <w:tc>
          <w:tcPr>
            <w:tcW w:w="0" w:type="auto"/>
            <w:shd w:val="clear" w:color="auto" w:fill="auto"/>
            <w:tcMar>
              <w:top w:w="40" w:type="dxa"/>
              <w:left w:w="40" w:type="dxa"/>
              <w:bottom w:w="40" w:type="dxa"/>
              <w:right w:w="40" w:type="dxa"/>
            </w:tcMar>
            <w:vAlign w:val="bottom"/>
          </w:tcPr>
          <w:p w14:paraId="4ACE5E3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E3B"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54</w:t>
            </w:r>
          </w:p>
        </w:tc>
        <w:tc>
          <w:tcPr>
            <w:tcW w:w="0" w:type="auto"/>
            <w:shd w:val="clear" w:color="auto" w:fill="auto"/>
            <w:vAlign w:val="bottom"/>
          </w:tcPr>
          <w:p w14:paraId="4ACE5E3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E3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E3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65</w:t>
            </w:r>
          </w:p>
        </w:tc>
        <w:tc>
          <w:tcPr>
            <w:tcW w:w="0" w:type="auto"/>
            <w:shd w:val="clear" w:color="auto" w:fill="auto"/>
            <w:vAlign w:val="bottom"/>
          </w:tcPr>
          <w:p w14:paraId="4ACE5E3F" w14:textId="77777777" w:rsidR="006F587A" w:rsidRDefault="006F587A">
            <w:pPr>
              <w:textAlignment w:val="bottom"/>
              <w:rPr>
                <w:rFonts w:ascii="Times New Roman" w:hAnsi="Times New Roman"/>
                <w:sz w:val="20"/>
                <w:szCs w:val="20"/>
              </w:rPr>
            </w:pPr>
          </w:p>
        </w:tc>
      </w:tr>
      <w:tr w:rsidR="006F587A" w14:paraId="4ACE5E48" w14:textId="77777777">
        <w:tc>
          <w:tcPr>
            <w:tcW w:w="0" w:type="auto"/>
            <w:shd w:val="clear" w:color="auto" w:fill="auto"/>
            <w:tcMar>
              <w:top w:w="40" w:type="dxa"/>
              <w:left w:w="240" w:type="dxa"/>
              <w:bottom w:w="40" w:type="dxa"/>
              <w:right w:w="40" w:type="dxa"/>
            </w:tcMar>
            <w:vAlign w:val="bottom"/>
          </w:tcPr>
          <w:p w14:paraId="4ACE5E4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Interest cost</w:t>
            </w:r>
          </w:p>
        </w:tc>
        <w:tc>
          <w:tcPr>
            <w:tcW w:w="0" w:type="auto"/>
            <w:shd w:val="clear" w:color="auto" w:fill="auto"/>
            <w:tcMar>
              <w:top w:w="40" w:type="dxa"/>
              <w:left w:w="40" w:type="dxa"/>
              <w:bottom w:w="40" w:type="dxa"/>
              <w:right w:w="40" w:type="dxa"/>
            </w:tcMar>
            <w:vAlign w:val="bottom"/>
          </w:tcPr>
          <w:p w14:paraId="4ACE5E4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E4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113</w:t>
            </w:r>
          </w:p>
        </w:tc>
        <w:tc>
          <w:tcPr>
            <w:tcW w:w="0" w:type="auto"/>
            <w:shd w:val="clear" w:color="auto" w:fill="auto"/>
            <w:vAlign w:val="bottom"/>
          </w:tcPr>
          <w:p w14:paraId="4ACE5E4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E4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E4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113</w:t>
            </w:r>
          </w:p>
        </w:tc>
        <w:tc>
          <w:tcPr>
            <w:tcW w:w="0" w:type="auto"/>
            <w:shd w:val="clear" w:color="auto" w:fill="auto"/>
            <w:vAlign w:val="bottom"/>
          </w:tcPr>
          <w:p w14:paraId="4ACE5E47" w14:textId="77777777" w:rsidR="006F587A" w:rsidRDefault="006F587A">
            <w:pPr>
              <w:textAlignment w:val="bottom"/>
              <w:rPr>
                <w:rFonts w:ascii="Times New Roman" w:hAnsi="Times New Roman"/>
                <w:sz w:val="20"/>
                <w:szCs w:val="20"/>
              </w:rPr>
            </w:pPr>
          </w:p>
        </w:tc>
      </w:tr>
      <w:tr w:rsidR="006F587A" w14:paraId="4ACE5E50" w14:textId="77777777">
        <w:tc>
          <w:tcPr>
            <w:tcW w:w="0" w:type="auto"/>
            <w:shd w:val="clear" w:color="auto" w:fill="auto"/>
            <w:tcMar>
              <w:top w:w="40" w:type="dxa"/>
              <w:left w:w="240" w:type="dxa"/>
              <w:bottom w:w="40" w:type="dxa"/>
              <w:right w:w="40" w:type="dxa"/>
            </w:tcMar>
            <w:vAlign w:val="bottom"/>
          </w:tcPr>
          <w:p w14:paraId="4ACE5E4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Actuarial (gain) loss</w:t>
            </w:r>
          </w:p>
        </w:tc>
        <w:tc>
          <w:tcPr>
            <w:tcW w:w="0" w:type="auto"/>
            <w:shd w:val="clear" w:color="auto" w:fill="auto"/>
            <w:tcMar>
              <w:top w:w="40" w:type="dxa"/>
              <w:left w:w="40" w:type="dxa"/>
              <w:bottom w:w="40" w:type="dxa"/>
              <w:right w:w="40" w:type="dxa"/>
            </w:tcMar>
            <w:vAlign w:val="bottom"/>
          </w:tcPr>
          <w:p w14:paraId="4ACE5E4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E4B"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829</w:t>
            </w:r>
          </w:p>
        </w:tc>
        <w:tc>
          <w:tcPr>
            <w:tcW w:w="0" w:type="auto"/>
            <w:shd w:val="clear" w:color="auto" w:fill="auto"/>
            <w:vAlign w:val="bottom"/>
          </w:tcPr>
          <w:p w14:paraId="4ACE5E4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E4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E4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(204</w:t>
            </w:r>
          </w:p>
        </w:tc>
        <w:tc>
          <w:tcPr>
            <w:tcW w:w="0" w:type="auto"/>
            <w:shd w:val="clear" w:color="auto" w:fill="auto"/>
            <w:tcMar>
              <w:top w:w="40" w:type="dxa"/>
              <w:bottom w:w="40" w:type="dxa"/>
              <w:right w:w="40" w:type="dxa"/>
            </w:tcMar>
            <w:vAlign w:val="bottom"/>
          </w:tcPr>
          <w:p w14:paraId="4ACE5E4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5E58" w14:textId="77777777">
        <w:tc>
          <w:tcPr>
            <w:tcW w:w="0" w:type="auto"/>
            <w:shd w:val="clear" w:color="auto" w:fill="auto"/>
            <w:tcMar>
              <w:top w:w="40" w:type="dxa"/>
              <w:left w:w="240" w:type="dxa"/>
              <w:bottom w:w="40" w:type="dxa"/>
              <w:right w:w="40" w:type="dxa"/>
            </w:tcMar>
            <w:vAlign w:val="bottom"/>
          </w:tcPr>
          <w:p w14:paraId="4ACE5E5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Currency </w:t>
            </w:r>
            <w:r>
              <w:rPr>
                <w:rFonts w:ascii="Arial" w:eastAsia="宋体" w:hAnsi="Arial" w:cs="Arial"/>
                <w:color w:val="333333"/>
                <w:sz w:val="18"/>
                <w:szCs w:val="18"/>
              </w:rPr>
              <w:t>exchange rate changes</w:t>
            </w:r>
          </w:p>
        </w:tc>
        <w:tc>
          <w:tcPr>
            <w:tcW w:w="0" w:type="auto"/>
            <w:shd w:val="clear" w:color="auto" w:fill="auto"/>
            <w:tcMar>
              <w:top w:w="40" w:type="dxa"/>
              <w:left w:w="40" w:type="dxa"/>
              <w:bottom w:w="40" w:type="dxa"/>
              <w:right w:w="40" w:type="dxa"/>
            </w:tcMar>
            <w:vAlign w:val="bottom"/>
          </w:tcPr>
          <w:p w14:paraId="4ACE5E5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E5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w:t>
            </w:r>
          </w:p>
        </w:tc>
        <w:tc>
          <w:tcPr>
            <w:tcW w:w="0" w:type="auto"/>
            <w:shd w:val="clear" w:color="auto" w:fill="auto"/>
            <w:tcMar>
              <w:top w:w="40" w:type="dxa"/>
              <w:bottom w:w="40" w:type="dxa"/>
              <w:right w:w="40" w:type="dxa"/>
            </w:tcMar>
            <w:vAlign w:val="bottom"/>
          </w:tcPr>
          <w:p w14:paraId="4ACE5E54"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5E5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E5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(121</w:t>
            </w:r>
          </w:p>
        </w:tc>
        <w:tc>
          <w:tcPr>
            <w:tcW w:w="0" w:type="auto"/>
            <w:shd w:val="clear" w:color="auto" w:fill="auto"/>
            <w:tcMar>
              <w:top w:w="40" w:type="dxa"/>
              <w:bottom w:w="40" w:type="dxa"/>
              <w:right w:w="40" w:type="dxa"/>
            </w:tcMar>
            <w:vAlign w:val="bottom"/>
          </w:tcPr>
          <w:p w14:paraId="4ACE5E5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5E60" w14:textId="77777777">
        <w:tc>
          <w:tcPr>
            <w:tcW w:w="0" w:type="auto"/>
            <w:shd w:val="clear" w:color="auto" w:fill="auto"/>
            <w:tcMar>
              <w:top w:w="40" w:type="dxa"/>
              <w:left w:w="240" w:type="dxa"/>
              <w:bottom w:w="40" w:type="dxa"/>
              <w:right w:w="40" w:type="dxa"/>
            </w:tcMar>
            <w:vAlign w:val="bottom"/>
          </w:tcPr>
          <w:p w14:paraId="4ACE5E5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Plan curtailments</w:t>
            </w:r>
          </w:p>
        </w:tc>
        <w:tc>
          <w:tcPr>
            <w:tcW w:w="0" w:type="auto"/>
            <w:shd w:val="clear" w:color="auto" w:fill="auto"/>
            <w:tcMar>
              <w:top w:w="40" w:type="dxa"/>
              <w:left w:w="40" w:type="dxa"/>
              <w:bottom w:w="40" w:type="dxa"/>
              <w:right w:w="40" w:type="dxa"/>
            </w:tcMar>
            <w:vAlign w:val="bottom"/>
          </w:tcPr>
          <w:p w14:paraId="4ACE5E5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E5B"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5E5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E5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E5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(150</w:t>
            </w:r>
          </w:p>
        </w:tc>
        <w:tc>
          <w:tcPr>
            <w:tcW w:w="0" w:type="auto"/>
            <w:shd w:val="clear" w:color="auto" w:fill="auto"/>
            <w:tcMar>
              <w:top w:w="40" w:type="dxa"/>
              <w:bottom w:w="40" w:type="dxa"/>
              <w:right w:w="40" w:type="dxa"/>
            </w:tcMar>
            <w:vAlign w:val="bottom"/>
          </w:tcPr>
          <w:p w14:paraId="4ACE5E5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5E68" w14:textId="77777777">
        <w:tc>
          <w:tcPr>
            <w:tcW w:w="0" w:type="auto"/>
            <w:shd w:val="clear" w:color="auto" w:fill="auto"/>
            <w:tcMar>
              <w:top w:w="40" w:type="dxa"/>
              <w:left w:w="240" w:type="dxa"/>
              <w:bottom w:w="40" w:type="dxa"/>
              <w:right w:w="40" w:type="dxa"/>
            </w:tcMar>
            <w:vAlign w:val="bottom"/>
          </w:tcPr>
          <w:p w14:paraId="4ACE5E6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Plan settlements</w:t>
            </w:r>
          </w:p>
        </w:tc>
        <w:tc>
          <w:tcPr>
            <w:tcW w:w="0" w:type="auto"/>
            <w:shd w:val="clear" w:color="auto" w:fill="auto"/>
            <w:tcMar>
              <w:top w:w="40" w:type="dxa"/>
              <w:left w:w="40" w:type="dxa"/>
              <w:bottom w:w="40" w:type="dxa"/>
              <w:right w:w="40" w:type="dxa"/>
            </w:tcMar>
            <w:vAlign w:val="bottom"/>
          </w:tcPr>
          <w:p w14:paraId="4ACE5E6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E6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(57</w:t>
            </w:r>
          </w:p>
        </w:tc>
        <w:tc>
          <w:tcPr>
            <w:tcW w:w="0" w:type="auto"/>
            <w:shd w:val="clear" w:color="auto" w:fill="auto"/>
            <w:tcMar>
              <w:top w:w="40" w:type="dxa"/>
              <w:bottom w:w="40" w:type="dxa"/>
              <w:right w:w="40" w:type="dxa"/>
            </w:tcMar>
            <w:vAlign w:val="bottom"/>
          </w:tcPr>
          <w:p w14:paraId="4ACE5E64"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5E6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E6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(74</w:t>
            </w:r>
          </w:p>
        </w:tc>
        <w:tc>
          <w:tcPr>
            <w:tcW w:w="0" w:type="auto"/>
            <w:shd w:val="clear" w:color="auto" w:fill="auto"/>
            <w:tcMar>
              <w:top w:w="40" w:type="dxa"/>
              <w:bottom w:w="40" w:type="dxa"/>
              <w:right w:w="40" w:type="dxa"/>
            </w:tcMar>
            <w:vAlign w:val="bottom"/>
          </w:tcPr>
          <w:p w14:paraId="4ACE5E6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5E70" w14:textId="77777777">
        <w:tc>
          <w:tcPr>
            <w:tcW w:w="0" w:type="auto"/>
            <w:shd w:val="clear" w:color="auto" w:fill="auto"/>
            <w:tcMar>
              <w:top w:w="40" w:type="dxa"/>
              <w:left w:w="240" w:type="dxa"/>
              <w:bottom w:w="40" w:type="dxa"/>
              <w:right w:w="40" w:type="dxa"/>
            </w:tcMar>
            <w:vAlign w:val="bottom"/>
          </w:tcPr>
          <w:p w14:paraId="4ACE5E6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Other</w:t>
            </w:r>
          </w:p>
        </w:tc>
        <w:tc>
          <w:tcPr>
            <w:tcW w:w="0" w:type="auto"/>
            <w:shd w:val="clear" w:color="auto" w:fill="auto"/>
            <w:tcMar>
              <w:top w:w="40" w:type="dxa"/>
              <w:left w:w="40" w:type="dxa"/>
              <w:bottom w:w="40" w:type="dxa"/>
              <w:right w:w="40" w:type="dxa"/>
            </w:tcMar>
            <w:vAlign w:val="bottom"/>
          </w:tcPr>
          <w:p w14:paraId="4ACE5E6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E6B"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(86</w:t>
            </w:r>
          </w:p>
        </w:tc>
        <w:tc>
          <w:tcPr>
            <w:tcW w:w="0" w:type="auto"/>
            <w:tcBorders>
              <w:bottom w:val="single" w:sz="8" w:space="0" w:color="333333"/>
            </w:tcBorders>
            <w:shd w:val="clear" w:color="auto" w:fill="auto"/>
            <w:tcMar>
              <w:top w:w="40" w:type="dxa"/>
              <w:bottom w:w="40" w:type="dxa"/>
              <w:right w:w="40" w:type="dxa"/>
            </w:tcMar>
            <w:vAlign w:val="bottom"/>
          </w:tcPr>
          <w:p w14:paraId="4ACE5E6C"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5E6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E6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(38</w:t>
            </w:r>
          </w:p>
        </w:tc>
        <w:tc>
          <w:tcPr>
            <w:tcW w:w="0" w:type="auto"/>
            <w:tcBorders>
              <w:bottom w:val="single" w:sz="8" w:space="0" w:color="333333"/>
            </w:tcBorders>
            <w:shd w:val="clear" w:color="auto" w:fill="auto"/>
            <w:tcMar>
              <w:top w:w="40" w:type="dxa"/>
              <w:bottom w:w="40" w:type="dxa"/>
              <w:right w:w="40" w:type="dxa"/>
            </w:tcMar>
            <w:vAlign w:val="bottom"/>
          </w:tcPr>
          <w:p w14:paraId="4ACE5E6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5E78" w14:textId="77777777">
        <w:tc>
          <w:tcPr>
            <w:tcW w:w="0" w:type="auto"/>
            <w:shd w:val="clear" w:color="auto" w:fill="auto"/>
            <w:tcMar>
              <w:top w:w="40" w:type="dxa"/>
              <w:left w:w="240" w:type="dxa"/>
              <w:bottom w:w="40" w:type="dxa"/>
              <w:right w:w="40" w:type="dxa"/>
            </w:tcMar>
            <w:vAlign w:val="bottom"/>
          </w:tcPr>
          <w:p w14:paraId="4ACE5E71"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Ending projected benefit obligation</w:t>
            </w:r>
            <w:r>
              <w:rPr>
                <w:rFonts w:ascii="Arial" w:eastAsia="宋体" w:hAnsi="Arial" w:cs="Arial"/>
                <w:b/>
                <w:bCs/>
                <w:color w:val="333333"/>
                <w:sz w:val="12"/>
                <w:szCs w:val="12"/>
              </w:rPr>
              <w:t>1</w:t>
            </w:r>
          </w:p>
        </w:tc>
        <w:tc>
          <w:tcPr>
            <w:tcW w:w="0" w:type="auto"/>
            <w:shd w:val="clear" w:color="auto" w:fill="auto"/>
            <w:tcMar>
              <w:top w:w="40" w:type="dxa"/>
              <w:left w:w="40" w:type="dxa"/>
              <w:bottom w:w="40" w:type="dxa"/>
              <w:right w:w="40" w:type="dxa"/>
            </w:tcMar>
            <w:vAlign w:val="bottom"/>
          </w:tcPr>
          <w:p w14:paraId="4ACE5E7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E73"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4,284</w:t>
            </w:r>
          </w:p>
        </w:tc>
        <w:tc>
          <w:tcPr>
            <w:tcW w:w="0" w:type="auto"/>
            <w:tcBorders>
              <w:bottom w:val="single" w:sz="8" w:space="0" w:color="333333"/>
            </w:tcBorders>
            <w:shd w:val="clear" w:color="auto" w:fill="auto"/>
            <w:vAlign w:val="bottom"/>
          </w:tcPr>
          <w:p w14:paraId="4ACE5E7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E7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E76"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3,433</w:t>
            </w:r>
          </w:p>
        </w:tc>
        <w:tc>
          <w:tcPr>
            <w:tcW w:w="0" w:type="auto"/>
            <w:tcBorders>
              <w:bottom w:val="single" w:sz="8" w:space="0" w:color="333333"/>
            </w:tcBorders>
            <w:shd w:val="clear" w:color="auto" w:fill="auto"/>
            <w:vAlign w:val="bottom"/>
          </w:tcPr>
          <w:p w14:paraId="4ACE5E77" w14:textId="77777777" w:rsidR="006F587A" w:rsidRDefault="006F587A">
            <w:pPr>
              <w:textAlignment w:val="bottom"/>
              <w:rPr>
                <w:rFonts w:ascii="Times New Roman" w:hAnsi="Times New Roman"/>
                <w:sz w:val="20"/>
                <w:szCs w:val="20"/>
              </w:rPr>
            </w:pPr>
          </w:p>
        </w:tc>
      </w:tr>
      <w:tr w:rsidR="006F587A" w14:paraId="4ACE5E7E" w14:textId="77777777">
        <w:tc>
          <w:tcPr>
            <w:tcW w:w="0" w:type="auto"/>
            <w:shd w:val="clear" w:color="auto" w:fill="auto"/>
            <w:tcMar>
              <w:top w:w="40" w:type="dxa"/>
              <w:left w:w="40" w:type="dxa"/>
              <w:bottom w:w="40" w:type="dxa"/>
              <w:right w:w="40" w:type="dxa"/>
            </w:tcMar>
            <w:vAlign w:val="bottom"/>
          </w:tcPr>
          <w:p w14:paraId="4ACE5E7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E7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E7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E7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E7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5E84" w14:textId="77777777">
        <w:tc>
          <w:tcPr>
            <w:tcW w:w="0" w:type="auto"/>
            <w:shd w:val="clear" w:color="auto" w:fill="auto"/>
            <w:tcMar>
              <w:top w:w="40" w:type="dxa"/>
              <w:left w:w="40" w:type="dxa"/>
              <w:bottom w:w="40" w:type="dxa"/>
              <w:right w:w="40" w:type="dxa"/>
            </w:tcMar>
            <w:vAlign w:val="bottom"/>
          </w:tcPr>
          <w:p w14:paraId="4ACE5E7F"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Changes in fair value of plan assets:</w:t>
            </w:r>
          </w:p>
        </w:tc>
        <w:tc>
          <w:tcPr>
            <w:tcW w:w="0" w:type="auto"/>
            <w:shd w:val="clear" w:color="auto" w:fill="auto"/>
            <w:tcMar>
              <w:top w:w="40" w:type="dxa"/>
              <w:left w:w="40" w:type="dxa"/>
              <w:bottom w:w="40" w:type="dxa"/>
              <w:right w:w="40" w:type="dxa"/>
            </w:tcMar>
            <w:vAlign w:val="bottom"/>
          </w:tcPr>
          <w:p w14:paraId="4ACE5E8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E8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E8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E8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5E8C" w14:textId="77777777">
        <w:tc>
          <w:tcPr>
            <w:tcW w:w="0" w:type="auto"/>
            <w:shd w:val="clear" w:color="auto" w:fill="auto"/>
            <w:tcMar>
              <w:top w:w="40" w:type="dxa"/>
              <w:left w:w="240" w:type="dxa"/>
              <w:bottom w:w="40" w:type="dxa"/>
              <w:right w:w="40" w:type="dxa"/>
            </w:tcMar>
            <w:vAlign w:val="bottom"/>
          </w:tcPr>
          <w:p w14:paraId="4ACE5E85"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Beginning fair value of plan assets</w:t>
            </w:r>
          </w:p>
        </w:tc>
        <w:tc>
          <w:tcPr>
            <w:tcW w:w="0" w:type="auto"/>
            <w:shd w:val="clear" w:color="auto" w:fill="auto"/>
            <w:tcMar>
              <w:top w:w="40" w:type="dxa"/>
              <w:left w:w="40" w:type="dxa"/>
              <w:bottom w:w="40" w:type="dxa"/>
              <w:right w:w="40" w:type="dxa"/>
            </w:tcMar>
            <w:vAlign w:val="bottom"/>
          </w:tcPr>
          <w:p w14:paraId="4ACE5E8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E87"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2,551</w:t>
            </w:r>
          </w:p>
        </w:tc>
        <w:tc>
          <w:tcPr>
            <w:tcW w:w="0" w:type="auto"/>
            <w:shd w:val="clear" w:color="auto" w:fill="auto"/>
            <w:vAlign w:val="bottom"/>
          </w:tcPr>
          <w:p w14:paraId="4ACE5E8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E8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E8A"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2,287</w:t>
            </w:r>
          </w:p>
        </w:tc>
        <w:tc>
          <w:tcPr>
            <w:tcW w:w="0" w:type="auto"/>
            <w:shd w:val="clear" w:color="auto" w:fill="auto"/>
            <w:vAlign w:val="bottom"/>
          </w:tcPr>
          <w:p w14:paraId="4ACE5E8B" w14:textId="77777777" w:rsidR="006F587A" w:rsidRDefault="006F587A">
            <w:pPr>
              <w:textAlignment w:val="bottom"/>
              <w:rPr>
                <w:rFonts w:ascii="Times New Roman" w:hAnsi="Times New Roman"/>
                <w:sz w:val="20"/>
                <w:szCs w:val="20"/>
              </w:rPr>
            </w:pPr>
          </w:p>
        </w:tc>
      </w:tr>
      <w:tr w:rsidR="006F587A" w14:paraId="4ACE5E94" w14:textId="77777777">
        <w:tc>
          <w:tcPr>
            <w:tcW w:w="0" w:type="auto"/>
            <w:shd w:val="clear" w:color="auto" w:fill="auto"/>
            <w:tcMar>
              <w:top w:w="40" w:type="dxa"/>
              <w:left w:w="240" w:type="dxa"/>
              <w:bottom w:w="40" w:type="dxa"/>
              <w:right w:w="40" w:type="dxa"/>
            </w:tcMar>
            <w:vAlign w:val="bottom"/>
          </w:tcPr>
          <w:p w14:paraId="4ACE5E8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Actual return on plan assets</w:t>
            </w:r>
          </w:p>
        </w:tc>
        <w:tc>
          <w:tcPr>
            <w:tcW w:w="0" w:type="auto"/>
            <w:shd w:val="clear" w:color="auto" w:fill="auto"/>
            <w:tcMar>
              <w:top w:w="40" w:type="dxa"/>
              <w:left w:w="40" w:type="dxa"/>
              <w:bottom w:w="40" w:type="dxa"/>
              <w:right w:w="40" w:type="dxa"/>
            </w:tcMar>
            <w:vAlign w:val="bottom"/>
          </w:tcPr>
          <w:p w14:paraId="4ACE5E8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E8F"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193</w:t>
            </w:r>
          </w:p>
        </w:tc>
        <w:tc>
          <w:tcPr>
            <w:tcW w:w="0" w:type="auto"/>
            <w:shd w:val="clear" w:color="auto" w:fill="auto"/>
            <w:vAlign w:val="bottom"/>
          </w:tcPr>
          <w:p w14:paraId="4ACE5E9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E9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E9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(38</w:t>
            </w:r>
          </w:p>
        </w:tc>
        <w:tc>
          <w:tcPr>
            <w:tcW w:w="0" w:type="auto"/>
            <w:shd w:val="clear" w:color="auto" w:fill="auto"/>
            <w:tcMar>
              <w:top w:w="40" w:type="dxa"/>
              <w:bottom w:w="40" w:type="dxa"/>
              <w:right w:w="40" w:type="dxa"/>
            </w:tcMar>
            <w:vAlign w:val="bottom"/>
          </w:tcPr>
          <w:p w14:paraId="4ACE5E9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5E9C" w14:textId="77777777">
        <w:tc>
          <w:tcPr>
            <w:tcW w:w="0" w:type="auto"/>
            <w:shd w:val="clear" w:color="auto" w:fill="auto"/>
            <w:tcMar>
              <w:top w:w="40" w:type="dxa"/>
              <w:left w:w="240" w:type="dxa"/>
              <w:bottom w:w="40" w:type="dxa"/>
              <w:right w:w="40" w:type="dxa"/>
            </w:tcMar>
            <w:vAlign w:val="bottom"/>
          </w:tcPr>
          <w:p w14:paraId="4ACE5E9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Employer contributions</w:t>
            </w:r>
          </w:p>
        </w:tc>
        <w:tc>
          <w:tcPr>
            <w:tcW w:w="0" w:type="auto"/>
            <w:shd w:val="clear" w:color="auto" w:fill="auto"/>
            <w:tcMar>
              <w:top w:w="40" w:type="dxa"/>
              <w:left w:w="40" w:type="dxa"/>
              <w:bottom w:w="40" w:type="dxa"/>
              <w:right w:w="40" w:type="dxa"/>
            </w:tcMar>
            <w:vAlign w:val="bottom"/>
          </w:tcPr>
          <w:p w14:paraId="4ACE5E9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E97"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30</w:t>
            </w:r>
          </w:p>
        </w:tc>
        <w:tc>
          <w:tcPr>
            <w:tcW w:w="0" w:type="auto"/>
            <w:shd w:val="clear" w:color="auto" w:fill="auto"/>
            <w:vAlign w:val="bottom"/>
          </w:tcPr>
          <w:p w14:paraId="4ACE5E9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E9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E9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480</w:t>
            </w:r>
          </w:p>
        </w:tc>
        <w:tc>
          <w:tcPr>
            <w:tcW w:w="0" w:type="auto"/>
            <w:shd w:val="clear" w:color="auto" w:fill="auto"/>
            <w:vAlign w:val="bottom"/>
          </w:tcPr>
          <w:p w14:paraId="4ACE5E9B" w14:textId="77777777" w:rsidR="006F587A" w:rsidRDefault="006F587A">
            <w:pPr>
              <w:textAlignment w:val="bottom"/>
              <w:rPr>
                <w:rFonts w:ascii="Times New Roman" w:hAnsi="Times New Roman"/>
                <w:sz w:val="20"/>
                <w:szCs w:val="20"/>
              </w:rPr>
            </w:pPr>
          </w:p>
        </w:tc>
      </w:tr>
      <w:tr w:rsidR="006F587A" w14:paraId="4ACE5EA4" w14:textId="77777777">
        <w:tc>
          <w:tcPr>
            <w:tcW w:w="0" w:type="auto"/>
            <w:shd w:val="clear" w:color="auto" w:fill="auto"/>
            <w:tcMar>
              <w:top w:w="40" w:type="dxa"/>
              <w:left w:w="240" w:type="dxa"/>
              <w:bottom w:w="40" w:type="dxa"/>
              <w:right w:w="40" w:type="dxa"/>
            </w:tcMar>
            <w:vAlign w:val="bottom"/>
          </w:tcPr>
          <w:p w14:paraId="4ACE5E9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Currency exchange rate changes</w:t>
            </w:r>
          </w:p>
        </w:tc>
        <w:tc>
          <w:tcPr>
            <w:tcW w:w="0" w:type="auto"/>
            <w:shd w:val="clear" w:color="auto" w:fill="auto"/>
            <w:tcMar>
              <w:top w:w="40" w:type="dxa"/>
              <w:left w:w="40" w:type="dxa"/>
              <w:bottom w:w="40" w:type="dxa"/>
              <w:right w:w="40" w:type="dxa"/>
            </w:tcMar>
            <w:vAlign w:val="bottom"/>
          </w:tcPr>
          <w:p w14:paraId="4ACE5E9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E9F"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w:t>
            </w:r>
          </w:p>
        </w:tc>
        <w:tc>
          <w:tcPr>
            <w:tcW w:w="0" w:type="auto"/>
            <w:shd w:val="clear" w:color="auto" w:fill="auto"/>
            <w:vAlign w:val="bottom"/>
          </w:tcPr>
          <w:p w14:paraId="4ACE5EA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EA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EA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(62</w:t>
            </w:r>
          </w:p>
        </w:tc>
        <w:tc>
          <w:tcPr>
            <w:tcW w:w="0" w:type="auto"/>
            <w:shd w:val="clear" w:color="auto" w:fill="auto"/>
            <w:tcMar>
              <w:top w:w="40" w:type="dxa"/>
              <w:bottom w:w="40" w:type="dxa"/>
              <w:right w:w="40" w:type="dxa"/>
            </w:tcMar>
            <w:vAlign w:val="bottom"/>
          </w:tcPr>
          <w:p w14:paraId="4ACE5EA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5EAC" w14:textId="77777777">
        <w:tc>
          <w:tcPr>
            <w:tcW w:w="0" w:type="auto"/>
            <w:shd w:val="clear" w:color="auto" w:fill="auto"/>
            <w:tcMar>
              <w:top w:w="40" w:type="dxa"/>
              <w:left w:w="240" w:type="dxa"/>
              <w:bottom w:w="40" w:type="dxa"/>
              <w:right w:w="40" w:type="dxa"/>
            </w:tcMar>
            <w:vAlign w:val="bottom"/>
          </w:tcPr>
          <w:p w14:paraId="4ACE5EA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Plan settlements</w:t>
            </w:r>
          </w:p>
        </w:tc>
        <w:tc>
          <w:tcPr>
            <w:tcW w:w="0" w:type="auto"/>
            <w:shd w:val="clear" w:color="auto" w:fill="auto"/>
            <w:tcMar>
              <w:top w:w="40" w:type="dxa"/>
              <w:left w:w="40" w:type="dxa"/>
              <w:bottom w:w="40" w:type="dxa"/>
              <w:right w:w="40" w:type="dxa"/>
            </w:tcMar>
            <w:vAlign w:val="bottom"/>
          </w:tcPr>
          <w:p w14:paraId="4ACE5EA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EA7"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(57</w:t>
            </w:r>
          </w:p>
        </w:tc>
        <w:tc>
          <w:tcPr>
            <w:tcW w:w="0" w:type="auto"/>
            <w:shd w:val="clear" w:color="auto" w:fill="auto"/>
            <w:tcMar>
              <w:top w:w="40" w:type="dxa"/>
              <w:bottom w:w="40" w:type="dxa"/>
              <w:right w:w="40" w:type="dxa"/>
            </w:tcMar>
            <w:vAlign w:val="bottom"/>
          </w:tcPr>
          <w:p w14:paraId="4ACE5EA8"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5EA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EA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(74</w:t>
            </w:r>
          </w:p>
        </w:tc>
        <w:tc>
          <w:tcPr>
            <w:tcW w:w="0" w:type="auto"/>
            <w:shd w:val="clear" w:color="auto" w:fill="auto"/>
            <w:tcMar>
              <w:top w:w="40" w:type="dxa"/>
              <w:bottom w:w="40" w:type="dxa"/>
              <w:right w:w="40" w:type="dxa"/>
            </w:tcMar>
            <w:vAlign w:val="bottom"/>
          </w:tcPr>
          <w:p w14:paraId="4ACE5EA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5EB4" w14:textId="77777777">
        <w:tc>
          <w:tcPr>
            <w:tcW w:w="0" w:type="auto"/>
            <w:shd w:val="clear" w:color="auto" w:fill="auto"/>
            <w:tcMar>
              <w:top w:w="40" w:type="dxa"/>
              <w:left w:w="240" w:type="dxa"/>
              <w:bottom w:w="40" w:type="dxa"/>
              <w:right w:w="40" w:type="dxa"/>
            </w:tcMar>
            <w:vAlign w:val="bottom"/>
          </w:tcPr>
          <w:p w14:paraId="4ACE5EA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Other</w:t>
            </w:r>
          </w:p>
        </w:tc>
        <w:tc>
          <w:tcPr>
            <w:tcW w:w="0" w:type="auto"/>
            <w:shd w:val="clear" w:color="auto" w:fill="auto"/>
            <w:tcMar>
              <w:top w:w="40" w:type="dxa"/>
              <w:left w:w="40" w:type="dxa"/>
              <w:bottom w:w="40" w:type="dxa"/>
              <w:right w:w="40" w:type="dxa"/>
            </w:tcMar>
            <w:vAlign w:val="bottom"/>
          </w:tcPr>
          <w:p w14:paraId="4ACE5EA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EAF"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(66</w:t>
            </w:r>
          </w:p>
        </w:tc>
        <w:tc>
          <w:tcPr>
            <w:tcW w:w="0" w:type="auto"/>
            <w:tcBorders>
              <w:bottom w:val="single" w:sz="8" w:space="0" w:color="333333"/>
            </w:tcBorders>
            <w:shd w:val="clear" w:color="auto" w:fill="auto"/>
            <w:tcMar>
              <w:top w:w="40" w:type="dxa"/>
              <w:bottom w:w="40" w:type="dxa"/>
              <w:right w:w="40" w:type="dxa"/>
            </w:tcMar>
            <w:vAlign w:val="bottom"/>
          </w:tcPr>
          <w:p w14:paraId="4ACE5EB0"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5EB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5EB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(42</w:t>
            </w:r>
          </w:p>
        </w:tc>
        <w:tc>
          <w:tcPr>
            <w:tcW w:w="0" w:type="auto"/>
            <w:shd w:val="clear" w:color="auto" w:fill="auto"/>
            <w:tcMar>
              <w:top w:w="40" w:type="dxa"/>
              <w:bottom w:w="40" w:type="dxa"/>
              <w:right w:w="40" w:type="dxa"/>
            </w:tcMar>
            <w:vAlign w:val="bottom"/>
          </w:tcPr>
          <w:p w14:paraId="4ACE5EB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5EBC" w14:textId="77777777">
        <w:tc>
          <w:tcPr>
            <w:tcW w:w="0" w:type="auto"/>
            <w:shd w:val="clear" w:color="auto" w:fill="auto"/>
            <w:tcMar>
              <w:top w:w="40" w:type="dxa"/>
              <w:left w:w="240" w:type="dxa"/>
              <w:bottom w:w="40" w:type="dxa"/>
              <w:right w:w="40" w:type="dxa"/>
            </w:tcMar>
            <w:vAlign w:val="bottom"/>
          </w:tcPr>
          <w:p w14:paraId="4ACE5EB5"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 xml:space="preserve">Ending fair </w:t>
            </w:r>
            <w:r>
              <w:rPr>
                <w:rFonts w:ascii="Arial" w:eastAsia="宋体" w:hAnsi="Arial" w:cs="Arial"/>
                <w:b/>
                <w:bCs/>
                <w:color w:val="333333"/>
                <w:sz w:val="18"/>
                <w:szCs w:val="18"/>
              </w:rPr>
              <w:t>value of plan assets</w:t>
            </w:r>
            <w:r>
              <w:rPr>
                <w:rFonts w:ascii="Arial" w:eastAsia="宋体" w:hAnsi="Arial" w:cs="Arial"/>
                <w:b/>
                <w:bCs/>
                <w:color w:val="333333"/>
                <w:sz w:val="12"/>
                <w:szCs w:val="12"/>
              </w:rPr>
              <w:t>2</w:t>
            </w:r>
          </w:p>
        </w:tc>
        <w:tc>
          <w:tcPr>
            <w:tcW w:w="0" w:type="auto"/>
            <w:shd w:val="clear" w:color="auto" w:fill="auto"/>
            <w:tcMar>
              <w:top w:w="40" w:type="dxa"/>
              <w:left w:w="40" w:type="dxa"/>
              <w:bottom w:w="40" w:type="dxa"/>
              <w:right w:w="40" w:type="dxa"/>
            </w:tcMar>
            <w:vAlign w:val="bottom"/>
          </w:tcPr>
          <w:p w14:paraId="4ACE5EB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4ACE5EB7"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2,654</w:t>
            </w:r>
          </w:p>
        </w:tc>
        <w:tc>
          <w:tcPr>
            <w:tcW w:w="0" w:type="auto"/>
            <w:tcBorders>
              <w:bottom w:val="single" w:sz="8" w:space="0" w:color="333333"/>
            </w:tcBorders>
            <w:shd w:val="clear" w:color="auto" w:fill="auto"/>
            <w:vAlign w:val="bottom"/>
          </w:tcPr>
          <w:p w14:paraId="4ACE5EB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EB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4ACE5EBA"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2,551</w:t>
            </w:r>
          </w:p>
        </w:tc>
        <w:tc>
          <w:tcPr>
            <w:tcW w:w="0" w:type="auto"/>
            <w:tcBorders>
              <w:top w:val="single" w:sz="8" w:space="0" w:color="333333"/>
              <w:bottom w:val="single" w:sz="8" w:space="0" w:color="333333"/>
            </w:tcBorders>
            <w:shd w:val="clear" w:color="auto" w:fill="auto"/>
            <w:vAlign w:val="bottom"/>
          </w:tcPr>
          <w:p w14:paraId="4ACE5EBB" w14:textId="77777777" w:rsidR="006F587A" w:rsidRDefault="006F587A">
            <w:pPr>
              <w:textAlignment w:val="bottom"/>
              <w:rPr>
                <w:rFonts w:ascii="Times New Roman" w:hAnsi="Times New Roman"/>
                <w:sz w:val="20"/>
                <w:szCs w:val="20"/>
              </w:rPr>
            </w:pPr>
          </w:p>
        </w:tc>
      </w:tr>
      <w:tr w:rsidR="006F587A" w14:paraId="4ACE5EC2" w14:textId="77777777">
        <w:tc>
          <w:tcPr>
            <w:tcW w:w="0" w:type="auto"/>
            <w:shd w:val="clear" w:color="auto" w:fill="auto"/>
            <w:tcMar>
              <w:top w:w="40" w:type="dxa"/>
              <w:left w:w="40" w:type="dxa"/>
              <w:bottom w:w="40" w:type="dxa"/>
              <w:right w:w="40" w:type="dxa"/>
            </w:tcMar>
            <w:vAlign w:val="bottom"/>
          </w:tcPr>
          <w:p w14:paraId="4ACE5EB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EB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EB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EC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EC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5ECC" w14:textId="77777777">
        <w:tc>
          <w:tcPr>
            <w:tcW w:w="0" w:type="auto"/>
            <w:shd w:val="clear" w:color="auto" w:fill="auto"/>
            <w:tcMar>
              <w:top w:w="40" w:type="dxa"/>
              <w:left w:w="40" w:type="dxa"/>
              <w:bottom w:w="40" w:type="dxa"/>
              <w:right w:w="40" w:type="dxa"/>
            </w:tcMar>
            <w:vAlign w:val="bottom"/>
          </w:tcPr>
          <w:p w14:paraId="4ACE5EC3"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Net funded status</w:t>
            </w:r>
          </w:p>
        </w:tc>
        <w:tc>
          <w:tcPr>
            <w:tcW w:w="0" w:type="auto"/>
            <w:shd w:val="clear" w:color="auto" w:fill="auto"/>
            <w:tcMar>
              <w:top w:w="40" w:type="dxa"/>
              <w:left w:w="40" w:type="dxa"/>
              <w:bottom w:w="40" w:type="dxa"/>
              <w:right w:w="40" w:type="dxa"/>
            </w:tcMar>
            <w:vAlign w:val="bottom"/>
          </w:tcPr>
          <w:p w14:paraId="4ACE5EC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333333"/>
            </w:tcBorders>
            <w:shd w:val="clear" w:color="auto" w:fill="auto"/>
            <w:tcMar>
              <w:top w:w="40" w:type="dxa"/>
              <w:left w:w="40" w:type="dxa"/>
              <w:bottom w:w="40" w:type="dxa"/>
            </w:tcMar>
            <w:vAlign w:val="bottom"/>
          </w:tcPr>
          <w:p w14:paraId="4ACE5EC5"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bottom w:val="double" w:sz="6" w:space="0" w:color="333333"/>
            </w:tcBorders>
            <w:shd w:val="clear" w:color="auto" w:fill="auto"/>
            <w:tcMar>
              <w:top w:w="40" w:type="dxa"/>
              <w:bottom w:w="40" w:type="dxa"/>
            </w:tcMar>
            <w:vAlign w:val="bottom"/>
          </w:tcPr>
          <w:p w14:paraId="4ACE5EC6"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1,630</w:t>
            </w:r>
          </w:p>
        </w:tc>
        <w:tc>
          <w:tcPr>
            <w:tcW w:w="0" w:type="auto"/>
            <w:tcBorders>
              <w:bottom w:val="double" w:sz="6" w:space="0" w:color="333333"/>
            </w:tcBorders>
            <w:shd w:val="clear" w:color="auto" w:fill="auto"/>
            <w:vAlign w:val="bottom"/>
          </w:tcPr>
          <w:p w14:paraId="4ACE5EC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EC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333333"/>
            </w:tcBorders>
            <w:shd w:val="clear" w:color="auto" w:fill="auto"/>
            <w:tcMar>
              <w:top w:w="40" w:type="dxa"/>
              <w:left w:w="40" w:type="dxa"/>
              <w:bottom w:w="40" w:type="dxa"/>
            </w:tcMar>
            <w:vAlign w:val="bottom"/>
          </w:tcPr>
          <w:p w14:paraId="4ACE5EC9"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bottom w:val="double" w:sz="6" w:space="0" w:color="333333"/>
            </w:tcBorders>
            <w:shd w:val="clear" w:color="auto" w:fill="auto"/>
            <w:tcMar>
              <w:top w:w="40" w:type="dxa"/>
              <w:bottom w:w="40" w:type="dxa"/>
            </w:tcMar>
            <w:vAlign w:val="bottom"/>
          </w:tcPr>
          <w:p w14:paraId="4ACE5ECA"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882</w:t>
            </w:r>
          </w:p>
        </w:tc>
        <w:tc>
          <w:tcPr>
            <w:tcW w:w="0" w:type="auto"/>
            <w:tcBorders>
              <w:bottom w:val="double" w:sz="6" w:space="0" w:color="333333"/>
            </w:tcBorders>
            <w:shd w:val="clear" w:color="auto" w:fill="auto"/>
            <w:vAlign w:val="bottom"/>
          </w:tcPr>
          <w:p w14:paraId="4ACE5ECB" w14:textId="77777777" w:rsidR="006F587A" w:rsidRDefault="006F587A">
            <w:pPr>
              <w:textAlignment w:val="bottom"/>
              <w:rPr>
                <w:rFonts w:ascii="Times New Roman" w:hAnsi="Times New Roman"/>
                <w:sz w:val="20"/>
                <w:szCs w:val="20"/>
              </w:rPr>
            </w:pPr>
          </w:p>
        </w:tc>
      </w:tr>
      <w:tr w:rsidR="006F587A" w14:paraId="4ACE5ED2" w14:textId="77777777">
        <w:tc>
          <w:tcPr>
            <w:tcW w:w="0" w:type="auto"/>
            <w:shd w:val="clear" w:color="auto" w:fill="auto"/>
            <w:tcMar>
              <w:top w:w="40" w:type="dxa"/>
              <w:left w:w="40" w:type="dxa"/>
              <w:bottom w:w="40" w:type="dxa"/>
              <w:right w:w="40" w:type="dxa"/>
            </w:tcMar>
            <w:vAlign w:val="bottom"/>
          </w:tcPr>
          <w:p w14:paraId="4ACE5EC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EC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EC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ED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ED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5ED8" w14:textId="77777777">
        <w:tc>
          <w:tcPr>
            <w:tcW w:w="0" w:type="auto"/>
            <w:shd w:val="clear" w:color="auto" w:fill="auto"/>
            <w:tcMar>
              <w:top w:w="40" w:type="dxa"/>
              <w:left w:w="40" w:type="dxa"/>
              <w:bottom w:w="40" w:type="dxa"/>
              <w:right w:w="40" w:type="dxa"/>
            </w:tcMar>
            <w:vAlign w:val="bottom"/>
          </w:tcPr>
          <w:p w14:paraId="4ACE5ED3"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Amounts recognized in the Consolidated Balance Sheets</w:t>
            </w:r>
          </w:p>
        </w:tc>
        <w:tc>
          <w:tcPr>
            <w:tcW w:w="0" w:type="auto"/>
            <w:shd w:val="clear" w:color="auto" w:fill="auto"/>
            <w:tcMar>
              <w:top w:w="40" w:type="dxa"/>
              <w:left w:w="40" w:type="dxa"/>
              <w:bottom w:w="40" w:type="dxa"/>
              <w:right w:w="40" w:type="dxa"/>
            </w:tcMar>
            <w:vAlign w:val="bottom"/>
          </w:tcPr>
          <w:p w14:paraId="4ACE5ED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ED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ED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ED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5EE2" w14:textId="77777777">
        <w:tc>
          <w:tcPr>
            <w:tcW w:w="0" w:type="auto"/>
            <w:shd w:val="clear" w:color="auto" w:fill="auto"/>
            <w:tcMar>
              <w:top w:w="40" w:type="dxa"/>
              <w:left w:w="40" w:type="dxa"/>
              <w:bottom w:w="40" w:type="dxa"/>
              <w:right w:w="40" w:type="dxa"/>
            </w:tcMar>
            <w:vAlign w:val="bottom"/>
          </w:tcPr>
          <w:p w14:paraId="4ACE5ED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Other long-term assets</w:t>
            </w:r>
          </w:p>
        </w:tc>
        <w:tc>
          <w:tcPr>
            <w:tcW w:w="0" w:type="auto"/>
            <w:shd w:val="clear" w:color="auto" w:fill="auto"/>
            <w:tcMar>
              <w:top w:w="40" w:type="dxa"/>
              <w:left w:w="40" w:type="dxa"/>
              <w:bottom w:w="40" w:type="dxa"/>
              <w:right w:w="40" w:type="dxa"/>
            </w:tcMar>
            <w:vAlign w:val="bottom"/>
          </w:tcPr>
          <w:p w14:paraId="4ACE5ED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EDB"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5EDC"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5ED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ED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ED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5EE0"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244</w:t>
            </w:r>
          </w:p>
        </w:tc>
        <w:tc>
          <w:tcPr>
            <w:tcW w:w="0" w:type="auto"/>
            <w:shd w:val="clear" w:color="auto" w:fill="auto"/>
            <w:vAlign w:val="bottom"/>
          </w:tcPr>
          <w:p w14:paraId="4ACE5EE1" w14:textId="77777777" w:rsidR="006F587A" w:rsidRDefault="006F587A">
            <w:pPr>
              <w:textAlignment w:val="bottom"/>
              <w:rPr>
                <w:rFonts w:ascii="Times New Roman" w:hAnsi="Times New Roman"/>
                <w:sz w:val="20"/>
                <w:szCs w:val="20"/>
              </w:rPr>
            </w:pPr>
          </w:p>
        </w:tc>
      </w:tr>
      <w:tr w:rsidR="006F587A" w14:paraId="4ACE5EEC" w14:textId="77777777">
        <w:tc>
          <w:tcPr>
            <w:tcW w:w="0" w:type="auto"/>
            <w:shd w:val="clear" w:color="auto" w:fill="auto"/>
            <w:tcMar>
              <w:top w:w="40" w:type="dxa"/>
              <w:left w:w="40" w:type="dxa"/>
              <w:bottom w:w="40" w:type="dxa"/>
              <w:right w:w="40" w:type="dxa"/>
            </w:tcMar>
            <w:vAlign w:val="bottom"/>
          </w:tcPr>
          <w:p w14:paraId="4ACE5EE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Other long-term liabilities</w:t>
            </w:r>
          </w:p>
        </w:tc>
        <w:tc>
          <w:tcPr>
            <w:tcW w:w="0" w:type="auto"/>
            <w:shd w:val="clear" w:color="auto" w:fill="auto"/>
            <w:tcMar>
              <w:top w:w="40" w:type="dxa"/>
              <w:left w:w="40" w:type="dxa"/>
              <w:bottom w:w="40" w:type="dxa"/>
              <w:right w:w="40" w:type="dxa"/>
            </w:tcMar>
            <w:vAlign w:val="bottom"/>
          </w:tcPr>
          <w:p w14:paraId="4ACE5EE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EE5"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5EE6"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1,630</w:t>
            </w:r>
          </w:p>
        </w:tc>
        <w:tc>
          <w:tcPr>
            <w:tcW w:w="0" w:type="auto"/>
            <w:shd w:val="clear" w:color="auto" w:fill="auto"/>
            <w:vAlign w:val="bottom"/>
          </w:tcPr>
          <w:p w14:paraId="4ACE5EE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EE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EE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5EE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1,126</w:t>
            </w:r>
          </w:p>
        </w:tc>
        <w:tc>
          <w:tcPr>
            <w:tcW w:w="0" w:type="auto"/>
            <w:shd w:val="clear" w:color="auto" w:fill="auto"/>
            <w:vAlign w:val="bottom"/>
          </w:tcPr>
          <w:p w14:paraId="4ACE5EEB" w14:textId="77777777" w:rsidR="006F587A" w:rsidRDefault="006F587A">
            <w:pPr>
              <w:textAlignment w:val="bottom"/>
              <w:rPr>
                <w:rFonts w:ascii="Times New Roman" w:hAnsi="Times New Roman"/>
                <w:sz w:val="20"/>
                <w:szCs w:val="20"/>
              </w:rPr>
            </w:pPr>
          </w:p>
        </w:tc>
      </w:tr>
      <w:tr w:rsidR="006F587A" w14:paraId="4ACE5EF6" w14:textId="77777777">
        <w:tc>
          <w:tcPr>
            <w:tcW w:w="0" w:type="auto"/>
            <w:shd w:val="clear" w:color="auto" w:fill="auto"/>
            <w:tcMar>
              <w:top w:w="40" w:type="dxa"/>
              <w:left w:w="40" w:type="dxa"/>
              <w:bottom w:w="40" w:type="dxa"/>
              <w:right w:w="40" w:type="dxa"/>
            </w:tcMar>
            <w:vAlign w:val="bottom"/>
          </w:tcPr>
          <w:p w14:paraId="4ACE5EE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Accumulated other comprehensive loss (income), before tax</w:t>
            </w:r>
            <w:r>
              <w:rPr>
                <w:rFonts w:ascii="Arial" w:eastAsia="宋体" w:hAnsi="Arial" w:cs="Arial"/>
                <w:color w:val="333333"/>
                <w:sz w:val="12"/>
                <w:szCs w:val="12"/>
              </w:rPr>
              <w:t>3</w:t>
            </w:r>
          </w:p>
        </w:tc>
        <w:tc>
          <w:tcPr>
            <w:tcW w:w="0" w:type="auto"/>
            <w:shd w:val="clear" w:color="auto" w:fill="auto"/>
            <w:tcMar>
              <w:top w:w="40" w:type="dxa"/>
              <w:left w:w="40" w:type="dxa"/>
              <w:bottom w:w="40" w:type="dxa"/>
              <w:right w:w="40" w:type="dxa"/>
            </w:tcMar>
            <w:vAlign w:val="bottom"/>
          </w:tcPr>
          <w:p w14:paraId="4ACE5EE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EEF"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5EF0"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1,730</w:t>
            </w:r>
          </w:p>
        </w:tc>
        <w:tc>
          <w:tcPr>
            <w:tcW w:w="0" w:type="auto"/>
            <w:shd w:val="clear" w:color="auto" w:fill="auto"/>
            <w:vAlign w:val="bottom"/>
          </w:tcPr>
          <w:p w14:paraId="4ACE5EF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EF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EF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5EF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1,038</w:t>
            </w:r>
          </w:p>
        </w:tc>
        <w:tc>
          <w:tcPr>
            <w:tcW w:w="0" w:type="auto"/>
            <w:shd w:val="clear" w:color="auto" w:fill="auto"/>
            <w:vAlign w:val="bottom"/>
          </w:tcPr>
          <w:p w14:paraId="4ACE5EF5" w14:textId="77777777" w:rsidR="006F587A" w:rsidRDefault="006F587A">
            <w:pPr>
              <w:textAlignment w:val="bottom"/>
              <w:rPr>
                <w:rFonts w:ascii="Times New Roman" w:hAnsi="Times New Roman"/>
                <w:sz w:val="20"/>
                <w:szCs w:val="20"/>
              </w:rPr>
            </w:pPr>
          </w:p>
        </w:tc>
      </w:tr>
    </w:tbl>
    <w:p w14:paraId="4ACE5EF7" w14:textId="77777777" w:rsidR="006F587A" w:rsidRDefault="006F587A"/>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6F587A" w14:paraId="4ACE5EFA" w14:textId="77777777">
        <w:trPr>
          <w:tblCellSpacing w:w="0" w:type="dxa"/>
        </w:trPr>
        <w:tc>
          <w:tcPr>
            <w:tcW w:w="720" w:type="dxa"/>
            <w:shd w:val="clear" w:color="auto" w:fill="auto"/>
            <w:vAlign w:val="center"/>
          </w:tcPr>
          <w:p w14:paraId="4ACE5EF8" w14:textId="77777777" w:rsidR="006F587A" w:rsidRDefault="006F587A">
            <w:pPr>
              <w:rPr>
                <w:rFonts w:ascii="Times New Roman" w:hAnsi="Times New Roman"/>
                <w:sz w:val="20"/>
                <w:szCs w:val="20"/>
              </w:rPr>
            </w:pPr>
          </w:p>
        </w:tc>
        <w:tc>
          <w:tcPr>
            <w:tcW w:w="0" w:type="auto"/>
            <w:shd w:val="clear" w:color="auto" w:fill="auto"/>
            <w:vAlign w:val="center"/>
          </w:tcPr>
          <w:p w14:paraId="4ACE5EF9" w14:textId="77777777" w:rsidR="006F587A" w:rsidRDefault="006F587A">
            <w:pPr>
              <w:rPr>
                <w:rFonts w:ascii="Times New Roman" w:hAnsi="Times New Roman"/>
                <w:sz w:val="20"/>
                <w:szCs w:val="20"/>
              </w:rPr>
            </w:pPr>
          </w:p>
        </w:tc>
      </w:tr>
      <w:tr w:rsidR="006F587A" w14:paraId="4ACE5EFD" w14:textId="77777777">
        <w:trPr>
          <w:tblCellSpacing w:w="0" w:type="dxa"/>
        </w:trPr>
        <w:tc>
          <w:tcPr>
            <w:tcW w:w="0" w:type="auto"/>
            <w:shd w:val="clear" w:color="auto" w:fill="auto"/>
          </w:tcPr>
          <w:p w14:paraId="4ACE5EFB" w14:textId="77777777" w:rsidR="006F587A" w:rsidRDefault="007B2B61">
            <w:pPr>
              <w:spacing w:line="288" w:lineRule="auto"/>
              <w:textAlignment w:val="top"/>
              <w:rPr>
                <w:rFonts w:ascii="Times New Roman" w:hAnsi="Times New Roman"/>
                <w:sz w:val="16"/>
                <w:szCs w:val="16"/>
              </w:rPr>
            </w:pPr>
            <w:r>
              <w:rPr>
                <w:rFonts w:ascii="Arial" w:eastAsia="宋体" w:hAnsi="Arial" w:cs="Arial"/>
                <w:color w:val="333333"/>
                <w:sz w:val="10"/>
                <w:szCs w:val="10"/>
              </w:rPr>
              <w:t>1</w:t>
            </w:r>
            <w:r>
              <w:rPr>
                <w:rFonts w:ascii="Arial" w:eastAsia="宋体" w:hAnsi="Arial" w:cs="Arial"/>
                <w:color w:val="333333"/>
                <w:sz w:val="16"/>
                <w:szCs w:val="16"/>
              </w:rPr>
              <w:t> </w:t>
            </w:r>
          </w:p>
        </w:tc>
        <w:tc>
          <w:tcPr>
            <w:tcW w:w="0" w:type="auto"/>
            <w:shd w:val="clear" w:color="auto" w:fill="auto"/>
          </w:tcPr>
          <w:p w14:paraId="4ACE5EFC"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6"/>
                <w:szCs w:val="16"/>
              </w:rPr>
              <w:t>The projected benefit obligation was approximately 35% in the U.S. and 65% outside of the U.S. as of December 28, 2019 and December 29, 2018.</w:t>
            </w:r>
          </w:p>
        </w:tc>
      </w:tr>
    </w:tbl>
    <w:p w14:paraId="4ACE5EFE"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6F587A" w14:paraId="4ACE5F01" w14:textId="77777777">
        <w:trPr>
          <w:tblCellSpacing w:w="0" w:type="dxa"/>
        </w:trPr>
        <w:tc>
          <w:tcPr>
            <w:tcW w:w="720" w:type="dxa"/>
            <w:shd w:val="clear" w:color="auto" w:fill="auto"/>
            <w:vAlign w:val="center"/>
          </w:tcPr>
          <w:p w14:paraId="4ACE5EFF" w14:textId="77777777" w:rsidR="006F587A" w:rsidRDefault="006F587A">
            <w:pPr>
              <w:rPr>
                <w:rFonts w:ascii="Times New Roman" w:hAnsi="Times New Roman"/>
                <w:sz w:val="20"/>
                <w:szCs w:val="20"/>
              </w:rPr>
            </w:pPr>
          </w:p>
        </w:tc>
        <w:tc>
          <w:tcPr>
            <w:tcW w:w="0" w:type="auto"/>
            <w:shd w:val="clear" w:color="auto" w:fill="auto"/>
            <w:vAlign w:val="center"/>
          </w:tcPr>
          <w:p w14:paraId="4ACE5F00" w14:textId="77777777" w:rsidR="006F587A" w:rsidRDefault="006F587A">
            <w:pPr>
              <w:rPr>
                <w:rFonts w:ascii="Times New Roman" w:hAnsi="Times New Roman"/>
                <w:sz w:val="20"/>
                <w:szCs w:val="20"/>
              </w:rPr>
            </w:pPr>
          </w:p>
        </w:tc>
      </w:tr>
      <w:tr w:rsidR="006F587A" w14:paraId="4ACE5F04" w14:textId="77777777">
        <w:trPr>
          <w:tblCellSpacing w:w="0" w:type="dxa"/>
        </w:trPr>
        <w:tc>
          <w:tcPr>
            <w:tcW w:w="0" w:type="auto"/>
            <w:shd w:val="clear" w:color="auto" w:fill="auto"/>
          </w:tcPr>
          <w:p w14:paraId="4ACE5F02" w14:textId="77777777" w:rsidR="006F587A" w:rsidRDefault="007B2B61">
            <w:pPr>
              <w:spacing w:line="288" w:lineRule="auto"/>
              <w:textAlignment w:val="top"/>
              <w:rPr>
                <w:rFonts w:ascii="Times New Roman" w:hAnsi="Times New Roman"/>
                <w:sz w:val="16"/>
                <w:szCs w:val="16"/>
              </w:rPr>
            </w:pPr>
            <w:r>
              <w:rPr>
                <w:rFonts w:ascii="Arial" w:eastAsia="宋体" w:hAnsi="Arial" w:cs="Arial"/>
                <w:color w:val="333333"/>
                <w:sz w:val="10"/>
                <w:szCs w:val="10"/>
              </w:rPr>
              <w:t>2</w:t>
            </w:r>
            <w:r>
              <w:rPr>
                <w:rFonts w:ascii="Arial" w:eastAsia="宋体" w:hAnsi="Arial" w:cs="Arial"/>
                <w:color w:val="333333"/>
                <w:sz w:val="16"/>
                <w:szCs w:val="16"/>
              </w:rPr>
              <w:t> </w:t>
            </w:r>
          </w:p>
        </w:tc>
        <w:tc>
          <w:tcPr>
            <w:tcW w:w="0" w:type="auto"/>
            <w:shd w:val="clear" w:color="auto" w:fill="auto"/>
          </w:tcPr>
          <w:p w14:paraId="4ACE5F03"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6"/>
                <w:szCs w:val="16"/>
              </w:rPr>
              <w:t xml:space="preserve">The </w:t>
            </w:r>
            <w:r>
              <w:rPr>
                <w:rFonts w:ascii="Arial" w:eastAsia="宋体" w:hAnsi="Arial" w:cs="Arial"/>
                <w:i/>
                <w:iCs/>
                <w:color w:val="333333"/>
                <w:sz w:val="16"/>
                <w:szCs w:val="16"/>
              </w:rPr>
              <w:t>fair value of plan assets was approximately 55% in the U.S. and 45% outside of the U.S. as of December 28, 2019 and December 29, 2018.</w:t>
            </w:r>
          </w:p>
        </w:tc>
      </w:tr>
    </w:tbl>
    <w:p w14:paraId="4ACE5F05" w14:textId="77777777" w:rsidR="006F587A" w:rsidRDefault="006F587A">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6F587A" w14:paraId="4ACE5F08" w14:textId="77777777">
        <w:trPr>
          <w:tblCellSpacing w:w="0" w:type="dxa"/>
        </w:trPr>
        <w:tc>
          <w:tcPr>
            <w:tcW w:w="720" w:type="dxa"/>
            <w:shd w:val="clear" w:color="auto" w:fill="auto"/>
            <w:vAlign w:val="center"/>
          </w:tcPr>
          <w:p w14:paraId="4ACE5F06" w14:textId="77777777" w:rsidR="006F587A" w:rsidRDefault="006F587A">
            <w:pPr>
              <w:rPr>
                <w:rFonts w:ascii="Times New Roman" w:hAnsi="Times New Roman"/>
                <w:sz w:val="20"/>
                <w:szCs w:val="20"/>
              </w:rPr>
            </w:pPr>
          </w:p>
        </w:tc>
        <w:tc>
          <w:tcPr>
            <w:tcW w:w="0" w:type="auto"/>
            <w:shd w:val="clear" w:color="auto" w:fill="auto"/>
            <w:vAlign w:val="center"/>
          </w:tcPr>
          <w:p w14:paraId="4ACE5F07" w14:textId="77777777" w:rsidR="006F587A" w:rsidRDefault="006F587A">
            <w:pPr>
              <w:rPr>
                <w:rFonts w:ascii="Times New Roman" w:hAnsi="Times New Roman"/>
                <w:sz w:val="20"/>
                <w:szCs w:val="20"/>
              </w:rPr>
            </w:pPr>
          </w:p>
        </w:tc>
      </w:tr>
      <w:tr w:rsidR="006F587A" w14:paraId="4ACE5F0B" w14:textId="77777777">
        <w:trPr>
          <w:tblCellSpacing w:w="0" w:type="dxa"/>
        </w:trPr>
        <w:tc>
          <w:tcPr>
            <w:tcW w:w="0" w:type="auto"/>
            <w:shd w:val="clear" w:color="auto" w:fill="auto"/>
          </w:tcPr>
          <w:p w14:paraId="4ACE5F09" w14:textId="77777777" w:rsidR="006F587A" w:rsidRDefault="007B2B61">
            <w:pPr>
              <w:spacing w:line="288" w:lineRule="auto"/>
              <w:textAlignment w:val="top"/>
              <w:rPr>
                <w:rFonts w:ascii="Times New Roman" w:hAnsi="Times New Roman"/>
                <w:sz w:val="16"/>
                <w:szCs w:val="16"/>
              </w:rPr>
            </w:pPr>
            <w:r>
              <w:rPr>
                <w:rFonts w:ascii="Arial" w:eastAsia="宋体" w:hAnsi="Arial" w:cs="Arial"/>
                <w:color w:val="333333"/>
                <w:sz w:val="10"/>
                <w:szCs w:val="10"/>
              </w:rPr>
              <w:t>3</w:t>
            </w:r>
            <w:r>
              <w:rPr>
                <w:rFonts w:ascii="Arial" w:eastAsia="宋体" w:hAnsi="Arial" w:cs="Arial"/>
                <w:color w:val="333333"/>
                <w:sz w:val="16"/>
                <w:szCs w:val="16"/>
              </w:rPr>
              <w:t> </w:t>
            </w:r>
          </w:p>
        </w:tc>
        <w:tc>
          <w:tcPr>
            <w:tcW w:w="0" w:type="auto"/>
            <w:shd w:val="clear" w:color="auto" w:fill="auto"/>
          </w:tcPr>
          <w:p w14:paraId="4ACE5F0A"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6"/>
                <w:szCs w:val="16"/>
              </w:rPr>
              <w:t xml:space="preserve">The accumulated other comprehensive loss (income), before tax, was approximately 35% in the U.S. and 65% outside of the U.S. as of December 28, 2019 and December 29, 2018. </w:t>
            </w:r>
          </w:p>
        </w:tc>
      </w:tr>
    </w:tbl>
    <w:p w14:paraId="4ACE5F0C"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Changes in actuarial gains and losses in the projected benefit obligation are gene</w:t>
      </w:r>
      <w:r>
        <w:rPr>
          <w:rFonts w:ascii="Arial" w:eastAsia="宋体" w:hAnsi="Arial" w:cs="Arial"/>
          <w:color w:val="333333"/>
          <w:sz w:val="18"/>
          <w:szCs w:val="18"/>
        </w:rPr>
        <w:t>rally driven by discount rate movement. We use the corridor approach to amortize actuarial gains and losses. Under this approach, net actuarial gains or losses in excess of 10% of the larger of the projected benefit obligation or the fair value of plan ass</w:t>
      </w:r>
      <w:r>
        <w:rPr>
          <w:rFonts w:ascii="Arial" w:eastAsia="宋体" w:hAnsi="Arial" w:cs="Arial"/>
          <w:color w:val="333333"/>
          <w:sz w:val="18"/>
          <w:szCs w:val="18"/>
        </w:rPr>
        <w:t>ets are amortized on a straight-line basis.</w:t>
      </w:r>
    </w:p>
    <w:p w14:paraId="4ACE5F0D"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As of December 28, 2019, all plans had accumulated benefit obligations and projected benefit obligations in excess of plan assets. As of December 29, 2018, the accumulated benefit obligations were $1.2 billion an</w:t>
      </w:r>
      <w:r>
        <w:rPr>
          <w:rFonts w:ascii="Arial" w:eastAsia="宋体" w:hAnsi="Arial" w:cs="Arial"/>
          <w:color w:val="333333"/>
          <w:sz w:val="18"/>
          <w:szCs w:val="18"/>
        </w:rPr>
        <w:t xml:space="preserve">d $2.0 billion for the U.S. Pension Plan and non-U.S. plans, respectively. In 2018, the U.S. Pension Plan was in the net asset position and all non-U.S. plans had accumulated benefit obligations and projected benefit obligations in excess of plan assets. </w:t>
      </w:r>
    </w:p>
    <w:p w14:paraId="4ACE5F0E"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5F10" w14:textId="77777777">
        <w:tc>
          <w:tcPr>
            <w:tcW w:w="0" w:type="auto"/>
            <w:gridSpan w:val="3"/>
            <w:shd w:val="clear" w:color="auto" w:fill="auto"/>
            <w:vAlign w:val="center"/>
          </w:tcPr>
          <w:p w14:paraId="4ACE5F0F" w14:textId="77777777" w:rsidR="006F587A" w:rsidRDefault="006F587A">
            <w:pPr>
              <w:rPr>
                <w:rFonts w:ascii="Times New Roman" w:hAnsi="Times New Roman"/>
                <w:sz w:val="20"/>
                <w:szCs w:val="20"/>
              </w:rPr>
            </w:pPr>
          </w:p>
        </w:tc>
      </w:tr>
      <w:tr w:rsidR="006F587A" w14:paraId="4ACE5F14" w14:textId="77777777">
        <w:tc>
          <w:tcPr>
            <w:tcW w:w="1300" w:type="pct"/>
            <w:shd w:val="clear" w:color="auto" w:fill="auto"/>
            <w:vAlign w:val="center"/>
          </w:tcPr>
          <w:p w14:paraId="4ACE5F11" w14:textId="77777777" w:rsidR="006F587A" w:rsidRDefault="006F587A">
            <w:pPr>
              <w:rPr>
                <w:rFonts w:ascii="Times New Roman" w:hAnsi="Times New Roman"/>
                <w:sz w:val="20"/>
                <w:szCs w:val="20"/>
              </w:rPr>
            </w:pPr>
          </w:p>
        </w:tc>
        <w:tc>
          <w:tcPr>
            <w:tcW w:w="1600" w:type="pct"/>
            <w:shd w:val="clear" w:color="auto" w:fill="auto"/>
            <w:vAlign w:val="center"/>
          </w:tcPr>
          <w:p w14:paraId="4ACE5F12" w14:textId="77777777" w:rsidR="006F587A" w:rsidRDefault="006F587A">
            <w:pPr>
              <w:rPr>
                <w:rFonts w:ascii="Times New Roman" w:hAnsi="Times New Roman"/>
                <w:sz w:val="20"/>
                <w:szCs w:val="20"/>
              </w:rPr>
            </w:pPr>
          </w:p>
        </w:tc>
        <w:tc>
          <w:tcPr>
            <w:tcW w:w="2100" w:type="pct"/>
            <w:shd w:val="clear" w:color="auto" w:fill="auto"/>
            <w:vAlign w:val="center"/>
          </w:tcPr>
          <w:p w14:paraId="4ACE5F13" w14:textId="77777777" w:rsidR="006F587A" w:rsidRDefault="006F587A">
            <w:pPr>
              <w:rPr>
                <w:rFonts w:ascii="Times New Roman" w:hAnsi="Times New Roman"/>
                <w:sz w:val="20"/>
                <w:szCs w:val="20"/>
              </w:rPr>
            </w:pPr>
          </w:p>
        </w:tc>
      </w:tr>
      <w:tr w:rsidR="006F587A" w14:paraId="4ACE5F18" w14:textId="77777777">
        <w:tc>
          <w:tcPr>
            <w:tcW w:w="0" w:type="auto"/>
            <w:tcBorders>
              <w:top w:val="single" w:sz="8" w:space="0" w:color="0071C5"/>
            </w:tcBorders>
            <w:shd w:val="clear" w:color="auto" w:fill="auto"/>
            <w:tcMar>
              <w:top w:w="40" w:type="dxa"/>
              <w:left w:w="40" w:type="dxa"/>
              <w:bottom w:w="40" w:type="dxa"/>
              <w:right w:w="40" w:type="dxa"/>
            </w:tcMar>
            <w:vAlign w:val="bottom"/>
          </w:tcPr>
          <w:p w14:paraId="4ACE5F15" w14:textId="77777777" w:rsidR="006F587A" w:rsidRDefault="007B2B61">
            <w:pPr>
              <w:textAlignment w:val="bottom"/>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E1D" wp14:editId="4ACE6E1E">
                  <wp:extent cx="304800" cy="304800"/>
                  <wp:effectExtent l="0" t="0" r="0" b="0"/>
                  <wp:docPr id="151" name="图片 344"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344"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left w:val="single" w:sz="36" w:space="0" w:color="0071C5"/>
            </w:tcBorders>
            <w:shd w:val="clear" w:color="auto" w:fill="auto"/>
            <w:tcMar>
              <w:top w:w="40" w:type="dxa"/>
              <w:left w:w="40" w:type="dxa"/>
              <w:bottom w:w="40" w:type="dxa"/>
              <w:right w:w="40" w:type="dxa"/>
            </w:tcMar>
            <w:vAlign w:val="bottom"/>
          </w:tcPr>
          <w:p w14:paraId="4ACE5F16" w14:textId="77777777" w:rsidR="006F587A" w:rsidRDefault="007B2B61">
            <w:pPr>
              <w:textAlignment w:val="bottom"/>
              <w:rPr>
                <w:rFonts w:ascii="Times New Roman" w:hAnsi="Times New Roman"/>
                <w:sz w:val="16"/>
                <w:szCs w:val="16"/>
              </w:rPr>
            </w:pPr>
            <w:r>
              <w:rPr>
                <w:rFonts w:ascii="Arial" w:eastAsia="宋体" w:hAnsi="Arial" w:cs="Arial"/>
                <w:color w:val="333333"/>
                <w:sz w:val="16"/>
                <w:szCs w:val="16"/>
              </w:rPr>
              <w:t> Notes to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5F17"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103</w:t>
            </w:r>
          </w:p>
        </w:tc>
      </w:tr>
    </w:tbl>
    <w:p w14:paraId="4ACE5F19" w14:textId="77777777" w:rsidR="006F587A" w:rsidRDefault="007B2B61">
      <w:r>
        <w:pict w14:anchorId="4ACE6E1F">
          <v:rect id="_x0000_i1129" style="width:415.3pt;height:1.5pt" o:hralign="center" o:hrstd="t" o:hr="t" fillcolor="#a0a0a0" stroked="f"/>
        </w:pict>
      </w:r>
    </w:p>
    <w:p w14:paraId="4ACE5F1A" w14:textId="77777777" w:rsidR="006F587A" w:rsidRDefault="007B2B61">
      <w:pPr>
        <w:spacing w:line="288" w:lineRule="auto"/>
        <w:jc w:val="right"/>
        <w:rPr>
          <w:rFonts w:ascii="Times New Roman" w:hAnsi="Times New Roman"/>
          <w:sz w:val="16"/>
          <w:szCs w:val="16"/>
        </w:rPr>
      </w:pPr>
      <w:hyperlink r:id="rId168" w:anchor="s9DB683E2CF52561EB8A73BE37F5BF9BE" w:history="1">
        <w:r>
          <w:rPr>
            <w:rStyle w:val="a5"/>
            <w:rFonts w:ascii="Arial" w:eastAsia="宋体" w:hAnsi="Arial" w:cs="Arial"/>
            <w:b/>
            <w:bCs/>
            <w:sz w:val="16"/>
            <w:szCs w:val="16"/>
          </w:rPr>
          <w:t>Table of Contents</w:t>
        </w:r>
      </w:hyperlink>
    </w:p>
    <w:p w14:paraId="4ACE5F1B" w14:textId="77777777" w:rsidR="006F587A" w:rsidRDefault="006F587A">
      <w:pPr>
        <w:spacing w:line="288" w:lineRule="auto"/>
        <w:jc w:val="right"/>
        <w:rPr>
          <w:rFonts w:ascii="Times New Roman" w:hAnsi="Times New Roman"/>
          <w:sz w:val="16"/>
          <w:szCs w:val="16"/>
        </w:rPr>
      </w:pPr>
    </w:p>
    <w:p w14:paraId="4ACE5F1C" w14:textId="77777777" w:rsidR="006F587A" w:rsidRDefault="006F587A">
      <w:pPr>
        <w:rPr>
          <w:rFonts w:ascii="Times New Roman" w:hAnsi="Times New Roman"/>
          <w:sz w:val="20"/>
          <w:szCs w:val="20"/>
        </w:rPr>
      </w:pPr>
    </w:p>
    <w:tbl>
      <w:tblPr>
        <w:tblW w:w="4982" w:type="pct"/>
        <w:jc w:val="center"/>
        <w:tblCellMar>
          <w:left w:w="0" w:type="dxa"/>
          <w:right w:w="0" w:type="dxa"/>
        </w:tblCellMar>
        <w:tblLook w:val="04A0" w:firstRow="1" w:lastRow="0" w:firstColumn="1" w:lastColumn="0" w:noHBand="0" w:noVBand="1"/>
      </w:tblPr>
      <w:tblGrid>
        <w:gridCol w:w="6239"/>
        <w:gridCol w:w="130"/>
        <w:gridCol w:w="142"/>
        <w:gridCol w:w="694"/>
        <w:gridCol w:w="64"/>
        <w:gridCol w:w="130"/>
        <w:gridCol w:w="142"/>
        <w:gridCol w:w="671"/>
        <w:gridCol w:w="64"/>
      </w:tblGrid>
      <w:tr w:rsidR="006F587A" w14:paraId="4ACE5F1E" w14:textId="77777777">
        <w:trPr>
          <w:jc w:val="center"/>
        </w:trPr>
        <w:tc>
          <w:tcPr>
            <w:tcW w:w="0" w:type="auto"/>
            <w:gridSpan w:val="9"/>
            <w:shd w:val="clear" w:color="auto" w:fill="auto"/>
            <w:vAlign w:val="center"/>
          </w:tcPr>
          <w:p w14:paraId="4ACE5F1D" w14:textId="77777777" w:rsidR="006F587A" w:rsidRDefault="006F587A">
            <w:pPr>
              <w:rPr>
                <w:rFonts w:ascii="Times New Roman" w:hAnsi="Times New Roman"/>
                <w:sz w:val="20"/>
                <w:szCs w:val="20"/>
              </w:rPr>
            </w:pPr>
          </w:p>
        </w:tc>
      </w:tr>
      <w:tr w:rsidR="006F587A" w14:paraId="4ACE5F28" w14:textId="77777777">
        <w:trPr>
          <w:jc w:val="center"/>
        </w:trPr>
        <w:tc>
          <w:tcPr>
            <w:tcW w:w="3800" w:type="pct"/>
            <w:shd w:val="clear" w:color="auto" w:fill="auto"/>
            <w:vAlign w:val="center"/>
          </w:tcPr>
          <w:p w14:paraId="4ACE5F1F" w14:textId="77777777" w:rsidR="006F587A" w:rsidRDefault="006F587A">
            <w:pPr>
              <w:rPr>
                <w:rFonts w:ascii="Times New Roman" w:hAnsi="Times New Roman"/>
                <w:sz w:val="20"/>
                <w:szCs w:val="20"/>
              </w:rPr>
            </w:pPr>
          </w:p>
        </w:tc>
        <w:tc>
          <w:tcPr>
            <w:tcW w:w="50" w:type="pct"/>
            <w:shd w:val="clear" w:color="auto" w:fill="auto"/>
            <w:vAlign w:val="center"/>
          </w:tcPr>
          <w:p w14:paraId="4ACE5F20" w14:textId="77777777" w:rsidR="006F587A" w:rsidRDefault="006F587A">
            <w:pPr>
              <w:rPr>
                <w:rFonts w:ascii="Times New Roman" w:hAnsi="Times New Roman"/>
                <w:sz w:val="20"/>
                <w:szCs w:val="20"/>
              </w:rPr>
            </w:pPr>
          </w:p>
        </w:tc>
        <w:tc>
          <w:tcPr>
            <w:tcW w:w="50" w:type="pct"/>
            <w:shd w:val="clear" w:color="auto" w:fill="auto"/>
            <w:vAlign w:val="center"/>
          </w:tcPr>
          <w:p w14:paraId="4ACE5F21" w14:textId="77777777" w:rsidR="006F587A" w:rsidRDefault="006F587A">
            <w:pPr>
              <w:rPr>
                <w:rFonts w:ascii="Times New Roman" w:hAnsi="Times New Roman"/>
                <w:sz w:val="20"/>
                <w:szCs w:val="20"/>
              </w:rPr>
            </w:pPr>
          </w:p>
        </w:tc>
        <w:tc>
          <w:tcPr>
            <w:tcW w:w="450" w:type="pct"/>
            <w:shd w:val="clear" w:color="auto" w:fill="auto"/>
            <w:vAlign w:val="center"/>
          </w:tcPr>
          <w:p w14:paraId="4ACE5F22" w14:textId="77777777" w:rsidR="006F587A" w:rsidRDefault="006F587A">
            <w:pPr>
              <w:rPr>
                <w:rFonts w:ascii="Times New Roman" w:hAnsi="Times New Roman"/>
                <w:sz w:val="20"/>
                <w:szCs w:val="20"/>
              </w:rPr>
            </w:pPr>
          </w:p>
        </w:tc>
        <w:tc>
          <w:tcPr>
            <w:tcW w:w="50" w:type="pct"/>
            <w:shd w:val="clear" w:color="auto" w:fill="auto"/>
            <w:vAlign w:val="center"/>
          </w:tcPr>
          <w:p w14:paraId="4ACE5F23" w14:textId="77777777" w:rsidR="006F587A" w:rsidRDefault="006F587A">
            <w:pPr>
              <w:rPr>
                <w:rFonts w:ascii="Times New Roman" w:hAnsi="Times New Roman"/>
                <w:sz w:val="20"/>
                <w:szCs w:val="20"/>
              </w:rPr>
            </w:pPr>
          </w:p>
        </w:tc>
        <w:tc>
          <w:tcPr>
            <w:tcW w:w="50" w:type="pct"/>
            <w:shd w:val="clear" w:color="auto" w:fill="auto"/>
            <w:vAlign w:val="center"/>
          </w:tcPr>
          <w:p w14:paraId="4ACE5F24" w14:textId="77777777" w:rsidR="006F587A" w:rsidRDefault="006F587A">
            <w:pPr>
              <w:rPr>
                <w:rFonts w:ascii="Times New Roman" w:hAnsi="Times New Roman"/>
                <w:sz w:val="20"/>
                <w:szCs w:val="20"/>
              </w:rPr>
            </w:pPr>
          </w:p>
        </w:tc>
        <w:tc>
          <w:tcPr>
            <w:tcW w:w="50" w:type="pct"/>
            <w:shd w:val="clear" w:color="auto" w:fill="auto"/>
            <w:vAlign w:val="center"/>
          </w:tcPr>
          <w:p w14:paraId="4ACE5F25" w14:textId="77777777" w:rsidR="006F587A" w:rsidRDefault="006F587A">
            <w:pPr>
              <w:rPr>
                <w:rFonts w:ascii="Times New Roman" w:hAnsi="Times New Roman"/>
                <w:sz w:val="20"/>
                <w:szCs w:val="20"/>
              </w:rPr>
            </w:pPr>
          </w:p>
        </w:tc>
        <w:tc>
          <w:tcPr>
            <w:tcW w:w="450" w:type="pct"/>
            <w:shd w:val="clear" w:color="auto" w:fill="auto"/>
            <w:vAlign w:val="center"/>
          </w:tcPr>
          <w:p w14:paraId="4ACE5F26" w14:textId="77777777" w:rsidR="006F587A" w:rsidRDefault="006F587A">
            <w:pPr>
              <w:rPr>
                <w:rFonts w:ascii="Times New Roman" w:hAnsi="Times New Roman"/>
                <w:sz w:val="20"/>
                <w:szCs w:val="20"/>
              </w:rPr>
            </w:pPr>
          </w:p>
        </w:tc>
        <w:tc>
          <w:tcPr>
            <w:tcW w:w="50" w:type="pct"/>
            <w:shd w:val="clear" w:color="auto" w:fill="auto"/>
            <w:vAlign w:val="center"/>
          </w:tcPr>
          <w:p w14:paraId="4ACE5F27" w14:textId="77777777" w:rsidR="006F587A" w:rsidRDefault="006F587A">
            <w:pPr>
              <w:rPr>
                <w:rFonts w:ascii="Times New Roman" w:hAnsi="Times New Roman"/>
                <w:sz w:val="20"/>
                <w:szCs w:val="20"/>
              </w:rPr>
            </w:pPr>
          </w:p>
        </w:tc>
      </w:tr>
      <w:tr w:rsidR="006F587A" w14:paraId="4ACE5F2E" w14:textId="77777777">
        <w:trPr>
          <w:jc w:val="center"/>
        </w:trPr>
        <w:tc>
          <w:tcPr>
            <w:tcW w:w="0" w:type="auto"/>
            <w:tcBorders>
              <w:bottom w:val="single" w:sz="8" w:space="0" w:color="0071C5"/>
            </w:tcBorders>
            <w:shd w:val="clear" w:color="auto" w:fill="auto"/>
            <w:tcMar>
              <w:top w:w="40" w:type="dxa"/>
              <w:left w:w="40" w:type="dxa"/>
              <w:bottom w:w="40" w:type="dxa"/>
              <w:right w:w="40" w:type="dxa"/>
            </w:tcMar>
            <w:vAlign w:val="bottom"/>
          </w:tcPr>
          <w:p w14:paraId="4ACE5F29"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 </w:t>
            </w:r>
            <w:r>
              <w:rPr>
                <w:rFonts w:ascii="Arial" w:eastAsia="宋体" w:hAnsi="Arial" w:cs="Arial"/>
                <w:b/>
                <w:bCs/>
                <w:color w:val="333333"/>
                <w:sz w:val="18"/>
                <w:szCs w:val="18"/>
              </w:rPr>
              <w:br/>
              <w:t>(In Millions)</w:t>
            </w:r>
          </w:p>
        </w:tc>
        <w:tc>
          <w:tcPr>
            <w:tcW w:w="0" w:type="auto"/>
            <w:shd w:val="clear" w:color="auto" w:fill="auto"/>
            <w:tcMar>
              <w:top w:w="40" w:type="dxa"/>
              <w:left w:w="40" w:type="dxa"/>
              <w:bottom w:w="40" w:type="dxa"/>
              <w:right w:w="40" w:type="dxa"/>
            </w:tcMar>
            <w:vAlign w:val="bottom"/>
          </w:tcPr>
          <w:p w14:paraId="4ACE5F2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F2B"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28, </w:t>
            </w:r>
            <w:r>
              <w:rPr>
                <w:rFonts w:ascii="Arial" w:eastAsia="宋体" w:hAnsi="Arial" w:cs="Arial"/>
                <w:b/>
                <w:bCs/>
                <w:color w:val="333333"/>
                <w:sz w:val="18"/>
                <w:szCs w:val="18"/>
              </w:rPr>
              <w:br/>
              <w:t>2019</w:t>
            </w:r>
          </w:p>
        </w:tc>
        <w:tc>
          <w:tcPr>
            <w:tcW w:w="0" w:type="auto"/>
            <w:shd w:val="clear" w:color="auto" w:fill="auto"/>
            <w:tcMar>
              <w:top w:w="40" w:type="dxa"/>
              <w:left w:w="40" w:type="dxa"/>
              <w:bottom w:w="40" w:type="dxa"/>
              <w:right w:w="40" w:type="dxa"/>
            </w:tcMar>
            <w:vAlign w:val="bottom"/>
          </w:tcPr>
          <w:p w14:paraId="4ACE5F2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5F2D"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29, </w:t>
            </w:r>
            <w:r>
              <w:rPr>
                <w:rFonts w:ascii="Arial" w:eastAsia="宋体" w:hAnsi="Arial" w:cs="Arial"/>
                <w:b/>
                <w:bCs/>
                <w:color w:val="333333"/>
                <w:sz w:val="18"/>
                <w:szCs w:val="18"/>
              </w:rPr>
              <w:br/>
              <w:t>2018</w:t>
            </w:r>
          </w:p>
        </w:tc>
      </w:tr>
      <w:tr w:rsidR="006F587A" w14:paraId="4ACE5F34" w14:textId="77777777">
        <w:trPr>
          <w:jc w:val="center"/>
        </w:trPr>
        <w:tc>
          <w:tcPr>
            <w:tcW w:w="0" w:type="auto"/>
            <w:shd w:val="clear" w:color="auto" w:fill="auto"/>
            <w:tcMar>
              <w:top w:w="40" w:type="dxa"/>
              <w:left w:w="40" w:type="dxa"/>
              <w:bottom w:w="40" w:type="dxa"/>
              <w:right w:w="40" w:type="dxa"/>
            </w:tcMar>
            <w:vAlign w:val="bottom"/>
          </w:tcPr>
          <w:p w14:paraId="4ACE5F2F"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 xml:space="preserve">Plans with </w:t>
            </w:r>
            <w:r>
              <w:rPr>
                <w:rFonts w:ascii="Arial" w:eastAsia="宋体" w:hAnsi="Arial" w:cs="Arial"/>
                <w:b/>
                <w:bCs/>
                <w:color w:val="333333"/>
                <w:sz w:val="18"/>
                <w:szCs w:val="18"/>
              </w:rPr>
              <w:t>accumulated benefit obligation in excess of plan assets</w:t>
            </w:r>
          </w:p>
        </w:tc>
        <w:tc>
          <w:tcPr>
            <w:tcW w:w="0" w:type="auto"/>
            <w:shd w:val="clear" w:color="auto" w:fill="auto"/>
            <w:tcMar>
              <w:top w:w="40" w:type="dxa"/>
              <w:left w:w="40" w:type="dxa"/>
              <w:bottom w:w="40" w:type="dxa"/>
              <w:right w:w="40" w:type="dxa"/>
            </w:tcMar>
            <w:vAlign w:val="bottom"/>
          </w:tcPr>
          <w:p w14:paraId="4ACE5F3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F3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F3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F3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5F3E" w14:textId="77777777">
        <w:trPr>
          <w:jc w:val="center"/>
        </w:trPr>
        <w:tc>
          <w:tcPr>
            <w:tcW w:w="0" w:type="auto"/>
            <w:shd w:val="clear" w:color="auto" w:fill="auto"/>
            <w:tcMar>
              <w:top w:w="40" w:type="dxa"/>
              <w:left w:w="40" w:type="dxa"/>
              <w:bottom w:w="40" w:type="dxa"/>
              <w:right w:w="40" w:type="dxa"/>
            </w:tcMar>
            <w:vAlign w:val="bottom"/>
          </w:tcPr>
          <w:p w14:paraId="4ACE5F3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Accumulated benefit obligation</w:t>
            </w:r>
          </w:p>
        </w:tc>
        <w:tc>
          <w:tcPr>
            <w:tcW w:w="0" w:type="auto"/>
            <w:shd w:val="clear" w:color="auto" w:fill="auto"/>
            <w:tcMar>
              <w:top w:w="40" w:type="dxa"/>
              <w:left w:w="40" w:type="dxa"/>
              <w:bottom w:w="40" w:type="dxa"/>
              <w:right w:w="40" w:type="dxa"/>
            </w:tcMar>
            <w:vAlign w:val="bottom"/>
          </w:tcPr>
          <w:p w14:paraId="4ACE5F3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F37"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5F38"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3,862</w:t>
            </w:r>
          </w:p>
        </w:tc>
        <w:tc>
          <w:tcPr>
            <w:tcW w:w="0" w:type="auto"/>
            <w:shd w:val="clear" w:color="auto" w:fill="auto"/>
            <w:vAlign w:val="bottom"/>
          </w:tcPr>
          <w:p w14:paraId="4ACE5F3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F3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F3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5F3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1,965</w:t>
            </w:r>
          </w:p>
        </w:tc>
        <w:tc>
          <w:tcPr>
            <w:tcW w:w="0" w:type="auto"/>
            <w:shd w:val="clear" w:color="auto" w:fill="auto"/>
            <w:vAlign w:val="bottom"/>
          </w:tcPr>
          <w:p w14:paraId="4ACE5F3D" w14:textId="77777777" w:rsidR="006F587A" w:rsidRDefault="006F587A">
            <w:pPr>
              <w:textAlignment w:val="bottom"/>
              <w:rPr>
                <w:rFonts w:ascii="Times New Roman" w:hAnsi="Times New Roman"/>
                <w:sz w:val="20"/>
                <w:szCs w:val="20"/>
              </w:rPr>
            </w:pPr>
          </w:p>
        </w:tc>
      </w:tr>
      <w:tr w:rsidR="006F587A" w14:paraId="4ACE5F48" w14:textId="77777777">
        <w:trPr>
          <w:jc w:val="center"/>
        </w:trPr>
        <w:tc>
          <w:tcPr>
            <w:tcW w:w="0" w:type="auto"/>
            <w:shd w:val="clear" w:color="auto" w:fill="auto"/>
            <w:tcMar>
              <w:top w:w="40" w:type="dxa"/>
              <w:left w:w="40" w:type="dxa"/>
              <w:bottom w:w="40" w:type="dxa"/>
              <w:right w:w="40" w:type="dxa"/>
            </w:tcMar>
            <w:vAlign w:val="bottom"/>
          </w:tcPr>
          <w:p w14:paraId="4ACE5F3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Plan assets</w:t>
            </w:r>
          </w:p>
        </w:tc>
        <w:tc>
          <w:tcPr>
            <w:tcW w:w="0" w:type="auto"/>
            <w:shd w:val="clear" w:color="auto" w:fill="auto"/>
            <w:tcMar>
              <w:top w:w="40" w:type="dxa"/>
              <w:left w:w="40" w:type="dxa"/>
              <w:bottom w:w="40" w:type="dxa"/>
              <w:right w:w="40" w:type="dxa"/>
            </w:tcMar>
            <w:vAlign w:val="bottom"/>
          </w:tcPr>
          <w:p w14:paraId="4ACE5F4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F41"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5F42"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2,654</w:t>
            </w:r>
          </w:p>
        </w:tc>
        <w:tc>
          <w:tcPr>
            <w:tcW w:w="0" w:type="auto"/>
            <w:shd w:val="clear" w:color="auto" w:fill="auto"/>
            <w:vAlign w:val="bottom"/>
          </w:tcPr>
          <w:p w14:paraId="4ACE5F4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F4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F4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5F4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1,106</w:t>
            </w:r>
          </w:p>
        </w:tc>
        <w:tc>
          <w:tcPr>
            <w:tcW w:w="0" w:type="auto"/>
            <w:shd w:val="clear" w:color="auto" w:fill="auto"/>
            <w:vAlign w:val="bottom"/>
          </w:tcPr>
          <w:p w14:paraId="4ACE5F47" w14:textId="77777777" w:rsidR="006F587A" w:rsidRDefault="006F587A">
            <w:pPr>
              <w:textAlignment w:val="bottom"/>
              <w:rPr>
                <w:rFonts w:ascii="Times New Roman" w:hAnsi="Times New Roman"/>
                <w:sz w:val="20"/>
                <w:szCs w:val="20"/>
              </w:rPr>
            </w:pPr>
          </w:p>
        </w:tc>
      </w:tr>
      <w:tr w:rsidR="006F587A" w14:paraId="4ACE5F4E" w14:textId="77777777">
        <w:trPr>
          <w:jc w:val="center"/>
        </w:trPr>
        <w:tc>
          <w:tcPr>
            <w:tcW w:w="0" w:type="auto"/>
            <w:shd w:val="clear" w:color="auto" w:fill="auto"/>
            <w:tcMar>
              <w:top w:w="40" w:type="dxa"/>
              <w:left w:w="40" w:type="dxa"/>
              <w:bottom w:w="40" w:type="dxa"/>
              <w:right w:w="40" w:type="dxa"/>
            </w:tcMar>
            <w:vAlign w:val="bottom"/>
          </w:tcPr>
          <w:p w14:paraId="4ACE5F4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F4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F4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F4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F4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5F54" w14:textId="77777777">
        <w:trPr>
          <w:jc w:val="center"/>
        </w:trPr>
        <w:tc>
          <w:tcPr>
            <w:tcW w:w="0" w:type="auto"/>
            <w:shd w:val="clear" w:color="auto" w:fill="auto"/>
            <w:tcMar>
              <w:top w:w="40" w:type="dxa"/>
              <w:left w:w="40" w:type="dxa"/>
              <w:bottom w:w="40" w:type="dxa"/>
              <w:right w:w="40" w:type="dxa"/>
            </w:tcMar>
            <w:vAlign w:val="bottom"/>
          </w:tcPr>
          <w:p w14:paraId="4ACE5F4F"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Plans with projected benefit obligation in excess of plan assets</w:t>
            </w:r>
          </w:p>
        </w:tc>
        <w:tc>
          <w:tcPr>
            <w:tcW w:w="0" w:type="auto"/>
            <w:shd w:val="clear" w:color="auto" w:fill="auto"/>
            <w:tcMar>
              <w:top w:w="40" w:type="dxa"/>
              <w:left w:w="40" w:type="dxa"/>
              <w:bottom w:w="40" w:type="dxa"/>
              <w:right w:w="40" w:type="dxa"/>
            </w:tcMar>
            <w:vAlign w:val="bottom"/>
          </w:tcPr>
          <w:p w14:paraId="4ACE5F5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F5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F5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5F5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5F5E" w14:textId="77777777">
        <w:trPr>
          <w:jc w:val="center"/>
        </w:trPr>
        <w:tc>
          <w:tcPr>
            <w:tcW w:w="0" w:type="auto"/>
            <w:shd w:val="clear" w:color="auto" w:fill="auto"/>
            <w:tcMar>
              <w:top w:w="40" w:type="dxa"/>
              <w:left w:w="40" w:type="dxa"/>
              <w:bottom w:w="40" w:type="dxa"/>
              <w:right w:w="40" w:type="dxa"/>
            </w:tcMar>
            <w:vAlign w:val="bottom"/>
          </w:tcPr>
          <w:p w14:paraId="4ACE5F5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Projected benefit obligation</w:t>
            </w:r>
          </w:p>
        </w:tc>
        <w:tc>
          <w:tcPr>
            <w:tcW w:w="0" w:type="auto"/>
            <w:shd w:val="clear" w:color="auto" w:fill="auto"/>
            <w:tcMar>
              <w:top w:w="40" w:type="dxa"/>
              <w:left w:w="40" w:type="dxa"/>
              <w:bottom w:w="40" w:type="dxa"/>
              <w:right w:w="40" w:type="dxa"/>
            </w:tcMar>
            <w:vAlign w:val="bottom"/>
          </w:tcPr>
          <w:p w14:paraId="4ACE5F5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F57"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5F58"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4,284</w:t>
            </w:r>
          </w:p>
        </w:tc>
        <w:tc>
          <w:tcPr>
            <w:tcW w:w="0" w:type="auto"/>
            <w:shd w:val="clear" w:color="auto" w:fill="auto"/>
            <w:vAlign w:val="bottom"/>
          </w:tcPr>
          <w:p w14:paraId="4ACE5F5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F5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F5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5F5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2,232</w:t>
            </w:r>
          </w:p>
        </w:tc>
        <w:tc>
          <w:tcPr>
            <w:tcW w:w="0" w:type="auto"/>
            <w:shd w:val="clear" w:color="auto" w:fill="auto"/>
            <w:vAlign w:val="bottom"/>
          </w:tcPr>
          <w:p w14:paraId="4ACE5F5D" w14:textId="77777777" w:rsidR="006F587A" w:rsidRDefault="006F587A">
            <w:pPr>
              <w:textAlignment w:val="bottom"/>
              <w:rPr>
                <w:rFonts w:ascii="Times New Roman" w:hAnsi="Times New Roman"/>
                <w:sz w:val="20"/>
                <w:szCs w:val="20"/>
              </w:rPr>
            </w:pPr>
          </w:p>
        </w:tc>
      </w:tr>
      <w:tr w:rsidR="006F587A" w14:paraId="4ACE5F68" w14:textId="77777777">
        <w:trPr>
          <w:jc w:val="center"/>
        </w:trPr>
        <w:tc>
          <w:tcPr>
            <w:tcW w:w="0" w:type="auto"/>
            <w:shd w:val="clear" w:color="auto" w:fill="auto"/>
            <w:tcMar>
              <w:top w:w="40" w:type="dxa"/>
              <w:left w:w="40" w:type="dxa"/>
              <w:bottom w:w="40" w:type="dxa"/>
              <w:right w:w="40" w:type="dxa"/>
            </w:tcMar>
            <w:vAlign w:val="bottom"/>
          </w:tcPr>
          <w:p w14:paraId="4ACE5F5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Plan assets</w:t>
            </w:r>
          </w:p>
        </w:tc>
        <w:tc>
          <w:tcPr>
            <w:tcW w:w="0" w:type="auto"/>
            <w:shd w:val="clear" w:color="auto" w:fill="auto"/>
            <w:tcMar>
              <w:top w:w="40" w:type="dxa"/>
              <w:left w:w="40" w:type="dxa"/>
              <w:bottom w:w="40" w:type="dxa"/>
              <w:right w:w="40" w:type="dxa"/>
            </w:tcMar>
            <w:vAlign w:val="bottom"/>
          </w:tcPr>
          <w:p w14:paraId="4ACE5F6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F61"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5F62"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2,654</w:t>
            </w:r>
          </w:p>
        </w:tc>
        <w:tc>
          <w:tcPr>
            <w:tcW w:w="0" w:type="auto"/>
            <w:shd w:val="clear" w:color="auto" w:fill="auto"/>
            <w:vAlign w:val="bottom"/>
          </w:tcPr>
          <w:p w14:paraId="4ACE5F6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5F6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F6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5F6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1,106</w:t>
            </w:r>
          </w:p>
        </w:tc>
        <w:tc>
          <w:tcPr>
            <w:tcW w:w="0" w:type="auto"/>
            <w:shd w:val="clear" w:color="auto" w:fill="auto"/>
            <w:vAlign w:val="bottom"/>
          </w:tcPr>
          <w:p w14:paraId="4ACE5F67" w14:textId="77777777" w:rsidR="006F587A" w:rsidRDefault="006F587A">
            <w:pPr>
              <w:textAlignment w:val="bottom"/>
              <w:rPr>
                <w:rFonts w:ascii="Times New Roman" w:hAnsi="Times New Roman"/>
                <w:sz w:val="20"/>
                <w:szCs w:val="20"/>
              </w:rPr>
            </w:pPr>
          </w:p>
        </w:tc>
      </w:tr>
    </w:tbl>
    <w:p w14:paraId="4ACE5F69" w14:textId="77777777" w:rsidR="006F587A" w:rsidRDefault="006F587A">
      <w:pPr>
        <w:spacing w:line="288" w:lineRule="auto"/>
        <w:jc w:val="center"/>
        <w:rPr>
          <w:rFonts w:ascii="Times New Roman" w:hAnsi="Times New Roman"/>
          <w:sz w:val="20"/>
          <w:szCs w:val="20"/>
        </w:rPr>
      </w:pPr>
    </w:p>
    <w:p w14:paraId="4ACE5F6A" w14:textId="77777777" w:rsidR="006F587A" w:rsidRDefault="007B2B61">
      <w:pPr>
        <w:spacing w:line="288" w:lineRule="auto"/>
        <w:rPr>
          <w:rFonts w:ascii="Times New Roman" w:hAnsi="Times New Roman"/>
        </w:rPr>
      </w:pPr>
      <w:r>
        <w:rPr>
          <w:rFonts w:ascii="Arial" w:eastAsia="宋体" w:hAnsi="Arial" w:cs="Arial"/>
          <w:b/>
          <w:bCs/>
          <w:color w:val="0071C5"/>
        </w:rPr>
        <w:t>ASSUMPTIONS FOR PENSION BENEFIT PLANS</w:t>
      </w:r>
    </w:p>
    <w:tbl>
      <w:tblPr>
        <w:tblW w:w="5000" w:type="pct"/>
        <w:tblCellMar>
          <w:left w:w="0" w:type="dxa"/>
          <w:right w:w="0" w:type="dxa"/>
        </w:tblCellMar>
        <w:tblLook w:val="04A0" w:firstRow="1" w:lastRow="0" w:firstColumn="1" w:lastColumn="0" w:noHBand="0" w:noVBand="1"/>
      </w:tblPr>
      <w:tblGrid>
        <w:gridCol w:w="6036"/>
        <w:gridCol w:w="130"/>
        <w:gridCol w:w="804"/>
        <w:gridCol w:w="201"/>
        <w:gridCol w:w="130"/>
        <w:gridCol w:w="804"/>
        <w:gridCol w:w="201"/>
      </w:tblGrid>
      <w:tr w:rsidR="006F587A" w14:paraId="4ACE5F6C" w14:textId="77777777">
        <w:tc>
          <w:tcPr>
            <w:tcW w:w="0" w:type="auto"/>
            <w:gridSpan w:val="7"/>
            <w:shd w:val="clear" w:color="auto" w:fill="auto"/>
            <w:vAlign w:val="center"/>
          </w:tcPr>
          <w:p w14:paraId="4ACE5F6B" w14:textId="77777777" w:rsidR="006F587A" w:rsidRDefault="006F587A">
            <w:pPr>
              <w:rPr>
                <w:rFonts w:ascii="Times New Roman" w:hAnsi="Times New Roman"/>
                <w:sz w:val="20"/>
                <w:szCs w:val="20"/>
              </w:rPr>
            </w:pPr>
          </w:p>
        </w:tc>
      </w:tr>
      <w:tr w:rsidR="006F587A" w14:paraId="4ACE5F74" w14:textId="77777777">
        <w:tc>
          <w:tcPr>
            <w:tcW w:w="3700" w:type="pct"/>
            <w:shd w:val="clear" w:color="auto" w:fill="auto"/>
            <w:vAlign w:val="center"/>
          </w:tcPr>
          <w:p w14:paraId="4ACE5F6D" w14:textId="77777777" w:rsidR="006F587A" w:rsidRDefault="006F587A">
            <w:pPr>
              <w:rPr>
                <w:rFonts w:ascii="Times New Roman" w:hAnsi="Times New Roman"/>
                <w:sz w:val="20"/>
                <w:szCs w:val="20"/>
              </w:rPr>
            </w:pPr>
          </w:p>
        </w:tc>
        <w:tc>
          <w:tcPr>
            <w:tcW w:w="50" w:type="pct"/>
            <w:shd w:val="clear" w:color="auto" w:fill="auto"/>
            <w:vAlign w:val="center"/>
          </w:tcPr>
          <w:p w14:paraId="4ACE5F6E" w14:textId="77777777" w:rsidR="006F587A" w:rsidRDefault="006F587A">
            <w:pPr>
              <w:rPr>
                <w:rFonts w:ascii="Times New Roman" w:hAnsi="Times New Roman"/>
                <w:sz w:val="20"/>
                <w:szCs w:val="20"/>
              </w:rPr>
            </w:pPr>
          </w:p>
        </w:tc>
        <w:tc>
          <w:tcPr>
            <w:tcW w:w="550" w:type="pct"/>
            <w:shd w:val="clear" w:color="auto" w:fill="auto"/>
            <w:vAlign w:val="center"/>
          </w:tcPr>
          <w:p w14:paraId="4ACE5F6F" w14:textId="77777777" w:rsidR="006F587A" w:rsidRDefault="006F587A">
            <w:pPr>
              <w:rPr>
                <w:rFonts w:ascii="Times New Roman" w:hAnsi="Times New Roman"/>
                <w:sz w:val="20"/>
                <w:szCs w:val="20"/>
              </w:rPr>
            </w:pPr>
          </w:p>
        </w:tc>
        <w:tc>
          <w:tcPr>
            <w:tcW w:w="50" w:type="pct"/>
            <w:shd w:val="clear" w:color="auto" w:fill="auto"/>
            <w:vAlign w:val="center"/>
          </w:tcPr>
          <w:p w14:paraId="4ACE5F70" w14:textId="77777777" w:rsidR="006F587A" w:rsidRDefault="006F587A">
            <w:pPr>
              <w:rPr>
                <w:rFonts w:ascii="Times New Roman" w:hAnsi="Times New Roman"/>
                <w:sz w:val="20"/>
                <w:szCs w:val="20"/>
              </w:rPr>
            </w:pPr>
          </w:p>
        </w:tc>
        <w:tc>
          <w:tcPr>
            <w:tcW w:w="50" w:type="pct"/>
            <w:shd w:val="clear" w:color="auto" w:fill="auto"/>
            <w:vAlign w:val="center"/>
          </w:tcPr>
          <w:p w14:paraId="4ACE5F71" w14:textId="77777777" w:rsidR="006F587A" w:rsidRDefault="006F587A">
            <w:pPr>
              <w:rPr>
                <w:rFonts w:ascii="Times New Roman" w:hAnsi="Times New Roman"/>
                <w:sz w:val="20"/>
                <w:szCs w:val="20"/>
              </w:rPr>
            </w:pPr>
          </w:p>
        </w:tc>
        <w:tc>
          <w:tcPr>
            <w:tcW w:w="550" w:type="pct"/>
            <w:shd w:val="clear" w:color="auto" w:fill="auto"/>
            <w:vAlign w:val="center"/>
          </w:tcPr>
          <w:p w14:paraId="4ACE5F72" w14:textId="77777777" w:rsidR="006F587A" w:rsidRDefault="006F587A">
            <w:pPr>
              <w:rPr>
                <w:rFonts w:ascii="Times New Roman" w:hAnsi="Times New Roman"/>
                <w:sz w:val="20"/>
                <w:szCs w:val="20"/>
              </w:rPr>
            </w:pPr>
          </w:p>
        </w:tc>
        <w:tc>
          <w:tcPr>
            <w:tcW w:w="50" w:type="pct"/>
            <w:shd w:val="clear" w:color="auto" w:fill="auto"/>
            <w:vAlign w:val="center"/>
          </w:tcPr>
          <w:p w14:paraId="4ACE5F73" w14:textId="77777777" w:rsidR="006F587A" w:rsidRDefault="006F587A">
            <w:pPr>
              <w:rPr>
                <w:rFonts w:ascii="Times New Roman" w:hAnsi="Times New Roman"/>
                <w:sz w:val="20"/>
                <w:szCs w:val="20"/>
              </w:rPr>
            </w:pPr>
          </w:p>
        </w:tc>
      </w:tr>
      <w:tr w:rsidR="006F587A" w14:paraId="4ACE5F7A"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5F7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F7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ACE5F77"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28, </w:t>
            </w:r>
            <w:r>
              <w:rPr>
                <w:rFonts w:ascii="Arial" w:eastAsia="宋体" w:hAnsi="Arial" w:cs="Arial"/>
                <w:b/>
                <w:bCs/>
                <w:color w:val="333333"/>
                <w:sz w:val="18"/>
                <w:szCs w:val="18"/>
              </w:rPr>
              <w:br/>
              <w:t>2019</w:t>
            </w:r>
          </w:p>
        </w:tc>
        <w:tc>
          <w:tcPr>
            <w:tcW w:w="0" w:type="auto"/>
            <w:shd w:val="clear" w:color="auto" w:fill="auto"/>
            <w:tcMar>
              <w:top w:w="40" w:type="dxa"/>
              <w:left w:w="40" w:type="dxa"/>
              <w:bottom w:w="40" w:type="dxa"/>
              <w:right w:w="40" w:type="dxa"/>
            </w:tcMar>
            <w:vAlign w:val="bottom"/>
          </w:tcPr>
          <w:p w14:paraId="4ACE5F7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71C5"/>
            </w:tcBorders>
            <w:shd w:val="clear" w:color="auto" w:fill="auto"/>
            <w:tcMar>
              <w:top w:w="40" w:type="dxa"/>
              <w:left w:w="40" w:type="dxa"/>
              <w:bottom w:w="40" w:type="dxa"/>
              <w:right w:w="40" w:type="dxa"/>
            </w:tcMar>
            <w:vAlign w:val="bottom"/>
          </w:tcPr>
          <w:p w14:paraId="4ACE5F79"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29, </w:t>
            </w:r>
            <w:r>
              <w:rPr>
                <w:rFonts w:ascii="Arial" w:eastAsia="宋体" w:hAnsi="Arial" w:cs="Arial"/>
                <w:b/>
                <w:bCs/>
                <w:color w:val="333333"/>
                <w:sz w:val="18"/>
                <w:szCs w:val="18"/>
              </w:rPr>
              <w:br/>
              <w:t>2018</w:t>
            </w:r>
          </w:p>
        </w:tc>
      </w:tr>
      <w:tr w:rsidR="006F587A" w14:paraId="4ACE5F80" w14:textId="77777777">
        <w:tc>
          <w:tcPr>
            <w:tcW w:w="0" w:type="auto"/>
            <w:shd w:val="clear" w:color="auto" w:fill="auto"/>
            <w:tcMar>
              <w:top w:w="40" w:type="dxa"/>
              <w:left w:w="40" w:type="dxa"/>
              <w:bottom w:w="40" w:type="dxa"/>
              <w:right w:w="40" w:type="dxa"/>
            </w:tcMar>
            <w:vAlign w:val="bottom"/>
          </w:tcPr>
          <w:p w14:paraId="4ACE5F7B"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 xml:space="preserve">Weighted average actuarial assumptions used to determine benefit </w:t>
            </w:r>
            <w:r>
              <w:rPr>
                <w:rFonts w:ascii="Arial" w:eastAsia="宋体" w:hAnsi="Arial" w:cs="Arial"/>
                <w:b/>
                <w:bCs/>
                <w:color w:val="333333"/>
                <w:sz w:val="18"/>
                <w:szCs w:val="18"/>
              </w:rPr>
              <w:t>obligations</w:t>
            </w:r>
          </w:p>
        </w:tc>
        <w:tc>
          <w:tcPr>
            <w:tcW w:w="0" w:type="auto"/>
            <w:shd w:val="clear" w:color="auto" w:fill="auto"/>
            <w:tcMar>
              <w:top w:w="40" w:type="dxa"/>
              <w:left w:w="40" w:type="dxa"/>
              <w:bottom w:w="40" w:type="dxa"/>
              <w:right w:w="40" w:type="dxa"/>
            </w:tcMar>
            <w:vAlign w:val="bottom"/>
          </w:tcPr>
          <w:p w14:paraId="4ACE5F7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71C5"/>
            </w:tcBorders>
            <w:shd w:val="clear" w:color="auto" w:fill="auto"/>
            <w:tcMar>
              <w:top w:w="40" w:type="dxa"/>
              <w:left w:w="40" w:type="dxa"/>
              <w:bottom w:w="40" w:type="dxa"/>
              <w:right w:w="40" w:type="dxa"/>
            </w:tcMar>
            <w:vAlign w:val="bottom"/>
          </w:tcPr>
          <w:p w14:paraId="4ACE5F7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F7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ACE5F7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5F88" w14:textId="77777777">
        <w:tc>
          <w:tcPr>
            <w:tcW w:w="0" w:type="auto"/>
            <w:shd w:val="clear" w:color="auto" w:fill="auto"/>
            <w:tcMar>
              <w:top w:w="40" w:type="dxa"/>
              <w:left w:w="40" w:type="dxa"/>
              <w:bottom w:w="40" w:type="dxa"/>
              <w:right w:w="40" w:type="dxa"/>
            </w:tcMar>
            <w:vAlign w:val="bottom"/>
          </w:tcPr>
          <w:p w14:paraId="4ACE5F8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Discount rate</w:t>
            </w:r>
          </w:p>
        </w:tc>
        <w:tc>
          <w:tcPr>
            <w:tcW w:w="0" w:type="auto"/>
            <w:shd w:val="clear" w:color="auto" w:fill="auto"/>
            <w:tcMar>
              <w:top w:w="40" w:type="dxa"/>
              <w:left w:w="40" w:type="dxa"/>
              <w:bottom w:w="40" w:type="dxa"/>
              <w:right w:w="40" w:type="dxa"/>
            </w:tcMar>
            <w:vAlign w:val="bottom"/>
          </w:tcPr>
          <w:p w14:paraId="4ACE5F8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F8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2.3</w:t>
            </w:r>
          </w:p>
        </w:tc>
        <w:tc>
          <w:tcPr>
            <w:tcW w:w="0" w:type="auto"/>
            <w:shd w:val="clear" w:color="auto" w:fill="auto"/>
            <w:tcMar>
              <w:top w:w="40" w:type="dxa"/>
              <w:bottom w:w="40" w:type="dxa"/>
              <w:right w:w="40" w:type="dxa"/>
            </w:tcMar>
            <w:vAlign w:val="bottom"/>
          </w:tcPr>
          <w:p w14:paraId="4ACE5F84"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5F8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F8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3.3</w:t>
            </w:r>
          </w:p>
        </w:tc>
        <w:tc>
          <w:tcPr>
            <w:tcW w:w="0" w:type="auto"/>
            <w:shd w:val="clear" w:color="auto" w:fill="auto"/>
            <w:tcMar>
              <w:top w:w="40" w:type="dxa"/>
              <w:bottom w:w="40" w:type="dxa"/>
              <w:right w:w="40" w:type="dxa"/>
            </w:tcMar>
            <w:vAlign w:val="bottom"/>
          </w:tcPr>
          <w:p w14:paraId="4ACE5F8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5F90" w14:textId="77777777">
        <w:tc>
          <w:tcPr>
            <w:tcW w:w="0" w:type="auto"/>
            <w:shd w:val="clear" w:color="auto" w:fill="auto"/>
            <w:tcMar>
              <w:top w:w="40" w:type="dxa"/>
              <w:left w:w="40" w:type="dxa"/>
              <w:bottom w:w="40" w:type="dxa"/>
              <w:right w:w="40" w:type="dxa"/>
            </w:tcMar>
            <w:vAlign w:val="bottom"/>
          </w:tcPr>
          <w:p w14:paraId="4ACE5F8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Rate of compensation increase</w:t>
            </w:r>
          </w:p>
        </w:tc>
        <w:tc>
          <w:tcPr>
            <w:tcW w:w="0" w:type="auto"/>
            <w:shd w:val="clear" w:color="auto" w:fill="auto"/>
            <w:tcMar>
              <w:top w:w="40" w:type="dxa"/>
              <w:left w:w="40" w:type="dxa"/>
              <w:bottom w:w="40" w:type="dxa"/>
              <w:right w:w="40" w:type="dxa"/>
            </w:tcMar>
            <w:vAlign w:val="bottom"/>
          </w:tcPr>
          <w:p w14:paraId="4ACE5F8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F8B"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3.5</w:t>
            </w:r>
          </w:p>
        </w:tc>
        <w:tc>
          <w:tcPr>
            <w:tcW w:w="0" w:type="auto"/>
            <w:shd w:val="clear" w:color="auto" w:fill="auto"/>
            <w:tcMar>
              <w:top w:w="40" w:type="dxa"/>
              <w:bottom w:w="40" w:type="dxa"/>
              <w:right w:w="40" w:type="dxa"/>
            </w:tcMar>
            <w:vAlign w:val="bottom"/>
          </w:tcPr>
          <w:p w14:paraId="4ACE5F8C"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5F8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F8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3.5</w:t>
            </w:r>
          </w:p>
        </w:tc>
        <w:tc>
          <w:tcPr>
            <w:tcW w:w="0" w:type="auto"/>
            <w:shd w:val="clear" w:color="auto" w:fill="auto"/>
            <w:tcMar>
              <w:top w:w="40" w:type="dxa"/>
              <w:bottom w:w="40" w:type="dxa"/>
              <w:right w:w="40" w:type="dxa"/>
            </w:tcMar>
            <w:vAlign w:val="bottom"/>
          </w:tcPr>
          <w:p w14:paraId="4ACE5F8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bl>
    <w:p w14:paraId="4ACE5F91" w14:textId="77777777" w:rsidR="006F587A" w:rsidRDefault="006F587A">
      <w:pPr>
        <w:rPr>
          <w:vanish/>
        </w:rPr>
      </w:pPr>
    </w:p>
    <w:tbl>
      <w:tblPr>
        <w:tblW w:w="5000" w:type="pct"/>
        <w:tblCellMar>
          <w:left w:w="0" w:type="dxa"/>
          <w:right w:w="0" w:type="dxa"/>
        </w:tblCellMar>
        <w:tblLook w:val="04A0" w:firstRow="1" w:lastRow="0" w:firstColumn="1" w:lastColumn="0" w:noHBand="0" w:noVBand="1"/>
      </w:tblPr>
      <w:tblGrid>
        <w:gridCol w:w="4943"/>
        <w:gridCol w:w="130"/>
        <w:gridCol w:w="790"/>
        <w:gridCol w:w="201"/>
        <w:gridCol w:w="130"/>
        <w:gridCol w:w="790"/>
        <w:gridCol w:w="201"/>
        <w:gridCol w:w="130"/>
        <w:gridCol w:w="790"/>
        <w:gridCol w:w="201"/>
      </w:tblGrid>
      <w:tr w:rsidR="006F587A" w14:paraId="4ACE5F93" w14:textId="77777777">
        <w:tc>
          <w:tcPr>
            <w:tcW w:w="0" w:type="auto"/>
            <w:gridSpan w:val="10"/>
            <w:shd w:val="clear" w:color="auto" w:fill="auto"/>
            <w:vAlign w:val="center"/>
          </w:tcPr>
          <w:p w14:paraId="4ACE5F92" w14:textId="77777777" w:rsidR="006F587A" w:rsidRDefault="006F587A">
            <w:pPr>
              <w:rPr>
                <w:rFonts w:ascii="Times New Roman" w:hAnsi="Times New Roman"/>
                <w:sz w:val="20"/>
                <w:szCs w:val="20"/>
              </w:rPr>
            </w:pPr>
          </w:p>
        </w:tc>
      </w:tr>
      <w:tr w:rsidR="006F587A" w14:paraId="4ACE5F9E" w14:textId="77777777">
        <w:tc>
          <w:tcPr>
            <w:tcW w:w="3050" w:type="pct"/>
            <w:shd w:val="clear" w:color="auto" w:fill="auto"/>
            <w:vAlign w:val="center"/>
          </w:tcPr>
          <w:p w14:paraId="4ACE5F94" w14:textId="77777777" w:rsidR="006F587A" w:rsidRDefault="006F587A">
            <w:pPr>
              <w:rPr>
                <w:rFonts w:ascii="Times New Roman" w:hAnsi="Times New Roman"/>
                <w:sz w:val="20"/>
                <w:szCs w:val="20"/>
              </w:rPr>
            </w:pPr>
          </w:p>
        </w:tc>
        <w:tc>
          <w:tcPr>
            <w:tcW w:w="50" w:type="pct"/>
            <w:shd w:val="clear" w:color="auto" w:fill="auto"/>
            <w:vAlign w:val="center"/>
          </w:tcPr>
          <w:p w14:paraId="4ACE5F95" w14:textId="77777777" w:rsidR="006F587A" w:rsidRDefault="006F587A">
            <w:pPr>
              <w:rPr>
                <w:rFonts w:ascii="Times New Roman" w:hAnsi="Times New Roman"/>
                <w:sz w:val="20"/>
                <w:szCs w:val="20"/>
              </w:rPr>
            </w:pPr>
          </w:p>
        </w:tc>
        <w:tc>
          <w:tcPr>
            <w:tcW w:w="550" w:type="pct"/>
            <w:shd w:val="clear" w:color="auto" w:fill="auto"/>
            <w:vAlign w:val="center"/>
          </w:tcPr>
          <w:p w14:paraId="4ACE5F96" w14:textId="77777777" w:rsidR="006F587A" w:rsidRDefault="006F587A">
            <w:pPr>
              <w:rPr>
                <w:rFonts w:ascii="Times New Roman" w:hAnsi="Times New Roman"/>
                <w:sz w:val="20"/>
                <w:szCs w:val="20"/>
              </w:rPr>
            </w:pPr>
          </w:p>
        </w:tc>
        <w:tc>
          <w:tcPr>
            <w:tcW w:w="50" w:type="pct"/>
            <w:shd w:val="clear" w:color="auto" w:fill="auto"/>
            <w:vAlign w:val="center"/>
          </w:tcPr>
          <w:p w14:paraId="4ACE5F97" w14:textId="77777777" w:rsidR="006F587A" w:rsidRDefault="006F587A">
            <w:pPr>
              <w:rPr>
                <w:rFonts w:ascii="Times New Roman" w:hAnsi="Times New Roman"/>
                <w:sz w:val="20"/>
                <w:szCs w:val="20"/>
              </w:rPr>
            </w:pPr>
          </w:p>
        </w:tc>
        <w:tc>
          <w:tcPr>
            <w:tcW w:w="50" w:type="pct"/>
            <w:shd w:val="clear" w:color="auto" w:fill="auto"/>
            <w:vAlign w:val="center"/>
          </w:tcPr>
          <w:p w14:paraId="4ACE5F98" w14:textId="77777777" w:rsidR="006F587A" w:rsidRDefault="006F587A">
            <w:pPr>
              <w:rPr>
                <w:rFonts w:ascii="Times New Roman" w:hAnsi="Times New Roman"/>
                <w:sz w:val="20"/>
                <w:szCs w:val="20"/>
              </w:rPr>
            </w:pPr>
          </w:p>
        </w:tc>
        <w:tc>
          <w:tcPr>
            <w:tcW w:w="550" w:type="pct"/>
            <w:shd w:val="clear" w:color="auto" w:fill="auto"/>
            <w:vAlign w:val="center"/>
          </w:tcPr>
          <w:p w14:paraId="4ACE5F99" w14:textId="77777777" w:rsidR="006F587A" w:rsidRDefault="006F587A">
            <w:pPr>
              <w:rPr>
                <w:rFonts w:ascii="Times New Roman" w:hAnsi="Times New Roman"/>
                <w:sz w:val="20"/>
                <w:szCs w:val="20"/>
              </w:rPr>
            </w:pPr>
          </w:p>
        </w:tc>
        <w:tc>
          <w:tcPr>
            <w:tcW w:w="50" w:type="pct"/>
            <w:shd w:val="clear" w:color="auto" w:fill="auto"/>
            <w:vAlign w:val="center"/>
          </w:tcPr>
          <w:p w14:paraId="4ACE5F9A" w14:textId="77777777" w:rsidR="006F587A" w:rsidRDefault="006F587A">
            <w:pPr>
              <w:rPr>
                <w:rFonts w:ascii="Times New Roman" w:hAnsi="Times New Roman"/>
                <w:sz w:val="20"/>
                <w:szCs w:val="20"/>
              </w:rPr>
            </w:pPr>
          </w:p>
        </w:tc>
        <w:tc>
          <w:tcPr>
            <w:tcW w:w="50" w:type="pct"/>
            <w:shd w:val="clear" w:color="auto" w:fill="auto"/>
            <w:vAlign w:val="center"/>
          </w:tcPr>
          <w:p w14:paraId="4ACE5F9B" w14:textId="77777777" w:rsidR="006F587A" w:rsidRDefault="006F587A">
            <w:pPr>
              <w:rPr>
                <w:rFonts w:ascii="Times New Roman" w:hAnsi="Times New Roman"/>
                <w:sz w:val="20"/>
                <w:szCs w:val="20"/>
              </w:rPr>
            </w:pPr>
          </w:p>
        </w:tc>
        <w:tc>
          <w:tcPr>
            <w:tcW w:w="550" w:type="pct"/>
            <w:shd w:val="clear" w:color="auto" w:fill="auto"/>
            <w:vAlign w:val="center"/>
          </w:tcPr>
          <w:p w14:paraId="4ACE5F9C" w14:textId="77777777" w:rsidR="006F587A" w:rsidRDefault="006F587A">
            <w:pPr>
              <w:rPr>
                <w:rFonts w:ascii="Times New Roman" w:hAnsi="Times New Roman"/>
                <w:sz w:val="20"/>
                <w:szCs w:val="20"/>
              </w:rPr>
            </w:pPr>
          </w:p>
        </w:tc>
        <w:tc>
          <w:tcPr>
            <w:tcW w:w="50" w:type="pct"/>
            <w:shd w:val="clear" w:color="auto" w:fill="auto"/>
            <w:vAlign w:val="center"/>
          </w:tcPr>
          <w:p w14:paraId="4ACE5F9D" w14:textId="77777777" w:rsidR="006F587A" w:rsidRDefault="006F587A">
            <w:pPr>
              <w:rPr>
                <w:rFonts w:ascii="Times New Roman" w:hAnsi="Times New Roman"/>
                <w:sz w:val="20"/>
                <w:szCs w:val="20"/>
              </w:rPr>
            </w:pPr>
          </w:p>
        </w:tc>
      </w:tr>
      <w:tr w:rsidR="006F587A" w14:paraId="4ACE5FA6"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5F9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FA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71C5"/>
            </w:tcBorders>
            <w:shd w:val="clear" w:color="auto" w:fill="auto"/>
            <w:tcMar>
              <w:top w:w="40" w:type="dxa"/>
              <w:left w:w="40" w:type="dxa"/>
              <w:bottom w:w="40" w:type="dxa"/>
              <w:right w:w="40" w:type="dxa"/>
            </w:tcMar>
            <w:vAlign w:val="bottom"/>
          </w:tcPr>
          <w:p w14:paraId="4ACE5FA1"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2019</w:t>
            </w:r>
          </w:p>
        </w:tc>
        <w:tc>
          <w:tcPr>
            <w:tcW w:w="0" w:type="auto"/>
            <w:shd w:val="clear" w:color="auto" w:fill="auto"/>
            <w:tcMar>
              <w:top w:w="40" w:type="dxa"/>
              <w:left w:w="40" w:type="dxa"/>
              <w:bottom w:w="40" w:type="dxa"/>
              <w:right w:w="40" w:type="dxa"/>
            </w:tcMar>
            <w:vAlign w:val="bottom"/>
          </w:tcPr>
          <w:p w14:paraId="4ACE5FA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71C5"/>
            </w:tcBorders>
            <w:shd w:val="clear" w:color="auto" w:fill="auto"/>
            <w:tcMar>
              <w:top w:w="40" w:type="dxa"/>
              <w:left w:w="40" w:type="dxa"/>
              <w:bottom w:w="40" w:type="dxa"/>
              <w:right w:w="40" w:type="dxa"/>
            </w:tcMar>
            <w:vAlign w:val="bottom"/>
          </w:tcPr>
          <w:p w14:paraId="4ACE5FA3"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2018</w:t>
            </w:r>
          </w:p>
        </w:tc>
        <w:tc>
          <w:tcPr>
            <w:tcW w:w="0" w:type="auto"/>
            <w:shd w:val="clear" w:color="auto" w:fill="auto"/>
            <w:tcMar>
              <w:top w:w="40" w:type="dxa"/>
              <w:left w:w="40" w:type="dxa"/>
              <w:bottom w:w="40" w:type="dxa"/>
              <w:right w:w="40" w:type="dxa"/>
            </w:tcMar>
            <w:vAlign w:val="bottom"/>
          </w:tcPr>
          <w:p w14:paraId="4ACE5FA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71C5"/>
            </w:tcBorders>
            <w:shd w:val="clear" w:color="auto" w:fill="auto"/>
            <w:tcMar>
              <w:top w:w="40" w:type="dxa"/>
              <w:left w:w="40" w:type="dxa"/>
              <w:bottom w:w="40" w:type="dxa"/>
              <w:right w:w="40" w:type="dxa"/>
            </w:tcMar>
            <w:vAlign w:val="bottom"/>
          </w:tcPr>
          <w:p w14:paraId="4ACE5FA5"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2017</w:t>
            </w:r>
          </w:p>
        </w:tc>
      </w:tr>
      <w:tr w:rsidR="006F587A" w14:paraId="4ACE5FAE" w14:textId="77777777">
        <w:tc>
          <w:tcPr>
            <w:tcW w:w="0" w:type="auto"/>
            <w:shd w:val="clear" w:color="auto" w:fill="auto"/>
            <w:tcMar>
              <w:top w:w="40" w:type="dxa"/>
              <w:left w:w="40" w:type="dxa"/>
              <w:bottom w:w="40" w:type="dxa"/>
              <w:right w:w="40" w:type="dxa"/>
            </w:tcMar>
            <w:vAlign w:val="bottom"/>
          </w:tcPr>
          <w:p w14:paraId="4ACE5FA7"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Weighted average actuarial assumptions used to determine costs</w:t>
            </w:r>
          </w:p>
        </w:tc>
        <w:tc>
          <w:tcPr>
            <w:tcW w:w="0" w:type="auto"/>
            <w:shd w:val="clear" w:color="auto" w:fill="auto"/>
            <w:tcMar>
              <w:top w:w="40" w:type="dxa"/>
              <w:left w:w="40" w:type="dxa"/>
              <w:bottom w:w="40" w:type="dxa"/>
              <w:right w:w="40" w:type="dxa"/>
            </w:tcMar>
            <w:vAlign w:val="bottom"/>
          </w:tcPr>
          <w:p w14:paraId="4ACE5FA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ACE5FA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FA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ACE5FA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5FA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ACE5FA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5FB9" w14:textId="77777777">
        <w:tc>
          <w:tcPr>
            <w:tcW w:w="0" w:type="auto"/>
            <w:shd w:val="clear" w:color="auto" w:fill="auto"/>
            <w:tcMar>
              <w:top w:w="40" w:type="dxa"/>
              <w:left w:w="40" w:type="dxa"/>
              <w:bottom w:w="40" w:type="dxa"/>
              <w:right w:w="40" w:type="dxa"/>
            </w:tcMar>
            <w:vAlign w:val="bottom"/>
          </w:tcPr>
          <w:p w14:paraId="4ACE5FA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Discount rate</w:t>
            </w:r>
          </w:p>
        </w:tc>
        <w:tc>
          <w:tcPr>
            <w:tcW w:w="0" w:type="auto"/>
            <w:shd w:val="clear" w:color="auto" w:fill="auto"/>
            <w:tcMar>
              <w:top w:w="40" w:type="dxa"/>
              <w:left w:w="40" w:type="dxa"/>
              <w:bottom w:w="40" w:type="dxa"/>
              <w:right w:w="40" w:type="dxa"/>
            </w:tcMar>
            <w:vAlign w:val="bottom"/>
          </w:tcPr>
          <w:p w14:paraId="4ACE5FB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FB1"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3.4</w:t>
            </w:r>
          </w:p>
        </w:tc>
        <w:tc>
          <w:tcPr>
            <w:tcW w:w="0" w:type="auto"/>
            <w:shd w:val="clear" w:color="auto" w:fill="auto"/>
            <w:tcMar>
              <w:top w:w="40" w:type="dxa"/>
              <w:bottom w:w="40" w:type="dxa"/>
              <w:right w:w="40" w:type="dxa"/>
            </w:tcMar>
            <w:vAlign w:val="bottom"/>
          </w:tcPr>
          <w:p w14:paraId="4ACE5FB2"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5FB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FB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3.0</w:t>
            </w:r>
          </w:p>
        </w:tc>
        <w:tc>
          <w:tcPr>
            <w:tcW w:w="0" w:type="auto"/>
            <w:shd w:val="clear" w:color="auto" w:fill="auto"/>
            <w:tcMar>
              <w:top w:w="40" w:type="dxa"/>
              <w:bottom w:w="40" w:type="dxa"/>
              <w:right w:w="40" w:type="dxa"/>
            </w:tcMar>
            <w:vAlign w:val="bottom"/>
          </w:tcPr>
          <w:p w14:paraId="4ACE5FB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5FB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FB7"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3.2</w:t>
            </w:r>
          </w:p>
        </w:tc>
        <w:tc>
          <w:tcPr>
            <w:tcW w:w="0" w:type="auto"/>
            <w:shd w:val="clear" w:color="auto" w:fill="auto"/>
            <w:tcMar>
              <w:top w:w="40" w:type="dxa"/>
              <w:bottom w:w="40" w:type="dxa"/>
              <w:right w:w="40" w:type="dxa"/>
            </w:tcMar>
            <w:vAlign w:val="bottom"/>
          </w:tcPr>
          <w:p w14:paraId="4ACE5FB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5FC4" w14:textId="77777777">
        <w:tc>
          <w:tcPr>
            <w:tcW w:w="0" w:type="auto"/>
            <w:shd w:val="clear" w:color="auto" w:fill="auto"/>
            <w:tcMar>
              <w:top w:w="40" w:type="dxa"/>
              <w:left w:w="40" w:type="dxa"/>
              <w:bottom w:w="40" w:type="dxa"/>
              <w:right w:w="40" w:type="dxa"/>
            </w:tcMar>
            <w:vAlign w:val="bottom"/>
          </w:tcPr>
          <w:p w14:paraId="4ACE5FB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Expected long-term rate of return on plan assets</w:t>
            </w:r>
          </w:p>
        </w:tc>
        <w:tc>
          <w:tcPr>
            <w:tcW w:w="0" w:type="auto"/>
            <w:shd w:val="clear" w:color="auto" w:fill="auto"/>
            <w:tcMar>
              <w:top w:w="40" w:type="dxa"/>
              <w:left w:w="40" w:type="dxa"/>
              <w:bottom w:w="40" w:type="dxa"/>
              <w:right w:w="40" w:type="dxa"/>
            </w:tcMar>
            <w:vAlign w:val="bottom"/>
          </w:tcPr>
          <w:p w14:paraId="4ACE5FB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FBC"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4.7</w:t>
            </w:r>
          </w:p>
        </w:tc>
        <w:tc>
          <w:tcPr>
            <w:tcW w:w="0" w:type="auto"/>
            <w:shd w:val="clear" w:color="auto" w:fill="auto"/>
            <w:tcMar>
              <w:top w:w="40" w:type="dxa"/>
              <w:bottom w:w="40" w:type="dxa"/>
              <w:right w:w="40" w:type="dxa"/>
            </w:tcMar>
            <w:vAlign w:val="bottom"/>
          </w:tcPr>
          <w:p w14:paraId="4ACE5FBD"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5FB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FB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4.7</w:t>
            </w:r>
          </w:p>
        </w:tc>
        <w:tc>
          <w:tcPr>
            <w:tcW w:w="0" w:type="auto"/>
            <w:shd w:val="clear" w:color="auto" w:fill="auto"/>
            <w:tcMar>
              <w:top w:w="40" w:type="dxa"/>
              <w:bottom w:w="40" w:type="dxa"/>
              <w:right w:w="40" w:type="dxa"/>
            </w:tcMar>
            <w:vAlign w:val="bottom"/>
          </w:tcPr>
          <w:p w14:paraId="4ACE5FC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5FC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FC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4.6</w:t>
            </w:r>
          </w:p>
        </w:tc>
        <w:tc>
          <w:tcPr>
            <w:tcW w:w="0" w:type="auto"/>
            <w:shd w:val="clear" w:color="auto" w:fill="auto"/>
            <w:tcMar>
              <w:top w:w="40" w:type="dxa"/>
              <w:bottom w:w="40" w:type="dxa"/>
              <w:right w:w="40" w:type="dxa"/>
            </w:tcMar>
            <w:vAlign w:val="bottom"/>
          </w:tcPr>
          <w:p w14:paraId="4ACE5FC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5FCF" w14:textId="77777777">
        <w:tc>
          <w:tcPr>
            <w:tcW w:w="0" w:type="auto"/>
            <w:shd w:val="clear" w:color="auto" w:fill="auto"/>
            <w:tcMar>
              <w:top w:w="40" w:type="dxa"/>
              <w:left w:w="40" w:type="dxa"/>
              <w:bottom w:w="40" w:type="dxa"/>
              <w:right w:w="40" w:type="dxa"/>
            </w:tcMar>
            <w:vAlign w:val="bottom"/>
          </w:tcPr>
          <w:p w14:paraId="4ACE5FC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Rate of compensation increase</w:t>
            </w:r>
          </w:p>
        </w:tc>
        <w:tc>
          <w:tcPr>
            <w:tcW w:w="0" w:type="auto"/>
            <w:shd w:val="clear" w:color="auto" w:fill="auto"/>
            <w:tcMar>
              <w:top w:w="40" w:type="dxa"/>
              <w:left w:w="40" w:type="dxa"/>
              <w:bottom w:w="40" w:type="dxa"/>
              <w:right w:w="40" w:type="dxa"/>
            </w:tcMar>
            <w:vAlign w:val="bottom"/>
          </w:tcPr>
          <w:p w14:paraId="4ACE5FC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FC7"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3.5</w:t>
            </w:r>
          </w:p>
        </w:tc>
        <w:tc>
          <w:tcPr>
            <w:tcW w:w="0" w:type="auto"/>
            <w:shd w:val="clear" w:color="auto" w:fill="auto"/>
            <w:tcMar>
              <w:top w:w="40" w:type="dxa"/>
              <w:bottom w:w="40" w:type="dxa"/>
              <w:right w:w="40" w:type="dxa"/>
            </w:tcMar>
            <w:vAlign w:val="bottom"/>
          </w:tcPr>
          <w:p w14:paraId="4ACE5FC8"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5FC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FC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3.3</w:t>
            </w:r>
          </w:p>
        </w:tc>
        <w:tc>
          <w:tcPr>
            <w:tcW w:w="0" w:type="auto"/>
            <w:shd w:val="clear" w:color="auto" w:fill="auto"/>
            <w:tcMar>
              <w:top w:w="40" w:type="dxa"/>
              <w:bottom w:w="40" w:type="dxa"/>
              <w:right w:w="40" w:type="dxa"/>
            </w:tcMar>
            <w:vAlign w:val="bottom"/>
          </w:tcPr>
          <w:p w14:paraId="4ACE5FC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5FC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5FCD"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3.6</w:t>
            </w:r>
          </w:p>
        </w:tc>
        <w:tc>
          <w:tcPr>
            <w:tcW w:w="0" w:type="auto"/>
            <w:shd w:val="clear" w:color="auto" w:fill="auto"/>
            <w:tcMar>
              <w:top w:w="40" w:type="dxa"/>
              <w:bottom w:w="40" w:type="dxa"/>
              <w:right w:w="40" w:type="dxa"/>
            </w:tcMar>
            <w:vAlign w:val="bottom"/>
          </w:tcPr>
          <w:p w14:paraId="4ACE5FCE"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bl>
    <w:p w14:paraId="4ACE5FD0" w14:textId="77777777" w:rsidR="006F587A" w:rsidRDefault="006F587A">
      <w:pPr>
        <w:spacing w:line="288" w:lineRule="auto"/>
        <w:rPr>
          <w:rFonts w:ascii="Times New Roman" w:hAnsi="Times New Roman"/>
          <w:sz w:val="20"/>
          <w:szCs w:val="20"/>
        </w:rPr>
      </w:pPr>
    </w:p>
    <w:p w14:paraId="4ACE5FD1"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We establish the discount rate for each pension plan by analyzing current market long-term bond rates and matching the bond maturity with the average duration of the pension liabilities. </w:t>
      </w:r>
    </w:p>
    <w:p w14:paraId="4ACE5FD2"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establish the long-term expected rate of return by developing a f</w:t>
      </w:r>
      <w:r>
        <w:rPr>
          <w:rFonts w:ascii="Arial" w:eastAsia="宋体" w:hAnsi="Arial" w:cs="Arial"/>
          <w:color w:val="333333"/>
          <w:sz w:val="18"/>
          <w:szCs w:val="18"/>
        </w:rPr>
        <w:t>orward-looking, long-term return assumption for each pension fund asset class, taking into account factors such as the expected real return for the specific asset class and inflation. A single, long-term rate of return is then calculated as the weighted av</w:t>
      </w:r>
      <w:r>
        <w:rPr>
          <w:rFonts w:ascii="Arial" w:eastAsia="宋体" w:hAnsi="Arial" w:cs="Arial"/>
          <w:color w:val="333333"/>
          <w:sz w:val="18"/>
          <w:szCs w:val="18"/>
        </w:rPr>
        <w:t>erage of the target asset allocation percentages and the long-term return assumption for each asset class.</w:t>
      </w:r>
    </w:p>
    <w:p w14:paraId="4ACE5FD3" w14:textId="77777777" w:rsidR="006F587A" w:rsidRDefault="007B2B61">
      <w:pPr>
        <w:spacing w:line="288" w:lineRule="auto"/>
        <w:rPr>
          <w:rFonts w:ascii="Times New Roman" w:hAnsi="Times New Roman"/>
        </w:rPr>
      </w:pPr>
      <w:r>
        <w:rPr>
          <w:rFonts w:ascii="Arial" w:eastAsia="宋体" w:hAnsi="Arial" w:cs="Arial"/>
          <w:b/>
          <w:bCs/>
          <w:color w:val="0071C5"/>
        </w:rPr>
        <w:t>FUNDING</w:t>
      </w:r>
    </w:p>
    <w:p w14:paraId="4ACE5FD4" w14:textId="77777777" w:rsidR="006F587A" w:rsidRDefault="007B2B61">
      <w:pPr>
        <w:spacing w:line="288" w:lineRule="auto"/>
        <w:rPr>
          <w:rFonts w:ascii="Times New Roman" w:hAnsi="Times New Roman"/>
          <w:sz w:val="18"/>
          <w:szCs w:val="18"/>
        </w:rPr>
      </w:pPr>
      <w:r>
        <w:rPr>
          <w:rFonts w:ascii="Arial" w:eastAsia="宋体" w:hAnsi="Arial" w:cs="Arial"/>
          <w:color w:val="0071C5"/>
          <w:sz w:val="18"/>
          <w:szCs w:val="18"/>
        </w:rPr>
        <w:t>Policy.</w:t>
      </w:r>
      <w:r>
        <w:rPr>
          <w:rFonts w:ascii="Arial" w:eastAsia="宋体" w:hAnsi="Arial" w:cs="Arial"/>
          <w:color w:val="333333"/>
          <w:sz w:val="18"/>
          <w:szCs w:val="18"/>
        </w:rPr>
        <w:t xml:space="preserve"> Our practice is to fund the various pension plans in amounts sufficient to meet the minimum requirements of applicable local laws and regulations. Additional funding may be provided as deemed appropriate. Funding for the U.S. Retiree Medical Plan is discr</w:t>
      </w:r>
      <w:r>
        <w:rPr>
          <w:rFonts w:ascii="Arial" w:eastAsia="宋体" w:hAnsi="Arial" w:cs="Arial"/>
          <w:color w:val="333333"/>
          <w:sz w:val="18"/>
          <w:szCs w:val="18"/>
        </w:rPr>
        <w:t>etionary under applicable laws and regulations; additional funding may be provided as deemed appropriate.</w:t>
      </w:r>
    </w:p>
    <w:p w14:paraId="4ACE5FD5" w14:textId="77777777" w:rsidR="006F587A" w:rsidRDefault="007B2B61">
      <w:pPr>
        <w:spacing w:line="288" w:lineRule="auto"/>
        <w:rPr>
          <w:rFonts w:ascii="Times New Roman" w:hAnsi="Times New Roman"/>
          <w:sz w:val="18"/>
          <w:szCs w:val="18"/>
        </w:rPr>
      </w:pPr>
      <w:r>
        <w:rPr>
          <w:rFonts w:ascii="Arial" w:eastAsia="宋体" w:hAnsi="Arial" w:cs="Arial"/>
          <w:color w:val="0071C5"/>
          <w:sz w:val="18"/>
          <w:szCs w:val="18"/>
        </w:rPr>
        <w:t>Funding Status.</w:t>
      </w:r>
      <w:r>
        <w:rPr>
          <w:rFonts w:ascii="Arial" w:eastAsia="宋体" w:hAnsi="Arial" w:cs="Arial"/>
          <w:color w:val="333333"/>
          <w:sz w:val="18"/>
          <w:szCs w:val="18"/>
        </w:rPr>
        <w:t xml:space="preserve"> On a worldwide basis, our pension and retiree medical plans were 65% funded as of December 28, 2019. The U.S. Pension Plan, which acco</w:t>
      </w:r>
      <w:r>
        <w:rPr>
          <w:rFonts w:ascii="Arial" w:eastAsia="宋体" w:hAnsi="Arial" w:cs="Arial"/>
          <w:color w:val="333333"/>
          <w:sz w:val="18"/>
          <w:szCs w:val="18"/>
        </w:rPr>
        <w:t xml:space="preserve">unts for 32% of the worldwide pension and retiree medical benefit obligations, was 96% funded. Funded status is not indicative of our ability to pay ongoing pension benefits or of our obligation to fund retirement trusts. Required pension funding for U.S. </w:t>
      </w:r>
      <w:r>
        <w:rPr>
          <w:rFonts w:ascii="Arial" w:eastAsia="宋体" w:hAnsi="Arial" w:cs="Arial"/>
          <w:color w:val="333333"/>
          <w:sz w:val="18"/>
          <w:szCs w:val="18"/>
        </w:rPr>
        <w:t>retirement plans is determined in accordance with ERISA, which sets required minimum contributions. Cumulative company funding to the U.S. Pension Plan currently exceeds the minimum ERISA funding requirements.</w:t>
      </w:r>
    </w:p>
    <w:p w14:paraId="4ACE5FD6" w14:textId="77777777" w:rsidR="006F587A" w:rsidRDefault="007B2B61">
      <w:pPr>
        <w:spacing w:line="288" w:lineRule="auto"/>
        <w:rPr>
          <w:rFonts w:ascii="Times New Roman" w:hAnsi="Times New Roman"/>
        </w:rPr>
      </w:pPr>
      <w:r>
        <w:rPr>
          <w:rFonts w:ascii="Arial" w:eastAsia="宋体" w:hAnsi="Arial" w:cs="Arial"/>
          <w:b/>
          <w:bCs/>
          <w:color w:val="0071C5"/>
        </w:rPr>
        <w:t xml:space="preserve">NET PERIODIC BENEFIT COST </w:t>
      </w:r>
    </w:p>
    <w:p w14:paraId="4ACE5FD7"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The net periodic be</w:t>
      </w:r>
      <w:r>
        <w:rPr>
          <w:rFonts w:ascii="Arial" w:eastAsia="宋体" w:hAnsi="Arial" w:cs="Arial"/>
          <w:color w:val="333333"/>
          <w:sz w:val="18"/>
          <w:szCs w:val="18"/>
        </w:rPr>
        <w:t xml:space="preserve">nefit cost for pension and U.S. retiree medical benefits was $135 million in 2019 ($197 million in 2018 and $243 million in 2017). </w:t>
      </w:r>
    </w:p>
    <w:p w14:paraId="4ACE5FD8"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5FDA" w14:textId="77777777">
        <w:tc>
          <w:tcPr>
            <w:tcW w:w="0" w:type="auto"/>
            <w:gridSpan w:val="3"/>
            <w:shd w:val="clear" w:color="auto" w:fill="auto"/>
            <w:vAlign w:val="center"/>
          </w:tcPr>
          <w:p w14:paraId="4ACE5FD9" w14:textId="77777777" w:rsidR="006F587A" w:rsidRDefault="006F587A">
            <w:pPr>
              <w:rPr>
                <w:rFonts w:ascii="Times New Roman" w:hAnsi="Times New Roman"/>
                <w:sz w:val="20"/>
                <w:szCs w:val="20"/>
              </w:rPr>
            </w:pPr>
          </w:p>
        </w:tc>
      </w:tr>
      <w:tr w:rsidR="006F587A" w14:paraId="4ACE5FDE" w14:textId="77777777">
        <w:tc>
          <w:tcPr>
            <w:tcW w:w="1300" w:type="pct"/>
            <w:shd w:val="clear" w:color="auto" w:fill="auto"/>
            <w:vAlign w:val="center"/>
          </w:tcPr>
          <w:p w14:paraId="4ACE5FDB" w14:textId="77777777" w:rsidR="006F587A" w:rsidRDefault="006F587A">
            <w:pPr>
              <w:rPr>
                <w:rFonts w:ascii="Times New Roman" w:hAnsi="Times New Roman"/>
                <w:sz w:val="20"/>
                <w:szCs w:val="20"/>
              </w:rPr>
            </w:pPr>
          </w:p>
        </w:tc>
        <w:tc>
          <w:tcPr>
            <w:tcW w:w="1600" w:type="pct"/>
            <w:shd w:val="clear" w:color="auto" w:fill="auto"/>
            <w:vAlign w:val="center"/>
          </w:tcPr>
          <w:p w14:paraId="4ACE5FDC" w14:textId="77777777" w:rsidR="006F587A" w:rsidRDefault="006F587A">
            <w:pPr>
              <w:rPr>
                <w:rFonts w:ascii="Times New Roman" w:hAnsi="Times New Roman"/>
                <w:sz w:val="20"/>
                <w:szCs w:val="20"/>
              </w:rPr>
            </w:pPr>
          </w:p>
        </w:tc>
        <w:tc>
          <w:tcPr>
            <w:tcW w:w="2100" w:type="pct"/>
            <w:shd w:val="clear" w:color="auto" w:fill="auto"/>
            <w:vAlign w:val="center"/>
          </w:tcPr>
          <w:p w14:paraId="4ACE5FDD" w14:textId="77777777" w:rsidR="006F587A" w:rsidRDefault="006F587A">
            <w:pPr>
              <w:rPr>
                <w:rFonts w:ascii="Times New Roman" w:hAnsi="Times New Roman"/>
                <w:sz w:val="20"/>
                <w:szCs w:val="20"/>
              </w:rPr>
            </w:pPr>
          </w:p>
        </w:tc>
      </w:tr>
      <w:tr w:rsidR="006F587A" w14:paraId="4ACE5FE2" w14:textId="77777777">
        <w:tc>
          <w:tcPr>
            <w:tcW w:w="0" w:type="auto"/>
            <w:tcBorders>
              <w:top w:val="single" w:sz="8" w:space="0" w:color="0071C5"/>
            </w:tcBorders>
            <w:shd w:val="clear" w:color="auto" w:fill="auto"/>
            <w:tcMar>
              <w:top w:w="40" w:type="dxa"/>
              <w:left w:w="40" w:type="dxa"/>
              <w:bottom w:w="40" w:type="dxa"/>
              <w:right w:w="40" w:type="dxa"/>
            </w:tcMar>
            <w:vAlign w:val="bottom"/>
          </w:tcPr>
          <w:p w14:paraId="4ACE5FDF" w14:textId="77777777" w:rsidR="006F587A" w:rsidRDefault="007B2B61">
            <w:pPr>
              <w:textAlignment w:val="bottom"/>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E20" wp14:editId="4ACE6E21">
                  <wp:extent cx="304800" cy="304800"/>
                  <wp:effectExtent l="0" t="0" r="0" b="0"/>
                  <wp:docPr id="152" name="图片 346"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346"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left w:val="single" w:sz="36" w:space="0" w:color="0071C5"/>
            </w:tcBorders>
            <w:shd w:val="clear" w:color="auto" w:fill="auto"/>
            <w:tcMar>
              <w:top w:w="40" w:type="dxa"/>
              <w:left w:w="40" w:type="dxa"/>
              <w:bottom w:w="40" w:type="dxa"/>
              <w:right w:w="40" w:type="dxa"/>
            </w:tcMar>
            <w:vAlign w:val="bottom"/>
          </w:tcPr>
          <w:p w14:paraId="4ACE5FE0" w14:textId="77777777" w:rsidR="006F587A" w:rsidRDefault="007B2B61">
            <w:pPr>
              <w:textAlignment w:val="bottom"/>
              <w:rPr>
                <w:rFonts w:ascii="Times New Roman" w:hAnsi="Times New Roman"/>
                <w:sz w:val="16"/>
                <w:szCs w:val="16"/>
              </w:rPr>
            </w:pPr>
            <w:r>
              <w:rPr>
                <w:rFonts w:ascii="Arial" w:eastAsia="宋体" w:hAnsi="Arial" w:cs="Arial"/>
                <w:color w:val="333333"/>
                <w:sz w:val="16"/>
                <w:szCs w:val="16"/>
              </w:rPr>
              <w:t> Notes to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5FE1"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104</w:t>
            </w:r>
          </w:p>
        </w:tc>
      </w:tr>
    </w:tbl>
    <w:p w14:paraId="4ACE5FE3" w14:textId="77777777" w:rsidR="006F587A" w:rsidRDefault="007B2B61">
      <w:r>
        <w:pict w14:anchorId="4ACE6E22">
          <v:rect id="_x0000_i1130" style="width:415.3pt;height:1.5pt" o:hralign="center" o:hrstd="t" o:hr="t" fillcolor="#a0a0a0" stroked="f"/>
        </w:pict>
      </w:r>
    </w:p>
    <w:p w14:paraId="4ACE5FE4" w14:textId="77777777" w:rsidR="006F587A" w:rsidRDefault="007B2B61">
      <w:pPr>
        <w:spacing w:line="288" w:lineRule="auto"/>
        <w:jc w:val="right"/>
        <w:rPr>
          <w:rFonts w:ascii="Times New Roman" w:hAnsi="Times New Roman"/>
          <w:sz w:val="16"/>
          <w:szCs w:val="16"/>
        </w:rPr>
      </w:pPr>
      <w:hyperlink r:id="rId169" w:anchor="s9DB683E2CF52561EB8A73BE37F5BF9BE" w:history="1">
        <w:r>
          <w:rPr>
            <w:rStyle w:val="a5"/>
            <w:rFonts w:ascii="Arial" w:eastAsia="宋体" w:hAnsi="Arial" w:cs="Arial"/>
            <w:b/>
            <w:bCs/>
            <w:sz w:val="16"/>
            <w:szCs w:val="16"/>
          </w:rPr>
          <w:t>Table of Contents</w:t>
        </w:r>
      </w:hyperlink>
    </w:p>
    <w:p w14:paraId="4ACE5FE5" w14:textId="77777777" w:rsidR="006F587A" w:rsidRDefault="006F587A">
      <w:pPr>
        <w:spacing w:line="288" w:lineRule="auto"/>
        <w:jc w:val="right"/>
        <w:rPr>
          <w:rFonts w:ascii="Times New Roman" w:hAnsi="Times New Roman"/>
          <w:sz w:val="16"/>
          <w:szCs w:val="16"/>
        </w:rPr>
      </w:pPr>
    </w:p>
    <w:p w14:paraId="4ACE5FE6" w14:textId="77777777" w:rsidR="006F587A" w:rsidRDefault="006F587A">
      <w:pPr>
        <w:rPr>
          <w:rFonts w:ascii="Times New Roman" w:hAnsi="Times New Roman"/>
          <w:sz w:val="20"/>
          <w:szCs w:val="20"/>
        </w:rPr>
      </w:pPr>
    </w:p>
    <w:p w14:paraId="4ACE5FE7" w14:textId="77777777" w:rsidR="006F587A" w:rsidRDefault="007B2B61">
      <w:pPr>
        <w:spacing w:line="288" w:lineRule="auto"/>
        <w:rPr>
          <w:rFonts w:ascii="Times New Roman" w:hAnsi="Times New Roman"/>
        </w:rPr>
      </w:pPr>
      <w:r>
        <w:rPr>
          <w:rFonts w:ascii="Arial" w:eastAsia="宋体" w:hAnsi="Arial" w:cs="Arial"/>
          <w:b/>
          <w:bCs/>
          <w:color w:val="0071C5"/>
        </w:rPr>
        <w:t>PENSION PLAN ASSETS</w:t>
      </w:r>
    </w:p>
    <w:tbl>
      <w:tblPr>
        <w:tblW w:w="5000" w:type="pct"/>
        <w:tblCellMar>
          <w:left w:w="0" w:type="dxa"/>
          <w:right w:w="0" w:type="dxa"/>
        </w:tblCellMar>
        <w:tblLook w:val="04A0" w:firstRow="1" w:lastRow="0" w:firstColumn="1" w:lastColumn="0" w:noHBand="0" w:noVBand="1"/>
      </w:tblPr>
      <w:tblGrid>
        <w:gridCol w:w="2854"/>
        <w:gridCol w:w="130"/>
        <w:gridCol w:w="142"/>
        <w:gridCol w:w="778"/>
        <w:gridCol w:w="45"/>
        <w:gridCol w:w="130"/>
        <w:gridCol w:w="142"/>
        <w:gridCol w:w="769"/>
        <w:gridCol w:w="45"/>
        <w:gridCol w:w="130"/>
        <w:gridCol w:w="142"/>
        <w:gridCol w:w="770"/>
        <w:gridCol w:w="45"/>
        <w:gridCol w:w="130"/>
        <w:gridCol w:w="141"/>
        <w:gridCol w:w="770"/>
        <w:gridCol w:w="32"/>
        <w:gridCol w:w="130"/>
        <w:gridCol w:w="142"/>
        <w:gridCol w:w="780"/>
        <w:gridCol w:w="59"/>
      </w:tblGrid>
      <w:tr w:rsidR="006F587A" w14:paraId="4ACE5FE9" w14:textId="77777777">
        <w:tc>
          <w:tcPr>
            <w:tcW w:w="0" w:type="auto"/>
            <w:gridSpan w:val="21"/>
            <w:shd w:val="clear" w:color="auto" w:fill="auto"/>
            <w:vAlign w:val="center"/>
          </w:tcPr>
          <w:p w14:paraId="4ACE5FE8" w14:textId="77777777" w:rsidR="006F587A" w:rsidRDefault="006F587A">
            <w:pPr>
              <w:rPr>
                <w:rFonts w:ascii="Times New Roman" w:hAnsi="Times New Roman"/>
                <w:sz w:val="20"/>
                <w:szCs w:val="20"/>
              </w:rPr>
            </w:pPr>
          </w:p>
        </w:tc>
      </w:tr>
      <w:tr w:rsidR="006F587A" w14:paraId="4ACE5FFF" w14:textId="77777777">
        <w:tc>
          <w:tcPr>
            <w:tcW w:w="1750" w:type="pct"/>
            <w:shd w:val="clear" w:color="auto" w:fill="auto"/>
            <w:vAlign w:val="center"/>
          </w:tcPr>
          <w:p w14:paraId="4ACE5FEA" w14:textId="77777777" w:rsidR="006F587A" w:rsidRDefault="006F587A">
            <w:pPr>
              <w:rPr>
                <w:rFonts w:ascii="Times New Roman" w:hAnsi="Times New Roman"/>
                <w:sz w:val="20"/>
                <w:szCs w:val="20"/>
              </w:rPr>
            </w:pPr>
          </w:p>
        </w:tc>
        <w:tc>
          <w:tcPr>
            <w:tcW w:w="50" w:type="pct"/>
            <w:shd w:val="clear" w:color="auto" w:fill="auto"/>
            <w:vAlign w:val="center"/>
          </w:tcPr>
          <w:p w14:paraId="4ACE5FEB" w14:textId="77777777" w:rsidR="006F587A" w:rsidRDefault="006F587A">
            <w:pPr>
              <w:rPr>
                <w:rFonts w:ascii="Times New Roman" w:hAnsi="Times New Roman"/>
                <w:sz w:val="20"/>
                <w:szCs w:val="20"/>
              </w:rPr>
            </w:pPr>
          </w:p>
        </w:tc>
        <w:tc>
          <w:tcPr>
            <w:tcW w:w="50" w:type="pct"/>
            <w:shd w:val="clear" w:color="auto" w:fill="auto"/>
            <w:vAlign w:val="center"/>
          </w:tcPr>
          <w:p w14:paraId="4ACE5FEC" w14:textId="77777777" w:rsidR="006F587A" w:rsidRDefault="006F587A">
            <w:pPr>
              <w:rPr>
                <w:rFonts w:ascii="Times New Roman" w:hAnsi="Times New Roman"/>
                <w:sz w:val="20"/>
                <w:szCs w:val="20"/>
              </w:rPr>
            </w:pPr>
          </w:p>
        </w:tc>
        <w:tc>
          <w:tcPr>
            <w:tcW w:w="500" w:type="pct"/>
            <w:shd w:val="clear" w:color="auto" w:fill="auto"/>
            <w:vAlign w:val="center"/>
          </w:tcPr>
          <w:p w14:paraId="4ACE5FED" w14:textId="77777777" w:rsidR="006F587A" w:rsidRDefault="006F587A">
            <w:pPr>
              <w:rPr>
                <w:rFonts w:ascii="Times New Roman" w:hAnsi="Times New Roman"/>
                <w:sz w:val="20"/>
                <w:szCs w:val="20"/>
              </w:rPr>
            </w:pPr>
          </w:p>
        </w:tc>
        <w:tc>
          <w:tcPr>
            <w:tcW w:w="50" w:type="pct"/>
            <w:shd w:val="clear" w:color="auto" w:fill="auto"/>
            <w:vAlign w:val="center"/>
          </w:tcPr>
          <w:p w14:paraId="4ACE5FEE" w14:textId="77777777" w:rsidR="006F587A" w:rsidRDefault="006F587A">
            <w:pPr>
              <w:rPr>
                <w:rFonts w:ascii="Times New Roman" w:hAnsi="Times New Roman"/>
                <w:sz w:val="20"/>
                <w:szCs w:val="20"/>
              </w:rPr>
            </w:pPr>
          </w:p>
        </w:tc>
        <w:tc>
          <w:tcPr>
            <w:tcW w:w="50" w:type="pct"/>
            <w:shd w:val="clear" w:color="auto" w:fill="auto"/>
            <w:vAlign w:val="center"/>
          </w:tcPr>
          <w:p w14:paraId="4ACE5FEF" w14:textId="77777777" w:rsidR="006F587A" w:rsidRDefault="006F587A">
            <w:pPr>
              <w:rPr>
                <w:rFonts w:ascii="Times New Roman" w:hAnsi="Times New Roman"/>
                <w:sz w:val="20"/>
                <w:szCs w:val="20"/>
              </w:rPr>
            </w:pPr>
          </w:p>
        </w:tc>
        <w:tc>
          <w:tcPr>
            <w:tcW w:w="50" w:type="pct"/>
            <w:shd w:val="clear" w:color="auto" w:fill="auto"/>
            <w:vAlign w:val="center"/>
          </w:tcPr>
          <w:p w14:paraId="4ACE5FF0" w14:textId="77777777" w:rsidR="006F587A" w:rsidRDefault="006F587A">
            <w:pPr>
              <w:rPr>
                <w:rFonts w:ascii="Times New Roman" w:hAnsi="Times New Roman"/>
                <w:sz w:val="20"/>
                <w:szCs w:val="20"/>
              </w:rPr>
            </w:pPr>
          </w:p>
        </w:tc>
        <w:tc>
          <w:tcPr>
            <w:tcW w:w="500" w:type="pct"/>
            <w:shd w:val="clear" w:color="auto" w:fill="auto"/>
            <w:vAlign w:val="center"/>
          </w:tcPr>
          <w:p w14:paraId="4ACE5FF1" w14:textId="77777777" w:rsidR="006F587A" w:rsidRDefault="006F587A">
            <w:pPr>
              <w:rPr>
                <w:rFonts w:ascii="Times New Roman" w:hAnsi="Times New Roman"/>
                <w:sz w:val="20"/>
                <w:szCs w:val="20"/>
              </w:rPr>
            </w:pPr>
          </w:p>
        </w:tc>
        <w:tc>
          <w:tcPr>
            <w:tcW w:w="50" w:type="pct"/>
            <w:shd w:val="clear" w:color="auto" w:fill="auto"/>
            <w:vAlign w:val="center"/>
          </w:tcPr>
          <w:p w14:paraId="4ACE5FF2" w14:textId="77777777" w:rsidR="006F587A" w:rsidRDefault="006F587A">
            <w:pPr>
              <w:rPr>
                <w:rFonts w:ascii="Times New Roman" w:hAnsi="Times New Roman"/>
                <w:sz w:val="20"/>
                <w:szCs w:val="20"/>
              </w:rPr>
            </w:pPr>
          </w:p>
        </w:tc>
        <w:tc>
          <w:tcPr>
            <w:tcW w:w="50" w:type="pct"/>
            <w:shd w:val="clear" w:color="auto" w:fill="auto"/>
            <w:vAlign w:val="center"/>
          </w:tcPr>
          <w:p w14:paraId="4ACE5FF3" w14:textId="77777777" w:rsidR="006F587A" w:rsidRDefault="006F587A">
            <w:pPr>
              <w:rPr>
                <w:rFonts w:ascii="Times New Roman" w:hAnsi="Times New Roman"/>
                <w:sz w:val="20"/>
                <w:szCs w:val="20"/>
              </w:rPr>
            </w:pPr>
          </w:p>
        </w:tc>
        <w:tc>
          <w:tcPr>
            <w:tcW w:w="50" w:type="pct"/>
            <w:shd w:val="clear" w:color="auto" w:fill="auto"/>
            <w:vAlign w:val="center"/>
          </w:tcPr>
          <w:p w14:paraId="4ACE5FF4" w14:textId="77777777" w:rsidR="006F587A" w:rsidRDefault="006F587A">
            <w:pPr>
              <w:rPr>
                <w:rFonts w:ascii="Times New Roman" w:hAnsi="Times New Roman"/>
                <w:sz w:val="20"/>
                <w:szCs w:val="20"/>
              </w:rPr>
            </w:pPr>
          </w:p>
        </w:tc>
        <w:tc>
          <w:tcPr>
            <w:tcW w:w="500" w:type="pct"/>
            <w:shd w:val="clear" w:color="auto" w:fill="auto"/>
            <w:vAlign w:val="center"/>
          </w:tcPr>
          <w:p w14:paraId="4ACE5FF5" w14:textId="77777777" w:rsidR="006F587A" w:rsidRDefault="006F587A">
            <w:pPr>
              <w:rPr>
                <w:rFonts w:ascii="Times New Roman" w:hAnsi="Times New Roman"/>
                <w:sz w:val="20"/>
                <w:szCs w:val="20"/>
              </w:rPr>
            </w:pPr>
          </w:p>
        </w:tc>
        <w:tc>
          <w:tcPr>
            <w:tcW w:w="50" w:type="pct"/>
            <w:shd w:val="clear" w:color="auto" w:fill="auto"/>
            <w:vAlign w:val="center"/>
          </w:tcPr>
          <w:p w14:paraId="4ACE5FF6" w14:textId="77777777" w:rsidR="006F587A" w:rsidRDefault="006F587A">
            <w:pPr>
              <w:rPr>
                <w:rFonts w:ascii="Times New Roman" w:hAnsi="Times New Roman"/>
                <w:sz w:val="20"/>
                <w:szCs w:val="20"/>
              </w:rPr>
            </w:pPr>
          </w:p>
        </w:tc>
        <w:tc>
          <w:tcPr>
            <w:tcW w:w="50" w:type="pct"/>
            <w:shd w:val="clear" w:color="auto" w:fill="auto"/>
            <w:vAlign w:val="center"/>
          </w:tcPr>
          <w:p w14:paraId="4ACE5FF7" w14:textId="77777777" w:rsidR="006F587A" w:rsidRDefault="006F587A">
            <w:pPr>
              <w:rPr>
                <w:rFonts w:ascii="Times New Roman" w:hAnsi="Times New Roman"/>
                <w:sz w:val="20"/>
                <w:szCs w:val="20"/>
              </w:rPr>
            </w:pPr>
          </w:p>
        </w:tc>
        <w:tc>
          <w:tcPr>
            <w:tcW w:w="50" w:type="pct"/>
            <w:shd w:val="clear" w:color="auto" w:fill="auto"/>
            <w:vAlign w:val="center"/>
          </w:tcPr>
          <w:p w14:paraId="4ACE5FF8" w14:textId="77777777" w:rsidR="006F587A" w:rsidRDefault="006F587A">
            <w:pPr>
              <w:rPr>
                <w:rFonts w:ascii="Times New Roman" w:hAnsi="Times New Roman"/>
                <w:sz w:val="20"/>
                <w:szCs w:val="20"/>
              </w:rPr>
            </w:pPr>
          </w:p>
        </w:tc>
        <w:tc>
          <w:tcPr>
            <w:tcW w:w="500" w:type="pct"/>
            <w:shd w:val="clear" w:color="auto" w:fill="auto"/>
            <w:vAlign w:val="center"/>
          </w:tcPr>
          <w:p w14:paraId="4ACE5FF9" w14:textId="77777777" w:rsidR="006F587A" w:rsidRDefault="006F587A">
            <w:pPr>
              <w:rPr>
                <w:rFonts w:ascii="Times New Roman" w:hAnsi="Times New Roman"/>
                <w:sz w:val="20"/>
                <w:szCs w:val="20"/>
              </w:rPr>
            </w:pPr>
          </w:p>
        </w:tc>
        <w:tc>
          <w:tcPr>
            <w:tcW w:w="50" w:type="pct"/>
            <w:shd w:val="clear" w:color="auto" w:fill="auto"/>
            <w:vAlign w:val="center"/>
          </w:tcPr>
          <w:p w14:paraId="4ACE5FFA" w14:textId="77777777" w:rsidR="006F587A" w:rsidRDefault="006F587A">
            <w:pPr>
              <w:rPr>
                <w:rFonts w:ascii="Times New Roman" w:hAnsi="Times New Roman"/>
                <w:sz w:val="20"/>
                <w:szCs w:val="20"/>
              </w:rPr>
            </w:pPr>
          </w:p>
        </w:tc>
        <w:tc>
          <w:tcPr>
            <w:tcW w:w="50" w:type="pct"/>
            <w:shd w:val="clear" w:color="auto" w:fill="auto"/>
            <w:vAlign w:val="center"/>
          </w:tcPr>
          <w:p w14:paraId="4ACE5FFB" w14:textId="77777777" w:rsidR="006F587A" w:rsidRDefault="006F587A">
            <w:pPr>
              <w:rPr>
                <w:rFonts w:ascii="Times New Roman" w:hAnsi="Times New Roman"/>
                <w:sz w:val="20"/>
                <w:szCs w:val="20"/>
              </w:rPr>
            </w:pPr>
          </w:p>
        </w:tc>
        <w:tc>
          <w:tcPr>
            <w:tcW w:w="50" w:type="pct"/>
            <w:shd w:val="clear" w:color="auto" w:fill="auto"/>
            <w:vAlign w:val="center"/>
          </w:tcPr>
          <w:p w14:paraId="4ACE5FFC" w14:textId="77777777" w:rsidR="006F587A" w:rsidRDefault="006F587A">
            <w:pPr>
              <w:rPr>
                <w:rFonts w:ascii="Times New Roman" w:hAnsi="Times New Roman"/>
                <w:sz w:val="20"/>
                <w:szCs w:val="20"/>
              </w:rPr>
            </w:pPr>
          </w:p>
        </w:tc>
        <w:tc>
          <w:tcPr>
            <w:tcW w:w="500" w:type="pct"/>
            <w:shd w:val="clear" w:color="auto" w:fill="auto"/>
            <w:vAlign w:val="center"/>
          </w:tcPr>
          <w:p w14:paraId="4ACE5FFD" w14:textId="77777777" w:rsidR="006F587A" w:rsidRDefault="006F587A">
            <w:pPr>
              <w:rPr>
                <w:rFonts w:ascii="Times New Roman" w:hAnsi="Times New Roman"/>
                <w:sz w:val="20"/>
                <w:szCs w:val="20"/>
              </w:rPr>
            </w:pPr>
          </w:p>
        </w:tc>
        <w:tc>
          <w:tcPr>
            <w:tcW w:w="50" w:type="pct"/>
            <w:shd w:val="clear" w:color="auto" w:fill="auto"/>
            <w:vAlign w:val="center"/>
          </w:tcPr>
          <w:p w14:paraId="4ACE5FFE" w14:textId="77777777" w:rsidR="006F587A" w:rsidRDefault="006F587A">
            <w:pPr>
              <w:rPr>
                <w:rFonts w:ascii="Times New Roman" w:hAnsi="Times New Roman"/>
                <w:sz w:val="20"/>
                <w:szCs w:val="20"/>
              </w:rPr>
            </w:pPr>
          </w:p>
        </w:tc>
      </w:tr>
      <w:tr w:rsidR="006F587A" w14:paraId="4ACE6005" w14:textId="77777777">
        <w:tc>
          <w:tcPr>
            <w:tcW w:w="0" w:type="auto"/>
            <w:shd w:val="clear" w:color="auto" w:fill="auto"/>
            <w:tcMar>
              <w:top w:w="40" w:type="dxa"/>
              <w:left w:w="40" w:type="dxa"/>
              <w:bottom w:w="40" w:type="dxa"/>
              <w:right w:w="40" w:type="dxa"/>
            </w:tcMar>
            <w:vAlign w:val="bottom"/>
          </w:tcPr>
          <w:p w14:paraId="4ACE600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00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shd w:val="clear" w:color="auto" w:fill="auto"/>
            <w:tcMar>
              <w:top w:w="40" w:type="dxa"/>
              <w:left w:w="40" w:type="dxa"/>
              <w:bottom w:w="40" w:type="dxa"/>
            </w:tcMar>
            <w:vAlign w:val="bottom"/>
          </w:tcPr>
          <w:p w14:paraId="4ACE6002"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December 28, 2019</w:t>
            </w:r>
          </w:p>
        </w:tc>
        <w:tc>
          <w:tcPr>
            <w:tcW w:w="0" w:type="auto"/>
            <w:shd w:val="clear" w:color="auto" w:fill="auto"/>
            <w:tcMar>
              <w:top w:w="40" w:type="dxa"/>
              <w:left w:w="40" w:type="dxa"/>
              <w:bottom w:w="40" w:type="dxa"/>
              <w:right w:w="40" w:type="dxa"/>
            </w:tcMar>
            <w:vAlign w:val="bottom"/>
          </w:tcPr>
          <w:p w14:paraId="4ACE600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6004"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29, </w:t>
            </w:r>
            <w:r>
              <w:rPr>
                <w:rFonts w:ascii="Arial" w:eastAsia="宋体" w:hAnsi="Arial" w:cs="Arial"/>
                <w:b/>
                <w:bCs/>
                <w:color w:val="333333"/>
                <w:sz w:val="18"/>
                <w:szCs w:val="18"/>
              </w:rPr>
              <w:br/>
              <w:t>2018</w:t>
            </w:r>
          </w:p>
        </w:tc>
      </w:tr>
      <w:tr w:rsidR="006F587A" w14:paraId="4ACE600D" w14:textId="77777777">
        <w:tc>
          <w:tcPr>
            <w:tcW w:w="0" w:type="auto"/>
            <w:shd w:val="clear" w:color="auto" w:fill="auto"/>
            <w:tcMar>
              <w:top w:w="40" w:type="dxa"/>
              <w:left w:w="40" w:type="dxa"/>
              <w:bottom w:w="40" w:type="dxa"/>
              <w:right w:w="40" w:type="dxa"/>
            </w:tcMar>
            <w:vAlign w:val="bottom"/>
          </w:tcPr>
          <w:p w14:paraId="4ACE600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00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top w:val="single" w:sz="8" w:space="0" w:color="0071C5"/>
              <w:bottom w:val="single" w:sz="8" w:space="0" w:color="0071C5"/>
            </w:tcBorders>
            <w:shd w:val="clear" w:color="auto" w:fill="auto"/>
            <w:tcMar>
              <w:top w:w="40" w:type="dxa"/>
              <w:left w:w="40" w:type="dxa"/>
              <w:bottom w:w="40" w:type="dxa"/>
            </w:tcMar>
            <w:vAlign w:val="bottom"/>
          </w:tcPr>
          <w:p w14:paraId="4ACE6008"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Fair Value Measured at Reporting Date Using</w:t>
            </w:r>
          </w:p>
        </w:tc>
        <w:tc>
          <w:tcPr>
            <w:tcW w:w="0" w:type="auto"/>
            <w:shd w:val="clear" w:color="auto" w:fill="auto"/>
            <w:tcMar>
              <w:top w:w="40" w:type="dxa"/>
              <w:left w:w="40" w:type="dxa"/>
              <w:bottom w:w="40" w:type="dxa"/>
              <w:right w:w="40" w:type="dxa"/>
            </w:tcMar>
            <w:vAlign w:val="bottom"/>
          </w:tcPr>
          <w:p w14:paraId="4ACE600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600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00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600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019"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600E"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4ACE600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6010"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Level 1</w:t>
            </w:r>
          </w:p>
        </w:tc>
        <w:tc>
          <w:tcPr>
            <w:tcW w:w="0" w:type="auto"/>
            <w:shd w:val="clear" w:color="auto" w:fill="auto"/>
            <w:tcMar>
              <w:top w:w="40" w:type="dxa"/>
              <w:left w:w="40" w:type="dxa"/>
              <w:bottom w:w="40" w:type="dxa"/>
              <w:right w:w="40" w:type="dxa"/>
            </w:tcMar>
            <w:vAlign w:val="bottom"/>
          </w:tcPr>
          <w:p w14:paraId="4ACE601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6012"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Level 2</w:t>
            </w:r>
          </w:p>
        </w:tc>
        <w:tc>
          <w:tcPr>
            <w:tcW w:w="0" w:type="auto"/>
            <w:shd w:val="clear" w:color="auto" w:fill="auto"/>
            <w:tcMar>
              <w:top w:w="40" w:type="dxa"/>
              <w:left w:w="40" w:type="dxa"/>
              <w:bottom w:w="40" w:type="dxa"/>
              <w:right w:w="40" w:type="dxa"/>
            </w:tcMar>
            <w:vAlign w:val="bottom"/>
          </w:tcPr>
          <w:p w14:paraId="4ACE601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6014"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Level 3</w:t>
            </w:r>
          </w:p>
        </w:tc>
        <w:tc>
          <w:tcPr>
            <w:tcW w:w="0" w:type="auto"/>
            <w:shd w:val="clear" w:color="auto" w:fill="auto"/>
            <w:tcMar>
              <w:top w:w="40" w:type="dxa"/>
              <w:left w:w="40" w:type="dxa"/>
              <w:bottom w:w="40" w:type="dxa"/>
              <w:right w:w="40" w:type="dxa"/>
            </w:tcMar>
            <w:vAlign w:val="bottom"/>
          </w:tcPr>
          <w:p w14:paraId="4ACE601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6016"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Total</w:t>
            </w:r>
          </w:p>
        </w:tc>
        <w:tc>
          <w:tcPr>
            <w:tcW w:w="0" w:type="auto"/>
            <w:shd w:val="clear" w:color="auto" w:fill="auto"/>
            <w:tcMar>
              <w:top w:w="40" w:type="dxa"/>
              <w:left w:w="40" w:type="dxa"/>
              <w:bottom w:w="40" w:type="dxa"/>
              <w:right w:w="40" w:type="dxa"/>
            </w:tcMar>
            <w:vAlign w:val="bottom"/>
          </w:tcPr>
          <w:p w14:paraId="4ACE601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6018"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Total</w:t>
            </w:r>
          </w:p>
        </w:tc>
      </w:tr>
      <w:tr w:rsidR="006F587A" w14:paraId="4ACE602F" w14:textId="77777777">
        <w:tc>
          <w:tcPr>
            <w:tcW w:w="0" w:type="auto"/>
            <w:shd w:val="clear" w:color="auto" w:fill="auto"/>
            <w:tcMar>
              <w:top w:w="40" w:type="dxa"/>
              <w:left w:w="40" w:type="dxa"/>
              <w:bottom w:w="40" w:type="dxa"/>
              <w:right w:w="40" w:type="dxa"/>
            </w:tcMar>
            <w:vAlign w:val="bottom"/>
          </w:tcPr>
          <w:p w14:paraId="4ACE601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Equity securities</w:t>
            </w:r>
          </w:p>
        </w:tc>
        <w:tc>
          <w:tcPr>
            <w:tcW w:w="0" w:type="auto"/>
            <w:shd w:val="clear" w:color="auto" w:fill="auto"/>
            <w:tcMar>
              <w:top w:w="40" w:type="dxa"/>
              <w:left w:w="40" w:type="dxa"/>
              <w:bottom w:w="40" w:type="dxa"/>
              <w:right w:w="40" w:type="dxa"/>
            </w:tcMar>
            <w:vAlign w:val="bottom"/>
          </w:tcPr>
          <w:p w14:paraId="4ACE601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01C"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601D"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601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01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020"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6021"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278</w:t>
            </w:r>
          </w:p>
        </w:tc>
        <w:tc>
          <w:tcPr>
            <w:tcW w:w="0" w:type="auto"/>
            <w:shd w:val="clear" w:color="auto" w:fill="auto"/>
            <w:vAlign w:val="bottom"/>
          </w:tcPr>
          <w:p w14:paraId="4ACE602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02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024"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6025"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602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02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028"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6029"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278</w:t>
            </w:r>
          </w:p>
        </w:tc>
        <w:tc>
          <w:tcPr>
            <w:tcW w:w="0" w:type="auto"/>
            <w:shd w:val="clear" w:color="auto" w:fill="auto"/>
            <w:vAlign w:val="bottom"/>
          </w:tcPr>
          <w:p w14:paraId="4ACE602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02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02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602D"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261</w:t>
            </w:r>
          </w:p>
        </w:tc>
        <w:tc>
          <w:tcPr>
            <w:tcW w:w="0" w:type="auto"/>
            <w:shd w:val="clear" w:color="auto" w:fill="auto"/>
            <w:vAlign w:val="bottom"/>
          </w:tcPr>
          <w:p w14:paraId="4ACE602E" w14:textId="77777777" w:rsidR="006F587A" w:rsidRDefault="006F587A">
            <w:pPr>
              <w:textAlignment w:val="bottom"/>
              <w:rPr>
                <w:rFonts w:ascii="Times New Roman" w:hAnsi="Times New Roman"/>
                <w:sz w:val="20"/>
                <w:szCs w:val="20"/>
              </w:rPr>
            </w:pPr>
          </w:p>
        </w:tc>
      </w:tr>
      <w:tr w:rsidR="006F587A" w14:paraId="4ACE6040" w14:textId="77777777">
        <w:tc>
          <w:tcPr>
            <w:tcW w:w="0" w:type="auto"/>
            <w:shd w:val="clear" w:color="auto" w:fill="auto"/>
            <w:tcMar>
              <w:top w:w="40" w:type="dxa"/>
              <w:left w:w="40" w:type="dxa"/>
              <w:bottom w:w="40" w:type="dxa"/>
              <w:right w:w="40" w:type="dxa"/>
            </w:tcMar>
            <w:vAlign w:val="bottom"/>
          </w:tcPr>
          <w:p w14:paraId="4ACE603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Fixed income</w:t>
            </w:r>
          </w:p>
        </w:tc>
        <w:tc>
          <w:tcPr>
            <w:tcW w:w="0" w:type="auto"/>
            <w:shd w:val="clear" w:color="auto" w:fill="auto"/>
            <w:tcMar>
              <w:top w:w="40" w:type="dxa"/>
              <w:left w:w="40" w:type="dxa"/>
              <w:bottom w:w="40" w:type="dxa"/>
              <w:right w:w="40" w:type="dxa"/>
            </w:tcMar>
            <w:vAlign w:val="bottom"/>
          </w:tcPr>
          <w:p w14:paraId="4ACE603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6032"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603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03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6035"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99</w:t>
            </w:r>
          </w:p>
        </w:tc>
        <w:tc>
          <w:tcPr>
            <w:tcW w:w="0" w:type="auto"/>
            <w:shd w:val="clear" w:color="auto" w:fill="auto"/>
            <w:vAlign w:val="bottom"/>
          </w:tcPr>
          <w:p w14:paraId="4ACE603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03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6038"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20</w:t>
            </w:r>
          </w:p>
        </w:tc>
        <w:tc>
          <w:tcPr>
            <w:tcW w:w="0" w:type="auto"/>
            <w:shd w:val="clear" w:color="auto" w:fill="auto"/>
            <w:vAlign w:val="bottom"/>
          </w:tcPr>
          <w:p w14:paraId="4ACE603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03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603B"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119</w:t>
            </w:r>
          </w:p>
        </w:tc>
        <w:tc>
          <w:tcPr>
            <w:tcW w:w="0" w:type="auto"/>
            <w:shd w:val="clear" w:color="auto" w:fill="auto"/>
            <w:vAlign w:val="bottom"/>
          </w:tcPr>
          <w:p w14:paraId="4ACE603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03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603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111</w:t>
            </w:r>
          </w:p>
        </w:tc>
        <w:tc>
          <w:tcPr>
            <w:tcW w:w="0" w:type="auto"/>
            <w:shd w:val="clear" w:color="auto" w:fill="auto"/>
            <w:vAlign w:val="bottom"/>
          </w:tcPr>
          <w:p w14:paraId="4ACE603F" w14:textId="77777777" w:rsidR="006F587A" w:rsidRDefault="006F587A">
            <w:pPr>
              <w:textAlignment w:val="bottom"/>
              <w:rPr>
                <w:rFonts w:ascii="Times New Roman" w:hAnsi="Times New Roman"/>
                <w:sz w:val="20"/>
                <w:szCs w:val="20"/>
              </w:rPr>
            </w:pPr>
          </w:p>
        </w:tc>
      </w:tr>
      <w:tr w:rsidR="006F587A" w14:paraId="4ACE6056" w14:textId="77777777">
        <w:tc>
          <w:tcPr>
            <w:tcW w:w="0" w:type="auto"/>
            <w:shd w:val="clear" w:color="auto" w:fill="auto"/>
            <w:tcMar>
              <w:top w:w="40" w:type="dxa"/>
              <w:left w:w="40" w:type="dxa"/>
              <w:bottom w:w="40" w:type="dxa"/>
              <w:right w:w="40" w:type="dxa"/>
            </w:tcMar>
            <w:vAlign w:val="bottom"/>
          </w:tcPr>
          <w:p w14:paraId="4ACE6041"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Assets measured by fair value hierarchy</w:t>
            </w:r>
          </w:p>
        </w:tc>
        <w:tc>
          <w:tcPr>
            <w:tcW w:w="0" w:type="auto"/>
            <w:shd w:val="clear" w:color="auto" w:fill="auto"/>
            <w:tcMar>
              <w:top w:w="40" w:type="dxa"/>
              <w:left w:w="40" w:type="dxa"/>
              <w:bottom w:w="40" w:type="dxa"/>
              <w:right w:w="40" w:type="dxa"/>
            </w:tcMar>
            <w:vAlign w:val="bottom"/>
          </w:tcPr>
          <w:p w14:paraId="4ACE604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tcBorders>
            <w:shd w:val="clear" w:color="auto" w:fill="auto"/>
            <w:tcMar>
              <w:top w:w="40" w:type="dxa"/>
              <w:left w:w="40" w:type="dxa"/>
              <w:bottom w:w="40" w:type="dxa"/>
            </w:tcMar>
            <w:vAlign w:val="bottom"/>
          </w:tcPr>
          <w:p w14:paraId="4ACE6043"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tcBorders>
            <w:shd w:val="clear" w:color="auto" w:fill="auto"/>
            <w:tcMar>
              <w:top w:w="40" w:type="dxa"/>
              <w:bottom w:w="40" w:type="dxa"/>
            </w:tcMar>
            <w:vAlign w:val="bottom"/>
          </w:tcPr>
          <w:p w14:paraId="4ACE6044"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tcBorders>
            <w:shd w:val="clear" w:color="auto" w:fill="auto"/>
            <w:vAlign w:val="bottom"/>
          </w:tcPr>
          <w:p w14:paraId="4ACE604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04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tcBorders>
            <w:shd w:val="clear" w:color="auto" w:fill="auto"/>
            <w:tcMar>
              <w:top w:w="40" w:type="dxa"/>
              <w:left w:w="40" w:type="dxa"/>
              <w:bottom w:w="40" w:type="dxa"/>
            </w:tcMar>
            <w:vAlign w:val="bottom"/>
          </w:tcPr>
          <w:p w14:paraId="4ACE6047"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tcBorders>
            <w:shd w:val="clear" w:color="auto" w:fill="auto"/>
            <w:tcMar>
              <w:top w:w="40" w:type="dxa"/>
              <w:bottom w:w="40" w:type="dxa"/>
            </w:tcMar>
            <w:vAlign w:val="bottom"/>
          </w:tcPr>
          <w:p w14:paraId="4ACE6048"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377</w:t>
            </w:r>
          </w:p>
        </w:tc>
        <w:tc>
          <w:tcPr>
            <w:tcW w:w="0" w:type="auto"/>
            <w:tcBorders>
              <w:top w:val="single" w:sz="8" w:space="0" w:color="333333"/>
            </w:tcBorders>
            <w:shd w:val="clear" w:color="auto" w:fill="auto"/>
            <w:vAlign w:val="bottom"/>
          </w:tcPr>
          <w:p w14:paraId="4ACE604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04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tcBorders>
            <w:shd w:val="clear" w:color="auto" w:fill="auto"/>
            <w:tcMar>
              <w:top w:w="40" w:type="dxa"/>
              <w:left w:w="40" w:type="dxa"/>
              <w:bottom w:w="40" w:type="dxa"/>
            </w:tcMar>
            <w:vAlign w:val="bottom"/>
          </w:tcPr>
          <w:p w14:paraId="4ACE604B"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tcBorders>
            <w:shd w:val="clear" w:color="auto" w:fill="auto"/>
            <w:tcMar>
              <w:top w:w="40" w:type="dxa"/>
              <w:bottom w:w="40" w:type="dxa"/>
            </w:tcMar>
            <w:vAlign w:val="bottom"/>
          </w:tcPr>
          <w:p w14:paraId="4ACE604C"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20</w:t>
            </w:r>
          </w:p>
        </w:tc>
        <w:tc>
          <w:tcPr>
            <w:tcW w:w="0" w:type="auto"/>
            <w:tcBorders>
              <w:top w:val="single" w:sz="8" w:space="0" w:color="333333"/>
            </w:tcBorders>
            <w:shd w:val="clear" w:color="auto" w:fill="auto"/>
            <w:vAlign w:val="bottom"/>
          </w:tcPr>
          <w:p w14:paraId="4ACE604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04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tcBorders>
            <w:shd w:val="clear" w:color="auto" w:fill="auto"/>
            <w:tcMar>
              <w:top w:w="40" w:type="dxa"/>
              <w:left w:w="40" w:type="dxa"/>
              <w:bottom w:w="40" w:type="dxa"/>
            </w:tcMar>
            <w:vAlign w:val="bottom"/>
          </w:tcPr>
          <w:p w14:paraId="4ACE604F"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tcBorders>
            <w:shd w:val="clear" w:color="auto" w:fill="auto"/>
            <w:tcMar>
              <w:top w:w="40" w:type="dxa"/>
              <w:bottom w:w="40" w:type="dxa"/>
            </w:tcMar>
            <w:vAlign w:val="bottom"/>
          </w:tcPr>
          <w:p w14:paraId="4ACE6050"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397</w:t>
            </w:r>
          </w:p>
        </w:tc>
        <w:tc>
          <w:tcPr>
            <w:tcW w:w="0" w:type="auto"/>
            <w:tcBorders>
              <w:top w:val="single" w:sz="8" w:space="0" w:color="333333"/>
            </w:tcBorders>
            <w:shd w:val="clear" w:color="auto" w:fill="auto"/>
            <w:vAlign w:val="bottom"/>
          </w:tcPr>
          <w:p w14:paraId="4ACE605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05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tcBorders>
            <w:shd w:val="clear" w:color="auto" w:fill="auto"/>
            <w:tcMar>
              <w:top w:w="40" w:type="dxa"/>
              <w:left w:w="40" w:type="dxa"/>
              <w:bottom w:w="40" w:type="dxa"/>
            </w:tcMar>
            <w:vAlign w:val="bottom"/>
          </w:tcPr>
          <w:p w14:paraId="4ACE6053"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tcMar>
            <w:vAlign w:val="bottom"/>
          </w:tcPr>
          <w:p w14:paraId="4ACE6054"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372</w:t>
            </w:r>
          </w:p>
        </w:tc>
        <w:tc>
          <w:tcPr>
            <w:tcW w:w="0" w:type="auto"/>
            <w:tcBorders>
              <w:top w:val="single" w:sz="8" w:space="0" w:color="333333"/>
            </w:tcBorders>
            <w:shd w:val="clear" w:color="auto" w:fill="auto"/>
            <w:vAlign w:val="bottom"/>
          </w:tcPr>
          <w:p w14:paraId="4ACE6055" w14:textId="77777777" w:rsidR="006F587A" w:rsidRDefault="006F587A">
            <w:pPr>
              <w:textAlignment w:val="bottom"/>
              <w:rPr>
                <w:rFonts w:ascii="Times New Roman" w:hAnsi="Times New Roman"/>
                <w:sz w:val="20"/>
                <w:szCs w:val="20"/>
              </w:rPr>
            </w:pPr>
          </w:p>
        </w:tc>
      </w:tr>
      <w:tr w:rsidR="006F587A" w14:paraId="4ACE6064" w14:textId="77777777">
        <w:tc>
          <w:tcPr>
            <w:tcW w:w="0" w:type="auto"/>
            <w:shd w:val="clear" w:color="auto" w:fill="auto"/>
            <w:tcMar>
              <w:top w:w="40" w:type="dxa"/>
              <w:left w:w="40" w:type="dxa"/>
              <w:bottom w:w="40" w:type="dxa"/>
              <w:right w:w="40" w:type="dxa"/>
            </w:tcMar>
            <w:vAlign w:val="bottom"/>
          </w:tcPr>
          <w:p w14:paraId="4ACE605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Assets measured at net asset value</w:t>
            </w:r>
          </w:p>
        </w:tc>
        <w:tc>
          <w:tcPr>
            <w:tcW w:w="0" w:type="auto"/>
            <w:shd w:val="clear" w:color="auto" w:fill="auto"/>
            <w:tcMar>
              <w:top w:w="40" w:type="dxa"/>
              <w:left w:w="40" w:type="dxa"/>
              <w:bottom w:w="40" w:type="dxa"/>
              <w:right w:w="40" w:type="dxa"/>
            </w:tcMar>
            <w:vAlign w:val="bottom"/>
          </w:tcPr>
          <w:p w14:paraId="4ACE605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605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05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605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05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605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05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605F"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2,236</w:t>
            </w:r>
          </w:p>
        </w:tc>
        <w:tc>
          <w:tcPr>
            <w:tcW w:w="0" w:type="auto"/>
            <w:shd w:val="clear" w:color="auto" w:fill="auto"/>
            <w:vAlign w:val="bottom"/>
          </w:tcPr>
          <w:p w14:paraId="4ACE606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06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606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2,138</w:t>
            </w:r>
          </w:p>
        </w:tc>
        <w:tc>
          <w:tcPr>
            <w:tcW w:w="0" w:type="auto"/>
            <w:shd w:val="clear" w:color="auto" w:fill="auto"/>
            <w:vAlign w:val="bottom"/>
          </w:tcPr>
          <w:p w14:paraId="4ACE6063" w14:textId="77777777" w:rsidR="006F587A" w:rsidRDefault="006F587A">
            <w:pPr>
              <w:textAlignment w:val="bottom"/>
              <w:rPr>
                <w:rFonts w:ascii="Times New Roman" w:hAnsi="Times New Roman"/>
                <w:sz w:val="20"/>
                <w:szCs w:val="20"/>
              </w:rPr>
            </w:pPr>
          </w:p>
        </w:tc>
      </w:tr>
      <w:tr w:rsidR="006F587A" w14:paraId="4ACE6072" w14:textId="77777777">
        <w:tc>
          <w:tcPr>
            <w:tcW w:w="0" w:type="auto"/>
            <w:shd w:val="clear" w:color="auto" w:fill="auto"/>
            <w:tcMar>
              <w:top w:w="40" w:type="dxa"/>
              <w:left w:w="40" w:type="dxa"/>
              <w:bottom w:w="40" w:type="dxa"/>
              <w:right w:w="40" w:type="dxa"/>
            </w:tcMar>
            <w:vAlign w:val="bottom"/>
          </w:tcPr>
          <w:p w14:paraId="4ACE606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Cash and cash equivalents</w:t>
            </w:r>
          </w:p>
        </w:tc>
        <w:tc>
          <w:tcPr>
            <w:tcW w:w="0" w:type="auto"/>
            <w:shd w:val="clear" w:color="auto" w:fill="auto"/>
            <w:tcMar>
              <w:top w:w="40" w:type="dxa"/>
              <w:left w:w="40" w:type="dxa"/>
              <w:bottom w:w="40" w:type="dxa"/>
              <w:right w:w="40" w:type="dxa"/>
            </w:tcMar>
            <w:vAlign w:val="bottom"/>
          </w:tcPr>
          <w:p w14:paraId="4ACE606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606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06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606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06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606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06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606D"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21</w:t>
            </w:r>
          </w:p>
        </w:tc>
        <w:tc>
          <w:tcPr>
            <w:tcW w:w="0" w:type="auto"/>
            <w:shd w:val="clear" w:color="auto" w:fill="auto"/>
            <w:vAlign w:val="bottom"/>
          </w:tcPr>
          <w:p w14:paraId="4ACE606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06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6070"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41</w:t>
            </w:r>
          </w:p>
        </w:tc>
        <w:tc>
          <w:tcPr>
            <w:tcW w:w="0" w:type="auto"/>
            <w:shd w:val="clear" w:color="auto" w:fill="auto"/>
            <w:vAlign w:val="bottom"/>
          </w:tcPr>
          <w:p w14:paraId="4ACE6071" w14:textId="77777777" w:rsidR="006F587A" w:rsidRDefault="006F587A">
            <w:pPr>
              <w:textAlignment w:val="bottom"/>
              <w:rPr>
                <w:rFonts w:ascii="Times New Roman" w:hAnsi="Times New Roman"/>
                <w:sz w:val="20"/>
                <w:szCs w:val="20"/>
              </w:rPr>
            </w:pPr>
          </w:p>
        </w:tc>
      </w:tr>
      <w:tr w:rsidR="006F587A" w14:paraId="4ACE6082" w14:textId="77777777">
        <w:tc>
          <w:tcPr>
            <w:tcW w:w="0" w:type="auto"/>
            <w:shd w:val="clear" w:color="auto" w:fill="auto"/>
            <w:tcMar>
              <w:top w:w="40" w:type="dxa"/>
              <w:left w:w="40" w:type="dxa"/>
              <w:bottom w:w="40" w:type="dxa"/>
              <w:right w:w="40" w:type="dxa"/>
            </w:tcMar>
            <w:vAlign w:val="bottom"/>
          </w:tcPr>
          <w:p w14:paraId="4ACE6073"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Total pension plan assets at fair value</w:t>
            </w:r>
          </w:p>
        </w:tc>
        <w:tc>
          <w:tcPr>
            <w:tcW w:w="0" w:type="auto"/>
            <w:shd w:val="clear" w:color="auto" w:fill="auto"/>
            <w:tcMar>
              <w:top w:w="40" w:type="dxa"/>
              <w:left w:w="40" w:type="dxa"/>
              <w:bottom w:w="40" w:type="dxa"/>
              <w:right w:w="40" w:type="dxa"/>
            </w:tcMar>
            <w:vAlign w:val="bottom"/>
          </w:tcPr>
          <w:p w14:paraId="4ACE607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607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07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607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07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607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07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607B"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607C"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2,654</w:t>
            </w:r>
          </w:p>
        </w:tc>
        <w:tc>
          <w:tcPr>
            <w:tcW w:w="0" w:type="auto"/>
            <w:tcBorders>
              <w:top w:val="single" w:sz="8" w:space="0" w:color="333333"/>
              <w:bottom w:val="double" w:sz="6" w:space="0" w:color="333333"/>
            </w:tcBorders>
            <w:shd w:val="clear" w:color="auto" w:fill="auto"/>
            <w:vAlign w:val="bottom"/>
          </w:tcPr>
          <w:p w14:paraId="4ACE607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07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4ACE607F"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4ACE6080"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2,551</w:t>
            </w:r>
          </w:p>
        </w:tc>
        <w:tc>
          <w:tcPr>
            <w:tcW w:w="0" w:type="auto"/>
            <w:tcBorders>
              <w:top w:val="single" w:sz="8" w:space="0" w:color="333333"/>
              <w:bottom w:val="double" w:sz="6" w:space="0" w:color="333333"/>
            </w:tcBorders>
            <w:shd w:val="clear" w:color="auto" w:fill="auto"/>
            <w:vAlign w:val="bottom"/>
          </w:tcPr>
          <w:p w14:paraId="4ACE6081" w14:textId="77777777" w:rsidR="006F587A" w:rsidRDefault="006F587A">
            <w:pPr>
              <w:textAlignment w:val="bottom"/>
              <w:rPr>
                <w:rFonts w:ascii="Times New Roman" w:hAnsi="Times New Roman"/>
                <w:sz w:val="20"/>
                <w:szCs w:val="20"/>
              </w:rPr>
            </w:pPr>
          </w:p>
        </w:tc>
      </w:tr>
    </w:tbl>
    <w:p w14:paraId="4ACE6083" w14:textId="77777777" w:rsidR="006F587A" w:rsidRDefault="006F587A"/>
    <w:p w14:paraId="4ACE6084" w14:textId="77777777" w:rsidR="006F587A" w:rsidRDefault="007B2B61">
      <w:pPr>
        <w:spacing w:line="288" w:lineRule="auto"/>
        <w:rPr>
          <w:rFonts w:ascii="Times New Roman" w:hAnsi="Times New Roman"/>
          <w:sz w:val="20"/>
          <w:szCs w:val="20"/>
        </w:rPr>
      </w:pPr>
      <w:r>
        <w:rPr>
          <w:rFonts w:ascii="Arial" w:eastAsia="宋体" w:hAnsi="Arial" w:cs="Arial"/>
          <w:b/>
          <w:bCs/>
          <w:color w:val="333333"/>
          <w:sz w:val="20"/>
          <w:szCs w:val="20"/>
        </w:rPr>
        <w:t xml:space="preserve">U.S. Plan </w:t>
      </w:r>
      <w:r>
        <w:rPr>
          <w:rFonts w:ascii="Arial" w:eastAsia="宋体" w:hAnsi="Arial" w:cs="Arial"/>
          <w:b/>
          <w:bCs/>
          <w:color w:val="333333"/>
          <w:sz w:val="20"/>
          <w:szCs w:val="20"/>
        </w:rPr>
        <w:t>Assets</w:t>
      </w:r>
    </w:p>
    <w:p w14:paraId="4ACE6085"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lastRenderedPageBreak/>
        <w:t>The investment strategy for U.S. Pension Plan assets is to manage the funded status volatility, taking into consideration the investment horizon and expected volatility to help ensure that sufficient assets are available to pay pension benefits as t</w:t>
      </w:r>
      <w:r>
        <w:rPr>
          <w:rFonts w:ascii="Arial" w:eastAsia="宋体" w:hAnsi="Arial" w:cs="Arial"/>
          <w:color w:val="333333"/>
          <w:sz w:val="18"/>
          <w:szCs w:val="18"/>
        </w:rPr>
        <w:t>hey come due. The allocation to each asset class will fluctuate with market conditions, such as volatility and liquidity concerns, and will typically be rebalanced when outside the target ranges, which are approximately 90% fixed income and 10% equity inve</w:t>
      </w:r>
      <w:r>
        <w:rPr>
          <w:rFonts w:ascii="Arial" w:eastAsia="宋体" w:hAnsi="Arial" w:cs="Arial"/>
          <w:color w:val="333333"/>
          <w:sz w:val="18"/>
          <w:szCs w:val="18"/>
        </w:rPr>
        <w:t xml:space="preserve">stments. During 2019, the U.S. Pension Plan assets were invested in collective investment trust funds, which are measured at net asset value. </w:t>
      </w:r>
    </w:p>
    <w:p w14:paraId="4ACE6086" w14:textId="77777777" w:rsidR="006F587A" w:rsidRDefault="007B2B61">
      <w:pPr>
        <w:spacing w:line="288" w:lineRule="auto"/>
        <w:rPr>
          <w:rFonts w:ascii="Times New Roman" w:hAnsi="Times New Roman"/>
          <w:sz w:val="20"/>
          <w:szCs w:val="20"/>
        </w:rPr>
      </w:pPr>
      <w:r>
        <w:rPr>
          <w:rFonts w:ascii="Arial" w:eastAsia="宋体" w:hAnsi="Arial" w:cs="Arial"/>
          <w:b/>
          <w:bCs/>
          <w:color w:val="333333"/>
          <w:sz w:val="20"/>
          <w:szCs w:val="20"/>
        </w:rPr>
        <w:t>Non-U.S. Plan Assets</w:t>
      </w:r>
    </w:p>
    <w:p w14:paraId="4ACE6087"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The investments of the non-U.S. plans are managed by insurance companies, pension </w:t>
      </w:r>
      <w:r>
        <w:rPr>
          <w:rFonts w:ascii="Arial" w:eastAsia="宋体" w:hAnsi="Arial" w:cs="Arial"/>
          <w:color w:val="333333"/>
          <w:sz w:val="18"/>
          <w:szCs w:val="18"/>
        </w:rPr>
        <w:t>funds, or third-party trustees, consistent with regulations or market practice of the country where the assets are invested. The investment manager makes investment decisions within the guidelines set by Intel or local regulations. Investments managed by q</w:t>
      </w:r>
      <w:r>
        <w:rPr>
          <w:rFonts w:ascii="Arial" w:eastAsia="宋体" w:hAnsi="Arial" w:cs="Arial"/>
          <w:color w:val="333333"/>
          <w:sz w:val="18"/>
          <w:szCs w:val="18"/>
        </w:rPr>
        <w:t>ualified insurance companies or pension funds under standard contracts follow local regulations, and we are not actively involved in their investment strategies. For the assets that we have discretion to set investment guidelines, the assets are invested i</w:t>
      </w:r>
      <w:r>
        <w:rPr>
          <w:rFonts w:ascii="Arial" w:eastAsia="宋体" w:hAnsi="Arial" w:cs="Arial"/>
          <w:color w:val="333333"/>
          <w:sz w:val="18"/>
          <w:szCs w:val="18"/>
        </w:rPr>
        <w:t>n developed country equity investments and fixed-income investments, either through index funds or direct investment. In general, the investment strategy is designed to accumulate a diversified portfolio among markets, asset classes, or individual securiti</w:t>
      </w:r>
      <w:r>
        <w:rPr>
          <w:rFonts w:ascii="Arial" w:eastAsia="宋体" w:hAnsi="Arial" w:cs="Arial"/>
          <w:color w:val="333333"/>
          <w:sz w:val="18"/>
          <w:szCs w:val="18"/>
        </w:rPr>
        <w:t>es to reduce market risk and to help ensure that the pension assets are available to pay benefits as they come due. The target allocation of the non-U.S. plan assets that we have control over was approximately 45% fixed income, 35% equity, and 20% hedge fu</w:t>
      </w:r>
      <w:r>
        <w:rPr>
          <w:rFonts w:ascii="Arial" w:eastAsia="宋体" w:hAnsi="Arial" w:cs="Arial"/>
          <w:color w:val="333333"/>
          <w:sz w:val="18"/>
          <w:szCs w:val="18"/>
        </w:rPr>
        <w:t>nd investments in 2019.</w:t>
      </w:r>
    </w:p>
    <w:p w14:paraId="4ACE6088"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The equity investments in the non-U.S. plan assets are invested in a diversified mix of equities of developed countries, including the U.S., and emerging markets throughout the world.</w:t>
      </w:r>
    </w:p>
    <w:p w14:paraId="4ACE6089"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have control over the investment strategy rel</w:t>
      </w:r>
      <w:r>
        <w:rPr>
          <w:rFonts w:ascii="Arial" w:eastAsia="宋体" w:hAnsi="Arial" w:cs="Arial"/>
          <w:color w:val="333333"/>
          <w:sz w:val="18"/>
          <w:szCs w:val="18"/>
        </w:rPr>
        <w:t>ated to the majority of the assets measured at net asset value, which are invested in hedge funds, bond index funds, and equity index funds.</w:t>
      </w:r>
    </w:p>
    <w:p w14:paraId="4ACE608A" w14:textId="77777777" w:rsidR="006F587A" w:rsidRDefault="007B2B61">
      <w:pPr>
        <w:spacing w:line="288" w:lineRule="auto"/>
        <w:rPr>
          <w:rFonts w:ascii="Times New Roman" w:hAnsi="Times New Roman"/>
        </w:rPr>
      </w:pPr>
      <w:r>
        <w:rPr>
          <w:rFonts w:ascii="Arial" w:eastAsia="宋体" w:hAnsi="Arial" w:cs="Arial"/>
          <w:b/>
          <w:bCs/>
          <w:color w:val="0071C5"/>
        </w:rPr>
        <w:t>ESTIMATED FUTURE BENEFIT PAYMENTS FOR PENSION BENEFIT PLANS</w:t>
      </w:r>
    </w:p>
    <w:p w14:paraId="4ACE608B" w14:textId="77777777" w:rsidR="006F587A" w:rsidRDefault="007B2B61">
      <w:pPr>
        <w:spacing w:line="288" w:lineRule="auto"/>
        <w:rPr>
          <w:rFonts w:ascii="Times New Roman" w:hAnsi="Times New Roman"/>
          <w:sz w:val="20"/>
          <w:szCs w:val="20"/>
        </w:rPr>
      </w:pPr>
      <w:r>
        <w:rPr>
          <w:rFonts w:ascii="Arial" w:eastAsia="宋体" w:hAnsi="Arial" w:cs="Arial"/>
          <w:color w:val="333333"/>
          <w:sz w:val="18"/>
          <w:szCs w:val="18"/>
        </w:rPr>
        <w:t>Estimated benefit payments over the next 10 years are a</w:t>
      </w:r>
      <w:r>
        <w:rPr>
          <w:rFonts w:ascii="Arial" w:eastAsia="宋体" w:hAnsi="Arial" w:cs="Arial"/>
          <w:color w:val="333333"/>
          <w:sz w:val="18"/>
          <w:szCs w:val="18"/>
        </w:rPr>
        <w:t>s follows:</w:t>
      </w:r>
    </w:p>
    <w:tbl>
      <w:tblPr>
        <w:tblW w:w="5000" w:type="pct"/>
        <w:tblCellMar>
          <w:left w:w="0" w:type="dxa"/>
          <w:right w:w="0" w:type="dxa"/>
        </w:tblCellMar>
        <w:tblLook w:val="04A0" w:firstRow="1" w:lastRow="0" w:firstColumn="1" w:lastColumn="0" w:noHBand="0" w:noVBand="1"/>
      </w:tblPr>
      <w:tblGrid>
        <w:gridCol w:w="1769"/>
        <w:gridCol w:w="130"/>
        <w:gridCol w:w="142"/>
        <w:gridCol w:w="773"/>
        <w:gridCol w:w="40"/>
        <w:gridCol w:w="130"/>
        <w:gridCol w:w="142"/>
        <w:gridCol w:w="767"/>
        <w:gridCol w:w="40"/>
        <w:gridCol w:w="130"/>
        <w:gridCol w:w="142"/>
        <w:gridCol w:w="767"/>
        <w:gridCol w:w="40"/>
        <w:gridCol w:w="130"/>
        <w:gridCol w:w="142"/>
        <w:gridCol w:w="768"/>
        <w:gridCol w:w="40"/>
        <w:gridCol w:w="130"/>
        <w:gridCol w:w="142"/>
        <w:gridCol w:w="768"/>
        <w:gridCol w:w="40"/>
        <w:gridCol w:w="130"/>
        <w:gridCol w:w="142"/>
        <w:gridCol w:w="784"/>
        <w:gridCol w:w="78"/>
      </w:tblGrid>
      <w:tr w:rsidR="006F587A" w14:paraId="4ACE608D" w14:textId="77777777">
        <w:tc>
          <w:tcPr>
            <w:tcW w:w="0" w:type="auto"/>
            <w:gridSpan w:val="25"/>
            <w:shd w:val="clear" w:color="auto" w:fill="auto"/>
            <w:vAlign w:val="center"/>
          </w:tcPr>
          <w:p w14:paraId="4ACE608C" w14:textId="77777777" w:rsidR="006F587A" w:rsidRDefault="006F587A">
            <w:pPr>
              <w:rPr>
                <w:rFonts w:ascii="Times New Roman" w:hAnsi="Times New Roman"/>
                <w:sz w:val="20"/>
                <w:szCs w:val="20"/>
              </w:rPr>
            </w:pPr>
          </w:p>
        </w:tc>
      </w:tr>
      <w:tr w:rsidR="006F587A" w14:paraId="4ACE60A7" w14:textId="77777777">
        <w:tc>
          <w:tcPr>
            <w:tcW w:w="1100" w:type="pct"/>
            <w:shd w:val="clear" w:color="auto" w:fill="auto"/>
            <w:vAlign w:val="center"/>
          </w:tcPr>
          <w:p w14:paraId="4ACE608E" w14:textId="77777777" w:rsidR="006F587A" w:rsidRDefault="006F587A">
            <w:pPr>
              <w:rPr>
                <w:rFonts w:ascii="Times New Roman" w:hAnsi="Times New Roman"/>
                <w:sz w:val="20"/>
                <w:szCs w:val="20"/>
              </w:rPr>
            </w:pPr>
          </w:p>
        </w:tc>
        <w:tc>
          <w:tcPr>
            <w:tcW w:w="50" w:type="pct"/>
            <w:shd w:val="clear" w:color="auto" w:fill="auto"/>
            <w:vAlign w:val="center"/>
          </w:tcPr>
          <w:p w14:paraId="4ACE608F" w14:textId="77777777" w:rsidR="006F587A" w:rsidRDefault="006F587A">
            <w:pPr>
              <w:rPr>
                <w:rFonts w:ascii="Times New Roman" w:hAnsi="Times New Roman"/>
                <w:sz w:val="20"/>
                <w:szCs w:val="20"/>
              </w:rPr>
            </w:pPr>
          </w:p>
        </w:tc>
        <w:tc>
          <w:tcPr>
            <w:tcW w:w="50" w:type="pct"/>
            <w:shd w:val="clear" w:color="auto" w:fill="auto"/>
            <w:vAlign w:val="center"/>
          </w:tcPr>
          <w:p w14:paraId="4ACE6090" w14:textId="77777777" w:rsidR="006F587A" w:rsidRDefault="006F587A">
            <w:pPr>
              <w:rPr>
                <w:rFonts w:ascii="Times New Roman" w:hAnsi="Times New Roman"/>
                <w:sz w:val="20"/>
                <w:szCs w:val="20"/>
              </w:rPr>
            </w:pPr>
          </w:p>
        </w:tc>
        <w:tc>
          <w:tcPr>
            <w:tcW w:w="500" w:type="pct"/>
            <w:shd w:val="clear" w:color="auto" w:fill="auto"/>
            <w:vAlign w:val="center"/>
          </w:tcPr>
          <w:p w14:paraId="4ACE6091" w14:textId="77777777" w:rsidR="006F587A" w:rsidRDefault="006F587A">
            <w:pPr>
              <w:rPr>
                <w:rFonts w:ascii="Times New Roman" w:hAnsi="Times New Roman"/>
                <w:sz w:val="20"/>
                <w:szCs w:val="20"/>
              </w:rPr>
            </w:pPr>
          </w:p>
        </w:tc>
        <w:tc>
          <w:tcPr>
            <w:tcW w:w="50" w:type="pct"/>
            <w:shd w:val="clear" w:color="auto" w:fill="auto"/>
            <w:vAlign w:val="center"/>
          </w:tcPr>
          <w:p w14:paraId="4ACE6092" w14:textId="77777777" w:rsidR="006F587A" w:rsidRDefault="006F587A">
            <w:pPr>
              <w:rPr>
                <w:rFonts w:ascii="Times New Roman" w:hAnsi="Times New Roman"/>
                <w:sz w:val="20"/>
                <w:szCs w:val="20"/>
              </w:rPr>
            </w:pPr>
          </w:p>
        </w:tc>
        <w:tc>
          <w:tcPr>
            <w:tcW w:w="50" w:type="pct"/>
            <w:shd w:val="clear" w:color="auto" w:fill="auto"/>
            <w:vAlign w:val="center"/>
          </w:tcPr>
          <w:p w14:paraId="4ACE6093" w14:textId="77777777" w:rsidR="006F587A" w:rsidRDefault="006F587A">
            <w:pPr>
              <w:rPr>
                <w:rFonts w:ascii="Times New Roman" w:hAnsi="Times New Roman"/>
                <w:sz w:val="20"/>
                <w:szCs w:val="20"/>
              </w:rPr>
            </w:pPr>
          </w:p>
        </w:tc>
        <w:tc>
          <w:tcPr>
            <w:tcW w:w="50" w:type="pct"/>
            <w:shd w:val="clear" w:color="auto" w:fill="auto"/>
            <w:vAlign w:val="center"/>
          </w:tcPr>
          <w:p w14:paraId="4ACE6094" w14:textId="77777777" w:rsidR="006F587A" w:rsidRDefault="006F587A">
            <w:pPr>
              <w:rPr>
                <w:rFonts w:ascii="Times New Roman" w:hAnsi="Times New Roman"/>
                <w:sz w:val="20"/>
                <w:szCs w:val="20"/>
              </w:rPr>
            </w:pPr>
          </w:p>
        </w:tc>
        <w:tc>
          <w:tcPr>
            <w:tcW w:w="500" w:type="pct"/>
            <w:shd w:val="clear" w:color="auto" w:fill="auto"/>
            <w:vAlign w:val="center"/>
          </w:tcPr>
          <w:p w14:paraId="4ACE6095" w14:textId="77777777" w:rsidR="006F587A" w:rsidRDefault="006F587A">
            <w:pPr>
              <w:rPr>
                <w:rFonts w:ascii="Times New Roman" w:hAnsi="Times New Roman"/>
                <w:sz w:val="20"/>
                <w:szCs w:val="20"/>
              </w:rPr>
            </w:pPr>
          </w:p>
        </w:tc>
        <w:tc>
          <w:tcPr>
            <w:tcW w:w="50" w:type="pct"/>
            <w:shd w:val="clear" w:color="auto" w:fill="auto"/>
            <w:vAlign w:val="center"/>
          </w:tcPr>
          <w:p w14:paraId="4ACE6096" w14:textId="77777777" w:rsidR="006F587A" w:rsidRDefault="006F587A">
            <w:pPr>
              <w:rPr>
                <w:rFonts w:ascii="Times New Roman" w:hAnsi="Times New Roman"/>
                <w:sz w:val="20"/>
                <w:szCs w:val="20"/>
              </w:rPr>
            </w:pPr>
          </w:p>
        </w:tc>
        <w:tc>
          <w:tcPr>
            <w:tcW w:w="50" w:type="pct"/>
            <w:shd w:val="clear" w:color="auto" w:fill="auto"/>
            <w:vAlign w:val="center"/>
          </w:tcPr>
          <w:p w14:paraId="4ACE6097" w14:textId="77777777" w:rsidR="006F587A" w:rsidRDefault="006F587A">
            <w:pPr>
              <w:rPr>
                <w:rFonts w:ascii="Times New Roman" w:hAnsi="Times New Roman"/>
                <w:sz w:val="20"/>
                <w:szCs w:val="20"/>
              </w:rPr>
            </w:pPr>
          </w:p>
        </w:tc>
        <w:tc>
          <w:tcPr>
            <w:tcW w:w="50" w:type="pct"/>
            <w:shd w:val="clear" w:color="auto" w:fill="auto"/>
            <w:vAlign w:val="center"/>
          </w:tcPr>
          <w:p w14:paraId="4ACE6098" w14:textId="77777777" w:rsidR="006F587A" w:rsidRDefault="006F587A">
            <w:pPr>
              <w:rPr>
                <w:rFonts w:ascii="Times New Roman" w:hAnsi="Times New Roman"/>
                <w:sz w:val="20"/>
                <w:szCs w:val="20"/>
              </w:rPr>
            </w:pPr>
          </w:p>
        </w:tc>
        <w:tc>
          <w:tcPr>
            <w:tcW w:w="500" w:type="pct"/>
            <w:shd w:val="clear" w:color="auto" w:fill="auto"/>
            <w:vAlign w:val="center"/>
          </w:tcPr>
          <w:p w14:paraId="4ACE6099" w14:textId="77777777" w:rsidR="006F587A" w:rsidRDefault="006F587A">
            <w:pPr>
              <w:rPr>
                <w:rFonts w:ascii="Times New Roman" w:hAnsi="Times New Roman"/>
                <w:sz w:val="20"/>
                <w:szCs w:val="20"/>
              </w:rPr>
            </w:pPr>
          </w:p>
        </w:tc>
        <w:tc>
          <w:tcPr>
            <w:tcW w:w="50" w:type="pct"/>
            <w:shd w:val="clear" w:color="auto" w:fill="auto"/>
            <w:vAlign w:val="center"/>
          </w:tcPr>
          <w:p w14:paraId="4ACE609A" w14:textId="77777777" w:rsidR="006F587A" w:rsidRDefault="006F587A">
            <w:pPr>
              <w:rPr>
                <w:rFonts w:ascii="Times New Roman" w:hAnsi="Times New Roman"/>
                <w:sz w:val="20"/>
                <w:szCs w:val="20"/>
              </w:rPr>
            </w:pPr>
          </w:p>
        </w:tc>
        <w:tc>
          <w:tcPr>
            <w:tcW w:w="50" w:type="pct"/>
            <w:shd w:val="clear" w:color="auto" w:fill="auto"/>
            <w:vAlign w:val="center"/>
          </w:tcPr>
          <w:p w14:paraId="4ACE609B" w14:textId="77777777" w:rsidR="006F587A" w:rsidRDefault="006F587A">
            <w:pPr>
              <w:rPr>
                <w:rFonts w:ascii="Times New Roman" w:hAnsi="Times New Roman"/>
                <w:sz w:val="20"/>
                <w:szCs w:val="20"/>
              </w:rPr>
            </w:pPr>
          </w:p>
        </w:tc>
        <w:tc>
          <w:tcPr>
            <w:tcW w:w="50" w:type="pct"/>
            <w:shd w:val="clear" w:color="auto" w:fill="auto"/>
            <w:vAlign w:val="center"/>
          </w:tcPr>
          <w:p w14:paraId="4ACE609C" w14:textId="77777777" w:rsidR="006F587A" w:rsidRDefault="006F587A">
            <w:pPr>
              <w:rPr>
                <w:rFonts w:ascii="Times New Roman" w:hAnsi="Times New Roman"/>
                <w:sz w:val="20"/>
                <w:szCs w:val="20"/>
              </w:rPr>
            </w:pPr>
          </w:p>
        </w:tc>
        <w:tc>
          <w:tcPr>
            <w:tcW w:w="500" w:type="pct"/>
            <w:shd w:val="clear" w:color="auto" w:fill="auto"/>
            <w:vAlign w:val="center"/>
          </w:tcPr>
          <w:p w14:paraId="4ACE609D" w14:textId="77777777" w:rsidR="006F587A" w:rsidRDefault="006F587A">
            <w:pPr>
              <w:rPr>
                <w:rFonts w:ascii="Times New Roman" w:hAnsi="Times New Roman"/>
                <w:sz w:val="20"/>
                <w:szCs w:val="20"/>
              </w:rPr>
            </w:pPr>
          </w:p>
        </w:tc>
        <w:tc>
          <w:tcPr>
            <w:tcW w:w="50" w:type="pct"/>
            <w:shd w:val="clear" w:color="auto" w:fill="auto"/>
            <w:vAlign w:val="center"/>
          </w:tcPr>
          <w:p w14:paraId="4ACE609E" w14:textId="77777777" w:rsidR="006F587A" w:rsidRDefault="006F587A">
            <w:pPr>
              <w:rPr>
                <w:rFonts w:ascii="Times New Roman" w:hAnsi="Times New Roman"/>
                <w:sz w:val="20"/>
                <w:szCs w:val="20"/>
              </w:rPr>
            </w:pPr>
          </w:p>
        </w:tc>
        <w:tc>
          <w:tcPr>
            <w:tcW w:w="50" w:type="pct"/>
            <w:shd w:val="clear" w:color="auto" w:fill="auto"/>
            <w:vAlign w:val="center"/>
          </w:tcPr>
          <w:p w14:paraId="4ACE609F" w14:textId="77777777" w:rsidR="006F587A" w:rsidRDefault="006F587A">
            <w:pPr>
              <w:rPr>
                <w:rFonts w:ascii="Times New Roman" w:hAnsi="Times New Roman"/>
                <w:sz w:val="20"/>
                <w:szCs w:val="20"/>
              </w:rPr>
            </w:pPr>
          </w:p>
        </w:tc>
        <w:tc>
          <w:tcPr>
            <w:tcW w:w="50" w:type="pct"/>
            <w:shd w:val="clear" w:color="auto" w:fill="auto"/>
            <w:vAlign w:val="center"/>
          </w:tcPr>
          <w:p w14:paraId="4ACE60A0" w14:textId="77777777" w:rsidR="006F587A" w:rsidRDefault="006F587A">
            <w:pPr>
              <w:rPr>
                <w:rFonts w:ascii="Times New Roman" w:hAnsi="Times New Roman"/>
                <w:sz w:val="20"/>
                <w:szCs w:val="20"/>
              </w:rPr>
            </w:pPr>
          </w:p>
        </w:tc>
        <w:tc>
          <w:tcPr>
            <w:tcW w:w="500" w:type="pct"/>
            <w:shd w:val="clear" w:color="auto" w:fill="auto"/>
            <w:vAlign w:val="center"/>
          </w:tcPr>
          <w:p w14:paraId="4ACE60A1" w14:textId="77777777" w:rsidR="006F587A" w:rsidRDefault="006F587A">
            <w:pPr>
              <w:rPr>
                <w:rFonts w:ascii="Times New Roman" w:hAnsi="Times New Roman"/>
                <w:sz w:val="20"/>
                <w:szCs w:val="20"/>
              </w:rPr>
            </w:pPr>
          </w:p>
        </w:tc>
        <w:tc>
          <w:tcPr>
            <w:tcW w:w="50" w:type="pct"/>
            <w:shd w:val="clear" w:color="auto" w:fill="auto"/>
            <w:vAlign w:val="center"/>
          </w:tcPr>
          <w:p w14:paraId="4ACE60A2" w14:textId="77777777" w:rsidR="006F587A" w:rsidRDefault="006F587A">
            <w:pPr>
              <w:rPr>
                <w:rFonts w:ascii="Times New Roman" w:hAnsi="Times New Roman"/>
                <w:sz w:val="20"/>
                <w:szCs w:val="20"/>
              </w:rPr>
            </w:pPr>
          </w:p>
        </w:tc>
        <w:tc>
          <w:tcPr>
            <w:tcW w:w="50" w:type="pct"/>
            <w:shd w:val="clear" w:color="auto" w:fill="auto"/>
            <w:vAlign w:val="center"/>
          </w:tcPr>
          <w:p w14:paraId="4ACE60A3" w14:textId="77777777" w:rsidR="006F587A" w:rsidRDefault="006F587A">
            <w:pPr>
              <w:rPr>
                <w:rFonts w:ascii="Times New Roman" w:hAnsi="Times New Roman"/>
                <w:sz w:val="20"/>
                <w:szCs w:val="20"/>
              </w:rPr>
            </w:pPr>
          </w:p>
        </w:tc>
        <w:tc>
          <w:tcPr>
            <w:tcW w:w="50" w:type="pct"/>
            <w:shd w:val="clear" w:color="auto" w:fill="auto"/>
            <w:vAlign w:val="center"/>
          </w:tcPr>
          <w:p w14:paraId="4ACE60A4" w14:textId="77777777" w:rsidR="006F587A" w:rsidRDefault="006F587A">
            <w:pPr>
              <w:rPr>
                <w:rFonts w:ascii="Times New Roman" w:hAnsi="Times New Roman"/>
                <w:sz w:val="20"/>
                <w:szCs w:val="20"/>
              </w:rPr>
            </w:pPr>
          </w:p>
        </w:tc>
        <w:tc>
          <w:tcPr>
            <w:tcW w:w="500" w:type="pct"/>
            <w:shd w:val="clear" w:color="auto" w:fill="auto"/>
            <w:vAlign w:val="center"/>
          </w:tcPr>
          <w:p w14:paraId="4ACE60A5" w14:textId="77777777" w:rsidR="006F587A" w:rsidRDefault="006F587A">
            <w:pPr>
              <w:rPr>
                <w:rFonts w:ascii="Times New Roman" w:hAnsi="Times New Roman"/>
                <w:sz w:val="20"/>
                <w:szCs w:val="20"/>
              </w:rPr>
            </w:pPr>
          </w:p>
        </w:tc>
        <w:tc>
          <w:tcPr>
            <w:tcW w:w="50" w:type="pct"/>
            <w:shd w:val="clear" w:color="auto" w:fill="auto"/>
            <w:vAlign w:val="center"/>
          </w:tcPr>
          <w:p w14:paraId="4ACE60A6" w14:textId="77777777" w:rsidR="006F587A" w:rsidRDefault="006F587A">
            <w:pPr>
              <w:rPr>
                <w:rFonts w:ascii="Times New Roman" w:hAnsi="Times New Roman"/>
                <w:sz w:val="20"/>
                <w:szCs w:val="20"/>
              </w:rPr>
            </w:pPr>
          </w:p>
        </w:tc>
      </w:tr>
      <w:tr w:rsidR="006F587A" w14:paraId="4ACE60B5"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60A8"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4ACE60A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tcPr>
          <w:p w14:paraId="4ACE60AA" w14:textId="77777777" w:rsidR="006F587A" w:rsidRDefault="007B2B61">
            <w:pPr>
              <w:jc w:val="center"/>
              <w:textAlignment w:val="top"/>
              <w:rPr>
                <w:rFonts w:ascii="Times New Roman" w:hAnsi="Times New Roman"/>
                <w:sz w:val="18"/>
                <w:szCs w:val="18"/>
              </w:rPr>
            </w:pPr>
            <w:r>
              <w:rPr>
                <w:rFonts w:ascii="Arial" w:eastAsia="宋体" w:hAnsi="Arial" w:cs="Arial"/>
                <w:b/>
                <w:bCs/>
                <w:color w:val="333333"/>
                <w:sz w:val="18"/>
                <w:szCs w:val="18"/>
              </w:rPr>
              <w:t>2020</w:t>
            </w:r>
          </w:p>
        </w:tc>
        <w:tc>
          <w:tcPr>
            <w:tcW w:w="0" w:type="auto"/>
            <w:shd w:val="clear" w:color="auto" w:fill="auto"/>
            <w:tcMar>
              <w:top w:w="40" w:type="dxa"/>
              <w:left w:w="40" w:type="dxa"/>
              <w:bottom w:w="40" w:type="dxa"/>
              <w:right w:w="40" w:type="dxa"/>
            </w:tcMar>
            <w:vAlign w:val="bottom"/>
          </w:tcPr>
          <w:p w14:paraId="4ACE60A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tcPr>
          <w:p w14:paraId="4ACE60AC" w14:textId="77777777" w:rsidR="006F587A" w:rsidRDefault="007B2B61">
            <w:pPr>
              <w:jc w:val="center"/>
              <w:textAlignment w:val="top"/>
              <w:rPr>
                <w:rFonts w:ascii="Times New Roman" w:hAnsi="Times New Roman"/>
                <w:sz w:val="18"/>
                <w:szCs w:val="18"/>
              </w:rPr>
            </w:pPr>
            <w:r>
              <w:rPr>
                <w:rFonts w:ascii="Arial" w:eastAsia="宋体" w:hAnsi="Arial" w:cs="Arial"/>
                <w:b/>
                <w:bCs/>
                <w:color w:val="333333"/>
                <w:sz w:val="18"/>
                <w:szCs w:val="18"/>
              </w:rPr>
              <w:t>2021</w:t>
            </w:r>
          </w:p>
        </w:tc>
        <w:tc>
          <w:tcPr>
            <w:tcW w:w="0" w:type="auto"/>
            <w:shd w:val="clear" w:color="auto" w:fill="auto"/>
            <w:tcMar>
              <w:top w:w="40" w:type="dxa"/>
              <w:left w:w="40" w:type="dxa"/>
              <w:bottom w:w="40" w:type="dxa"/>
              <w:right w:w="40" w:type="dxa"/>
            </w:tcMar>
            <w:vAlign w:val="bottom"/>
          </w:tcPr>
          <w:p w14:paraId="4ACE60A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tcPr>
          <w:p w14:paraId="4ACE60AE" w14:textId="77777777" w:rsidR="006F587A" w:rsidRDefault="007B2B61">
            <w:pPr>
              <w:jc w:val="center"/>
              <w:textAlignment w:val="top"/>
              <w:rPr>
                <w:rFonts w:ascii="Times New Roman" w:hAnsi="Times New Roman"/>
                <w:sz w:val="18"/>
                <w:szCs w:val="18"/>
              </w:rPr>
            </w:pPr>
            <w:r>
              <w:rPr>
                <w:rFonts w:ascii="Arial" w:eastAsia="宋体" w:hAnsi="Arial" w:cs="Arial"/>
                <w:b/>
                <w:bCs/>
                <w:color w:val="333333"/>
                <w:sz w:val="18"/>
                <w:szCs w:val="18"/>
              </w:rPr>
              <w:t>2022</w:t>
            </w:r>
          </w:p>
        </w:tc>
        <w:tc>
          <w:tcPr>
            <w:tcW w:w="0" w:type="auto"/>
            <w:shd w:val="clear" w:color="auto" w:fill="auto"/>
            <w:tcMar>
              <w:top w:w="40" w:type="dxa"/>
              <w:left w:w="40" w:type="dxa"/>
              <w:bottom w:w="40" w:type="dxa"/>
              <w:right w:w="40" w:type="dxa"/>
            </w:tcMar>
            <w:vAlign w:val="bottom"/>
          </w:tcPr>
          <w:p w14:paraId="4ACE60A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tcPr>
          <w:p w14:paraId="4ACE60B0" w14:textId="77777777" w:rsidR="006F587A" w:rsidRDefault="007B2B61">
            <w:pPr>
              <w:jc w:val="center"/>
              <w:textAlignment w:val="top"/>
              <w:rPr>
                <w:rFonts w:ascii="Times New Roman" w:hAnsi="Times New Roman"/>
                <w:sz w:val="18"/>
                <w:szCs w:val="18"/>
              </w:rPr>
            </w:pPr>
            <w:r>
              <w:rPr>
                <w:rFonts w:ascii="Arial" w:eastAsia="宋体" w:hAnsi="Arial" w:cs="Arial"/>
                <w:b/>
                <w:bCs/>
                <w:color w:val="333333"/>
                <w:sz w:val="18"/>
                <w:szCs w:val="18"/>
              </w:rPr>
              <w:t>2023</w:t>
            </w:r>
          </w:p>
        </w:tc>
        <w:tc>
          <w:tcPr>
            <w:tcW w:w="0" w:type="auto"/>
            <w:shd w:val="clear" w:color="auto" w:fill="auto"/>
            <w:tcMar>
              <w:top w:w="40" w:type="dxa"/>
              <w:left w:w="40" w:type="dxa"/>
              <w:bottom w:w="40" w:type="dxa"/>
              <w:right w:w="40" w:type="dxa"/>
            </w:tcMar>
            <w:vAlign w:val="bottom"/>
          </w:tcPr>
          <w:p w14:paraId="4ACE60B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tcPr>
          <w:p w14:paraId="4ACE60B2" w14:textId="77777777" w:rsidR="006F587A" w:rsidRDefault="007B2B61">
            <w:pPr>
              <w:jc w:val="center"/>
              <w:textAlignment w:val="top"/>
              <w:rPr>
                <w:rFonts w:ascii="Times New Roman" w:hAnsi="Times New Roman"/>
                <w:sz w:val="18"/>
                <w:szCs w:val="18"/>
              </w:rPr>
            </w:pPr>
            <w:r>
              <w:rPr>
                <w:rFonts w:ascii="Arial" w:eastAsia="宋体" w:hAnsi="Arial" w:cs="Arial"/>
                <w:b/>
                <w:bCs/>
                <w:color w:val="333333"/>
                <w:sz w:val="18"/>
                <w:szCs w:val="18"/>
              </w:rPr>
              <w:t>2024</w:t>
            </w:r>
          </w:p>
        </w:tc>
        <w:tc>
          <w:tcPr>
            <w:tcW w:w="0" w:type="auto"/>
            <w:shd w:val="clear" w:color="auto" w:fill="auto"/>
            <w:tcMar>
              <w:top w:w="40" w:type="dxa"/>
              <w:left w:w="40" w:type="dxa"/>
              <w:bottom w:w="40" w:type="dxa"/>
              <w:right w:w="40" w:type="dxa"/>
            </w:tcMar>
            <w:vAlign w:val="bottom"/>
          </w:tcPr>
          <w:p w14:paraId="4ACE60B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tcPr>
          <w:p w14:paraId="4ACE60B4" w14:textId="77777777" w:rsidR="006F587A" w:rsidRDefault="007B2B61">
            <w:pPr>
              <w:jc w:val="center"/>
              <w:textAlignment w:val="top"/>
              <w:rPr>
                <w:rFonts w:ascii="Times New Roman" w:hAnsi="Times New Roman"/>
                <w:sz w:val="18"/>
                <w:szCs w:val="18"/>
              </w:rPr>
            </w:pPr>
            <w:r>
              <w:rPr>
                <w:rFonts w:ascii="Arial" w:eastAsia="宋体" w:hAnsi="Arial" w:cs="Arial"/>
                <w:b/>
                <w:bCs/>
                <w:color w:val="333333"/>
                <w:sz w:val="18"/>
                <w:szCs w:val="18"/>
              </w:rPr>
              <w:t>2025-2029</w:t>
            </w:r>
          </w:p>
        </w:tc>
      </w:tr>
      <w:tr w:rsidR="006F587A" w14:paraId="4ACE60CF" w14:textId="77777777">
        <w:tc>
          <w:tcPr>
            <w:tcW w:w="0" w:type="auto"/>
            <w:shd w:val="clear" w:color="auto" w:fill="auto"/>
            <w:tcMar>
              <w:top w:w="40" w:type="dxa"/>
              <w:left w:w="40" w:type="dxa"/>
              <w:bottom w:w="40" w:type="dxa"/>
              <w:right w:w="40" w:type="dxa"/>
            </w:tcMar>
            <w:vAlign w:val="bottom"/>
          </w:tcPr>
          <w:p w14:paraId="4ACE60B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Pension benefits</w:t>
            </w:r>
          </w:p>
        </w:tc>
        <w:tc>
          <w:tcPr>
            <w:tcW w:w="0" w:type="auto"/>
            <w:shd w:val="clear" w:color="auto" w:fill="auto"/>
            <w:tcMar>
              <w:top w:w="40" w:type="dxa"/>
              <w:left w:w="40" w:type="dxa"/>
              <w:bottom w:w="40" w:type="dxa"/>
              <w:right w:w="40" w:type="dxa"/>
            </w:tcMar>
            <w:vAlign w:val="bottom"/>
          </w:tcPr>
          <w:p w14:paraId="4ACE60B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60B8"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tcBorders>
              <w:top w:val="single" w:sz="8" w:space="0" w:color="0071C5"/>
            </w:tcBorders>
            <w:shd w:val="clear" w:color="auto" w:fill="auto"/>
            <w:tcMar>
              <w:top w:w="40" w:type="dxa"/>
              <w:bottom w:w="40" w:type="dxa"/>
            </w:tcMar>
            <w:vAlign w:val="bottom"/>
          </w:tcPr>
          <w:p w14:paraId="4ACE60B9"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151</w:t>
            </w:r>
          </w:p>
        </w:tc>
        <w:tc>
          <w:tcPr>
            <w:tcW w:w="0" w:type="auto"/>
            <w:tcBorders>
              <w:top w:val="single" w:sz="8" w:space="0" w:color="0071C5"/>
            </w:tcBorders>
            <w:shd w:val="clear" w:color="auto" w:fill="auto"/>
            <w:vAlign w:val="bottom"/>
          </w:tcPr>
          <w:p w14:paraId="4ACE60B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0B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0BC"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60BD"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145</w:t>
            </w:r>
          </w:p>
        </w:tc>
        <w:tc>
          <w:tcPr>
            <w:tcW w:w="0" w:type="auto"/>
            <w:shd w:val="clear" w:color="auto" w:fill="auto"/>
            <w:vAlign w:val="bottom"/>
          </w:tcPr>
          <w:p w14:paraId="4ACE60B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0B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0C0"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60C1"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139</w:t>
            </w:r>
          </w:p>
        </w:tc>
        <w:tc>
          <w:tcPr>
            <w:tcW w:w="0" w:type="auto"/>
            <w:shd w:val="clear" w:color="auto" w:fill="auto"/>
            <w:vAlign w:val="bottom"/>
          </w:tcPr>
          <w:p w14:paraId="4ACE60C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0C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0C4"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60C5"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135</w:t>
            </w:r>
          </w:p>
        </w:tc>
        <w:tc>
          <w:tcPr>
            <w:tcW w:w="0" w:type="auto"/>
            <w:shd w:val="clear" w:color="auto" w:fill="auto"/>
            <w:vAlign w:val="bottom"/>
          </w:tcPr>
          <w:p w14:paraId="4ACE60C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0C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0C8"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60C9"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132</w:t>
            </w:r>
          </w:p>
        </w:tc>
        <w:tc>
          <w:tcPr>
            <w:tcW w:w="0" w:type="auto"/>
            <w:shd w:val="clear" w:color="auto" w:fill="auto"/>
            <w:vAlign w:val="bottom"/>
          </w:tcPr>
          <w:p w14:paraId="4ACE60C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0C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0CC"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60CD"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694</w:t>
            </w:r>
          </w:p>
        </w:tc>
        <w:tc>
          <w:tcPr>
            <w:tcW w:w="0" w:type="auto"/>
            <w:shd w:val="clear" w:color="auto" w:fill="auto"/>
            <w:vAlign w:val="bottom"/>
          </w:tcPr>
          <w:p w14:paraId="4ACE60CE" w14:textId="77777777" w:rsidR="006F587A" w:rsidRDefault="006F587A">
            <w:pPr>
              <w:textAlignment w:val="bottom"/>
              <w:rPr>
                <w:rFonts w:ascii="Times New Roman" w:hAnsi="Times New Roman"/>
                <w:sz w:val="20"/>
                <w:szCs w:val="20"/>
              </w:rPr>
            </w:pPr>
          </w:p>
        </w:tc>
      </w:tr>
    </w:tbl>
    <w:p w14:paraId="4ACE60D0" w14:textId="77777777" w:rsidR="006F587A" w:rsidRDefault="006F587A"/>
    <w:tbl>
      <w:tblPr>
        <w:tblW w:w="5000" w:type="pct"/>
        <w:tblCellMar>
          <w:left w:w="0" w:type="dxa"/>
          <w:right w:w="0" w:type="dxa"/>
        </w:tblCellMar>
        <w:tblLook w:val="04A0" w:firstRow="1" w:lastRow="0" w:firstColumn="1" w:lastColumn="0" w:noHBand="0" w:noVBand="1"/>
      </w:tblPr>
      <w:tblGrid>
        <w:gridCol w:w="1080"/>
        <w:gridCol w:w="7226"/>
      </w:tblGrid>
      <w:tr w:rsidR="006F587A" w14:paraId="4ACE60D2" w14:textId="77777777">
        <w:tc>
          <w:tcPr>
            <w:tcW w:w="0" w:type="auto"/>
            <w:gridSpan w:val="2"/>
            <w:shd w:val="clear" w:color="auto" w:fill="auto"/>
            <w:vAlign w:val="center"/>
          </w:tcPr>
          <w:p w14:paraId="4ACE60D1" w14:textId="77777777" w:rsidR="006F587A" w:rsidRDefault="006F587A">
            <w:pPr>
              <w:rPr>
                <w:rFonts w:ascii="Times New Roman" w:hAnsi="Times New Roman"/>
                <w:sz w:val="20"/>
                <w:szCs w:val="20"/>
              </w:rPr>
            </w:pPr>
          </w:p>
        </w:tc>
      </w:tr>
      <w:tr w:rsidR="006F587A" w14:paraId="4ACE60D5" w14:textId="77777777">
        <w:tc>
          <w:tcPr>
            <w:tcW w:w="650" w:type="pct"/>
            <w:shd w:val="clear" w:color="auto" w:fill="auto"/>
            <w:vAlign w:val="center"/>
          </w:tcPr>
          <w:p w14:paraId="4ACE60D3" w14:textId="77777777" w:rsidR="006F587A" w:rsidRDefault="006F587A">
            <w:pPr>
              <w:rPr>
                <w:rFonts w:ascii="Times New Roman" w:hAnsi="Times New Roman"/>
                <w:sz w:val="20"/>
                <w:szCs w:val="20"/>
              </w:rPr>
            </w:pPr>
          </w:p>
        </w:tc>
        <w:tc>
          <w:tcPr>
            <w:tcW w:w="4350" w:type="pct"/>
            <w:shd w:val="clear" w:color="auto" w:fill="auto"/>
            <w:vAlign w:val="center"/>
          </w:tcPr>
          <w:p w14:paraId="4ACE60D4" w14:textId="77777777" w:rsidR="006F587A" w:rsidRDefault="006F587A">
            <w:pPr>
              <w:rPr>
                <w:rFonts w:ascii="Times New Roman" w:hAnsi="Times New Roman"/>
                <w:sz w:val="20"/>
                <w:szCs w:val="20"/>
              </w:rPr>
            </w:pPr>
          </w:p>
        </w:tc>
      </w:tr>
      <w:tr w:rsidR="006F587A" w14:paraId="4ACE60D8" w14:textId="77777777">
        <w:tc>
          <w:tcPr>
            <w:tcW w:w="0" w:type="auto"/>
            <w:tcBorders>
              <w:bottom w:val="single" w:sz="8" w:space="0" w:color="0071C5"/>
            </w:tcBorders>
            <w:shd w:val="clear" w:color="auto" w:fill="0071C5"/>
            <w:tcMar>
              <w:top w:w="40" w:type="dxa"/>
              <w:left w:w="40" w:type="dxa"/>
              <w:bottom w:w="40" w:type="dxa"/>
              <w:right w:w="40" w:type="dxa"/>
            </w:tcMar>
            <w:vAlign w:val="bottom"/>
          </w:tcPr>
          <w:p w14:paraId="4ACE60D6" w14:textId="77777777" w:rsidR="006F587A" w:rsidRDefault="007B2B61">
            <w:pPr>
              <w:textAlignment w:val="bottom"/>
              <w:rPr>
                <w:rFonts w:ascii="Times New Roman" w:hAnsi="Times New Roman"/>
                <w:sz w:val="28"/>
                <w:szCs w:val="28"/>
              </w:rPr>
            </w:pPr>
            <w:r>
              <w:rPr>
                <w:rFonts w:ascii="Arial" w:eastAsia="宋体" w:hAnsi="Arial" w:cs="Arial"/>
                <w:b/>
                <w:bCs/>
                <w:color w:val="FFFFFF"/>
                <w:sz w:val="28"/>
                <w:szCs w:val="28"/>
                <w:shd w:val="clear" w:color="auto" w:fill="0071C5"/>
              </w:rPr>
              <w:t xml:space="preserve">NOTE 19 : </w:t>
            </w:r>
          </w:p>
        </w:tc>
        <w:tc>
          <w:tcPr>
            <w:tcW w:w="0" w:type="auto"/>
            <w:tcBorders>
              <w:bottom w:val="single" w:sz="8" w:space="0" w:color="0071C5"/>
            </w:tcBorders>
            <w:shd w:val="clear" w:color="auto" w:fill="auto"/>
            <w:tcMar>
              <w:top w:w="40" w:type="dxa"/>
              <w:left w:w="40" w:type="dxa"/>
              <w:bottom w:w="40" w:type="dxa"/>
              <w:right w:w="40" w:type="dxa"/>
            </w:tcMar>
            <w:vAlign w:val="bottom"/>
          </w:tcPr>
          <w:p w14:paraId="4ACE60D7" w14:textId="77777777" w:rsidR="006F587A" w:rsidRDefault="007B2B61">
            <w:pPr>
              <w:textAlignment w:val="bottom"/>
              <w:rPr>
                <w:rFonts w:ascii="Times New Roman" w:hAnsi="Times New Roman"/>
                <w:sz w:val="28"/>
                <w:szCs w:val="28"/>
              </w:rPr>
            </w:pPr>
            <w:r>
              <w:rPr>
                <w:rFonts w:ascii="Arial" w:eastAsia="宋体" w:hAnsi="Arial" w:cs="Arial"/>
                <w:b/>
                <w:bCs/>
                <w:color w:val="0071C5"/>
                <w:sz w:val="28"/>
                <w:szCs w:val="28"/>
              </w:rPr>
              <w:t>EMPLOYEE EQUITY INCENTIVE PLANS</w:t>
            </w:r>
          </w:p>
        </w:tc>
      </w:tr>
    </w:tbl>
    <w:p w14:paraId="4ACE60D9" w14:textId="77777777" w:rsidR="006F587A" w:rsidRDefault="006F587A">
      <w:pPr>
        <w:spacing w:line="288" w:lineRule="auto"/>
        <w:rPr>
          <w:rFonts w:ascii="Times New Roman" w:hAnsi="Times New Roman"/>
          <w:sz w:val="28"/>
          <w:szCs w:val="28"/>
        </w:rPr>
      </w:pPr>
    </w:p>
    <w:p w14:paraId="4ACE60DA"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Our equity incentive plans are broad-based, long-term programs intended to attract and retain talented employees and align </w:t>
      </w:r>
      <w:r>
        <w:rPr>
          <w:rFonts w:ascii="Arial" w:eastAsia="宋体" w:hAnsi="Arial" w:cs="Arial"/>
          <w:color w:val="333333"/>
          <w:sz w:val="18"/>
          <w:szCs w:val="18"/>
        </w:rPr>
        <w:t>stockholder and employee interests. Our plans include our 2006 Plan and our 2006 ESPP.</w:t>
      </w:r>
    </w:p>
    <w:p w14:paraId="4ACE60DB"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Under the 2006 Plan, 866 million shares of common stock have been authorized for issuance as equity awards to employees and non-employee directors through June 2023. As </w:t>
      </w:r>
      <w:r>
        <w:rPr>
          <w:rFonts w:ascii="Arial" w:eastAsia="宋体" w:hAnsi="Arial" w:cs="Arial"/>
          <w:color w:val="333333"/>
          <w:sz w:val="18"/>
          <w:szCs w:val="18"/>
        </w:rPr>
        <w:t>of December 28, 2019, 228 million shares of common stock remained available for future grants.</w:t>
      </w:r>
    </w:p>
    <w:p w14:paraId="4ACE60DC" w14:textId="77777777" w:rsidR="006F587A" w:rsidRDefault="006F587A">
      <w:pPr>
        <w:spacing w:line="288" w:lineRule="auto"/>
        <w:rPr>
          <w:rFonts w:ascii="Times New Roman" w:hAnsi="Times New Roman"/>
          <w:sz w:val="18"/>
          <w:szCs w:val="18"/>
        </w:rPr>
      </w:pPr>
    </w:p>
    <w:p w14:paraId="4ACE60DD" w14:textId="77777777" w:rsidR="006F587A" w:rsidRDefault="006F587A">
      <w:pPr>
        <w:spacing w:line="288" w:lineRule="auto"/>
        <w:rPr>
          <w:rFonts w:ascii="Times New Roman" w:hAnsi="Times New Roman"/>
          <w:sz w:val="18"/>
          <w:szCs w:val="18"/>
        </w:rPr>
      </w:pPr>
    </w:p>
    <w:p w14:paraId="4ACE60DE" w14:textId="77777777" w:rsidR="006F587A" w:rsidRDefault="006F587A">
      <w:pPr>
        <w:spacing w:line="288" w:lineRule="auto"/>
        <w:rPr>
          <w:rFonts w:ascii="Times New Roman" w:hAnsi="Times New Roman"/>
          <w:sz w:val="18"/>
          <w:szCs w:val="18"/>
        </w:rPr>
      </w:pPr>
    </w:p>
    <w:p w14:paraId="4ACE60DF" w14:textId="77777777" w:rsidR="006F587A" w:rsidRDefault="006F587A">
      <w:pPr>
        <w:spacing w:line="288" w:lineRule="auto"/>
        <w:rPr>
          <w:rFonts w:ascii="Times New Roman" w:hAnsi="Times New Roman"/>
          <w:sz w:val="18"/>
          <w:szCs w:val="18"/>
        </w:rPr>
      </w:pPr>
    </w:p>
    <w:p w14:paraId="4ACE60E0" w14:textId="77777777" w:rsidR="006F587A" w:rsidRDefault="006F587A">
      <w:pPr>
        <w:spacing w:line="288" w:lineRule="auto"/>
        <w:rPr>
          <w:rFonts w:ascii="Times New Roman" w:hAnsi="Times New Roman"/>
          <w:sz w:val="18"/>
          <w:szCs w:val="18"/>
        </w:rPr>
      </w:pPr>
    </w:p>
    <w:p w14:paraId="4ACE60E1" w14:textId="77777777" w:rsidR="006F587A" w:rsidRDefault="006F587A">
      <w:pPr>
        <w:spacing w:line="288" w:lineRule="auto"/>
        <w:rPr>
          <w:rFonts w:ascii="Times New Roman" w:hAnsi="Times New Roman"/>
          <w:sz w:val="18"/>
          <w:szCs w:val="18"/>
        </w:rPr>
      </w:pPr>
    </w:p>
    <w:p w14:paraId="4ACE60E2" w14:textId="77777777" w:rsidR="006F587A" w:rsidRDefault="006F587A">
      <w:pPr>
        <w:spacing w:line="288" w:lineRule="auto"/>
        <w:rPr>
          <w:rFonts w:ascii="Times New Roman" w:hAnsi="Times New Roman"/>
          <w:sz w:val="18"/>
          <w:szCs w:val="18"/>
        </w:rPr>
      </w:pPr>
    </w:p>
    <w:p w14:paraId="4ACE60E3" w14:textId="77777777" w:rsidR="006F587A" w:rsidRDefault="006F587A">
      <w:pPr>
        <w:spacing w:line="288" w:lineRule="auto"/>
        <w:rPr>
          <w:rFonts w:ascii="Times New Roman" w:hAnsi="Times New Roman"/>
          <w:sz w:val="18"/>
          <w:szCs w:val="18"/>
        </w:rPr>
      </w:pPr>
    </w:p>
    <w:p w14:paraId="4ACE60E4" w14:textId="77777777" w:rsidR="006F587A" w:rsidRDefault="006F587A">
      <w:pPr>
        <w:spacing w:line="288" w:lineRule="auto"/>
        <w:rPr>
          <w:rFonts w:ascii="Times New Roman" w:hAnsi="Times New Roman"/>
          <w:sz w:val="18"/>
          <w:szCs w:val="18"/>
        </w:rPr>
      </w:pPr>
    </w:p>
    <w:p w14:paraId="4ACE60E5"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60E7" w14:textId="77777777">
        <w:tc>
          <w:tcPr>
            <w:tcW w:w="0" w:type="auto"/>
            <w:gridSpan w:val="3"/>
            <w:shd w:val="clear" w:color="auto" w:fill="auto"/>
            <w:vAlign w:val="center"/>
          </w:tcPr>
          <w:p w14:paraId="4ACE60E6" w14:textId="77777777" w:rsidR="006F587A" w:rsidRDefault="006F587A">
            <w:pPr>
              <w:rPr>
                <w:rFonts w:ascii="Times New Roman" w:hAnsi="Times New Roman"/>
                <w:sz w:val="20"/>
                <w:szCs w:val="20"/>
              </w:rPr>
            </w:pPr>
          </w:p>
        </w:tc>
      </w:tr>
      <w:tr w:rsidR="006F587A" w14:paraId="4ACE60EB" w14:textId="77777777">
        <w:tc>
          <w:tcPr>
            <w:tcW w:w="1300" w:type="pct"/>
            <w:shd w:val="clear" w:color="auto" w:fill="auto"/>
            <w:vAlign w:val="center"/>
          </w:tcPr>
          <w:p w14:paraId="4ACE60E8" w14:textId="77777777" w:rsidR="006F587A" w:rsidRDefault="006F587A">
            <w:pPr>
              <w:rPr>
                <w:rFonts w:ascii="Times New Roman" w:hAnsi="Times New Roman"/>
                <w:sz w:val="20"/>
                <w:szCs w:val="20"/>
              </w:rPr>
            </w:pPr>
          </w:p>
        </w:tc>
        <w:tc>
          <w:tcPr>
            <w:tcW w:w="1600" w:type="pct"/>
            <w:shd w:val="clear" w:color="auto" w:fill="auto"/>
            <w:vAlign w:val="center"/>
          </w:tcPr>
          <w:p w14:paraId="4ACE60E9" w14:textId="77777777" w:rsidR="006F587A" w:rsidRDefault="006F587A">
            <w:pPr>
              <w:rPr>
                <w:rFonts w:ascii="Times New Roman" w:hAnsi="Times New Roman"/>
                <w:sz w:val="20"/>
                <w:szCs w:val="20"/>
              </w:rPr>
            </w:pPr>
          </w:p>
        </w:tc>
        <w:tc>
          <w:tcPr>
            <w:tcW w:w="2100" w:type="pct"/>
            <w:shd w:val="clear" w:color="auto" w:fill="auto"/>
            <w:vAlign w:val="center"/>
          </w:tcPr>
          <w:p w14:paraId="4ACE60EA" w14:textId="77777777" w:rsidR="006F587A" w:rsidRDefault="006F587A">
            <w:pPr>
              <w:rPr>
                <w:rFonts w:ascii="Times New Roman" w:hAnsi="Times New Roman"/>
                <w:sz w:val="20"/>
                <w:szCs w:val="20"/>
              </w:rPr>
            </w:pPr>
          </w:p>
        </w:tc>
      </w:tr>
      <w:tr w:rsidR="006F587A" w14:paraId="4ACE60EF" w14:textId="77777777">
        <w:tc>
          <w:tcPr>
            <w:tcW w:w="0" w:type="auto"/>
            <w:tcBorders>
              <w:top w:val="single" w:sz="8" w:space="0" w:color="0071C5"/>
            </w:tcBorders>
            <w:shd w:val="clear" w:color="auto" w:fill="auto"/>
            <w:tcMar>
              <w:top w:w="40" w:type="dxa"/>
              <w:left w:w="40" w:type="dxa"/>
              <w:bottom w:w="40" w:type="dxa"/>
              <w:right w:w="40" w:type="dxa"/>
            </w:tcMar>
            <w:vAlign w:val="bottom"/>
          </w:tcPr>
          <w:p w14:paraId="4ACE60EC" w14:textId="77777777" w:rsidR="006F587A" w:rsidRDefault="007B2B61">
            <w:pPr>
              <w:textAlignment w:val="bottom"/>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E23" wp14:editId="4ACE6E24">
                  <wp:extent cx="304800" cy="304800"/>
                  <wp:effectExtent l="0" t="0" r="0" b="0"/>
                  <wp:docPr id="149" name="图片 348"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348"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left w:val="single" w:sz="36" w:space="0" w:color="0071C5"/>
            </w:tcBorders>
            <w:shd w:val="clear" w:color="auto" w:fill="auto"/>
            <w:tcMar>
              <w:top w:w="40" w:type="dxa"/>
              <w:left w:w="40" w:type="dxa"/>
              <w:bottom w:w="40" w:type="dxa"/>
              <w:right w:w="40" w:type="dxa"/>
            </w:tcMar>
            <w:vAlign w:val="bottom"/>
          </w:tcPr>
          <w:p w14:paraId="4ACE60ED" w14:textId="77777777" w:rsidR="006F587A" w:rsidRDefault="007B2B61">
            <w:pPr>
              <w:textAlignment w:val="bottom"/>
              <w:rPr>
                <w:rFonts w:ascii="Times New Roman" w:hAnsi="Times New Roman"/>
                <w:sz w:val="16"/>
                <w:szCs w:val="16"/>
              </w:rPr>
            </w:pPr>
            <w:r>
              <w:rPr>
                <w:rFonts w:ascii="Arial" w:eastAsia="宋体" w:hAnsi="Arial" w:cs="Arial"/>
                <w:color w:val="333333"/>
                <w:sz w:val="16"/>
                <w:szCs w:val="16"/>
              </w:rPr>
              <w:t> Notes to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60EE"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105</w:t>
            </w:r>
          </w:p>
        </w:tc>
      </w:tr>
    </w:tbl>
    <w:p w14:paraId="4ACE60F0" w14:textId="77777777" w:rsidR="006F587A" w:rsidRDefault="007B2B61">
      <w:r>
        <w:pict w14:anchorId="4ACE6E25">
          <v:rect id="_x0000_i1131" style="width:415.3pt;height:1.5pt" o:hralign="center" o:hrstd="t" o:hr="t" fillcolor="#a0a0a0" stroked="f"/>
        </w:pict>
      </w:r>
    </w:p>
    <w:p w14:paraId="4ACE60F1" w14:textId="77777777" w:rsidR="006F587A" w:rsidRDefault="007B2B61">
      <w:pPr>
        <w:spacing w:line="288" w:lineRule="auto"/>
        <w:jc w:val="right"/>
        <w:rPr>
          <w:rFonts w:ascii="Times New Roman" w:hAnsi="Times New Roman"/>
          <w:sz w:val="16"/>
          <w:szCs w:val="16"/>
        </w:rPr>
      </w:pPr>
      <w:hyperlink r:id="rId170" w:anchor="s9DB683E2CF52561EB8A73BE37F5BF9BE" w:history="1">
        <w:r>
          <w:rPr>
            <w:rStyle w:val="a5"/>
            <w:rFonts w:ascii="Arial" w:eastAsia="宋体" w:hAnsi="Arial" w:cs="Arial"/>
            <w:b/>
            <w:bCs/>
            <w:sz w:val="16"/>
            <w:szCs w:val="16"/>
          </w:rPr>
          <w:t>Table of Contents</w:t>
        </w:r>
      </w:hyperlink>
    </w:p>
    <w:p w14:paraId="4ACE60F2" w14:textId="77777777" w:rsidR="006F587A" w:rsidRDefault="006F587A">
      <w:pPr>
        <w:spacing w:line="288" w:lineRule="auto"/>
        <w:jc w:val="right"/>
        <w:rPr>
          <w:rFonts w:ascii="Times New Roman" w:hAnsi="Times New Roman"/>
          <w:sz w:val="16"/>
          <w:szCs w:val="16"/>
        </w:rPr>
      </w:pPr>
    </w:p>
    <w:p w14:paraId="4ACE60F3" w14:textId="77777777" w:rsidR="006F587A" w:rsidRDefault="006F587A">
      <w:pPr>
        <w:rPr>
          <w:rFonts w:ascii="Times New Roman" w:hAnsi="Times New Roman"/>
          <w:sz w:val="20"/>
          <w:szCs w:val="20"/>
        </w:rPr>
      </w:pPr>
    </w:p>
    <w:p w14:paraId="4ACE60F4"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Under the 2006 Plan, we grant RSUs and stock options. We grant RSUs with a service condition as well as RSUs with a market condition, performance condition, and a service condition, which we call PSUs. Prior to granting PSUs, we granted OSUs, which were RS</w:t>
      </w:r>
      <w:r>
        <w:rPr>
          <w:rFonts w:ascii="Arial" w:eastAsia="宋体" w:hAnsi="Arial" w:cs="Arial"/>
          <w:color w:val="333333"/>
          <w:sz w:val="18"/>
          <w:szCs w:val="18"/>
        </w:rPr>
        <w:t>Us with only market and service conditions. PSUs are granted to a group of senior officers and employees. For PSUs granted in 2019, the number of shares of our common stock to be received at vesting will range from 0% to 200% of the target grant amount, eq</w:t>
      </w:r>
      <w:r>
        <w:rPr>
          <w:rFonts w:ascii="Arial" w:eastAsia="宋体" w:hAnsi="Arial" w:cs="Arial"/>
          <w:color w:val="333333"/>
          <w:sz w:val="18"/>
          <w:szCs w:val="18"/>
        </w:rPr>
        <w:t>ually based on two metrics: our three-year cumulative non-GAAP EPS growth relative to a target rate and TSR of our common stock measured against the benchmark TSR of the S&amp;P 500 IT Sector Index over a three-year period. TSR is a measure of stock price appr</w:t>
      </w:r>
      <w:r>
        <w:rPr>
          <w:rFonts w:ascii="Arial" w:eastAsia="宋体" w:hAnsi="Arial" w:cs="Arial"/>
          <w:color w:val="333333"/>
          <w:sz w:val="18"/>
          <w:szCs w:val="18"/>
        </w:rPr>
        <w:t>eciation plus any dividends paid in this performance period. As of December 28, 2019, 13 million PSUs and OSUs were outstanding. The PSUs granted in 2019 vest three years from the grant date, and OSUs, which were granted prior to 2019, generally vest three</w:t>
      </w:r>
      <w:r>
        <w:rPr>
          <w:rFonts w:ascii="Arial" w:eastAsia="宋体" w:hAnsi="Arial" w:cs="Arial"/>
          <w:color w:val="333333"/>
          <w:sz w:val="18"/>
          <w:szCs w:val="18"/>
        </w:rPr>
        <w:t xml:space="preserve"> years and one month from the grant date. Other RSU awards and option awards generally vest over four years from the grant date. Stock options generally expire ten years from the date of grant. </w:t>
      </w:r>
    </w:p>
    <w:p w14:paraId="4ACE60F5" w14:textId="77777777" w:rsidR="006F587A" w:rsidRDefault="007B2B61">
      <w:pPr>
        <w:spacing w:line="288" w:lineRule="auto"/>
        <w:rPr>
          <w:rFonts w:ascii="Times New Roman" w:hAnsi="Times New Roman"/>
        </w:rPr>
      </w:pPr>
      <w:r>
        <w:rPr>
          <w:rFonts w:ascii="Arial" w:eastAsia="宋体" w:hAnsi="Arial" w:cs="Arial"/>
          <w:b/>
          <w:bCs/>
          <w:color w:val="0071C5"/>
        </w:rPr>
        <w:t>SHARE-BASED COMPENSATION</w:t>
      </w:r>
    </w:p>
    <w:p w14:paraId="4ACE60F6"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Share-based compensation </w:t>
      </w:r>
      <w:r>
        <w:rPr>
          <w:rFonts w:ascii="Arial" w:eastAsia="宋体" w:hAnsi="Arial" w:cs="Arial"/>
          <w:color w:val="333333"/>
          <w:sz w:val="18"/>
          <w:szCs w:val="18"/>
        </w:rPr>
        <w:t>recognized in 2019 was $1.7 billion ($1.5 billion in 2018 and $1.4 billion in 2017). During 2019, the tax benefit that we realized for the tax deduction from share-based awards totaled $359 million ($399 million in 2018 and $520 million in 2017).</w:t>
      </w:r>
    </w:p>
    <w:p w14:paraId="4ACE60F7"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estima</w:t>
      </w:r>
      <w:r>
        <w:rPr>
          <w:rFonts w:ascii="Arial" w:eastAsia="宋体" w:hAnsi="Arial" w:cs="Arial"/>
          <w:color w:val="333333"/>
          <w:sz w:val="18"/>
          <w:szCs w:val="18"/>
        </w:rPr>
        <w:t xml:space="preserve">te the fair value of RSUs with a service condition or performance condition using the value of our common stock on the date of grant, reduced by the present value of dividends expected to be paid on our shares of common stock prior to vesting. We estimate </w:t>
      </w:r>
      <w:r>
        <w:rPr>
          <w:rFonts w:ascii="Arial" w:eastAsia="宋体" w:hAnsi="Arial" w:cs="Arial"/>
          <w:color w:val="333333"/>
          <w:sz w:val="18"/>
          <w:szCs w:val="18"/>
        </w:rPr>
        <w:t>the fair value of RSUs with a market condition using a Monte Carlo simulation model on the date of grant using historical volatility. </w:t>
      </w:r>
    </w:p>
    <w:p w14:paraId="4ACE60F8" w14:textId="77777777" w:rsidR="006F587A" w:rsidRDefault="007B2B61">
      <w:pPr>
        <w:spacing w:line="288" w:lineRule="auto"/>
        <w:rPr>
          <w:rFonts w:ascii="Times New Roman" w:hAnsi="Times New Roman"/>
        </w:rPr>
      </w:pPr>
      <w:r>
        <w:rPr>
          <w:rFonts w:ascii="Arial" w:eastAsia="宋体" w:hAnsi="Arial" w:cs="Arial"/>
          <w:b/>
          <w:bCs/>
          <w:color w:val="0071C5"/>
        </w:rPr>
        <w:t>RESTRICTED STOCK UNITS</w:t>
      </w:r>
    </w:p>
    <w:p w14:paraId="4ACE60F9" w14:textId="77777777" w:rsidR="006F587A" w:rsidRDefault="007B2B61">
      <w:pPr>
        <w:spacing w:line="288" w:lineRule="auto"/>
        <w:rPr>
          <w:rFonts w:ascii="Times New Roman" w:hAnsi="Times New Roman"/>
        </w:rPr>
      </w:pPr>
      <w:r>
        <w:rPr>
          <w:rFonts w:ascii="Arial" w:eastAsia="宋体" w:hAnsi="Arial" w:cs="Arial"/>
          <w:color w:val="333333"/>
          <w:sz w:val="18"/>
          <w:szCs w:val="18"/>
        </w:rPr>
        <w:t>Weighted average assumptions used in estimating grant values were as follows:</w:t>
      </w:r>
    </w:p>
    <w:tbl>
      <w:tblPr>
        <w:tblW w:w="5000" w:type="pct"/>
        <w:tblCellMar>
          <w:left w:w="0" w:type="dxa"/>
          <w:right w:w="0" w:type="dxa"/>
        </w:tblCellMar>
        <w:tblLook w:val="04A0" w:firstRow="1" w:lastRow="0" w:firstColumn="1" w:lastColumn="0" w:noHBand="0" w:noVBand="1"/>
      </w:tblPr>
      <w:tblGrid>
        <w:gridCol w:w="4899"/>
        <w:gridCol w:w="130"/>
        <w:gridCol w:w="141"/>
        <w:gridCol w:w="663"/>
        <w:gridCol w:w="201"/>
        <w:gridCol w:w="130"/>
        <w:gridCol w:w="141"/>
        <w:gridCol w:w="664"/>
        <w:gridCol w:w="201"/>
        <w:gridCol w:w="130"/>
        <w:gridCol w:w="141"/>
        <w:gridCol w:w="664"/>
        <w:gridCol w:w="201"/>
      </w:tblGrid>
      <w:tr w:rsidR="006F587A" w14:paraId="4ACE60FB" w14:textId="77777777">
        <w:tc>
          <w:tcPr>
            <w:tcW w:w="0" w:type="auto"/>
            <w:gridSpan w:val="13"/>
            <w:shd w:val="clear" w:color="auto" w:fill="auto"/>
            <w:vAlign w:val="center"/>
          </w:tcPr>
          <w:p w14:paraId="4ACE60FA" w14:textId="77777777" w:rsidR="006F587A" w:rsidRDefault="006F587A">
            <w:pPr>
              <w:rPr>
                <w:rFonts w:ascii="Times New Roman" w:hAnsi="Times New Roman"/>
                <w:sz w:val="20"/>
                <w:szCs w:val="20"/>
              </w:rPr>
            </w:pPr>
          </w:p>
        </w:tc>
      </w:tr>
      <w:tr w:rsidR="006F587A" w14:paraId="4ACE6109" w14:textId="77777777">
        <w:tc>
          <w:tcPr>
            <w:tcW w:w="3050" w:type="pct"/>
            <w:shd w:val="clear" w:color="auto" w:fill="auto"/>
            <w:vAlign w:val="center"/>
          </w:tcPr>
          <w:p w14:paraId="4ACE60FC" w14:textId="77777777" w:rsidR="006F587A" w:rsidRDefault="006F587A">
            <w:pPr>
              <w:rPr>
                <w:rFonts w:ascii="Times New Roman" w:hAnsi="Times New Roman"/>
                <w:sz w:val="20"/>
                <w:szCs w:val="20"/>
              </w:rPr>
            </w:pPr>
          </w:p>
        </w:tc>
        <w:tc>
          <w:tcPr>
            <w:tcW w:w="50" w:type="pct"/>
            <w:shd w:val="clear" w:color="auto" w:fill="auto"/>
            <w:vAlign w:val="center"/>
          </w:tcPr>
          <w:p w14:paraId="4ACE60FD" w14:textId="77777777" w:rsidR="006F587A" w:rsidRDefault="006F587A">
            <w:pPr>
              <w:rPr>
                <w:rFonts w:ascii="Times New Roman" w:hAnsi="Times New Roman"/>
                <w:sz w:val="20"/>
                <w:szCs w:val="20"/>
              </w:rPr>
            </w:pPr>
          </w:p>
        </w:tc>
        <w:tc>
          <w:tcPr>
            <w:tcW w:w="50" w:type="pct"/>
            <w:shd w:val="clear" w:color="auto" w:fill="auto"/>
            <w:vAlign w:val="center"/>
          </w:tcPr>
          <w:p w14:paraId="4ACE60FE" w14:textId="77777777" w:rsidR="006F587A" w:rsidRDefault="006F587A">
            <w:pPr>
              <w:rPr>
                <w:rFonts w:ascii="Times New Roman" w:hAnsi="Times New Roman"/>
                <w:sz w:val="20"/>
                <w:szCs w:val="20"/>
              </w:rPr>
            </w:pPr>
          </w:p>
        </w:tc>
        <w:tc>
          <w:tcPr>
            <w:tcW w:w="500" w:type="pct"/>
            <w:shd w:val="clear" w:color="auto" w:fill="auto"/>
            <w:vAlign w:val="center"/>
          </w:tcPr>
          <w:p w14:paraId="4ACE60FF" w14:textId="77777777" w:rsidR="006F587A" w:rsidRDefault="006F587A">
            <w:pPr>
              <w:rPr>
                <w:rFonts w:ascii="Times New Roman" w:hAnsi="Times New Roman"/>
                <w:sz w:val="20"/>
                <w:szCs w:val="20"/>
              </w:rPr>
            </w:pPr>
          </w:p>
        </w:tc>
        <w:tc>
          <w:tcPr>
            <w:tcW w:w="50" w:type="pct"/>
            <w:shd w:val="clear" w:color="auto" w:fill="auto"/>
            <w:vAlign w:val="center"/>
          </w:tcPr>
          <w:p w14:paraId="4ACE6100" w14:textId="77777777" w:rsidR="006F587A" w:rsidRDefault="006F587A">
            <w:pPr>
              <w:rPr>
                <w:rFonts w:ascii="Times New Roman" w:hAnsi="Times New Roman"/>
                <w:sz w:val="20"/>
                <w:szCs w:val="20"/>
              </w:rPr>
            </w:pPr>
          </w:p>
        </w:tc>
        <w:tc>
          <w:tcPr>
            <w:tcW w:w="50" w:type="pct"/>
            <w:shd w:val="clear" w:color="auto" w:fill="auto"/>
            <w:vAlign w:val="center"/>
          </w:tcPr>
          <w:p w14:paraId="4ACE6101" w14:textId="77777777" w:rsidR="006F587A" w:rsidRDefault="006F587A">
            <w:pPr>
              <w:rPr>
                <w:rFonts w:ascii="Times New Roman" w:hAnsi="Times New Roman"/>
                <w:sz w:val="20"/>
                <w:szCs w:val="20"/>
              </w:rPr>
            </w:pPr>
          </w:p>
        </w:tc>
        <w:tc>
          <w:tcPr>
            <w:tcW w:w="50" w:type="pct"/>
            <w:shd w:val="clear" w:color="auto" w:fill="auto"/>
            <w:vAlign w:val="center"/>
          </w:tcPr>
          <w:p w14:paraId="4ACE6102" w14:textId="77777777" w:rsidR="006F587A" w:rsidRDefault="006F587A">
            <w:pPr>
              <w:rPr>
                <w:rFonts w:ascii="Times New Roman" w:hAnsi="Times New Roman"/>
                <w:sz w:val="20"/>
                <w:szCs w:val="20"/>
              </w:rPr>
            </w:pPr>
          </w:p>
        </w:tc>
        <w:tc>
          <w:tcPr>
            <w:tcW w:w="500" w:type="pct"/>
            <w:shd w:val="clear" w:color="auto" w:fill="auto"/>
            <w:vAlign w:val="center"/>
          </w:tcPr>
          <w:p w14:paraId="4ACE6103" w14:textId="77777777" w:rsidR="006F587A" w:rsidRDefault="006F587A">
            <w:pPr>
              <w:rPr>
                <w:rFonts w:ascii="Times New Roman" w:hAnsi="Times New Roman"/>
                <w:sz w:val="20"/>
                <w:szCs w:val="20"/>
              </w:rPr>
            </w:pPr>
          </w:p>
        </w:tc>
        <w:tc>
          <w:tcPr>
            <w:tcW w:w="50" w:type="pct"/>
            <w:shd w:val="clear" w:color="auto" w:fill="auto"/>
            <w:vAlign w:val="center"/>
          </w:tcPr>
          <w:p w14:paraId="4ACE6104" w14:textId="77777777" w:rsidR="006F587A" w:rsidRDefault="006F587A">
            <w:pPr>
              <w:rPr>
                <w:rFonts w:ascii="Times New Roman" w:hAnsi="Times New Roman"/>
                <w:sz w:val="20"/>
                <w:szCs w:val="20"/>
              </w:rPr>
            </w:pPr>
          </w:p>
        </w:tc>
        <w:tc>
          <w:tcPr>
            <w:tcW w:w="50" w:type="pct"/>
            <w:shd w:val="clear" w:color="auto" w:fill="auto"/>
            <w:vAlign w:val="center"/>
          </w:tcPr>
          <w:p w14:paraId="4ACE6105" w14:textId="77777777" w:rsidR="006F587A" w:rsidRDefault="006F587A">
            <w:pPr>
              <w:rPr>
                <w:rFonts w:ascii="Times New Roman" w:hAnsi="Times New Roman"/>
                <w:sz w:val="20"/>
                <w:szCs w:val="20"/>
              </w:rPr>
            </w:pPr>
          </w:p>
        </w:tc>
        <w:tc>
          <w:tcPr>
            <w:tcW w:w="50" w:type="pct"/>
            <w:shd w:val="clear" w:color="auto" w:fill="auto"/>
            <w:vAlign w:val="center"/>
          </w:tcPr>
          <w:p w14:paraId="4ACE6106" w14:textId="77777777" w:rsidR="006F587A" w:rsidRDefault="006F587A">
            <w:pPr>
              <w:rPr>
                <w:rFonts w:ascii="Times New Roman" w:hAnsi="Times New Roman"/>
                <w:sz w:val="20"/>
                <w:szCs w:val="20"/>
              </w:rPr>
            </w:pPr>
          </w:p>
        </w:tc>
        <w:tc>
          <w:tcPr>
            <w:tcW w:w="500" w:type="pct"/>
            <w:shd w:val="clear" w:color="auto" w:fill="auto"/>
            <w:vAlign w:val="center"/>
          </w:tcPr>
          <w:p w14:paraId="4ACE6107" w14:textId="77777777" w:rsidR="006F587A" w:rsidRDefault="006F587A">
            <w:pPr>
              <w:rPr>
                <w:rFonts w:ascii="Times New Roman" w:hAnsi="Times New Roman"/>
                <w:sz w:val="20"/>
                <w:szCs w:val="20"/>
              </w:rPr>
            </w:pPr>
          </w:p>
        </w:tc>
        <w:tc>
          <w:tcPr>
            <w:tcW w:w="50" w:type="pct"/>
            <w:shd w:val="clear" w:color="auto" w:fill="auto"/>
            <w:vAlign w:val="center"/>
          </w:tcPr>
          <w:p w14:paraId="4ACE6108" w14:textId="77777777" w:rsidR="006F587A" w:rsidRDefault="006F587A">
            <w:pPr>
              <w:rPr>
                <w:rFonts w:ascii="Times New Roman" w:hAnsi="Times New Roman"/>
                <w:sz w:val="20"/>
                <w:szCs w:val="20"/>
              </w:rPr>
            </w:pPr>
          </w:p>
        </w:tc>
      </w:tr>
      <w:tr w:rsidR="006F587A" w14:paraId="4ACE6111"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610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10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610C"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28, </w:t>
            </w:r>
            <w:r>
              <w:rPr>
                <w:rFonts w:ascii="Arial" w:eastAsia="宋体" w:hAnsi="Arial" w:cs="Arial"/>
                <w:b/>
                <w:bCs/>
                <w:color w:val="333333"/>
                <w:sz w:val="18"/>
                <w:szCs w:val="18"/>
              </w:rPr>
              <w:br/>
              <w:t>2019</w:t>
            </w:r>
          </w:p>
        </w:tc>
        <w:tc>
          <w:tcPr>
            <w:tcW w:w="0" w:type="auto"/>
            <w:shd w:val="clear" w:color="auto" w:fill="auto"/>
            <w:tcMar>
              <w:top w:w="40" w:type="dxa"/>
              <w:left w:w="40" w:type="dxa"/>
              <w:bottom w:w="40" w:type="dxa"/>
              <w:right w:w="40" w:type="dxa"/>
            </w:tcMar>
            <w:vAlign w:val="bottom"/>
          </w:tcPr>
          <w:p w14:paraId="4ACE610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610E"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29, </w:t>
            </w:r>
            <w:r>
              <w:rPr>
                <w:rFonts w:ascii="Arial" w:eastAsia="宋体" w:hAnsi="Arial" w:cs="Arial"/>
                <w:b/>
                <w:bCs/>
                <w:color w:val="333333"/>
                <w:sz w:val="18"/>
                <w:szCs w:val="18"/>
              </w:rPr>
              <w:br/>
              <w:t>2018</w:t>
            </w:r>
          </w:p>
        </w:tc>
        <w:tc>
          <w:tcPr>
            <w:tcW w:w="0" w:type="auto"/>
            <w:shd w:val="clear" w:color="auto" w:fill="auto"/>
            <w:tcMar>
              <w:top w:w="40" w:type="dxa"/>
              <w:left w:w="40" w:type="dxa"/>
              <w:bottom w:w="40" w:type="dxa"/>
              <w:right w:w="40" w:type="dxa"/>
            </w:tcMar>
            <w:vAlign w:val="bottom"/>
          </w:tcPr>
          <w:p w14:paraId="4ACE610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6110"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30, </w:t>
            </w:r>
            <w:r>
              <w:rPr>
                <w:rFonts w:ascii="Arial" w:eastAsia="宋体" w:hAnsi="Arial" w:cs="Arial"/>
                <w:b/>
                <w:bCs/>
                <w:color w:val="333333"/>
                <w:sz w:val="18"/>
                <w:szCs w:val="18"/>
              </w:rPr>
              <w:br/>
              <w:t>2017</w:t>
            </w:r>
          </w:p>
        </w:tc>
      </w:tr>
      <w:tr w:rsidR="006F587A" w14:paraId="4ACE611F" w14:textId="77777777">
        <w:tc>
          <w:tcPr>
            <w:tcW w:w="0" w:type="auto"/>
            <w:tcBorders>
              <w:top w:val="single" w:sz="8" w:space="0" w:color="0071C5"/>
            </w:tcBorders>
            <w:shd w:val="clear" w:color="auto" w:fill="auto"/>
            <w:tcMar>
              <w:top w:w="40" w:type="dxa"/>
              <w:left w:w="40" w:type="dxa"/>
              <w:bottom w:w="40" w:type="dxa"/>
              <w:right w:w="40" w:type="dxa"/>
            </w:tcMar>
            <w:vAlign w:val="bottom"/>
          </w:tcPr>
          <w:p w14:paraId="4ACE611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Estimated values</w:t>
            </w:r>
          </w:p>
        </w:tc>
        <w:tc>
          <w:tcPr>
            <w:tcW w:w="0" w:type="auto"/>
            <w:shd w:val="clear" w:color="auto" w:fill="auto"/>
            <w:tcMar>
              <w:top w:w="40" w:type="dxa"/>
              <w:left w:w="40" w:type="dxa"/>
              <w:bottom w:w="40" w:type="dxa"/>
              <w:right w:w="40" w:type="dxa"/>
            </w:tcMar>
            <w:vAlign w:val="bottom"/>
          </w:tcPr>
          <w:p w14:paraId="4ACE611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6114"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tcBorders>
              <w:top w:val="single" w:sz="8" w:space="0" w:color="0071C5"/>
            </w:tcBorders>
            <w:shd w:val="clear" w:color="auto" w:fill="auto"/>
            <w:tcMar>
              <w:top w:w="40" w:type="dxa"/>
              <w:bottom w:w="40" w:type="dxa"/>
            </w:tcMar>
            <w:vAlign w:val="bottom"/>
          </w:tcPr>
          <w:p w14:paraId="4ACE6115"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48.06</w:t>
            </w:r>
          </w:p>
        </w:tc>
        <w:tc>
          <w:tcPr>
            <w:tcW w:w="0" w:type="auto"/>
            <w:tcBorders>
              <w:top w:val="single" w:sz="8" w:space="0" w:color="0071C5"/>
            </w:tcBorders>
            <w:shd w:val="clear" w:color="auto" w:fill="auto"/>
            <w:vAlign w:val="bottom"/>
          </w:tcPr>
          <w:p w14:paraId="4ACE611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11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611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tcMar>
            <w:vAlign w:val="bottom"/>
          </w:tcPr>
          <w:p w14:paraId="4ACE6119"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48.95</w:t>
            </w:r>
          </w:p>
        </w:tc>
        <w:tc>
          <w:tcPr>
            <w:tcW w:w="0" w:type="auto"/>
            <w:tcBorders>
              <w:top w:val="single" w:sz="8" w:space="0" w:color="0071C5"/>
            </w:tcBorders>
            <w:shd w:val="clear" w:color="auto" w:fill="auto"/>
            <w:vAlign w:val="bottom"/>
          </w:tcPr>
          <w:p w14:paraId="4ACE611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11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611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tcMar>
            <w:vAlign w:val="bottom"/>
          </w:tcPr>
          <w:p w14:paraId="4ACE611D"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35.30</w:t>
            </w:r>
          </w:p>
        </w:tc>
        <w:tc>
          <w:tcPr>
            <w:tcW w:w="0" w:type="auto"/>
            <w:tcBorders>
              <w:top w:val="single" w:sz="8" w:space="0" w:color="0071C5"/>
            </w:tcBorders>
            <w:shd w:val="clear" w:color="auto" w:fill="auto"/>
            <w:vAlign w:val="bottom"/>
          </w:tcPr>
          <w:p w14:paraId="4ACE611E" w14:textId="77777777" w:rsidR="006F587A" w:rsidRDefault="006F587A">
            <w:pPr>
              <w:textAlignment w:val="bottom"/>
              <w:rPr>
                <w:rFonts w:ascii="Times New Roman" w:hAnsi="Times New Roman"/>
                <w:sz w:val="20"/>
                <w:szCs w:val="20"/>
              </w:rPr>
            </w:pPr>
          </w:p>
        </w:tc>
      </w:tr>
      <w:tr w:rsidR="006F587A" w14:paraId="4ACE612A" w14:textId="77777777">
        <w:tc>
          <w:tcPr>
            <w:tcW w:w="0" w:type="auto"/>
            <w:shd w:val="clear" w:color="auto" w:fill="auto"/>
            <w:tcMar>
              <w:top w:w="40" w:type="dxa"/>
              <w:left w:w="40" w:type="dxa"/>
              <w:bottom w:w="40" w:type="dxa"/>
              <w:right w:w="40" w:type="dxa"/>
            </w:tcMar>
            <w:vAlign w:val="bottom"/>
          </w:tcPr>
          <w:p w14:paraId="4ACE612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Risk-free interest rate</w:t>
            </w:r>
          </w:p>
        </w:tc>
        <w:tc>
          <w:tcPr>
            <w:tcW w:w="0" w:type="auto"/>
            <w:shd w:val="clear" w:color="auto" w:fill="auto"/>
            <w:tcMar>
              <w:top w:w="40" w:type="dxa"/>
              <w:left w:w="40" w:type="dxa"/>
              <w:bottom w:w="40" w:type="dxa"/>
              <w:right w:w="40" w:type="dxa"/>
            </w:tcMar>
            <w:vAlign w:val="bottom"/>
          </w:tcPr>
          <w:p w14:paraId="4ACE612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6122"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2.3</w:t>
            </w:r>
          </w:p>
        </w:tc>
        <w:tc>
          <w:tcPr>
            <w:tcW w:w="0" w:type="auto"/>
            <w:shd w:val="clear" w:color="auto" w:fill="auto"/>
            <w:tcMar>
              <w:top w:w="40" w:type="dxa"/>
              <w:bottom w:w="40" w:type="dxa"/>
              <w:right w:w="40" w:type="dxa"/>
            </w:tcMar>
            <w:vAlign w:val="bottom"/>
          </w:tcPr>
          <w:p w14:paraId="4ACE6123"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612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6125"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2.4</w:t>
            </w:r>
          </w:p>
        </w:tc>
        <w:tc>
          <w:tcPr>
            <w:tcW w:w="0" w:type="auto"/>
            <w:shd w:val="clear" w:color="auto" w:fill="auto"/>
            <w:tcMar>
              <w:top w:w="40" w:type="dxa"/>
              <w:bottom w:w="40" w:type="dxa"/>
              <w:right w:w="40" w:type="dxa"/>
            </w:tcMar>
            <w:vAlign w:val="bottom"/>
          </w:tcPr>
          <w:p w14:paraId="4ACE612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612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612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1.4</w:t>
            </w:r>
          </w:p>
        </w:tc>
        <w:tc>
          <w:tcPr>
            <w:tcW w:w="0" w:type="auto"/>
            <w:shd w:val="clear" w:color="auto" w:fill="auto"/>
            <w:tcMar>
              <w:top w:w="40" w:type="dxa"/>
              <w:bottom w:w="40" w:type="dxa"/>
              <w:right w:w="40" w:type="dxa"/>
            </w:tcMar>
            <w:vAlign w:val="bottom"/>
          </w:tcPr>
          <w:p w14:paraId="4ACE612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6135" w14:textId="77777777">
        <w:tc>
          <w:tcPr>
            <w:tcW w:w="0" w:type="auto"/>
            <w:shd w:val="clear" w:color="auto" w:fill="auto"/>
            <w:tcMar>
              <w:top w:w="40" w:type="dxa"/>
              <w:left w:w="40" w:type="dxa"/>
              <w:bottom w:w="40" w:type="dxa"/>
              <w:right w:w="40" w:type="dxa"/>
            </w:tcMar>
            <w:vAlign w:val="bottom"/>
          </w:tcPr>
          <w:p w14:paraId="4ACE612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Dividend yield</w:t>
            </w:r>
          </w:p>
        </w:tc>
        <w:tc>
          <w:tcPr>
            <w:tcW w:w="0" w:type="auto"/>
            <w:shd w:val="clear" w:color="auto" w:fill="auto"/>
            <w:tcMar>
              <w:top w:w="40" w:type="dxa"/>
              <w:left w:w="40" w:type="dxa"/>
              <w:bottom w:w="40" w:type="dxa"/>
              <w:right w:w="40" w:type="dxa"/>
            </w:tcMar>
            <w:vAlign w:val="bottom"/>
          </w:tcPr>
          <w:p w14:paraId="4ACE612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612D"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2.5</w:t>
            </w:r>
          </w:p>
        </w:tc>
        <w:tc>
          <w:tcPr>
            <w:tcW w:w="0" w:type="auto"/>
            <w:shd w:val="clear" w:color="auto" w:fill="auto"/>
            <w:tcMar>
              <w:top w:w="40" w:type="dxa"/>
              <w:bottom w:w="40" w:type="dxa"/>
              <w:right w:w="40" w:type="dxa"/>
            </w:tcMar>
            <w:vAlign w:val="bottom"/>
          </w:tcPr>
          <w:p w14:paraId="4ACE612E"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612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6130"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2.4</w:t>
            </w:r>
          </w:p>
        </w:tc>
        <w:tc>
          <w:tcPr>
            <w:tcW w:w="0" w:type="auto"/>
            <w:shd w:val="clear" w:color="auto" w:fill="auto"/>
            <w:tcMar>
              <w:top w:w="40" w:type="dxa"/>
              <w:bottom w:w="40" w:type="dxa"/>
              <w:right w:w="40" w:type="dxa"/>
            </w:tcMar>
            <w:vAlign w:val="bottom"/>
          </w:tcPr>
          <w:p w14:paraId="4ACE613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613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6133"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2.9</w:t>
            </w:r>
          </w:p>
        </w:tc>
        <w:tc>
          <w:tcPr>
            <w:tcW w:w="0" w:type="auto"/>
            <w:shd w:val="clear" w:color="auto" w:fill="auto"/>
            <w:tcMar>
              <w:top w:w="40" w:type="dxa"/>
              <w:bottom w:w="40" w:type="dxa"/>
              <w:right w:w="40" w:type="dxa"/>
            </w:tcMar>
            <w:vAlign w:val="bottom"/>
          </w:tcPr>
          <w:p w14:paraId="4ACE613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r w:rsidR="006F587A" w14:paraId="4ACE6140" w14:textId="77777777">
        <w:tc>
          <w:tcPr>
            <w:tcW w:w="0" w:type="auto"/>
            <w:shd w:val="clear" w:color="auto" w:fill="auto"/>
            <w:tcMar>
              <w:top w:w="40" w:type="dxa"/>
              <w:left w:w="40" w:type="dxa"/>
              <w:bottom w:w="40" w:type="dxa"/>
              <w:right w:w="40" w:type="dxa"/>
            </w:tcMar>
            <w:vAlign w:val="bottom"/>
          </w:tcPr>
          <w:p w14:paraId="4ACE613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Volatility</w:t>
            </w:r>
          </w:p>
        </w:tc>
        <w:tc>
          <w:tcPr>
            <w:tcW w:w="0" w:type="auto"/>
            <w:shd w:val="clear" w:color="auto" w:fill="auto"/>
            <w:tcMar>
              <w:top w:w="40" w:type="dxa"/>
              <w:left w:w="40" w:type="dxa"/>
              <w:bottom w:w="40" w:type="dxa"/>
              <w:right w:w="40" w:type="dxa"/>
            </w:tcMar>
            <w:vAlign w:val="bottom"/>
          </w:tcPr>
          <w:p w14:paraId="4ACE613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6138"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25</w:t>
            </w:r>
          </w:p>
        </w:tc>
        <w:tc>
          <w:tcPr>
            <w:tcW w:w="0" w:type="auto"/>
            <w:shd w:val="clear" w:color="auto" w:fill="auto"/>
            <w:tcMar>
              <w:top w:w="40" w:type="dxa"/>
              <w:bottom w:w="40" w:type="dxa"/>
              <w:right w:w="40" w:type="dxa"/>
            </w:tcMar>
            <w:vAlign w:val="bottom"/>
          </w:tcPr>
          <w:p w14:paraId="4ACE6139"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613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613B"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22</w:t>
            </w:r>
          </w:p>
        </w:tc>
        <w:tc>
          <w:tcPr>
            <w:tcW w:w="0" w:type="auto"/>
            <w:shd w:val="clear" w:color="auto" w:fill="auto"/>
            <w:tcMar>
              <w:top w:w="40" w:type="dxa"/>
              <w:bottom w:w="40" w:type="dxa"/>
              <w:right w:w="40" w:type="dxa"/>
            </w:tcMar>
            <w:vAlign w:val="bottom"/>
          </w:tcPr>
          <w:p w14:paraId="4ACE613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4ACE613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ACE613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23</w:t>
            </w:r>
          </w:p>
        </w:tc>
        <w:tc>
          <w:tcPr>
            <w:tcW w:w="0" w:type="auto"/>
            <w:shd w:val="clear" w:color="auto" w:fill="auto"/>
            <w:tcMar>
              <w:top w:w="40" w:type="dxa"/>
              <w:bottom w:w="40" w:type="dxa"/>
              <w:right w:w="40" w:type="dxa"/>
            </w:tcMar>
            <w:vAlign w:val="bottom"/>
          </w:tcPr>
          <w:p w14:paraId="4ACE613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r>
    </w:tbl>
    <w:p w14:paraId="4ACE6141" w14:textId="77777777" w:rsidR="006F587A" w:rsidRDefault="006F587A"/>
    <w:p w14:paraId="4ACE6142" w14:textId="77777777" w:rsidR="006F587A" w:rsidRDefault="007B2B61">
      <w:pPr>
        <w:spacing w:line="288" w:lineRule="auto"/>
        <w:rPr>
          <w:rFonts w:ascii="Times New Roman" w:hAnsi="Times New Roman"/>
          <w:sz w:val="20"/>
          <w:szCs w:val="20"/>
        </w:rPr>
      </w:pPr>
      <w:r>
        <w:rPr>
          <w:rFonts w:ascii="Arial" w:eastAsia="宋体" w:hAnsi="Arial" w:cs="Arial"/>
          <w:color w:val="333333"/>
          <w:sz w:val="18"/>
          <w:szCs w:val="18"/>
        </w:rPr>
        <w:t>Summary of activities:</w:t>
      </w:r>
    </w:p>
    <w:tbl>
      <w:tblPr>
        <w:tblW w:w="5000" w:type="pct"/>
        <w:tblCellMar>
          <w:left w:w="0" w:type="dxa"/>
          <w:right w:w="0" w:type="dxa"/>
        </w:tblCellMar>
        <w:tblLook w:val="04A0" w:firstRow="1" w:lastRow="0" w:firstColumn="1" w:lastColumn="0" w:noHBand="0" w:noVBand="1"/>
      </w:tblPr>
      <w:tblGrid>
        <w:gridCol w:w="6055"/>
        <w:gridCol w:w="130"/>
        <w:gridCol w:w="823"/>
        <w:gridCol w:w="100"/>
        <w:gridCol w:w="130"/>
        <w:gridCol w:w="142"/>
        <w:gridCol w:w="842"/>
        <w:gridCol w:w="84"/>
      </w:tblGrid>
      <w:tr w:rsidR="006F587A" w14:paraId="4ACE6144" w14:textId="77777777">
        <w:tc>
          <w:tcPr>
            <w:tcW w:w="0" w:type="auto"/>
            <w:gridSpan w:val="8"/>
            <w:shd w:val="clear" w:color="auto" w:fill="auto"/>
            <w:vAlign w:val="center"/>
          </w:tcPr>
          <w:p w14:paraId="4ACE6143" w14:textId="77777777" w:rsidR="006F587A" w:rsidRDefault="006F587A">
            <w:pPr>
              <w:rPr>
                <w:rFonts w:ascii="Times New Roman" w:hAnsi="Times New Roman"/>
                <w:sz w:val="20"/>
                <w:szCs w:val="20"/>
              </w:rPr>
            </w:pPr>
          </w:p>
        </w:tc>
      </w:tr>
      <w:tr w:rsidR="006F587A" w14:paraId="4ACE614D" w14:textId="77777777">
        <w:tc>
          <w:tcPr>
            <w:tcW w:w="3700" w:type="pct"/>
            <w:shd w:val="clear" w:color="auto" w:fill="auto"/>
            <w:vAlign w:val="center"/>
          </w:tcPr>
          <w:p w14:paraId="4ACE6145" w14:textId="77777777" w:rsidR="006F587A" w:rsidRDefault="006F587A">
            <w:pPr>
              <w:rPr>
                <w:rFonts w:ascii="Times New Roman" w:hAnsi="Times New Roman"/>
                <w:sz w:val="20"/>
                <w:szCs w:val="20"/>
              </w:rPr>
            </w:pPr>
          </w:p>
        </w:tc>
        <w:tc>
          <w:tcPr>
            <w:tcW w:w="50" w:type="pct"/>
            <w:shd w:val="clear" w:color="auto" w:fill="auto"/>
            <w:vAlign w:val="center"/>
          </w:tcPr>
          <w:p w14:paraId="4ACE6146" w14:textId="77777777" w:rsidR="006F587A" w:rsidRDefault="006F587A">
            <w:pPr>
              <w:rPr>
                <w:rFonts w:ascii="Times New Roman" w:hAnsi="Times New Roman"/>
                <w:sz w:val="20"/>
                <w:szCs w:val="20"/>
              </w:rPr>
            </w:pPr>
          </w:p>
        </w:tc>
        <w:tc>
          <w:tcPr>
            <w:tcW w:w="550" w:type="pct"/>
            <w:shd w:val="clear" w:color="auto" w:fill="auto"/>
            <w:vAlign w:val="center"/>
          </w:tcPr>
          <w:p w14:paraId="4ACE6147" w14:textId="77777777" w:rsidR="006F587A" w:rsidRDefault="006F587A">
            <w:pPr>
              <w:rPr>
                <w:rFonts w:ascii="Times New Roman" w:hAnsi="Times New Roman"/>
                <w:sz w:val="20"/>
                <w:szCs w:val="20"/>
              </w:rPr>
            </w:pPr>
          </w:p>
        </w:tc>
        <w:tc>
          <w:tcPr>
            <w:tcW w:w="50" w:type="pct"/>
            <w:shd w:val="clear" w:color="auto" w:fill="auto"/>
            <w:vAlign w:val="center"/>
          </w:tcPr>
          <w:p w14:paraId="4ACE6148" w14:textId="77777777" w:rsidR="006F587A" w:rsidRDefault="006F587A">
            <w:pPr>
              <w:rPr>
                <w:rFonts w:ascii="Times New Roman" w:hAnsi="Times New Roman"/>
                <w:sz w:val="20"/>
                <w:szCs w:val="20"/>
              </w:rPr>
            </w:pPr>
          </w:p>
        </w:tc>
        <w:tc>
          <w:tcPr>
            <w:tcW w:w="50" w:type="pct"/>
            <w:shd w:val="clear" w:color="auto" w:fill="auto"/>
            <w:vAlign w:val="center"/>
          </w:tcPr>
          <w:p w14:paraId="4ACE6149" w14:textId="77777777" w:rsidR="006F587A" w:rsidRDefault="006F587A">
            <w:pPr>
              <w:rPr>
                <w:rFonts w:ascii="Times New Roman" w:hAnsi="Times New Roman"/>
                <w:sz w:val="20"/>
                <w:szCs w:val="20"/>
              </w:rPr>
            </w:pPr>
          </w:p>
        </w:tc>
        <w:tc>
          <w:tcPr>
            <w:tcW w:w="50" w:type="pct"/>
            <w:shd w:val="clear" w:color="auto" w:fill="auto"/>
            <w:vAlign w:val="center"/>
          </w:tcPr>
          <w:p w14:paraId="4ACE614A" w14:textId="77777777" w:rsidR="006F587A" w:rsidRDefault="006F587A">
            <w:pPr>
              <w:rPr>
                <w:rFonts w:ascii="Times New Roman" w:hAnsi="Times New Roman"/>
                <w:sz w:val="20"/>
                <w:szCs w:val="20"/>
              </w:rPr>
            </w:pPr>
          </w:p>
        </w:tc>
        <w:tc>
          <w:tcPr>
            <w:tcW w:w="500" w:type="pct"/>
            <w:shd w:val="clear" w:color="auto" w:fill="auto"/>
            <w:vAlign w:val="center"/>
          </w:tcPr>
          <w:p w14:paraId="4ACE614B" w14:textId="77777777" w:rsidR="006F587A" w:rsidRDefault="006F587A">
            <w:pPr>
              <w:rPr>
                <w:rFonts w:ascii="Times New Roman" w:hAnsi="Times New Roman"/>
                <w:sz w:val="20"/>
                <w:szCs w:val="20"/>
              </w:rPr>
            </w:pPr>
          </w:p>
        </w:tc>
        <w:tc>
          <w:tcPr>
            <w:tcW w:w="50" w:type="pct"/>
            <w:shd w:val="clear" w:color="auto" w:fill="auto"/>
            <w:vAlign w:val="center"/>
          </w:tcPr>
          <w:p w14:paraId="4ACE614C" w14:textId="77777777" w:rsidR="006F587A" w:rsidRDefault="006F587A">
            <w:pPr>
              <w:rPr>
                <w:rFonts w:ascii="Times New Roman" w:hAnsi="Times New Roman"/>
                <w:sz w:val="20"/>
                <w:szCs w:val="20"/>
              </w:rPr>
            </w:pPr>
          </w:p>
        </w:tc>
      </w:tr>
      <w:tr w:rsidR="006F587A" w14:paraId="4ACE6158"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614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14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71C5"/>
            </w:tcBorders>
            <w:shd w:val="clear" w:color="auto" w:fill="auto"/>
            <w:tcMar>
              <w:top w:w="40" w:type="dxa"/>
              <w:left w:w="40" w:type="dxa"/>
              <w:bottom w:w="40" w:type="dxa"/>
              <w:right w:w="40" w:type="dxa"/>
            </w:tcMar>
            <w:vAlign w:val="bottom"/>
          </w:tcPr>
          <w:p w14:paraId="4ACE6150"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Number of</w:t>
            </w:r>
          </w:p>
          <w:p w14:paraId="4ACE6151"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Stock Units</w:t>
            </w:r>
          </w:p>
          <w:p w14:paraId="4ACE6152"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4ACE615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6154"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Weighted</w:t>
            </w:r>
          </w:p>
          <w:p w14:paraId="4ACE6155"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Average</w:t>
            </w:r>
          </w:p>
          <w:p w14:paraId="4ACE6156"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Grant-Date</w:t>
            </w:r>
          </w:p>
          <w:p w14:paraId="4ACE6157"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Fair Value</w:t>
            </w:r>
          </w:p>
        </w:tc>
      </w:tr>
      <w:tr w:rsidR="006F587A" w14:paraId="4ACE6161" w14:textId="77777777">
        <w:tc>
          <w:tcPr>
            <w:tcW w:w="0" w:type="auto"/>
            <w:shd w:val="clear" w:color="auto" w:fill="auto"/>
            <w:tcMar>
              <w:top w:w="40" w:type="dxa"/>
              <w:left w:w="40" w:type="dxa"/>
              <w:bottom w:w="40" w:type="dxa"/>
              <w:right w:w="40" w:type="dxa"/>
            </w:tcMar>
            <w:vAlign w:val="bottom"/>
          </w:tcPr>
          <w:p w14:paraId="4ACE6159"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December 29, 2018</w:t>
            </w:r>
          </w:p>
        </w:tc>
        <w:tc>
          <w:tcPr>
            <w:tcW w:w="0" w:type="auto"/>
            <w:shd w:val="clear" w:color="auto" w:fill="auto"/>
            <w:tcMar>
              <w:top w:w="40" w:type="dxa"/>
              <w:left w:w="40" w:type="dxa"/>
              <w:bottom w:w="40" w:type="dxa"/>
              <w:right w:w="40" w:type="dxa"/>
            </w:tcMar>
            <w:vAlign w:val="bottom"/>
          </w:tcPr>
          <w:p w14:paraId="4ACE615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615B"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89.9</w:t>
            </w:r>
          </w:p>
        </w:tc>
        <w:tc>
          <w:tcPr>
            <w:tcW w:w="0" w:type="auto"/>
            <w:tcBorders>
              <w:top w:val="single" w:sz="8" w:space="0" w:color="0071C5"/>
            </w:tcBorders>
            <w:shd w:val="clear" w:color="auto" w:fill="auto"/>
            <w:vAlign w:val="bottom"/>
          </w:tcPr>
          <w:p w14:paraId="4ACE615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15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4ACE615E"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0071C5"/>
            </w:tcBorders>
            <w:shd w:val="clear" w:color="auto" w:fill="auto"/>
            <w:tcMar>
              <w:top w:w="40" w:type="dxa"/>
              <w:bottom w:w="40" w:type="dxa"/>
            </w:tcMar>
            <w:vAlign w:val="bottom"/>
          </w:tcPr>
          <w:p w14:paraId="4ACE615F" w14:textId="77777777" w:rsidR="006F587A" w:rsidRDefault="007B2B61">
            <w:pPr>
              <w:jc w:val="right"/>
              <w:textAlignment w:val="bottom"/>
              <w:rPr>
                <w:rFonts w:ascii="Times New Roman" w:hAnsi="Times New Roman"/>
                <w:sz w:val="18"/>
                <w:szCs w:val="18"/>
              </w:rPr>
            </w:pPr>
            <w:r>
              <w:rPr>
                <w:rFonts w:ascii="Arial" w:eastAsia="宋体" w:hAnsi="Arial" w:cs="Arial"/>
                <w:b/>
                <w:bCs/>
                <w:color w:val="333333"/>
                <w:sz w:val="18"/>
                <w:szCs w:val="18"/>
              </w:rPr>
              <w:t>39.07</w:t>
            </w:r>
          </w:p>
        </w:tc>
        <w:tc>
          <w:tcPr>
            <w:tcW w:w="0" w:type="auto"/>
            <w:tcBorders>
              <w:top w:val="single" w:sz="8" w:space="0" w:color="0071C5"/>
            </w:tcBorders>
            <w:shd w:val="clear" w:color="auto" w:fill="auto"/>
            <w:vAlign w:val="bottom"/>
          </w:tcPr>
          <w:p w14:paraId="4ACE6160" w14:textId="77777777" w:rsidR="006F587A" w:rsidRDefault="006F587A">
            <w:pPr>
              <w:textAlignment w:val="bottom"/>
              <w:rPr>
                <w:rFonts w:ascii="Times New Roman" w:hAnsi="Times New Roman"/>
                <w:sz w:val="20"/>
                <w:szCs w:val="20"/>
              </w:rPr>
            </w:pPr>
          </w:p>
        </w:tc>
      </w:tr>
      <w:tr w:rsidR="006F587A" w14:paraId="4ACE616A" w14:textId="77777777">
        <w:tc>
          <w:tcPr>
            <w:tcW w:w="0" w:type="auto"/>
            <w:shd w:val="clear" w:color="auto" w:fill="auto"/>
            <w:tcMar>
              <w:top w:w="40" w:type="dxa"/>
              <w:left w:w="40" w:type="dxa"/>
              <w:bottom w:w="40" w:type="dxa"/>
              <w:right w:w="40" w:type="dxa"/>
            </w:tcMar>
            <w:vAlign w:val="bottom"/>
          </w:tcPr>
          <w:p w14:paraId="4ACE616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Granted</w:t>
            </w:r>
          </w:p>
        </w:tc>
        <w:tc>
          <w:tcPr>
            <w:tcW w:w="0" w:type="auto"/>
            <w:shd w:val="clear" w:color="auto" w:fill="auto"/>
            <w:tcMar>
              <w:top w:w="40" w:type="dxa"/>
              <w:left w:w="40" w:type="dxa"/>
              <w:bottom w:w="40" w:type="dxa"/>
              <w:right w:w="40" w:type="dxa"/>
            </w:tcMar>
            <w:vAlign w:val="bottom"/>
          </w:tcPr>
          <w:p w14:paraId="4ACE616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164"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37.6</w:t>
            </w:r>
          </w:p>
        </w:tc>
        <w:tc>
          <w:tcPr>
            <w:tcW w:w="0" w:type="auto"/>
            <w:shd w:val="clear" w:color="auto" w:fill="auto"/>
            <w:vAlign w:val="bottom"/>
          </w:tcPr>
          <w:p w14:paraId="4ACE616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16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167"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6168"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48.06</w:t>
            </w:r>
          </w:p>
        </w:tc>
        <w:tc>
          <w:tcPr>
            <w:tcW w:w="0" w:type="auto"/>
            <w:shd w:val="clear" w:color="auto" w:fill="auto"/>
            <w:vAlign w:val="bottom"/>
          </w:tcPr>
          <w:p w14:paraId="4ACE6169" w14:textId="77777777" w:rsidR="006F587A" w:rsidRDefault="006F587A">
            <w:pPr>
              <w:textAlignment w:val="bottom"/>
              <w:rPr>
                <w:rFonts w:ascii="Times New Roman" w:hAnsi="Times New Roman"/>
                <w:sz w:val="20"/>
                <w:szCs w:val="20"/>
              </w:rPr>
            </w:pPr>
          </w:p>
        </w:tc>
      </w:tr>
      <w:tr w:rsidR="006F587A" w14:paraId="4ACE6173" w14:textId="77777777">
        <w:tc>
          <w:tcPr>
            <w:tcW w:w="0" w:type="auto"/>
            <w:shd w:val="clear" w:color="auto" w:fill="auto"/>
            <w:tcMar>
              <w:top w:w="40" w:type="dxa"/>
              <w:left w:w="40" w:type="dxa"/>
              <w:bottom w:w="40" w:type="dxa"/>
              <w:right w:w="40" w:type="dxa"/>
            </w:tcMar>
            <w:vAlign w:val="bottom"/>
          </w:tcPr>
          <w:p w14:paraId="4ACE616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Vested</w:t>
            </w:r>
          </w:p>
        </w:tc>
        <w:tc>
          <w:tcPr>
            <w:tcW w:w="0" w:type="auto"/>
            <w:shd w:val="clear" w:color="auto" w:fill="auto"/>
            <w:tcMar>
              <w:top w:w="40" w:type="dxa"/>
              <w:left w:w="40" w:type="dxa"/>
              <w:bottom w:w="40" w:type="dxa"/>
              <w:right w:w="40" w:type="dxa"/>
            </w:tcMar>
            <w:vAlign w:val="bottom"/>
          </w:tcPr>
          <w:p w14:paraId="4ACE616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16D"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(35.2</w:t>
            </w:r>
          </w:p>
        </w:tc>
        <w:tc>
          <w:tcPr>
            <w:tcW w:w="0" w:type="auto"/>
            <w:shd w:val="clear" w:color="auto" w:fill="auto"/>
            <w:tcMar>
              <w:top w:w="40" w:type="dxa"/>
              <w:bottom w:w="40" w:type="dxa"/>
              <w:right w:w="40" w:type="dxa"/>
            </w:tcMar>
            <w:vAlign w:val="bottom"/>
          </w:tcPr>
          <w:p w14:paraId="4ACE616E"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616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170"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6171"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36.51</w:t>
            </w:r>
          </w:p>
        </w:tc>
        <w:tc>
          <w:tcPr>
            <w:tcW w:w="0" w:type="auto"/>
            <w:shd w:val="clear" w:color="auto" w:fill="auto"/>
            <w:vAlign w:val="bottom"/>
          </w:tcPr>
          <w:p w14:paraId="4ACE6172" w14:textId="77777777" w:rsidR="006F587A" w:rsidRDefault="006F587A">
            <w:pPr>
              <w:textAlignment w:val="bottom"/>
              <w:rPr>
                <w:rFonts w:ascii="Times New Roman" w:hAnsi="Times New Roman"/>
                <w:sz w:val="20"/>
                <w:szCs w:val="20"/>
              </w:rPr>
            </w:pPr>
          </w:p>
        </w:tc>
      </w:tr>
      <w:tr w:rsidR="006F587A" w14:paraId="4ACE617C" w14:textId="77777777">
        <w:tc>
          <w:tcPr>
            <w:tcW w:w="0" w:type="auto"/>
            <w:shd w:val="clear" w:color="auto" w:fill="auto"/>
            <w:tcMar>
              <w:top w:w="40" w:type="dxa"/>
              <w:left w:w="40" w:type="dxa"/>
              <w:bottom w:w="40" w:type="dxa"/>
              <w:right w:w="40" w:type="dxa"/>
            </w:tcMar>
            <w:vAlign w:val="bottom"/>
          </w:tcPr>
          <w:p w14:paraId="4ACE617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Forfeited</w:t>
            </w:r>
          </w:p>
        </w:tc>
        <w:tc>
          <w:tcPr>
            <w:tcW w:w="0" w:type="auto"/>
            <w:shd w:val="clear" w:color="auto" w:fill="auto"/>
            <w:tcMar>
              <w:top w:w="40" w:type="dxa"/>
              <w:left w:w="40" w:type="dxa"/>
              <w:bottom w:w="40" w:type="dxa"/>
              <w:right w:w="40" w:type="dxa"/>
            </w:tcMar>
            <w:vAlign w:val="bottom"/>
          </w:tcPr>
          <w:p w14:paraId="4ACE617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176"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(8.2</w:t>
            </w:r>
          </w:p>
        </w:tc>
        <w:tc>
          <w:tcPr>
            <w:tcW w:w="0" w:type="auto"/>
            <w:shd w:val="clear" w:color="auto" w:fill="auto"/>
            <w:tcMar>
              <w:top w:w="40" w:type="dxa"/>
              <w:bottom w:w="40" w:type="dxa"/>
              <w:right w:w="40" w:type="dxa"/>
            </w:tcMar>
            <w:vAlign w:val="bottom"/>
          </w:tcPr>
          <w:p w14:paraId="4ACE6177"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4ACE617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179"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617A"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42.20</w:t>
            </w:r>
          </w:p>
        </w:tc>
        <w:tc>
          <w:tcPr>
            <w:tcW w:w="0" w:type="auto"/>
            <w:shd w:val="clear" w:color="auto" w:fill="auto"/>
            <w:vAlign w:val="bottom"/>
          </w:tcPr>
          <w:p w14:paraId="4ACE617B" w14:textId="77777777" w:rsidR="006F587A" w:rsidRDefault="006F587A">
            <w:pPr>
              <w:textAlignment w:val="bottom"/>
              <w:rPr>
                <w:rFonts w:ascii="Times New Roman" w:hAnsi="Times New Roman"/>
                <w:sz w:val="20"/>
                <w:szCs w:val="20"/>
              </w:rPr>
            </w:pPr>
          </w:p>
        </w:tc>
      </w:tr>
      <w:tr w:rsidR="006F587A" w14:paraId="4ACE6185" w14:textId="77777777">
        <w:tc>
          <w:tcPr>
            <w:tcW w:w="0" w:type="auto"/>
            <w:shd w:val="clear" w:color="auto" w:fill="auto"/>
            <w:tcMar>
              <w:top w:w="40" w:type="dxa"/>
              <w:left w:w="40" w:type="dxa"/>
              <w:bottom w:w="40" w:type="dxa"/>
              <w:right w:w="40" w:type="dxa"/>
            </w:tcMar>
            <w:vAlign w:val="bottom"/>
          </w:tcPr>
          <w:p w14:paraId="4ACE617D"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lastRenderedPageBreak/>
              <w:t>December 28, 2019</w:t>
            </w:r>
          </w:p>
        </w:tc>
        <w:tc>
          <w:tcPr>
            <w:tcW w:w="0" w:type="auto"/>
            <w:shd w:val="clear" w:color="auto" w:fill="auto"/>
            <w:tcMar>
              <w:top w:w="40" w:type="dxa"/>
              <w:left w:w="40" w:type="dxa"/>
              <w:bottom w:w="40" w:type="dxa"/>
              <w:right w:w="40" w:type="dxa"/>
            </w:tcMar>
            <w:vAlign w:val="bottom"/>
          </w:tcPr>
          <w:p w14:paraId="4ACE617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single" w:sz="8" w:space="0" w:color="333333"/>
            </w:tcBorders>
            <w:shd w:val="clear" w:color="auto" w:fill="auto"/>
            <w:tcMar>
              <w:top w:w="40" w:type="dxa"/>
              <w:left w:w="40" w:type="dxa"/>
              <w:bottom w:w="40" w:type="dxa"/>
            </w:tcMar>
            <w:vAlign w:val="bottom"/>
          </w:tcPr>
          <w:p w14:paraId="4ACE617F"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84.1</w:t>
            </w:r>
          </w:p>
        </w:tc>
        <w:tc>
          <w:tcPr>
            <w:tcW w:w="0" w:type="auto"/>
            <w:tcBorders>
              <w:top w:val="single" w:sz="8" w:space="0" w:color="333333"/>
              <w:bottom w:val="single" w:sz="8" w:space="0" w:color="333333"/>
            </w:tcBorders>
            <w:shd w:val="clear" w:color="auto" w:fill="auto"/>
            <w:vAlign w:val="bottom"/>
          </w:tcPr>
          <w:p w14:paraId="4ACE618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18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182"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bottom w:w="40" w:type="dxa"/>
            </w:tcMar>
            <w:vAlign w:val="bottom"/>
          </w:tcPr>
          <w:p w14:paraId="4ACE6183"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43.86</w:t>
            </w:r>
          </w:p>
        </w:tc>
        <w:tc>
          <w:tcPr>
            <w:tcW w:w="0" w:type="auto"/>
            <w:shd w:val="clear" w:color="auto" w:fill="auto"/>
            <w:vAlign w:val="bottom"/>
          </w:tcPr>
          <w:p w14:paraId="4ACE6184" w14:textId="77777777" w:rsidR="006F587A" w:rsidRDefault="006F587A">
            <w:pPr>
              <w:textAlignment w:val="bottom"/>
              <w:rPr>
                <w:rFonts w:ascii="Times New Roman" w:hAnsi="Times New Roman"/>
                <w:sz w:val="20"/>
                <w:szCs w:val="20"/>
              </w:rPr>
            </w:pPr>
          </w:p>
        </w:tc>
      </w:tr>
      <w:tr w:rsidR="006F587A" w14:paraId="4ACE618D" w14:textId="77777777">
        <w:tc>
          <w:tcPr>
            <w:tcW w:w="0" w:type="auto"/>
            <w:gridSpan w:val="2"/>
            <w:shd w:val="clear" w:color="auto" w:fill="auto"/>
            <w:tcMar>
              <w:top w:w="40" w:type="dxa"/>
              <w:left w:w="40" w:type="dxa"/>
              <w:bottom w:w="40" w:type="dxa"/>
              <w:right w:w="40" w:type="dxa"/>
            </w:tcMar>
            <w:vAlign w:val="bottom"/>
          </w:tcPr>
          <w:p w14:paraId="4ACE6186"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Expected to vest</w:t>
            </w:r>
          </w:p>
        </w:tc>
        <w:tc>
          <w:tcPr>
            <w:tcW w:w="0" w:type="auto"/>
            <w:tcBorders>
              <w:bottom w:val="double" w:sz="6" w:space="0" w:color="333333"/>
            </w:tcBorders>
            <w:shd w:val="clear" w:color="auto" w:fill="auto"/>
            <w:tcMar>
              <w:top w:w="40" w:type="dxa"/>
              <w:left w:w="40" w:type="dxa"/>
              <w:bottom w:w="40" w:type="dxa"/>
            </w:tcMar>
            <w:vAlign w:val="bottom"/>
          </w:tcPr>
          <w:p w14:paraId="4ACE6187"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79.8</w:t>
            </w:r>
          </w:p>
        </w:tc>
        <w:tc>
          <w:tcPr>
            <w:tcW w:w="0" w:type="auto"/>
            <w:tcBorders>
              <w:bottom w:val="double" w:sz="6" w:space="0" w:color="333333"/>
            </w:tcBorders>
            <w:shd w:val="clear" w:color="auto" w:fill="auto"/>
            <w:vAlign w:val="bottom"/>
          </w:tcPr>
          <w:p w14:paraId="4ACE618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18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18A" w14:textId="77777777" w:rsidR="006F587A" w:rsidRDefault="007B2B61">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bottom w:w="40" w:type="dxa"/>
            </w:tcMar>
            <w:vAlign w:val="bottom"/>
          </w:tcPr>
          <w:p w14:paraId="4ACE618B" w14:textId="77777777" w:rsidR="006F587A" w:rsidRDefault="007B2B61">
            <w:pPr>
              <w:jc w:val="right"/>
              <w:textAlignment w:val="bottom"/>
              <w:rPr>
                <w:rFonts w:ascii="Times New Roman" w:hAnsi="Times New Roman"/>
                <w:sz w:val="18"/>
                <w:szCs w:val="18"/>
              </w:rPr>
            </w:pPr>
            <w:r>
              <w:rPr>
                <w:rFonts w:ascii="Arial" w:eastAsia="宋体" w:hAnsi="Arial" w:cs="Arial"/>
                <w:b/>
                <w:bCs/>
                <w:color w:val="0071C5"/>
                <w:sz w:val="18"/>
                <w:szCs w:val="18"/>
              </w:rPr>
              <w:t>43.72</w:t>
            </w:r>
          </w:p>
        </w:tc>
        <w:tc>
          <w:tcPr>
            <w:tcW w:w="0" w:type="auto"/>
            <w:shd w:val="clear" w:color="auto" w:fill="auto"/>
            <w:vAlign w:val="bottom"/>
          </w:tcPr>
          <w:p w14:paraId="4ACE618C" w14:textId="77777777" w:rsidR="006F587A" w:rsidRDefault="006F587A">
            <w:pPr>
              <w:textAlignment w:val="bottom"/>
              <w:rPr>
                <w:rFonts w:ascii="Times New Roman" w:hAnsi="Times New Roman"/>
                <w:sz w:val="20"/>
                <w:szCs w:val="20"/>
              </w:rPr>
            </w:pPr>
          </w:p>
        </w:tc>
      </w:tr>
    </w:tbl>
    <w:p w14:paraId="4ACE618E" w14:textId="77777777" w:rsidR="006F587A" w:rsidRDefault="006F587A"/>
    <w:p w14:paraId="4ACE618F"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The aggregate fair value of awards that vested in 2019 was $1.9 billion ($2.0 billion in 2018 and $1.6 billion in 2017), which represents the market value of our common stock on the date that the RSUs vested. The </w:t>
      </w:r>
      <w:r>
        <w:rPr>
          <w:rFonts w:ascii="Arial" w:eastAsia="宋体" w:hAnsi="Arial" w:cs="Arial"/>
          <w:color w:val="333333"/>
          <w:sz w:val="18"/>
          <w:szCs w:val="18"/>
        </w:rPr>
        <w:t>grant-date fair value of awards that vested in 2019 was $1.3 billion ($1.2 billion in 2018 and $1.1 billion in 2017). The number of RSUs vested includes shares of common stock that we withheld on behalf of employees to satisfy the minimum statutory tax wit</w:t>
      </w:r>
      <w:r>
        <w:rPr>
          <w:rFonts w:ascii="Arial" w:eastAsia="宋体" w:hAnsi="Arial" w:cs="Arial"/>
          <w:color w:val="333333"/>
          <w:sz w:val="18"/>
          <w:szCs w:val="18"/>
        </w:rPr>
        <w:t>hholding requirements. RSUs that are expected to vest are net of estimated future forfeitures.</w:t>
      </w:r>
    </w:p>
    <w:p w14:paraId="4ACE6190"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As of December 28, 2019, unrecognized compensation costs related to RSUs granted under our equity incentive plans were $2.1 billion. We expect to recognize those</w:t>
      </w:r>
      <w:r>
        <w:rPr>
          <w:rFonts w:ascii="Arial" w:eastAsia="宋体" w:hAnsi="Arial" w:cs="Arial"/>
          <w:color w:val="333333"/>
          <w:sz w:val="18"/>
          <w:szCs w:val="18"/>
        </w:rPr>
        <w:t xml:space="preserve"> costs over a weighted average period of 1.3 years.</w:t>
      </w:r>
    </w:p>
    <w:p w14:paraId="4ACE6191" w14:textId="77777777" w:rsidR="006F587A" w:rsidRDefault="007B2B61">
      <w:pPr>
        <w:spacing w:line="288" w:lineRule="auto"/>
        <w:rPr>
          <w:rFonts w:ascii="Times New Roman" w:hAnsi="Times New Roman"/>
        </w:rPr>
      </w:pPr>
      <w:r>
        <w:rPr>
          <w:rFonts w:ascii="Arial" w:eastAsia="宋体" w:hAnsi="Arial" w:cs="Arial"/>
          <w:b/>
          <w:bCs/>
          <w:color w:val="0071C5"/>
        </w:rPr>
        <w:t>STOCK PURCHASE PLAN</w:t>
      </w:r>
    </w:p>
    <w:p w14:paraId="4ACE6192"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The 2006 ESPP allows eligible employees to purchase shares of our common stock at 85% of the value of our common stock on specific dates. Under the 2006 ESPP, 373 million shares of com</w:t>
      </w:r>
      <w:r>
        <w:rPr>
          <w:rFonts w:ascii="Arial" w:eastAsia="宋体" w:hAnsi="Arial" w:cs="Arial"/>
          <w:color w:val="333333"/>
          <w:sz w:val="18"/>
          <w:szCs w:val="18"/>
        </w:rPr>
        <w:t>mon stock are authorized for issuance through August 2021. As of December 28, 2019, 119 million shares of common stock remained available for issuance.</w:t>
      </w:r>
    </w:p>
    <w:p w14:paraId="4ACE6193"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Employees purchased 17.1 million shares of common stock in 2019 for $688 million under the 2006 ESPP (13</w:t>
      </w:r>
      <w:r>
        <w:rPr>
          <w:rFonts w:ascii="Arial" w:eastAsia="宋体" w:hAnsi="Arial" w:cs="Arial"/>
          <w:color w:val="333333"/>
          <w:sz w:val="18"/>
          <w:szCs w:val="18"/>
        </w:rPr>
        <w:t>.7 million shares of common stock for $468 million in 2018 and 14.5 million shares of common stock for $432 million in 2017). As of December 28, 2019, unrecognized share-based compensation costs related to rights to acquire shares of common stock under the</w:t>
      </w:r>
      <w:r>
        <w:rPr>
          <w:rFonts w:ascii="Arial" w:eastAsia="宋体" w:hAnsi="Arial" w:cs="Arial"/>
          <w:color w:val="333333"/>
          <w:sz w:val="18"/>
          <w:szCs w:val="18"/>
        </w:rPr>
        <w:t xml:space="preserve"> 2006 ESPP totaled $42 million. We expect to recognize those costs over a period of approximately two months.</w:t>
      </w:r>
    </w:p>
    <w:p w14:paraId="4ACE6194"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6196" w14:textId="77777777">
        <w:tc>
          <w:tcPr>
            <w:tcW w:w="0" w:type="auto"/>
            <w:gridSpan w:val="3"/>
            <w:shd w:val="clear" w:color="auto" w:fill="auto"/>
            <w:vAlign w:val="center"/>
          </w:tcPr>
          <w:p w14:paraId="4ACE6195" w14:textId="77777777" w:rsidR="006F587A" w:rsidRDefault="006F587A">
            <w:pPr>
              <w:rPr>
                <w:rFonts w:ascii="Times New Roman" w:hAnsi="Times New Roman"/>
                <w:sz w:val="20"/>
                <w:szCs w:val="20"/>
              </w:rPr>
            </w:pPr>
          </w:p>
        </w:tc>
      </w:tr>
      <w:tr w:rsidR="006F587A" w14:paraId="4ACE619A" w14:textId="77777777">
        <w:tc>
          <w:tcPr>
            <w:tcW w:w="1300" w:type="pct"/>
            <w:shd w:val="clear" w:color="auto" w:fill="auto"/>
            <w:vAlign w:val="center"/>
          </w:tcPr>
          <w:p w14:paraId="4ACE6197" w14:textId="77777777" w:rsidR="006F587A" w:rsidRDefault="006F587A">
            <w:pPr>
              <w:rPr>
                <w:rFonts w:ascii="Times New Roman" w:hAnsi="Times New Roman"/>
                <w:sz w:val="20"/>
                <w:szCs w:val="20"/>
              </w:rPr>
            </w:pPr>
          </w:p>
        </w:tc>
        <w:tc>
          <w:tcPr>
            <w:tcW w:w="1600" w:type="pct"/>
            <w:shd w:val="clear" w:color="auto" w:fill="auto"/>
            <w:vAlign w:val="center"/>
          </w:tcPr>
          <w:p w14:paraId="4ACE6198" w14:textId="77777777" w:rsidR="006F587A" w:rsidRDefault="006F587A">
            <w:pPr>
              <w:rPr>
                <w:rFonts w:ascii="Times New Roman" w:hAnsi="Times New Roman"/>
                <w:sz w:val="20"/>
                <w:szCs w:val="20"/>
              </w:rPr>
            </w:pPr>
          </w:p>
        </w:tc>
        <w:tc>
          <w:tcPr>
            <w:tcW w:w="2100" w:type="pct"/>
            <w:shd w:val="clear" w:color="auto" w:fill="auto"/>
            <w:vAlign w:val="center"/>
          </w:tcPr>
          <w:p w14:paraId="4ACE6199" w14:textId="77777777" w:rsidR="006F587A" w:rsidRDefault="006F587A">
            <w:pPr>
              <w:rPr>
                <w:rFonts w:ascii="Times New Roman" w:hAnsi="Times New Roman"/>
                <w:sz w:val="20"/>
                <w:szCs w:val="20"/>
              </w:rPr>
            </w:pPr>
          </w:p>
        </w:tc>
      </w:tr>
      <w:tr w:rsidR="006F587A" w14:paraId="4ACE619E" w14:textId="77777777">
        <w:tc>
          <w:tcPr>
            <w:tcW w:w="0" w:type="auto"/>
            <w:tcBorders>
              <w:top w:val="single" w:sz="8" w:space="0" w:color="0071C5"/>
            </w:tcBorders>
            <w:shd w:val="clear" w:color="auto" w:fill="auto"/>
            <w:tcMar>
              <w:top w:w="40" w:type="dxa"/>
              <w:left w:w="40" w:type="dxa"/>
              <w:bottom w:w="40" w:type="dxa"/>
              <w:right w:w="40" w:type="dxa"/>
            </w:tcMar>
            <w:vAlign w:val="bottom"/>
          </w:tcPr>
          <w:p w14:paraId="4ACE619B" w14:textId="77777777" w:rsidR="006F587A" w:rsidRDefault="007B2B61">
            <w:pPr>
              <w:textAlignment w:val="bottom"/>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E26" wp14:editId="4ACE6E27">
                  <wp:extent cx="304800" cy="304800"/>
                  <wp:effectExtent l="0" t="0" r="0" b="0"/>
                  <wp:docPr id="119" name="图片 350"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350"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left w:val="single" w:sz="36" w:space="0" w:color="0071C5"/>
            </w:tcBorders>
            <w:shd w:val="clear" w:color="auto" w:fill="auto"/>
            <w:tcMar>
              <w:top w:w="40" w:type="dxa"/>
              <w:left w:w="40" w:type="dxa"/>
              <w:bottom w:w="40" w:type="dxa"/>
              <w:right w:w="40" w:type="dxa"/>
            </w:tcMar>
            <w:vAlign w:val="bottom"/>
          </w:tcPr>
          <w:p w14:paraId="4ACE619C" w14:textId="77777777" w:rsidR="006F587A" w:rsidRDefault="007B2B61">
            <w:pPr>
              <w:textAlignment w:val="bottom"/>
              <w:rPr>
                <w:rFonts w:ascii="Times New Roman" w:hAnsi="Times New Roman"/>
                <w:sz w:val="16"/>
                <w:szCs w:val="16"/>
              </w:rPr>
            </w:pPr>
            <w:r>
              <w:rPr>
                <w:rFonts w:ascii="Arial" w:eastAsia="宋体" w:hAnsi="Arial" w:cs="Arial"/>
                <w:color w:val="333333"/>
                <w:sz w:val="16"/>
                <w:szCs w:val="16"/>
              </w:rPr>
              <w:t> Notes to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619D"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106</w:t>
            </w:r>
          </w:p>
        </w:tc>
      </w:tr>
    </w:tbl>
    <w:p w14:paraId="4ACE619F" w14:textId="77777777" w:rsidR="006F587A" w:rsidRDefault="007B2B61">
      <w:r>
        <w:pict w14:anchorId="4ACE6E28">
          <v:rect id="_x0000_i1132" style="width:415.3pt;height:1.5pt" o:hralign="center" o:hrstd="t" o:hr="t" fillcolor="#a0a0a0" stroked="f"/>
        </w:pict>
      </w:r>
    </w:p>
    <w:p w14:paraId="4ACE61A0" w14:textId="77777777" w:rsidR="006F587A" w:rsidRDefault="007B2B61">
      <w:pPr>
        <w:spacing w:line="288" w:lineRule="auto"/>
        <w:jc w:val="right"/>
        <w:rPr>
          <w:rFonts w:ascii="Times New Roman" w:hAnsi="Times New Roman"/>
          <w:sz w:val="16"/>
          <w:szCs w:val="16"/>
        </w:rPr>
      </w:pPr>
      <w:hyperlink r:id="rId171" w:anchor="s9DB683E2CF52561EB8A73BE37F5BF9BE" w:history="1">
        <w:r>
          <w:rPr>
            <w:rStyle w:val="a5"/>
            <w:rFonts w:ascii="Arial" w:eastAsia="宋体" w:hAnsi="Arial" w:cs="Arial"/>
            <w:b/>
            <w:bCs/>
            <w:sz w:val="16"/>
            <w:szCs w:val="16"/>
          </w:rPr>
          <w:t>Table of Contents</w:t>
        </w:r>
      </w:hyperlink>
    </w:p>
    <w:p w14:paraId="4ACE61A1" w14:textId="77777777" w:rsidR="006F587A" w:rsidRDefault="006F587A">
      <w:pPr>
        <w:spacing w:line="288" w:lineRule="auto"/>
        <w:jc w:val="right"/>
        <w:rPr>
          <w:rFonts w:ascii="Times New Roman" w:hAnsi="Times New Roman"/>
          <w:sz w:val="16"/>
          <w:szCs w:val="16"/>
        </w:rPr>
      </w:pPr>
    </w:p>
    <w:p w14:paraId="4ACE61A2"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1080"/>
        <w:gridCol w:w="7226"/>
      </w:tblGrid>
      <w:tr w:rsidR="006F587A" w14:paraId="4ACE61A4" w14:textId="77777777">
        <w:tc>
          <w:tcPr>
            <w:tcW w:w="0" w:type="auto"/>
            <w:gridSpan w:val="2"/>
            <w:shd w:val="clear" w:color="auto" w:fill="auto"/>
            <w:vAlign w:val="center"/>
          </w:tcPr>
          <w:p w14:paraId="4ACE61A3" w14:textId="77777777" w:rsidR="006F587A" w:rsidRDefault="006F587A">
            <w:pPr>
              <w:rPr>
                <w:rFonts w:ascii="Times New Roman" w:hAnsi="Times New Roman"/>
                <w:sz w:val="20"/>
                <w:szCs w:val="20"/>
              </w:rPr>
            </w:pPr>
          </w:p>
        </w:tc>
      </w:tr>
      <w:tr w:rsidR="006F587A" w14:paraId="4ACE61A7" w14:textId="77777777">
        <w:tc>
          <w:tcPr>
            <w:tcW w:w="650" w:type="pct"/>
            <w:shd w:val="clear" w:color="auto" w:fill="auto"/>
            <w:vAlign w:val="center"/>
          </w:tcPr>
          <w:p w14:paraId="4ACE61A5" w14:textId="77777777" w:rsidR="006F587A" w:rsidRDefault="006F587A">
            <w:pPr>
              <w:rPr>
                <w:rFonts w:ascii="Times New Roman" w:hAnsi="Times New Roman"/>
                <w:sz w:val="20"/>
                <w:szCs w:val="20"/>
              </w:rPr>
            </w:pPr>
          </w:p>
        </w:tc>
        <w:tc>
          <w:tcPr>
            <w:tcW w:w="4350" w:type="pct"/>
            <w:shd w:val="clear" w:color="auto" w:fill="auto"/>
            <w:vAlign w:val="center"/>
          </w:tcPr>
          <w:p w14:paraId="4ACE61A6" w14:textId="77777777" w:rsidR="006F587A" w:rsidRDefault="006F587A">
            <w:pPr>
              <w:rPr>
                <w:rFonts w:ascii="Times New Roman" w:hAnsi="Times New Roman"/>
                <w:sz w:val="20"/>
                <w:szCs w:val="20"/>
              </w:rPr>
            </w:pPr>
          </w:p>
        </w:tc>
      </w:tr>
      <w:tr w:rsidR="006F587A" w14:paraId="4ACE61AA" w14:textId="77777777">
        <w:tc>
          <w:tcPr>
            <w:tcW w:w="0" w:type="auto"/>
            <w:tcBorders>
              <w:bottom w:val="single" w:sz="8" w:space="0" w:color="0071C5"/>
            </w:tcBorders>
            <w:shd w:val="clear" w:color="auto" w:fill="0071C5"/>
            <w:tcMar>
              <w:top w:w="40" w:type="dxa"/>
              <w:left w:w="40" w:type="dxa"/>
              <w:bottom w:w="40" w:type="dxa"/>
              <w:right w:w="40" w:type="dxa"/>
            </w:tcMar>
            <w:vAlign w:val="bottom"/>
          </w:tcPr>
          <w:p w14:paraId="4ACE61A8" w14:textId="77777777" w:rsidR="006F587A" w:rsidRDefault="007B2B61">
            <w:pPr>
              <w:textAlignment w:val="bottom"/>
              <w:rPr>
                <w:rFonts w:ascii="Times New Roman" w:hAnsi="Times New Roman"/>
                <w:sz w:val="28"/>
                <w:szCs w:val="28"/>
              </w:rPr>
            </w:pPr>
            <w:r>
              <w:rPr>
                <w:rFonts w:ascii="Arial" w:eastAsia="宋体" w:hAnsi="Arial" w:cs="Arial"/>
                <w:b/>
                <w:bCs/>
                <w:color w:val="FFFFFF"/>
                <w:sz w:val="28"/>
                <w:szCs w:val="28"/>
                <w:shd w:val="clear" w:color="auto" w:fill="0071C5"/>
              </w:rPr>
              <w:t xml:space="preserve">NOTE 20 : </w:t>
            </w:r>
          </w:p>
        </w:tc>
        <w:tc>
          <w:tcPr>
            <w:tcW w:w="0" w:type="auto"/>
            <w:tcBorders>
              <w:bottom w:val="single" w:sz="8" w:space="0" w:color="0071C5"/>
            </w:tcBorders>
            <w:shd w:val="clear" w:color="auto" w:fill="auto"/>
            <w:tcMar>
              <w:top w:w="40" w:type="dxa"/>
              <w:left w:w="40" w:type="dxa"/>
              <w:bottom w:w="40" w:type="dxa"/>
              <w:right w:w="40" w:type="dxa"/>
            </w:tcMar>
            <w:vAlign w:val="bottom"/>
          </w:tcPr>
          <w:p w14:paraId="4ACE61A9" w14:textId="77777777" w:rsidR="006F587A" w:rsidRDefault="007B2B61">
            <w:pPr>
              <w:textAlignment w:val="bottom"/>
              <w:rPr>
                <w:rFonts w:ascii="Times New Roman" w:hAnsi="Times New Roman"/>
                <w:sz w:val="28"/>
                <w:szCs w:val="28"/>
              </w:rPr>
            </w:pPr>
            <w:r>
              <w:rPr>
                <w:rFonts w:ascii="Arial" w:eastAsia="宋体" w:hAnsi="Arial" w:cs="Arial"/>
                <w:b/>
                <w:bCs/>
                <w:color w:val="0071C5"/>
                <w:sz w:val="28"/>
                <w:szCs w:val="28"/>
              </w:rPr>
              <w:t>COMMITMENTS AND CONTINGENCIES</w:t>
            </w:r>
          </w:p>
        </w:tc>
      </w:tr>
    </w:tbl>
    <w:p w14:paraId="4ACE61AB" w14:textId="77777777" w:rsidR="006F587A" w:rsidRDefault="006F587A">
      <w:pPr>
        <w:spacing w:line="288" w:lineRule="auto"/>
        <w:rPr>
          <w:rFonts w:ascii="Times New Roman" w:hAnsi="Times New Roman"/>
          <w:sz w:val="28"/>
          <w:szCs w:val="28"/>
        </w:rPr>
      </w:pPr>
    </w:p>
    <w:p w14:paraId="4ACE61AC" w14:textId="77777777" w:rsidR="006F587A" w:rsidRDefault="007B2B61">
      <w:pPr>
        <w:spacing w:line="288" w:lineRule="auto"/>
        <w:rPr>
          <w:rFonts w:ascii="Times New Roman" w:hAnsi="Times New Roman"/>
        </w:rPr>
      </w:pPr>
      <w:r>
        <w:rPr>
          <w:rFonts w:ascii="Arial" w:eastAsia="宋体" w:hAnsi="Arial" w:cs="Arial"/>
          <w:b/>
          <w:bCs/>
          <w:color w:val="0071C5"/>
        </w:rPr>
        <w:t>COMMITMENTS</w:t>
      </w:r>
    </w:p>
    <w:p w14:paraId="4ACE61AD"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Commitments for construction or purchase of property, plant and equipment totaled $10.9 billion as of December 28, 2019 ($9.0 billion as of December 29, 2018), a substantial majority of which will be due within the next 12 months. Other purchase obligation</w:t>
      </w:r>
      <w:r>
        <w:rPr>
          <w:rFonts w:ascii="Arial" w:eastAsia="宋体" w:hAnsi="Arial" w:cs="Arial"/>
          <w:color w:val="333333"/>
          <w:sz w:val="18"/>
          <w:szCs w:val="18"/>
        </w:rPr>
        <w:t xml:space="preserve">s and commitments totaled approximately $2.8 billion as of December 28, 2019 (approximately $3.2 billion as of December 29, 2018). </w:t>
      </w:r>
      <w:r>
        <w:rPr>
          <w:rFonts w:ascii="Arial" w:eastAsia="宋体" w:hAnsi="Arial" w:cs="Arial"/>
          <w:color w:val="333333"/>
          <w:sz w:val="18"/>
          <w:szCs w:val="18"/>
        </w:rPr>
        <w:t>Other purchase obligations and commitments include payments due under various types of licenses and agreements to purchase go</w:t>
      </w:r>
      <w:r>
        <w:rPr>
          <w:rFonts w:ascii="Arial" w:eastAsia="宋体" w:hAnsi="Arial" w:cs="Arial"/>
          <w:color w:val="333333"/>
          <w:sz w:val="18"/>
          <w:szCs w:val="18"/>
        </w:rPr>
        <w:t>ods or services.</w:t>
      </w:r>
      <w:r>
        <w:rPr>
          <w:rFonts w:ascii="Arial" w:eastAsia="宋体" w:hAnsi="Arial" w:cs="Arial"/>
          <w:color w:val="333333"/>
          <w:sz w:val="18"/>
          <w:szCs w:val="18"/>
        </w:rPr>
        <w:t xml:space="preserve"> For further information on our lease commitments, see "Note 3: Recent Accounting Standards." </w:t>
      </w:r>
    </w:p>
    <w:p w14:paraId="4ACE61AE" w14:textId="77777777" w:rsidR="006F587A" w:rsidRDefault="007B2B61">
      <w:pPr>
        <w:spacing w:line="288" w:lineRule="auto"/>
        <w:rPr>
          <w:rFonts w:ascii="Times New Roman" w:hAnsi="Times New Roman"/>
        </w:rPr>
      </w:pPr>
      <w:r>
        <w:rPr>
          <w:rFonts w:ascii="Arial" w:eastAsia="宋体" w:hAnsi="Arial" w:cs="Arial"/>
          <w:b/>
          <w:bCs/>
          <w:color w:val="0071C5"/>
        </w:rPr>
        <w:t>LEGAL PROCEEDINGS</w:t>
      </w:r>
    </w:p>
    <w:p w14:paraId="4ACE61AF"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We are a party to various legal proceedings, including those noted in this section. Although management at present believes tha</w:t>
      </w:r>
      <w:r>
        <w:rPr>
          <w:rFonts w:ascii="Arial" w:eastAsia="宋体" w:hAnsi="Arial" w:cs="Arial"/>
          <w:color w:val="333333"/>
          <w:sz w:val="18"/>
          <w:szCs w:val="18"/>
        </w:rPr>
        <w:t>t the ultimate outcome of these proceedings, individually and in the aggregate, will not materially harm our financial position, results of operations, cash flows, or overall trends, legal proceedings and related government investigations are subject to in</w:t>
      </w:r>
      <w:r>
        <w:rPr>
          <w:rFonts w:ascii="Arial" w:eastAsia="宋体" w:hAnsi="Arial" w:cs="Arial"/>
          <w:color w:val="333333"/>
          <w:sz w:val="18"/>
          <w:szCs w:val="18"/>
        </w:rPr>
        <w:t>herent uncertainties, and unfavorable rulings or other events could occur. Unfavorable resolutions could include substantial monetary damages. In addition, in matters for which injunctive relief or other conduct remedies are sought, unfavorable resolutions</w:t>
      </w:r>
      <w:r>
        <w:rPr>
          <w:rFonts w:ascii="Arial" w:eastAsia="宋体" w:hAnsi="Arial" w:cs="Arial"/>
          <w:color w:val="333333"/>
          <w:sz w:val="18"/>
          <w:szCs w:val="18"/>
        </w:rPr>
        <w:t xml:space="preserve"> could include an injunction or other order prohibiting us from selling one </w:t>
      </w:r>
      <w:r>
        <w:rPr>
          <w:rFonts w:ascii="Arial" w:eastAsia="宋体" w:hAnsi="Arial" w:cs="Arial"/>
          <w:color w:val="333333"/>
          <w:sz w:val="18"/>
          <w:szCs w:val="18"/>
        </w:rPr>
        <w:lastRenderedPageBreak/>
        <w:t>or more products at all or in particular ways, precluding particular business practices, or requiring other remedies. An unfavorable outcome may result in a material adverse impact</w:t>
      </w:r>
      <w:r>
        <w:rPr>
          <w:rFonts w:ascii="Arial" w:eastAsia="宋体" w:hAnsi="Arial" w:cs="Arial"/>
          <w:color w:val="333333"/>
          <w:sz w:val="18"/>
          <w:szCs w:val="18"/>
        </w:rPr>
        <w:t xml:space="preserve"> on our business, results of operations, financial position, and overall trends. We might also conclude that settling one or more such matters is in the best interests of our stockholders, employees, and customers, and any such settlement could include sub</w:t>
      </w:r>
      <w:r>
        <w:rPr>
          <w:rFonts w:ascii="Arial" w:eastAsia="宋体" w:hAnsi="Arial" w:cs="Arial"/>
          <w:color w:val="333333"/>
          <w:sz w:val="18"/>
          <w:szCs w:val="18"/>
        </w:rPr>
        <w:t>stantial payments. Except as specifically described below, we have not concluded that settlement of any of the legal proceedings noted in this section is appropriate at this time.</w:t>
      </w:r>
    </w:p>
    <w:p w14:paraId="4ACE61B0" w14:textId="77777777" w:rsidR="006F587A" w:rsidRDefault="007B2B61">
      <w:pPr>
        <w:spacing w:line="288" w:lineRule="auto"/>
        <w:rPr>
          <w:rFonts w:ascii="Times New Roman" w:hAnsi="Times New Roman"/>
          <w:sz w:val="20"/>
          <w:szCs w:val="20"/>
        </w:rPr>
      </w:pPr>
      <w:r>
        <w:rPr>
          <w:rFonts w:ascii="Arial" w:eastAsia="宋体" w:hAnsi="Arial" w:cs="Arial"/>
          <w:b/>
          <w:bCs/>
          <w:color w:val="333333"/>
          <w:sz w:val="20"/>
          <w:szCs w:val="20"/>
        </w:rPr>
        <w:t>European Commission Competition Matter</w:t>
      </w:r>
    </w:p>
    <w:p w14:paraId="4ACE61B1"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In 2001, the EC commenced an investig</w:t>
      </w:r>
      <w:r>
        <w:rPr>
          <w:rFonts w:ascii="Arial" w:eastAsia="宋体" w:hAnsi="Arial" w:cs="Arial"/>
          <w:color w:val="333333"/>
          <w:sz w:val="18"/>
          <w:szCs w:val="18"/>
        </w:rPr>
        <w:t xml:space="preserve">ation regarding claims by Advanced Micro Devices, Inc. (AMD) that we used unfair business practices to persuade customers to buy our microprocessors. We received numerous requests for information and documents from the EC and we responded to each of those </w:t>
      </w:r>
      <w:r>
        <w:rPr>
          <w:rFonts w:ascii="Arial" w:eastAsia="宋体" w:hAnsi="Arial" w:cs="Arial"/>
          <w:color w:val="333333"/>
          <w:sz w:val="18"/>
          <w:szCs w:val="18"/>
        </w:rPr>
        <w:t>requests. The EC issued a Statement of Objections in July 2007 and held a hearing on that Statement in March 2008. The EC issued a Supplemental Statement of Objections in July 2008. In May 2009, the EC issued a decision finding that we had violated Article</w:t>
      </w:r>
      <w:r>
        <w:rPr>
          <w:rFonts w:ascii="Arial" w:eastAsia="宋体" w:hAnsi="Arial" w:cs="Arial"/>
          <w:color w:val="333333"/>
          <w:sz w:val="18"/>
          <w:szCs w:val="18"/>
        </w:rPr>
        <w:t xml:space="preserve"> 82 of the EC Treaty and Article 54 of the European Economic Area Agreement. In general, the EC found that we violated Article 82 (later renumbered as Article 102 by a new treaty) by offering alleged "conditional rebates and payments" that required our cus</w:t>
      </w:r>
      <w:r>
        <w:rPr>
          <w:rFonts w:ascii="Arial" w:eastAsia="宋体" w:hAnsi="Arial" w:cs="Arial"/>
          <w:color w:val="333333"/>
          <w:sz w:val="18"/>
          <w:szCs w:val="18"/>
        </w:rPr>
        <w:t>tomers to purchase all or most of their x86 microprocessors from us. The EC also found that we violated Article 82 by making alleged "payments to prevent sales of specific rival products." The EC imposed a fine in the amount of €1.1 billion ($1.4 billion a</w:t>
      </w:r>
      <w:r>
        <w:rPr>
          <w:rFonts w:ascii="Arial" w:eastAsia="宋体" w:hAnsi="Arial" w:cs="Arial"/>
          <w:color w:val="333333"/>
          <w:sz w:val="18"/>
          <w:szCs w:val="18"/>
        </w:rPr>
        <w:t>s of May 2009), which we subsequently paid during the third quarter of 2009, and ordered us to "immediately bring to an end the infringement referred to in" the EC decision.</w:t>
      </w:r>
    </w:p>
    <w:p w14:paraId="4ACE61B2"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The EC decision contained no specific direction on whether or how we should modify</w:t>
      </w:r>
      <w:r>
        <w:rPr>
          <w:rFonts w:ascii="Arial" w:eastAsia="宋体" w:hAnsi="Arial" w:cs="Arial"/>
          <w:color w:val="333333"/>
          <w:sz w:val="18"/>
          <w:szCs w:val="18"/>
        </w:rPr>
        <w:t xml:space="preserve"> our business practices. Instead, the decision stated that we should "cease and desist" from further conduct that, in the EC's opinion, would violate applicable law. We took steps, which are subject to the EC's ongoing review, to comply with that decision </w:t>
      </w:r>
      <w:r>
        <w:rPr>
          <w:rFonts w:ascii="Arial" w:eastAsia="宋体" w:hAnsi="Arial" w:cs="Arial"/>
          <w:color w:val="333333"/>
          <w:sz w:val="18"/>
          <w:szCs w:val="18"/>
        </w:rPr>
        <w:t>pending appeal. We had discussions with the EC to better understand the decision and to explain changes to our business practices.</w:t>
      </w:r>
    </w:p>
    <w:p w14:paraId="4ACE61B3"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We appealed the EC decision to the Court of First Instance (which has been renamed the General Court) in July 2009. The </w:t>
      </w:r>
      <w:r>
        <w:rPr>
          <w:rFonts w:ascii="Arial" w:eastAsia="宋体" w:hAnsi="Arial" w:cs="Arial"/>
          <w:color w:val="333333"/>
          <w:sz w:val="18"/>
          <w:szCs w:val="18"/>
        </w:rPr>
        <w:t>hearing of our appeal took place in July 2012. In June 2014, the General Court rejected our appeal in its entirety. In August 2014, we filed an appeal with the European Court of Justice. In November 2014, Intervener Association for Competitive Technologies</w:t>
      </w:r>
      <w:r>
        <w:rPr>
          <w:rFonts w:ascii="Arial" w:eastAsia="宋体" w:hAnsi="Arial" w:cs="Arial"/>
          <w:color w:val="333333"/>
          <w:sz w:val="18"/>
          <w:szCs w:val="18"/>
        </w:rPr>
        <w:t xml:space="preserve"> filed comments in support of Intel’s grounds of appeal. The EC and interveners filed briefs in November 2014, we filed a reply in February 2015, and the EC filed a rejoinder in April 2015. The Court of Justice held oral argument in June 2016. In October 2</w:t>
      </w:r>
      <w:r>
        <w:rPr>
          <w:rFonts w:ascii="Arial" w:eastAsia="宋体" w:hAnsi="Arial" w:cs="Arial"/>
          <w:color w:val="333333"/>
          <w:sz w:val="18"/>
          <w:szCs w:val="18"/>
        </w:rPr>
        <w:t>016, Advocate General Wahl, an advisor to the Court of Justice, issued a non-binding advisory opinion that favored Intel on a number of grounds. The Court of Justice issued its decision in September 2017, setting aside the judgment of the General Court and</w:t>
      </w:r>
      <w:r>
        <w:rPr>
          <w:rFonts w:ascii="Arial" w:eastAsia="宋体" w:hAnsi="Arial" w:cs="Arial"/>
          <w:color w:val="333333"/>
          <w:sz w:val="18"/>
          <w:szCs w:val="18"/>
        </w:rPr>
        <w:t xml:space="preserve"> sending the case back to the General Court to examine whether the rebates at issue were capable of restricting competition. The General Court has appointed a panel of five judges to consider our appeal of the EC’s 2009 decision in light of the Court of Ju</w:t>
      </w:r>
      <w:r>
        <w:rPr>
          <w:rFonts w:ascii="Arial" w:eastAsia="宋体" w:hAnsi="Arial" w:cs="Arial"/>
          <w:color w:val="333333"/>
          <w:sz w:val="18"/>
          <w:szCs w:val="18"/>
        </w:rPr>
        <w:t>stice’s clarifications of the law. In November 2017, the parties filed initial “Observations” about the Court of Justice’s decision and the appeal, and were invited by the General Court to offer supplemental comments to each other’s “Observations,” which t</w:t>
      </w:r>
      <w:r>
        <w:rPr>
          <w:rFonts w:ascii="Arial" w:eastAsia="宋体" w:hAnsi="Arial" w:cs="Arial"/>
          <w:color w:val="333333"/>
          <w:sz w:val="18"/>
          <w:szCs w:val="18"/>
        </w:rPr>
        <w:t>he parties submitted in March 2018. Responses to other questions posed by the General Court were filed in May and June 2018. The General Court has scheduled oral argument for March 2020. Pending the final decision in this matter, the fine paid by Intel has</w:t>
      </w:r>
      <w:r>
        <w:rPr>
          <w:rFonts w:ascii="Arial" w:eastAsia="宋体" w:hAnsi="Arial" w:cs="Arial"/>
          <w:color w:val="333333"/>
          <w:sz w:val="18"/>
          <w:szCs w:val="18"/>
        </w:rPr>
        <w:t xml:space="preserve"> been placed by the EC in commercial bank accounts where it accrues interest.</w:t>
      </w:r>
    </w:p>
    <w:p w14:paraId="4ACE61B4" w14:textId="77777777" w:rsidR="006F587A" w:rsidRDefault="007B2B61">
      <w:pPr>
        <w:spacing w:line="288" w:lineRule="auto"/>
        <w:rPr>
          <w:rFonts w:ascii="Times New Roman" w:hAnsi="Times New Roman"/>
          <w:sz w:val="20"/>
          <w:szCs w:val="20"/>
        </w:rPr>
      </w:pPr>
      <w:r>
        <w:rPr>
          <w:rFonts w:ascii="Arial" w:eastAsia="宋体" w:hAnsi="Arial" w:cs="Arial"/>
          <w:b/>
          <w:bCs/>
          <w:color w:val="333333"/>
          <w:sz w:val="20"/>
          <w:szCs w:val="20"/>
        </w:rPr>
        <w:t>Litigation Related to Security Vulnerabilities</w:t>
      </w:r>
    </w:p>
    <w:p w14:paraId="4ACE61B5"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In June 2017, a Google research team notified us and other companies that it had identified security vulnerabilities (now </w:t>
      </w:r>
      <w:r>
        <w:rPr>
          <w:rFonts w:ascii="Arial" w:eastAsia="宋体" w:hAnsi="Arial" w:cs="Arial"/>
          <w:color w:val="333333"/>
          <w:sz w:val="18"/>
          <w:szCs w:val="18"/>
        </w:rPr>
        <w:t xml:space="preserve">commonly referred to as “Spectre” and “Meltdown”) that affect many types of microprocessors, including our products. As is standard when findings like these are presented, we worked together with other companies in the industry to verify the research, and </w:t>
      </w:r>
      <w:r>
        <w:rPr>
          <w:rFonts w:ascii="Arial" w:eastAsia="宋体" w:hAnsi="Arial" w:cs="Arial"/>
          <w:color w:val="333333"/>
          <w:sz w:val="18"/>
          <w:szCs w:val="18"/>
        </w:rPr>
        <w:t>develop and validate software and firmware updates for impacted technologies. On January 3, 2018, information on the security vulnerabilities was publicly reported, before software and firmware updates to address the vulnerabilities were made widely availa</w:t>
      </w:r>
      <w:r>
        <w:rPr>
          <w:rFonts w:ascii="Arial" w:eastAsia="宋体" w:hAnsi="Arial" w:cs="Arial"/>
          <w:color w:val="333333"/>
          <w:sz w:val="18"/>
          <w:szCs w:val="18"/>
        </w:rPr>
        <w:t>ble. Numerous lawsuits relating to the Spectre and Meltdown security vulnerabilities, as well as another variant of these vulnerabilities (“Foreshadow”) that has since been identified, have been filed against Intel and, in certain cases, our current and fo</w:t>
      </w:r>
      <w:r>
        <w:rPr>
          <w:rFonts w:ascii="Arial" w:eastAsia="宋体" w:hAnsi="Arial" w:cs="Arial"/>
          <w:color w:val="333333"/>
          <w:sz w:val="18"/>
          <w:szCs w:val="18"/>
        </w:rPr>
        <w:t>rmer executives and directors, in U.S. federal and state courts and in certain courts in other countries.</w:t>
      </w:r>
    </w:p>
    <w:p w14:paraId="4ACE61B6"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61B8" w14:textId="77777777">
        <w:tc>
          <w:tcPr>
            <w:tcW w:w="0" w:type="auto"/>
            <w:gridSpan w:val="3"/>
            <w:shd w:val="clear" w:color="auto" w:fill="auto"/>
            <w:vAlign w:val="center"/>
          </w:tcPr>
          <w:p w14:paraId="4ACE61B7" w14:textId="77777777" w:rsidR="006F587A" w:rsidRDefault="006F587A">
            <w:pPr>
              <w:rPr>
                <w:rFonts w:ascii="Times New Roman" w:hAnsi="Times New Roman"/>
                <w:sz w:val="20"/>
                <w:szCs w:val="20"/>
              </w:rPr>
            </w:pPr>
          </w:p>
        </w:tc>
      </w:tr>
      <w:tr w:rsidR="006F587A" w14:paraId="4ACE61BC" w14:textId="77777777">
        <w:tc>
          <w:tcPr>
            <w:tcW w:w="1300" w:type="pct"/>
            <w:shd w:val="clear" w:color="auto" w:fill="auto"/>
            <w:vAlign w:val="center"/>
          </w:tcPr>
          <w:p w14:paraId="4ACE61B9" w14:textId="77777777" w:rsidR="006F587A" w:rsidRDefault="006F587A">
            <w:pPr>
              <w:rPr>
                <w:rFonts w:ascii="Times New Roman" w:hAnsi="Times New Roman"/>
                <w:sz w:val="20"/>
                <w:szCs w:val="20"/>
              </w:rPr>
            </w:pPr>
          </w:p>
        </w:tc>
        <w:tc>
          <w:tcPr>
            <w:tcW w:w="1600" w:type="pct"/>
            <w:shd w:val="clear" w:color="auto" w:fill="auto"/>
            <w:vAlign w:val="center"/>
          </w:tcPr>
          <w:p w14:paraId="4ACE61BA" w14:textId="77777777" w:rsidR="006F587A" w:rsidRDefault="006F587A">
            <w:pPr>
              <w:rPr>
                <w:rFonts w:ascii="Times New Roman" w:hAnsi="Times New Roman"/>
                <w:sz w:val="20"/>
                <w:szCs w:val="20"/>
              </w:rPr>
            </w:pPr>
          </w:p>
        </w:tc>
        <w:tc>
          <w:tcPr>
            <w:tcW w:w="2100" w:type="pct"/>
            <w:shd w:val="clear" w:color="auto" w:fill="auto"/>
            <w:vAlign w:val="center"/>
          </w:tcPr>
          <w:p w14:paraId="4ACE61BB" w14:textId="77777777" w:rsidR="006F587A" w:rsidRDefault="006F587A">
            <w:pPr>
              <w:rPr>
                <w:rFonts w:ascii="Times New Roman" w:hAnsi="Times New Roman"/>
                <w:sz w:val="20"/>
                <w:szCs w:val="20"/>
              </w:rPr>
            </w:pPr>
          </w:p>
        </w:tc>
      </w:tr>
      <w:tr w:rsidR="006F587A" w14:paraId="4ACE61C0" w14:textId="77777777">
        <w:tc>
          <w:tcPr>
            <w:tcW w:w="0" w:type="auto"/>
            <w:tcBorders>
              <w:top w:val="single" w:sz="8" w:space="0" w:color="0071C5"/>
            </w:tcBorders>
            <w:shd w:val="clear" w:color="auto" w:fill="auto"/>
            <w:tcMar>
              <w:top w:w="40" w:type="dxa"/>
              <w:left w:w="40" w:type="dxa"/>
              <w:bottom w:w="40" w:type="dxa"/>
              <w:right w:w="40" w:type="dxa"/>
            </w:tcMar>
            <w:vAlign w:val="bottom"/>
          </w:tcPr>
          <w:p w14:paraId="4ACE61BD" w14:textId="77777777" w:rsidR="006F587A" w:rsidRDefault="007B2B61">
            <w:pPr>
              <w:textAlignment w:val="bottom"/>
              <w:rPr>
                <w:rFonts w:ascii="Times New Roman" w:hAnsi="Times New Roman"/>
                <w:sz w:val="16"/>
                <w:szCs w:val="16"/>
              </w:rPr>
            </w:pPr>
            <w:r>
              <w:rPr>
                <w:rFonts w:ascii="Times New Roman" w:eastAsia="宋体" w:hAnsi="Times New Roman"/>
                <w:sz w:val="16"/>
                <w:szCs w:val="16"/>
              </w:rPr>
              <w:lastRenderedPageBreak/>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/INTEL/./Inline XBRL Viewer12_files/a001intellogo_coverfooter.jpg" \* MERGEFOR</w:instrText>
            </w:r>
            <w:r>
              <w:rPr>
                <w:rFonts w:ascii="Times New Roman" w:eastAsia="宋体" w:hAnsi="Times New Roman"/>
                <w:sz w:val="16"/>
                <w:szCs w:val="16"/>
              </w:rPr>
              <w:instrText xml:space="preserve">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E29" wp14:editId="4ACE6E2A">
                  <wp:extent cx="304800" cy="304800"/>
                  <wp:effectExtent l="0" t="0" r="0" b="0"/>
                  <wp:docPr id="150" name="图片 352"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352"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left w:val="single" w:sz="36" w:space="0" w:color="0071C5"/>
            </w:tcBorders>
            <w:shd w:val="clear" w:color="auto" w:fill="auto"/>
            <w:tcMar>
              <w:top w:w="40" w:type="dxa"/>
              <w:left w:w="40" w:type="dxa"/>
              <w:bottom w:w="40" w:type="dxa"/>
              <w:right w:w="40" w:type="dxa"/>
            </w:tcMar>
            <w:vAlign w:val="bottom"/>
          </w:tcPr>
          <w:p w14:paraId="4ACE61BE" w14:textId="77777777" w:rsidR="006F587A" w:rsidRDefault="007B2B61">
            <w:pPr>
              <w:textAlignment w:val="bottom"/>
              <w:rPr>
                <w:rFonts w:ascii="Times New Roman" w:hAnsi="Times New Roman"/>
                <w:sz w:val="16"/>
                <w:szCs w:val="16"/>
              </w:rPr>
            </w:pPr>
            <w:r>
              <w:rPr>
                <w:rFonts w:ascii="Arial" w:eastAsia="宋体" w:hAnsi="Arial" w:cs="Arial"/>
                <w:color w:val="333333"/>
                <w:sz w:val="16"/>
                <w:szCs w:val="16"/>
              </w:rPr>
              <w:t> Notes to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61BF"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107</w:t>
            </w:r>
          </w:p>
        </w:tc>
      </w:tr>
    </w:tbl>
    <w:p w14:paraId="4ACE61C1" w14:textId="77777777" w:rsidR="006F587A" w:rsidRDefault="007B2B61">
      <w:r>
        <w:pict w14:anchorId="4ACE6E2B">
          <v:rect id="_x0000_i1133" style="width:415.3pt;height:1.5pt" o:hralign="center" o:hrstd="t" o:hr="t" fillcolor="#a0a0a0" stroked="f"/>
        </w:pict>
      </w:r>
    </w:p>
    <w:p w14:paraId="4ACE61C2" w14:textId="77777777" w:rsidR="006F587A" w:rsidRDefault="007B2B61">
      <w:pPr>
        <w:spacing w:line="288" w:lineRule="auto"/>
        <w:jc w:val="right"/>
        <w:rPr>
          <w:rFonts w:ascii="Times New Roman" w:hAnsi="Times New Roman"/>
          <w:sz w:val="16"/>
          <w:szCs w:val="16"/>
        </w:rPr>
      </w:pPr>
      <w:hyperlink r:id="rId172" w:anchor="s9DB683E2CF52561EB8A73BE37F5BF9BE" w:history="1">
        <w:r>
          <w:rPr>
            <w:rStyle w:val="a5"/>
            <w:rFonts w:ascii="Arial" w:eastAsia="宋体" w:hAnsi="Arial" w:cs="Arial"/>
            <w:b/>
            <w:bCs/>
            <w:sz w:val="16"/>
            <w:szCs w:val="16"/>
          </w:rPr>
          <w:t>Table of Contents</w:t>
        </w:r>
      </w:hyperlink>
    </w:p>
    <w:p w14:paraId="4ACE61C3" w14:textId="77777777" w:rsidR="006F587A" w:rsidRDefault="006F587A">
      <w:pPr>
        <w:spacing w:line="288" w:lineRule="auto"/>
        <w:jc w:val="right"/>
        <w:rPr>
          <w:rFonts w:ascii="Times New Roman" w:hAnsi="Times New Roman"/>
          <w:sz w:val="16"/>
          <w:szCs w:val="16"/>
        </w:rPr>
      </w:pPr>
    </w:p>
    <w:p w14:paraId="4ACE61C4" w14:textId="77777777" w:rsidR="006F587A" w:rsidRDefault="006F587A">
      <w:pPr>
        <w:rPr>
          <w:rFonts w:ascii="Times New Roman" w:hAnsi="Times New Roman"/>
          <w:sz w:val="20"/>
          <w:szCs w:val="20"/>
        </w:rPr>
      </w:pPr>
    </w:p>
    <w:p w14:paraId="4ACE61C5"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As of January 22, 2020, consumer class action lawsuits relating to </w:t>
      </w:r>
      <w:r>
        <w:rPr>
          <w:rFonts w:ascii="Arial" w:eastAsia="宋体" w:hAnsi="Arial" w:cs="Arial"/>
          <w:color w:val="333333"/>
          <w:sz w:val="18"/>
          <w:szCs w:val="18"/>
        </w:rPr>
        <w:t xml:space="preserve">certain security vulnerabilities publicly disclosed in 2018 were pending in the U.S., Canada, and Israel. The plaintiffs, who purport to represent various classes of purchasers of our products, generally claim to have been harmed by Intel's actions and/or </w:t>
      </w:r>
      <w:r>
        <w:rPr>
          <w:rFonts w:ascii="Arial" w:eastAsia="宋体" w:hAnsi="Arial" w:cs="Arial"/>
          <w:color w:val="333333"/>
          <w:sz w:val="18"/>
          <w:szCs w:val="18"/>
        </w:rPr>
        <w:t>omissions in connection with the security vulnerabilities and assert a variety of common law and statutory claims seeking monetary damages and equitable relief. In the U.S., numerous individual class action suits filed in various jurisdictions were consoli</w:t>
      </w:r>
      <w:r>
        <w:rPr>
          <w:rFonts w:ascii="Arial" w:eastAsia="宋体" w:hAnsi="Arial" w:cs="Arial"/>
          <w:color w:val="333333"/>
          <w:sz w:val="18"/>
          <w:szCs w:val="18"/>
        </w:rPr>
        <w:t>dated in April 2018 for all pretrial proceedings in the U.S. District Court for the District of Oregon. Intel filed a motion to dismiss that consolidated action in October 2018, and a hearing on that motion was held in February 2019. In Canada, in one case</w:t>
      </w:r>
      <w:r>
        <w:rPr>
          <w:rFonts w:ascii="Arial" w:eastAsia="宋体" w:hAnsi="Arial" w:cs="Arial"/>
          <w:color w:val="333333"/>
          <w:sz w:val="18"/>
          <w:szCs w:val="18"/>
        </w:rPr>
        <w:t xml:space="preserve"> pending in the Superior Court of Justice of Ontario, an initial status conference has not yet been scheduled. In a second case pending in the Superior Court of Justice of Quebec, the court has stayed the case until April 2020. In Israel, both consumer cla</w:t>
      </w:r>
      <w:r>
        <w:rPr>
          <w:rFonts w:ascii="Arial" w:eastAsia="宋体" w:hAnsi="Arial" w:cs="Arial"/>
          <w:color w:val="333333"/>
          <w:sz w:val="18"/>
          <w:szCs w:val="18"/>
        </w:rPr>
        <w:t>ss action lawsuits were filed in the District Court of Haifa. In the first case, the District Court denied the parties' joint motion to stay filed in January 2019, but to date has deferred Intel's deadline to respond to the complaint in view of Intel's pen</w:t>
      </w:r>
      <w:r>
        <w:rPr>
          <w:rFonts w:ascii="Arial" w:eastAsia="宋体" w:hAnsi="Arial" w:cs="Arial"/>
          <w:color w:val="333333"/>
          <w:sz w:val="18"/>
          <w:szCs w:val="18"/>
        </w:rPr>
        <w:t xml:space="preserve">ding motion to dismiss in the consolidated proceeding in the U.S. Intel filed a motion to stay the second case pending resolution of the consolidated proceeding in the U.S., and a hearing on that motion has been scheduled for May 2020. Additional lawsuits </w:t>
      </w:r>
      <w:r>
        <w:rPr>
          <w:rFonts w:ascii="Arial" w:eastAsia="宋体" w:hAnsi="Arial" w:cs="Arial"/>
          <w:color w:val="333333"/>
          <w:sz w:val="18"/>
          <w:szCs w:val="18"/>
        </w:rPr>
        <w:t>and claims may be asserted seeking monetary damages or other related relief. We dispute the pending claims described above and intend to defend those lawsuits vigorously. Given the procedural posture and the nature of those cases, including that the pendin</w:t>
      </w:r>
      <w:r>
        <w:rPr>
          <w:rFonts w:ascii="Arial" w:eastAsia="宋体" w:hAnsi="Arial" w:cs="Arial"/>
          <w:color w:val="333333"/>
          <w:sz w:val="18"/>
          <w:szCs w:val="18"/>
        </w:rPr>
        <w:t>g proceedings are in the early stages, that alleged damages have not been specified, that uncertainty exists as to the likelihood of a class or classes being certified or the ultimate size of any class or classes if certified, and that there are significan</w:t>
      </w:r>
      <w:r>
        <w:rPr>
          <w:rFonts w:ascii="Arial" w:eastAsia="宋体" w:hAnsi="Arial" w:cs="Arial"/>
          <w:color w:val="333333"/>
          <w:sz w:val="18"/>
          <w:szCs w:val="18"/>
        </w:rPr>
        <w:t>t factual and legal issues to be resolved, we are unable to make a reasonable estimate of the potential loss or range of losses, if any, that might arise from those matters.</w:t>
      </w:r>
    </w:p>
    <w:p w14:paraId="4ACE61C6"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In addition to these lawsuits, Intel stockholders have filed multiple shareholder </w:t>
      </w:r>
      <w:r>
        <w:rPr>
          <w:rFonts w:ascii="Arial" w:eastAsia="宋体" w:hAnsi="Arial" w:cs="Arial"/>
          <w:color w:val="333333"/>
          <w:sz w:val="18"/>
          <w:szCs w:val="18"/>
        </w:rPr>
        <w:t>derivative lawsuits since January 2018 against certain current and former members of our Board of Directors and certain current and former officers, alleging that the defendants breached their duties to Intel in connection with the disclosure of the securi</w:t>
      </w:r>
      <w:r>
        <w:rPr>
          <w:rFonts w:ascii="Arial" w:eastAsia="宋体" w:hAnsi="Arial" w:cs="Arial"/>
          <w:color w:val="333333"/>
          <w:sz w:val="18"/>
          <w:szCs w:val="18"/>
        </w:rPr>
        <w:t>ty vulnerabilities and the failure to take action in relation to alleged insider trading. The complaints seek to recover damages from the defendants on behalf of Intel. Some of the derivative actions were filed in the U.S. District Court for the Northern D</w:t>
      </w:r>
      <w:r>
        <w:rPr>
          <w:rFonts w:ascii="Arial" w:eastAsia="宋体" w:hAnsi="Arial" w:cs="Arial"/>
          <w:color w:val="333333"/>
          <w:sz w:val="18"/>
          <w:szCs w:val="18"/>
        </w:rPr>
        <w:t>istrict of California and were consolidated, and the others were filed in the Superior Court of the State of California in San Mateo County and were consolidated. The federal court granted defendants' motion to dismiss the consolidated complaint in the fed</w:t>
      </w:r>
      <w:r>
        <w:rPr>
          <w:rFonts w:ascii="Arial" w:eastAsia="宋体" w:hAnsi="Arial" w:cs="Arial"/>
          <w:color w:val="333333"/>
          <w:sz w:val="18"/>
          <w:szCs w:val="18"/>
        </w:rPr>
        <w:t>eral action in August 2018 on the ground that plaintiffs failed to plead facts sufficient to show they were excused from making a pre-lawsuit demand on the Board. The federal court granted plaintiffs leave to amend their complaint, but subsequently dismiss</w:t>
      </w:r>
      <w:r>
        <w:rPr>
          <w:rFonts w:ascii="Arial" w:eastAsia="宋体" w:hAnsi="Arial" w:cs="Arial"/>
          <w:color w:val="333333"/>
          <w:sz w:val="18"/>
          <w:szCs w:val="18"/>
        </w:rPr>
        <w:t>ed the cases without prejudice in January 2019 at plaintiffs' request. In August 2018, the California Superior Court granted defendants' motion to dismiss the consolidated complaint in the state court action on the ground that plaintiffs failed to plead fa</w:t>
      </w:r>
      <w:r>
        <w:rPr>
          <w:rFonts w:ascii="Arial" w:eastAsia="宋体" w:hAnsi="Arial" w:cs="Arial"/>
          <w:color w:val="333333"/>
          <w:sz w:val="18"/>
          <w:szCs w:val="18"/>
        </w:rPr>
        <w:t>cts sufficient to show they were excused from making a pre-lawsuit demand on the Board, but granted plaintiffs leave to amend. In July 2019, the California Superior Court dismissed plaintiffs' amended complaint on the same grounds as the previous complaint</w:t>
      </w:r>
      <w:r>
        <w:rPr>
          <w:rFonts w:ascii="Arial" w:eastAsia="宋体" w:hAnsi="Arial" w:cs="Arial"/>
          <w:color w:val="333333"/>
          <w:sz w:val="18"/>
          <w:szCs w:val="18"/>
        </w:rPr>
        <w:t>, but again granted plaintiffs leave to amend. In November 2019, the California Superior Court dismissed plaintiffs' second amended complaint on the same grounds as the two previous complaints, but again granted plaintiffs leave to amend. Defendants' motio</w:t>
      </w:r>
      <w:r>
        <w:rPr>
          <w:rFonts w:ascii="Arial" w:eastAsia="宋体" w:hAnsi="Arial" w:cs="Arial"/>
          <w:color w:val="333333"/>
          <w:sz w:val="18"/>
          <w:szCs w:val="18"/>
        </w:rPr>
        <w:t>n to dismiss plaintiffs' third amended complaint is scheduled for hearing in March 2020.</w:t>
      </w:r>
    </w:p>
    <w:p w14:paraId="4ACE61C7" w14:textId="77777777" w:rsidR="006F587A" w:rsidRDefault="006F587A">
      <w:pPr>
        <w:spacing w:line="288" w:lineRule="auto"/>
        <w:rPr>
          <w:rFonts w:ascii="Times New Roman" w:hAnsi="Times New Roman"/>
          <w:sz w:val="18"/>
          <w:szCs w:val="18"/>
        </w:rPr>
      </w:pPr>
    </w:p>
    <w:p w14:paraId="4ACE61C8"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61CA" w14:textId="77777777">
        <w:tc>
          <w:tcPr>
            <w:tcW w:w="0" w:type="auto"/>
            <w:gridSpan w:val="3"/>
            <w:shd w:val="clear" w:color="auto" w:fill="auto"/>
            <w:vAlign w:val="center"/>
          </w:tcPr>
          <w:p w14:paraId="4ACE61C9" w14:textId="77777777" w:rsidR="006F587A" w:rsidRDefault="006F587A">
            <w:pPr>
              <w:rPr>
                <w:rFonts w:ascii="Times New Roman" w:hAnsi="Times New Roman"/>
                <w:sz w:val="20"/>
                <w:szCs w:val="20"/>
              </w:rPr>
            </w:pPr>
          </w:p>
        </w:tc>
      </w:tr>
      <w:tr w:rsidR="006F587A" w14:paraId="4ACE61CE" w14:textId="77777777">
        <w:tc>
          <w:tcPr>
            <w:tcW w:w="1300" w:type="pct"/>
            <w:shd w:val="clear" w:color="auto" w:fill="auto"/>
            <w:vAlign w:val="center"/>
          </w:tcPr>
          <w:p w14:paraId="4ACE61CB" w14:textId="77777777" w:rsidR="006F587A" w:rsidRDefault="006F587A">
            <w:pPr>
              <w:rPr>
                <w:rFonts w:ascii="Times New Roman" w:hAnsi="Times New Roman"/>
                <w:sz w:val="20"/>
                <w:szCs w:val="20"/>
              </w:rPr>
            </w:pPr>
          </w:p>
        </w:tc>
        <w:tc>
          <w:tcPr>
            <w:tcW w:w="1600" w:type="pct"/>
            <w:shd w:val="clear" w:color="auto" w:fill="auto"/>
            <w:vAlign w:val="center"/>
          </w:tcPr>
          <w:p w14:paraId="4ACE61CC" w14:textId="77777777" w:rsidR="006F587A" w:rsidRDefault="006F587A">
            <w:pPr>
              <w:rPr>
                <w:rFonts w:ascii="Times New Roman" w:hAnsi="Times New Roman"/>
                <w:sz w:val="20"/>
                <w:szCs w:val="20"/>
              </w:rPr>
            </w:pPr>
          </w:p>
        </w:tc>
        <w:tc>
          <w:tcPr>
            <w:tcW w:w="2100" w:type="pct"/>
            <w:shd w:val="clear" w:color="auto" w:fill="auto"/>
            <w:vAlign w:val="center"/>
          </w:tcPr>
          <w:p w14:paraId="4ACE61CD" w14:textId="77777777" w:rsidR="006F587A" w:rsidRDefault="006F587A">
            <w:pPr>
              <w:rPr>
                <w:rFonts w:ascii="Times New Roman" w:hAnsi="Times New Roman"/>
                <w:sz w:val="20"/>
                <w:szCs w:val="20"/>
              </w:rPr>
            </w:pPr>
          </w:p>
        </w:tc>
      </w:tr>
      <w:tr w:rsidR="006F587A" w14:paraId="4ACE61D2" w14:textId="77777777">
        <w:tc>
          <w:tcPr>
            <w:tcW w:w="0" w:type="auto"/>
            <w:tcBorders>
              <w:top w:val="single" w:sz="8" w:space="0" w:color="0071C5"/>
            </w:tcBorders>
            <w:shd w:val="clear" w:color="auto" w:fill="auto"/>
            <w:tcMar>
              <w:top w:w="40" w:type="dxa"/>
              <w:left w:w="40" w:type="dxa"/>
              <w:bottom w:w="40" w:type="dxa"/>
              <w:right w:w="40" w:type="dxa"/>
            </w:tcMar>
            <w:vAlign w:val="bottom"/>
          </w:tcPr>
          <w:p w14:paraId="4ACE61CF" w14:textId="77777777" w:rsidR="006F587A" w:rsidRDefault="007B2B61">
            <w:pPr>
              <w:textAlignment w:val="bottom"/>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E2C" wp14:editId="4ACE6E2D">
                  <wp:extent cx="304800" cy="304800"/>
                  <wp:effectExtent l="0" t="0" r="0" b="0"/>
                  <wp:docPr id="147" name="图片 354"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354"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left w:val="single" w:sz="36" w:space="0" w:color="0071C5"/>
            </w:tcBorders>
            <w:shd w:val="clear" w:color="auto" w:fill="auto"/>
            <w:tcMar>
              <w:top w:w="40" w:type="dxa"/>
              <w:left w:w="40" w:type="dxa"/>
              <w:bottom w:w="40" w:type="dxa"/>
              <w:right w:w="40" w:type="dxa"/>
            </w:tcMar>
            <w:vAlign w:val="bottom"/>
          </w:tcPr>
          <w:p w14:paraId="4ACE61D0" w14:textId="77777777" w:rsidR="006F587A" w:rsidRDefault="007B2B61">
            <w:pPr>
              <w:textAlignment w:val="bottom"/>
              <w:rPr>
                <w:rFonts w:ascii="Times New Roman" w:hAnsi="Times New Roman"/>
                <w:sz w:val="16"/>
                <w:szCs w:val="16"/>
              </w:rPr>
            </w:pPr>
            <w:r>
              <w:rPr>
                <w:rFonts w:ascii="Arial" w:eastAsia="宋体" w:hAnsi="Arial" w:cs="Arial"/>
                <w:color w:val="333333"/>
                <w:sz w:val="16"/>
                <w:szCs w:val="16"/>
              </w:rPr>
              <w:t> Notes to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61D1"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108</w:t>
            </w:r>
          </w:p>
        </w:tc>
      </w:tr>
    </w:tbl>
    <w:p w14:paraId="4ACE61D3" w14:textId="77777777" w:rsidR="006F587A" w:rsidRDefault="007B2B61">
      <w:r>
        <w:lastRenderedPageBreak/>
        <w:pict w14:anchorId="4ACE6E2E">
          <v:rect id="_x0000_i1134" style="width:415.3pt;height:1.5pt" o:hralign="center" o:hrstd="t" o:hr="t" fillcolor="#a0a0a0" stroked="f"/>
        </w:pict>
      </w:r>
    </w:p>
    <w:p w14:paraId="4ACE61D4" w14:textId="77777777" w:rsidR="006F587A" w:rsidRDefault="007B2B61">
      <w:pPr>
        <w:spacing w:line="288" w:lineRule="auto"/>
        <w:jc w:val="right"/>
        <w:rPr>
          <w:rFonts w:ascii="Times New Roman" w:hAnsi="Times New Roman"/>
          <w:sz w:val="16"/>
          <w:szCs w:val="16"/>
        </w:rPr>
      </w:pPr>
      <w:hyperlink r:id="rId173" w:anchor="s9DB683E2CF52561EB8A73BE37F5BF9BE" w:history="1">
        <w:r>
          <w:rPr>
            <w:rStyle w:val="a5"/>
            <w:rFonts w:ascii="Arial" w:eastAsia="宋体" w:hAnsi="Arial" w:cs="Arial"/>
            <w:b/>
            <w:bCs/>
            <w:sz w:val="16"/>
            <w:szCs w:val="16"/>
          </w:rPr>
          <w:t>Table of Contents</w:t>
        </w:r>
      </w:hyperlink>
    </w:p>
    <w:p w14:paraId="4ACE61D5" w14:textId="77777777" w:rsidR="006F587A" w:rsidRDefault="006F587A">
      <w:pPr>
        <w:spacing w:line="288" w:lineRule="auto"/>
        <w:jc w:val="right"/>
        <w:rPr>
          <w:rFonts w:ascii="Times New Roman" w:hAnsi="Times New Roman"/>
          <w:sz w:val="16"/>
          <w:szCs w:val="16"/>
        </w:rPr>
      </w:pPr>
    </w:p>
    <w:p w14:paraId="4ACE61D6"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6F587A" w14:paraId="4ACE61D8" w14:textId="77777777">
        <w:tc>
          <w:tcPr>
            <w:tcW w:w="0" w:type="auto"/>
            <w:shd w:val="clear" w:color="auto" w:fill="auto"/>
            <w:vAlign w:val="center"/>
          </w:tcPr>
          <w:p w14:paraId="4ACE61D7" w14:textId="77777777" w:rsidR="006F587A" w:rsidRDefault="006F587A">
            <w:pPr>
              <w:rPr>
                <w:rFonts w:ascii="Times New Roman" w:hAnsi="Times New Roman"/>
                <w:sz w:val="20"/>
                <w:szCs w:val="20"/>
              </w:rPr>
            </w:pPr>
          </w:p>
        </w:tc>
      </w:tr>
      <w:tr w:rsidR="006F587A" w14:paraId="4ACE61DA" w14:textId="77777777">
        <w:tc>
          <w:tcPr>
            <w:tcW w:w="5000" w:type="pct"/>
            <w:shd w:val="clear" w:color="auto" w:fill="auto"/>
            <w:vAlign w:val="center"/>
          </w:tcPr>
          <w:p w14:paraId="4ACE61D9" w14:textId="77777777" w:rsidR="006F587A" w:rsidRDefault="006F587A">
            <w:pPr>
              <w:rPr>
                <w:rFonts w:ascii="Times New Roman" w:hAnsi="Times New Roman"/>
                <w:sz w:val="20"/>
                <w:szCs w:val="20"/>
              </w:rPr>
            </w:pPr>
          </w:p>
        </w:tc>
      </w:tr>
      <w:tr w:rsidR="006F587A" w14:paraId="4ACE61DC" w14:textId="77777777">
        <w:tc>
          <w:tcPr>
            <w:tcW w:w="0" w:type="auto"/>
            <w:shd w:val="clear" w:color="auto" w:fill="0071C5"/>
            <w:tcMar>
              <w:top w:w="40" w:type="dxa"/>
              <w:left w:w="880" w:type="dxa"/>
              <w:bottom w:w="40" w:type="dxa"/>
              <w:right w:w="40" w:type="dxa"/>
            </w:tcMar>
            <w:vAlign w:val="bottom"/>
          </w:tcPr>
          <w:p w14:paraId="4ACE61DB" w14:textId="77777777" w:rsidR="006F587A" w:rsidRDefault="007B2B61">
            <w:pPr>
              <w:textAlignment w:val="bottom"/>
              <w:rPr>
                <w:rFonts w:ascii="Times New Roman" w:hAnsi="Times New Roman"/>
                <w:sz w:val="36"/>
                <w:szCs w:val="36"/>
              </w:rPr>
            </w:pPr>
            <w:r>
              <w:rPr>
                <w:rFonts w:ascii="Arial" w:eastAsia="宋体" w:hAnsi="Arial" w:cs="Arial"/>
                <w:b/>
                <w:bCs/>
                <w:color w:val="FFFFFF"/>
                <w:sz w:val="36"/>
                <w:szCs w:val="36"/>
              </w:rPr>
              <w:t>KEY TERMS</w:t>
            </w:r>
          </w:p>
        </w:tc>
      </w:tr>
    </w:tbl>
    <w:p w14:paraId="4ACE61DD"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We use terms throughout our document that are specific to Intel or that are abbreviations that may not be commonly known or used. Below is a list of these terms used in our document. </w:t>
      </w:r>
    </w:p>
    <w:tbl>
      <w:tblPr>
        <w:tblW w:w="5000" w:type="pct"/>
        <w:tblCellMar>
          <w:left w:w="0" w:type="dxa"/>
          <w:right w:w="0" w:type="dxa"/>
        </w:tblCellMar>
        <w:tblLook w:val="04A0" w:firstRow="1" w:lastRow="0" w:firstColumn="1" w:lastColumn="0" w:noHBand="0" w:noVBand="1"/>
      </w:tblPr>
      <w:tblGrid>
        <w:gridCol w:w="1662"/>
        <w:gridCol w:w="581"/>
        <w:gridCol w:w="6063"/>
      </w:tblGrid>
      <w:tr w:rsidR="006F587A" w14:paraId="4ACE61DF" w14:textId="77777777">
        <w:tc>
          <w:tcPr>
            <w:tcW w:w="0" w:type="auto"/>
            <w:gridSpan w:val="3"/>
            <w:shd w:val="clear" w:color="auto" w:fill="auto"/>
            <w:vAlign w:val="center"/>
          </w:tcPr>
          <w:p w14:paraId="4ACE61DE" w14:textId="77777777" w:rsidR="006F587A" w:rsidRDefault="006F587A">
            <w:pPr>
              <w:rPr>
                <w:rFonts w:ascii="Times New Roman" w:hAnsi="Times New Roman"/>
                <w:sz w:val="20"/>
                <w:szCs w:val="20"/>
              </w:rPr>
            </w:pPr>
          </w:p>
        </w:tc>
      </w:tr>
      <w:tr w:rsidR="006F587A" w14:paraId="4ACE61E3" w14:textId="77777777">
        <w:tc>
          <w:tcPr>
            <w:tcW w:w="1000" w:type="pct"/>
            <w:shd w:val="clear" w:color="auto" w:fill="auto"/>
            <w:vAlign w:val="center"/>
          </w:tcPr>
          <w:p w14:paraId="4ACE61E0" w14:textId="77777777" w:rsidR="006F587A" w:rsidRDefault="006F587A">
            <w:pPr>
              <w:rPr>
                <w:rFonts w:ascii="Times New Roman" w:hAnsi="Times New Roman"/>
                <w:sz w:val="20"/>
                <w:szCs w:val="20"/>
              </w:rPr>
            </w:pPr>
          </w:p>
        </w:tc>
        <w:tc>
          <w:tcPr>
            <w:tcW w:w="350" w:type="pct"/>
            <w:shd w:val="clear" w:color="auto" w:fill="auto"/>
            <w:vAlign w:val="center"/>
          </w:tcPr>
          <w:p w14:paraId="4ACE61E1" w14:textId="77777777" w:rsidR="006F587A" w:rsidRDefault="006F587A">
            <w:pPr>
              <w:rPr>
                <w:rFonts w:ascii="Times New Roman" w:hAnsi="Times New Roman"/>
                <w:sz w:val="20"/>
                <w:szCs w:val="20"/>
              </w:rPr>
            </w:pPr>
          </w:p>
        </w:tc>
        <w:tc>
          <w:tcPr>
            <w:tcW w:w="3650" w:type="pct"/>
            <w:shd w:val="clear" w:color="auto" w:fill="auto"/>
            <w:vAlign w:val="center"/>
          </w:tcPr>
          <w:p w14:paraId="4ACE61E2" w14:textId="77777777" w:rsidR="006F587A" w:rsidRDefault="006F587A">
            <w:pPr>
              <w:rPr>
                <w:rFonts w:ascii="Times New Roman" w:hAnsi="Times New Roman"/>
                <w:sz w:val="20"/>
                <w:szCs w:val="20"/>
              </w:rPr>
            </w:pPr>
          </w:p>
        </w:tc>
      </w:tr>
      <w:tr w:rsidR="006F587A" w14:paraId="4ACE61E7" w14:textId="77777777">
        <w:tc>
          <w:tcPr>
            <w:tcW w:w="0" w:type="auto"/>
            <w:tcBorders>
              <w:bottom w:val="single" w:sz="8" w:space="0" w:color="333333"/>
            </w:tcBorders>
            <w:shd w:val="clear" w:color="auto" w:fill="auto"/>
            <w:tcMar>
              <w:top w:w="40" w:type="dxa"/>
              <w:left w:w="40" w:type="dxa"/>
              <w:bottom w:w="40" w:type="dxa"/>
              <w:right w:w="40" w:type="dxa"/>
            </w:tcMar>
          </w:tcPr>
          <w:p w14:paraId="4ACE61E4" w14:textId="77777777" w:rsidR="006F587A" w:rsidRDefault="007B2B61">
            <w:pPr>
              <w:jc w:val="center"/>
              <w:textAlignment w:val="top"/>
              <w:rPr>
                <w:rFonts w:ascii="Times New Roman" w:hAnsi="Times New Roman"/>
                <w:sz w:val="18"/>
                <w:szCs w:val="18"/>
              </w:rPr>
            </w:pPr>
            <w:r>
              <w:rPr>
                <w:rFonts w:ascii="Arial" w:eastAsia="宋体" w:hAnsi="Arial" w:cs="Arial"/>
                <w:b/>
                <w:bCs/>
                <w:color w:val="0071C5"/>
                <w:sz w:val="18"/>
                <w:szCs w:val="18"/>
              </w:rPr>
              <w:t>TERM</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61E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tcPr>
          <w:p w14:paraId="4ACE61E6" w14:textId="77777777" w:rsidR="006F587A" w:rsidRDefault="007B2B61">
            <w:pPr>
              <w:jc w:val="center"/>
              <w:textAlignment w:val="top"/>
              <w:rPr>
                <w:rFonts w:ascii="Times New Roman" w:hAnsi="Times New Roman"/>
                <w:sz w:val="18"/>
                <w:szCs w:val="18"/>
              </w:rPr>
            </w:pPr>
            <w:r>
              <w:rPr>
                <w:rFonts w:ascii="Arial" w:eastAsia="宋体" w:hAnsi="Arial" w:cs="Arial"/>
                <w:b/>
                <w:bCs/>
                <w:color w:val="0071C5"/>
                <w:sz w:val="18"/>
                <w:szCs w:val="18"/>
              </w:rPr>
              <w:t>DEFINITION</w:t>
            </w:r>
          </w:p>
        </w:tc>
      </w:tr>
      <w:tr w:rsidR="006F587A" w14:paraId="4ACE61EB" w14:textId="77777777">
        <w:tc>
          <w:tcPr>
            <w:tcW w:w="0" w:type="auto"/>
            <w:shd w:val="clear" w:color="auto" w:fill="auto"/>
            <w:tcMar>
              <w:top w:w="40" w:type="dxa"/>
              <w:left w:w="40" w:type="dxa"/>
              <w:bottom w:w="40" w:type="dxa"/>
              <w:right w:w="40" w:type="dxa"/>
            </w:tcMar>
            <w:vAlign w:val="bottom"/>
          </w:tcPr>
          <w:p w14:paraId="4ACE61E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1E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1E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1EF" w14:textId="77777777">
        <w:tc>
          <w:tcPr>
            <w:tcW w:w="0" w:type="auto"/>
            <w:shd w:val="clear" w:color="auto" w:fill="auto"/>
            <w:tcMar>
              <w:top w:w="40" w:type="dxa"/>
              <w:left w:w="40" w:type="dxa"/>
              <w:bottom w:w="40" w:type="dxa"/>
              <w:right w:w="40" w:type="dxa"/>
            </w:tcMar>
          </w:tcPr>
          <w:p w14:paraId="4ACE61EC"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2006 Plan</w:t>
            </w:r>
          </w:p>
        </w:tc>
        <w:tc>
          <w:tcPr>
            <w:tcW w:w="0" w:type="auto"/>
            <w:shd w:val="clear" w:color="auto" w:fill="auto"/>
            <w:tcMar>
              <w:top w:w="40" w:type="dxa"/>
              <w:left w:w="40" w:type="dxa"/>
              <w:bottom w:w="40" w:type="dxa"/>
              <w:right w:w="40" w:type="dxa"/>
            </w:tcMar>
            <w:vAlign w:val="bottom"/>
          </w:tcPr>
          <w:p w14:paraId="4ACE61E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1EE"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 xml:space="preserve">2006 Equity </w:t>
            </w:r>
            <w:r>
              <w:rPr>
                <w:rFonts w:ascii="Arial" w:eastAsia="宋体" w:hAnsi="Arial" w:cs="Arial"/>
                <w:color w:val="333333"/>
                <w:sz w:val="18"/>
                <w:szCs w:val="18"/>
              </w:rPr>
              <w:t>Incentive Plan</w:t>
            </w:r>
          </w:p>
        </w:tc>
      </w:tr>
      <w:tr w:rsidR="006F587A" w14:paraId="4ACE61F3" w14:textId="77777777">
        <w:tc>
          <w:tcPr>
            <w:tcW w:w="0" w:type="auto"/>
            <w:shd w:val="clear" w:color="auto" w:fill="auto"/>
            <w:tcMar>
              <w:top w:w="40" w:type="dxa"/>
              <w:left w:w="40" w:type="dxa"/>
              <w:bottom w:w="40" w:type="dxa"/>
              <w:right w:w="40" w:type="dxa"/>
            </w:tcMar>
          </w:tcPr>
          <w:p w14:paraId="4ACE61F0"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2006 ESPP</w:t>
            </w:r>
          </w:p>
        </w:tc>
        <w:tc>
          <w:tcPr>
            <w:tcW w:w="0" w:type="auto"/>
            <w:shd w:val="clear" w:color="auto" w:fill="auto"/>
            <w:tcMar>
              <w:top w:w="40" w:type="dxa"/>
              <w:left w:w="40" w:type="dxa"/>
              <w:bottom w:w="40" w:type="dxa"/>
              <w:right w:w="40" w:type="dxa"/>
            </w:tcMar>
            <w:vAlign w:val="bottom"/>
          </w:tcPr>
          <w:p w14:paraId="4ACE61F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1F2"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2006 Employee Stock Purchase Plan</w:t>
            </w:r>
          </w:p>
        </w:tc>
      </w:tr>
      <w:tr w:rsidR="006F587A" w14:paraId="4ACE61F7" w14:textId="77777777">
        <w:tc>
          <w:tcPr>
            <w:tcW w:w="0" w:type="auto"/>
            <w:shd w:val="clear" w:color="auto" w:fill="auto"/>
            <w:tcMar>
              <w:top w:w="40" w:type="dxa"/>
              <w:left w:w="40" w:type="dxa"/>
              <w:bottom w:w="40" w:type="dxa"/>
              <w:right w:w="40" w:type="dxa"/>
            </w:tcMar>
          </w:tcPr>
          <w:p w14:paraId="4ACE61F4"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2009 Debentures</w:t>
            </w:r>
          </w:p>
        </w:tc>
        <w:tc>
          <w:tcPr>
            <w:tcW w:w="0" w:type="auto"/>
            <w:shd w:val="clear" w:color="auto" w:fill="auto"/>
            <w:tcMar>
              <w:top w:w="40" w:type="dxa"/>
              <w:left w:w="40" w:type="dxa"/>
              <w:bottom w:w="40" w:type="dxa"/>
              <w:right w:w="40" w:type="dxa"/>
            </w:tcMar>
            <w:vAlign w:val="bottom"/>
          </w:tcPr>
          <w:p w14:paraId="4ACE61F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1F6"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3.25% junior subordinated convertible debentures due 2039</w:t>
            </w:r>
          </w:p>
        </w:tc>
      </w:tr>
      <w:tr w:rsidR="006F587A" w14:paraId="4ACE61FB" w14:textId="77777777">
        <w:tc>
          <w:tcPr>
            <w:tcW w:w="0" w:type="auto"/>
            <w:shd w:val="clear" w:color="auto" w:fill="auto"/>
            <w:tcMar>
              <w:top w:w="40" w:type="dxa"/>
              <w:left w:w="40" w:type="dxa"/>
              <w:bottom w:w="40" w:type="dxa"/>
              <w:right w:w="40" w:type="dxa"/>
            </w:tcMar>
          </w:tcPr>
          <w:p w14:paraId="4ACE61F8"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2018 Arizona Bonds</w:t>
            </w:r>
          </w:p>
        </w:tc>
        <w:tc>
          <w:tcPr>
            <w:tcW w:w="0" w:type="auto"/>
            <w:shd w:val="clear" w:color="auto" w:fill="auto"/>
            <w:tcMar>
              <w:top w:w="40" w:type="dxa"/>
              <w:left w:w="40" w:type="dxa"/>
              <w:bottom w:w="40" w:type="dxa"/>
              <w:right w:w="40" w:type="dxa"/>
            </w:tcMar>
            <w:vAlign w:val="bottom"/>
          </w:tcPr>
          <w:p w14:paraId="4ACE61F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1FA"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 xml:space="preserve">Bonds remarketed in 2018, which were issued by the Industrial Development Authority of the </w:t>
            </w:r>
            <w:r>
              <w:rPr>
                <w:rFonts w:ascii="Arial" w:eastAsia="宋体" w:hAnsi="Arial" w:cs="Arial"/>
                <w:color w:val="333333"/>
                <w:sz w:val="18"/>
                <w:szCs w:val="18"/>
              </w:rPr>
              <w:t>City of Chandler, Arizona and which are our unsecured obligations</w:t>
            </w:r>
          </w:p>
        </w:tc>
      </w:tr>
      <w:tr w:rsidR="006F587A" w14:paraId="4ACE61FF" w14:textId="77777777">
        <w:tc>
          <w:tcPr>
            <w:tcW w:w="0" w:type="auto"/>
            <w:shd w:val="clear" w:color="auto" w:fill="auto"/>
            <w:tcMar>
              <w:top w:w="40" w:type="dxa"/>
              <w:left w:w="40" w:type="dxa"/>
              <w:bottom w:w="40" w:type="dxa"/>
              <w:right w:w="40" w:type="dxa"/>
            </w:tcMar>
          </w:tcPr>
          <w:p w14:paraId="4ACE61FC"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2018 Oregon Bonds</w:t>
            </w:r>
          </w:p>
        </w:tc>
        <w:tc>
          <w:tcPr>
            <w:tcW w:w="0" w:type="auto"/>
            <w:shd w:val="clear" w:color="auto" w:fill="auto"/>
            <w:tcMar>
              <w:top w:w="40" w:type="dxa"/>
              <w:left w:w="40" w:type="dxa"/>
              <w:bottom w:w="40" w:type="dxa"/>
              <w:right w:w="40" w:type="dxa"/>
            </w:tcMar>
            <w:vAlign w:val="bottom"/>
          </w:tcPr>
          <w:p w14:paraId="4ACE61F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1FE"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Bonds remarketed in 2018, which were issued by the State of Oregon Business Development Commission and which are our unsecured obligations</w:t>
            </w:r>
          </w:p>
        </w:tc>
      </w:tr>
      <w:tr w:rsidR="006F587A" w14:paraId="4ACE6203" w14:textId="77777777">
        <w:tc>
          <w:tcPr>
            <w:tcW w:w="0" w:type="auto"/>
            <w:shd w:val="clear" w:color="auto" w:fill="auto"/>
            <w:tcMar>
              <w:top w:w="40" w:type="dxa"/>
              <w:left w:w="40" w:type="dxa"/>
              <w:bottom w:w="40" w:type="dxa"/>
              <w:right w:w="40" w:type="dxa"/>
            </w:tcMar>
          </w:tcPr>
          <w:p w14:paraId="4ACE6200"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2019 Arizona Bonds</w:t>
            </w:r>
          </w:p>
        </w:tc>
        <w:tc>
          <w:tcPr>
            <w:tcW w:w="0" w:type="auto"/>
            <w:shd w:val="clear" w:color="auto" w:fill="auto"/>
            <w:tcMar>
              <w:top w:w="40" w:type="dxa"/>
              <w:left w:w="40" w:type="dxa"/>
              <w:bottom w:w="40" w:type="dxa"/>
              <w:right w:w="40" w:type="dxa"/>
            </w:tcMar>
            <w:vAlign w:val="bottom"/>
          </w:tcPr>
          <w:p w14:paraId="4ACE620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02"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Bonds issued in 2019 by the Industrial Development Authority of the City of Chandler, Arizona that are our unsecured obligations</w:t>
            </w:r>
          </w:p>
        </w:tc>
      </w:tr>
      <w:tr w:rsidR="006F587A" w14:paraId="4ACE6207" w14:textId="77777777">
        <w:tc>
          <w:tcPr>
            <w:tcW w:w="0" w:type="auto"/>
            <w:shd w:val="clear" w:color="auto" w:fill="auto"/>
            <w:tcMar>
              <w:top w:w="40" w:type="dxa"/>
              <w:left w:w="40" w:type="dxa"/>
              <w:bottom w:w="40" w:type="dxa"/>
              <w:right w:w="40" w:type="dxa"/>
            </w:tcMar>
          </w:tcPr>
          <w:p w14:paraId="4ACE6204"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2019 Oregon Bonds</w:t>
            </w:r>
          </w:p>
        </w:tc>
        <w:tc>
          <w:tcPr>
            <w:tcW w:w="0" w:type="auto"/>
            <w:shd w:val="clear" w:color="auto" w:fill="auto"/>
            <w:tcMar>
              <w:top w:w="40" w:type="dxa"/>
              <w:left w:w="40" w:type="dxa"/>
              <w:bottom w:w="40" w:type="dxa"/>
              <w:right w:w="40" w:type="dxa"/>
            </w:tcMar>
            <w:vAlign w:val="bottom"/>
          </w:tcPr>
          <w:p w14:paraId="4ACE620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06"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Bonds issued in 2019 by the State of Oregon Business Development Commission that are our unsecured obligat</w:t>
            </w:r>
            <w:r>
              <w:rPr>
                <w:rFonts w:ascii="Arial" w:eastAsia="宋体" w:hAnsi="Arial" w:cs="Arial"/>
                <w:color w:val="333333"/>
                <w:sz w:val="18"/>
                <w:szCs w:val="18"/>
              </w:rPr>
              <w:t>ions</w:t>
            </w:r>
          </w:p>
        </w:tc>
      </w:tr>
      <w:tr w:rsidR="006F587A" w14:paraId="4ACE620B" w14:textId="77777777">
        <w:tc>
          <w:tcPr>
            <w:tcW w:w="0" w:type="auto"/>
            <w:shd w:val="clear" w:color="auto" w:fill="auto"/>
            <w:tcMar>
              <w:top w:w="40" w:type="dxa"/>
              <w:left w:w="40" w:type="dxa"/>
              <w:bottom w:w="40" w:type="dxa"/>
              <w:right w:w="40" w:type="dxa"/>
            </w:tcMar>
          </w:tcPr>
          <w:p w14:paraId="4ACE6208"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5G</w:t>
            </w:r>
          </w:p>
        </w:tc>
        <w:tc>
          <w:tcPr>
            <w:tcW w:w="0" w:type="auto"/>
            <w:shd w:val="clear" w:color="auto" w:fill="auto"/>
            <w:tcMar>
              <w:top w:w="40" w:type="dxa"/>
              <w:left w:w="40" w:type="dxa"/>
              <w:bottom w:w="40" w:type="dxa"/>
              <w:right w:w="40" w:type="dxa"/>
            </w:tcMar>
            <w:vAlign w:val="bottom"/>
          </w:tcPr>
          <w:p w14:paraId="4ACE620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0A"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The next-generation mobile network, which is expected to bring dramatic improvements in network speeds and latency, and which we view as a transformative technology and opportunity for many industries</w:t>
            </w:r>
          </w:p>
        </w:tc>
      </w:tr>
      <w:tr w:rsidR="006F587A" w14:paraId="4ACE620F" w14:textId="77777777">
        <w:tc>
          <w:tcPr>
            <w:tcW w:w="0" w:type="auto"/>
            <w:shd w:val="clear" w:color="auto" w:fill="auto"/>
            <w:tcMar>
              <w:top w:w="40" w:type="dxa"/>
              <w:left w:w="40" w:type="dxa"/>
              <w:bottom w:w="40" w:type="dxa"/>
              <w:right w:w="40" w:type="dxa"/>
            </w:tcMar>
          </w:tcPr>
          <w:p w14:paraId="4ACE620C"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ADAS</w:t>
            </w:r>
          </w:p>
        </w:tc>
        <w:tc>
          <w:tcPr>
            <w:tcW w:w="0" w:type="auto"/>
            <w:shd w:val="clear" w:color="auto" w:fill="auto"/>
            <w:tcMar>
              <w:top w:w="40" w:type="dxa"/>
              <w:left w:w="40" w:type="dxa"/>
              <w:bottom w:w="40" w:type="dxa"/>
              <w:right w:w="40" w:type="dxa"/>
            </w:tcMar>
            <w:vAlign w:val="bottom"/>
          </w:tcPr>
          <w:p w14:paraId="4ACE620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0E"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 xml:space="preserve">Advanced </w:t>
            </w:r>
            <w:r>
              <w:rPr>
                <w:rFonts w:ascii="Arial" w:eastAsia="宋体" w:hAnsi="Arial" w:cs="Arial"/>
                <w:color w:val="333333"/>
                <w:sz w:val="18"/>
                <w:szCs w:val="18"/>
              </w:rPr>
              <w:t>driver-assistance systems</w:t>
            </w:r>
          </w:p>
        </w:tc>
      </w:tr>
      <w:tr w:rsidR="006F587A" w14:paraId="4ACE6213" w14:textId="77777777">
        <w:tc>
          <w:tcPr>
            <w:tcW w:w="0" w:type="auto"/>
            <w:shd w:val="clear" w:color="auto" w:fill="auto"/>
            <w:tcMar>
              <w:top w:w="40" w:type="dxa"/>
              <w:left w:w="40" w:type="dxa"/>
              <w:bottom w:w="40" w:type="dxa"/>
              <w:right w:w="40" w:type="dxa"/>
            </w:tcMar>
          </w:tcPr>
          <w:p w14:paraId="4ACE6210"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ASIC</w:t>
            </w:r>
          </w:p>
        </w:tc>
        <w:tc>
          <w:tcPr>
            <w:tcW w:w="0" w:type="auto"/>
            <w:shd w:val="clear" w:color="auto" w:fill="auto"/>
            <w:tcMar>
              <w:top w:w="40" w:type="dxa"/>
              <w:left w:w="40" w:type="dxa"/>
              <w:bottom w:w="40" w:type="dxa"/>
              <w:right w:w="40" w:type="dxa"/>
            </w:tcMar>
            <w:vAlign w:val="bottom"/>
          </w:tcPr>
          <w:p w14:paraId="4ACE621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12"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Application-specific integrated circuit</w:t>
            </w:r>
          </w:p>
        </w:tc>
      </w:tr>
      <w:tr w:rsidR="006F587A" w14:paraId="4ACE6217" w14:textId="77777777">
        <w:tc>
          <w:tcPr>
            <w:tcW w:w="0" w:type="auto"/>
            <w:shd w:val="clear" w:color="auto" w:fill="auto"/>
            <w:tcMar>
              <w:top w:w="40" w:type="dxa"/>
              <w:left w:w="40" w:type="dxa"/>
              <w:bottom w:w="40" w:type="dxa"/>
              <w:right w:w="40" w:type="dxa"/>
            </w:tcMar>
          </w:tcPr>
          <w:p w14:paraId="4ACE6214"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AV</w:t>
            </w:r>
          </w:p>
        </w:tc>
        <w:tc>
          <w:tcPr>
            <w:tcW w:w="0" w:type="auto"/>
            <w:shd w:val="clear" w:color="auto" w:fill="auto"/>
            <w:tcMar>
              <w:top w:w="40" w:type="dxa"/>
              <w:left w:w="40" w:type="dxa"/>
              <w:bottom w:w="40" w:type="dxa"/>
              <w:right w:w="40" w:type="dxa"/>
            </w:tcMar>
            <w:vAlign w:val="bottom"/>
          </w:tcPr>
          <w:p w14:paraId="4ACE621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21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Autonomous vehicle</w:t>
            </w:r>
          </w:p>
        </w:tc>
      </w:tr>
      <w:tr w:rsidR="006F587A" w14:paraId="4ACE621B" w14:textId="77777777">
        <w:tc>
          <w:tcPr>
            <w:tcW w:w="0" w:type="auto"/>
            <w:shd w:val="clear" w:color="auto" w:fill="auto"/>
            <w:tcMar>
              <w:top w:w="40" w:type="dxa"/>
              <w:left w:w="40" w:type="dxa"/>
              <w:bottom w:w="40" w:type="dxa"/>
              <w:right w:w="40" w:type="dxa"/>
            </w:tcMar>
          </w:tcPr>
          <w:p w14:paraId="4ACE6218"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CAGR</w:t>
            </w:r>
          </w:p>
        </w:tc>
        <w:tc>
          <w:tcPr>
            <w:tcW w:w="0" w:type="auto"/>
            <w:shd w:val="clear" w:color="auto" w:fill="auto"/>
            <w:tcMar>
              <w:top w:w="40" w:type="dxa"/>
              <w:left w:w="40" w:type="dxa"/>
              <w:bottom w:w="40" w:type="dxa"/>
              <w:right w:w="40" w:type="dxa"/>
            </w:tcMar>
            <w:vAlign w:val="bottom"/>
          </w:tcPr>
          <w:p w14:paraId="4ACE621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1A"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Compound annual growth rate</w:t>
            </w:r>
          </w:p>
        </w:tc>
      </w:tr>
      <w:tr w:rsidR="006F587A" w14:paraId="4ACE621F" w14:textId="77777777">
        <w:tc>
          <w:tcPr>
            <w:tcW w:w="0" w:type="auto"/>
            <w:shd w:val="clear" w:color="auto" w:fill="auto"/>
            <w:tcMar>
              <w:top w:w="40" w:type="dxa"/>
              <w:left w:w="40" w:type="dxa"/>
              <w:bottom w:w="40" w:type="dxa"/>
              <w:right w:w="40" w:type="dxa"/>
            </w:tcMar>
          </w:tcPr>
          <w:p w14:paraId="4ACE621C"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CDP</w:t>
            </w:r>
          </w:p>
        </w:tc>
        <w:tc>
          <w:tcPr>
            <w:tcW w:w="0" w:type="auto"/>
            <w:shd w:val="clear" w:color="auto" w:fill="auto"/>
            <w:tcMar>
              <w:top w:w="40" w:type="dxa"/>
              <w:left w:w="40" w:type="dxa"/>
              <w:bottom w:w="40" w:type="dxa"/>
              <w:right w:w="40" w:type="dxa"/>
            </w:tcMar>
            <w:vAlign w:val="bottom"/>
          </w:tcPr>
          <w:p w14:paraId="4ACE621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1E"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 xml:space="preserve">A nonprofit organization that runs a global disclosure system for investors, companies, cities, states, and </w:t>
            </w:r>
            <w:r>
              <w:rPr>
                <w:rFonts w:ascii="Arial" w:eastAsia="宋体" w:hAnsi="Arial" w:cs="Arial"/>
                <w:color w:val="333333"/>
                <w:sz w:val="18"/>
                <w:szCs w:val="18"/>
              </w:rPr>
              <w:t>regions to manage their environmental impacts</w:t>
            </w:r>
          </w:p>
        </w:tc>
      </w:tr>
      <w:tr w:rsidR="006F587A" w14:paraId="4ACE6223" w14:textId="77777777">
        <w:tc>
          <w:tcPr>
            <w:tcW w:w="0" w:type="auto"/>
            <w:shd w:val="clear" w:color="auto" w:fill="auto"/>
            <w:tcMar>
              <w:top w:w="40" w:type="dxa"/>
              <w:left w:w="40" w:type="dxa"/>
              <w:bottom w:w="40" w:type="dxa"/>
              <w:right w:w="40" w:type="dxa"/>
            </w:tcMar>
          </w:tcPr>
          <w:p w14:paraId="4ACE6220"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CODM</w:t>
            </w:r>
          </w:p>
        </w:tc>
        <w:tc>
          <w:tcPr>
            <w:tcW w:w="0" w:type="auto"/>
            <w:shd w:val="clear" w:color="auto" w:fill="auto"/>
            <w:tcMar>
              <w:top w:w="40" w:type="dxa"/>
              <w:left w:w="40" w:type="dxa"/>
              <w:bottom w:w="40" w:type="dxa"/>
              <w:right w:w="40" w:type="dxa"/>
            </w:tcMar>
            <w:vAlign w:val="bottom"/>
          </w:tcPr>
          <w:p w14:paraId="4ACE622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22"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Chief operating decision maker</w:t>
            </w:r>
          </w:p>
        </w:tc>
      </w:tr>
      <w:tr w:rsidR="006F587A" w14:paraId="4ACE6227" w14:textId="77777777">
        <w:tc>
          <w:tcPr>
            <w:tcW w:w="0" w:type="auto"/>
            <w:shd w:val="clear" w:color="auto" w:fill="auto"/>
            <w:tcMar>
              <w:top w:w="40" w:type="dxa"/>
              <w:left w:w="40" w:type="dxa"/>
              <w:bottom w:w="40" w:type="dxa"/>
              <w:right w:w="40" w:type="dxa"/>
            </w:tcMar>
          </w:tcPr>
          <w:p w14:paraId="4ACE6224"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Cloudification</w:t>
            </w:r>
          </w:p>
        </w:tc>
        <w:tc>
          <w:tcPr>
            <w:tcW w:w="0" w:type="auto"/>
            <w:shd w:val="clear" w:color="auto" w:fill="auto"/>
            <w:tcMar>
              <w:top w:w="40" w:type="dxa"/>
              <w:left w:w="40" w:type="dxa"/>
              <w:bottom w:w="40" w:type="dxa"/>
              <w:right w:w="40" w:type="dxa"/>
            </w:tcMar>
            <w:vAlign w:val="bottom"/>
          </w:tcPr>
          <w:p w14:paraId="4ACE622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26"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 xml:space="preserve">Refers to the application of cloud technologies and business practices to infrastructure outside the centralized cloud data </w:t>
            </w:r>
            <w:r>
              <w:rPr>
                <w:rFonts w:ascii="Arial" w:eastAsia="宋体" w:hAnsi="Arial" w:cs="Arial"/>
                <w:color w:val="333333"/>
                <w:sz w:val="18"/>
                <w:szCs w:val="18"/>
              </w:rPr>
              <w:t>center—bringing the same programmability, flexibility, and economies of scale to the network and edge.</w:t>
            </w:r>
          </w:p>
        </w:tc>
      </w:tr>
      <w:tr w:rsidR="006F587A" w14:paraId="4ACE622B" w14:textId="77777777">
        <w:tc>
          <w:tcPr>
            <w:tcW w:w="0" w:type="auto"/>
            <w:shd w:val="clear" w:color="auto" w:fill="auto"/>
            <w:tcMar>
              <w:top w:w="40" w:type="dxa"/>
              <w:left w:w="40" w:type="dxa"/>
              <w:bottom w:w="40" w:type="dxa"/>
              <w:right w:w="40" w:type="dxa"/>
            </w:tcMar>
          </w:tcPr>
          <w:p w14:paraId="4ACE6228"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CPU</w:t>
            </w:r>
          </w:p>
        </w:tc>
        <w:tc>
          <w:tcPr>
            <w:tcW w:w="0" w:type="auto"/>
            <w:shd w:val="clear" w:color="auto" w:fill="auto"/>
            <w:tcMar>
              <w:top w:w="40" w:type="dxa"/>
              <w:left w:w="40" w:type="dxa"/>
              <w:bottom w:w="40" w:type="dxa"/>
              <w:right w:w="40" w:type="dxa"/>
            </w:tcMar>
            <w:vAlign w:val="bottom"/>
          </w:tcPr>
          <w:p w14:paraId="4ACE622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2A"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Processor or central processing unit</w:t>
            </w:r>
          </w:p>
        </w:tc>
      </w:tr>
      <w:tr w:rsidR="006F587A" w14:paraId="4ACE622F" w14:textId="77777777">
        <w:tc>
          <w:tcPr>
            <w:tcW w:w="0" w:type="auto"/>
            <w:shd w:val="clear" w:color="auto" w:fill="auto"/>
            <w:tcMar>
              <w:top w:w="40" w:type="dxa"/>
              <w:left w:w="40" w:type="dxa"/>
              <w:bottom w:w="40" w:type="dxa"/>
              <w:right w:w="40" w:type="dxa"/>
            </w:tcMar>
          </w:tcPr>
          <w:p w14:paraId="4ACE622C"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Data-centric businesses</w:t>
            </w:r>
          </w:p>
        </w:tc>
        <w:tc>
          <w:tcPr>
            <w:tcW w:w="0" w:type="auto"/>
            <w:shd w:val="clear" w:color="auto" w:fill="auto"/>
            <w:tcMar>
              <w:top w:w="40" w:type="dxa"/>
              <w:left w:w="40" w:type="dxa"/>
              <w:bottom w:w="40" w:type="dxa"/>
              <w:right w:w="40" w:type="dxa"/>
            </w:tcMar>
            <w:vAlign w:val="bottom"/>
          </w:tcPr>
          <w:p w14:paraId="4ACE622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2E"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 xml:space="preserve">Includes our Data Center Group (DCG), Internet of Things Group (IOTG), </w:t>
            </w:r>
            <w:r>
              <w:rPr>
                <w:rFonts w:ascii="Arial" w:eastAsia="宋体" w:hAnsi="Arial" w:cs="Arial"/>
                <w:color w:val="333333"/>
                <w:sz w:val="18"/>
                <w:szCs w:val="18"/>
              </w:rPr>
              <w:t>Mobileye, Non-Volatile Memory Solutions Group (NSG), Programmable Solutions Group (PSG), and all other businesses</w:t>
            </w:r>
          </w:p>
        </w:tc>
      </w:tr>
      <w:tr w:rsidR="006F587A" w14:paraId="4ACE6233" w14:textId="77777777">
        <w:tc>
          <w:tcPr>
            <w:tcW w:w="0" w:type="auto"/>
            <w:shd w:val="clear" w:color="auto" w:fill="auto"/>
            <w:tcMar>
              <w:top w:w="40" w:type="dxa"/>
              <w:left w:w="40" w:type="dxa"/>
              <w:bottom w:w="40" w:type="dxa"/>
              <w:right w:w="40" w:type="dxa"/>
            </w:tcMar>
          </w:tcPr>
          <w:p w14:paraId="4ACE6230"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EC</w:t>
            </w:r>
          </w:p>
        </w:tc>
        <w:tc>
          <w:tcPr>
            <w:tcW w:w="0" w:type="auto"/>
            <w:shd w:val="clear" w:color="auto" w:fill="auto"/>
            <w:tcMar>
              <w:top w:w="40" w:type="dxa"/>
              <w:left w:w="40" w:type="dxa"/>
              <w:bottom w:w="40" w:type="dxa"/>
              <w:right w:w="40" w:type="dxa"/>
            </w:tcMar>
            <w:vAlign w:val="bottom"/>
          </w:tcPr>
          <w:p w14:paraId="4ACE623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32"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European Commission</w:t>
            </w:r>
          </w:p>
        </w:tc>
      </w:tr>
      <w:tr w:rsidR="006F587A" w14:paraId="4ACE6237" w14:textId="77777777">
        <w:tc>
          <w:tcPr>
            <w:tcW w:w="0" w:type="auto"/>
            <w:shd w:val="clear" w:color="auto" w:fill="auto"/>
            <w:tcMar>
              <w:top w:w="40" w:type="dxa"/>
              <w:left w:w="40" w:type="dxa"/>
              <w:bottom w:w="40" w:type="dxa"/>
              <w:right w:w="40" w:type="dxa"/>
            </w:tcMar>
          </w:tcPr>
          <w:p w14:paraId="4ACE6234"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Edge (or intelligent edge)</w:t>
            </w:r>
          </w:p>
        </w:tc>
        <w:tc>
          <w:tcPr>
            <w:tcW w:w="0" w:type="auto"/>
            <w:shd w:val="clear" w:color="auto" w:fill="auto"/>
            <w:tcMar>
              <w:top w:w="40" w:type="dxa"/>
              <w:left w:w="40" w:type="dxa"/>
              <w:bottom w:w="40" w:type="dxa"/>
              <w:right w:w="40" w:type="dxa"/>
            </w:tcMar>
            <w:vAlign w:val="bottom"/>
          </w:tcPr>
          <w:p w14:paraId="4ACE623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23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Allocated resources that move, store, and process data closer to the source or </w:t>
            </w:r>
            <w:r>
              <w:rPr>
                <w:rFonts w:ascii="Arial" w:eastAsia="宋体" w:hAnsi="Arial" w:cs="Arial"/>
                <w:color w:val="333333"/>
                <w:sz w:val="18"/>
                <w:szCs w:val="18"/>
              </w:rPr>
              <w:t>point of service delivery</w:t>
            </w:r>
          </w:p>
        </w:tc>
      </w:tr>
      <w:tr w:rsidR="006F587A" w14:paraId="4ACE623B" w14:textId="77777777">
        <w:tc>
          <w:tcPr>
            <w:tcW w:w="0" w:type="auto"/>
            <w:shd w:val="clear" w:color="auto" w:fill="auto"/>
            <w:tcMar>
              <w:top w:w="40" w:type="dxa"/>
              <w:left w:w="40" w:type="dxa"/>
              <w:bottom w:w="40" w:type="dxa"/>
              <w:right w:w="40" w:type="dxa"/>
            </w:tcMar>
          </w:tcPr>
          <w:p w14:paraId="4ACE6238"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ERISA</w:t>
            </w:r>
          </w:p>
        </w:tc>
        <w:tc>
          <w:tcPr>
            <w:tcW w:w="0" w:type="auto"/>
            <w:shd w:val="clear" w:color="auto" w:fill="auto"/>
            <w:tcMar>
              <w:top w:w="40" w:type="dxa"/>
              <w:left w:w="40" w:type="dxa"/>
              <w:bottom w:w="40" w:type="dxa"/>
              <w:right w:w="40" w:type="dxa"/>
            </w:tcMar>
            <w:vAlign w:val="bottom"/>
          </w:tcPr>
          <w:p w14:paraId="4ACE623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23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Employee Retirement Income Security Act</w:t>
            </w:r>
          </w:p>
        </w:tc>
      </w:tr>
      <w:tr w:rsidR="006F587A" w14:paraId="4ACE623F" w14:textId="77777777">
        <w:tc>
          <w:tcPr>
            <w:tcW w:w="0" w:type="auto"/>
            <w:shd w:val="clear" w:color="auto" w:fill="auto"/>
            <w:tcMar>
              <w:top w:w="40" w:type="dxa"/>
              <w:left w:w="40" w:type="dxa"/>
              <w:bottom w:w="40" w:type="dxa"/>
              <w:right w:w="40" w:type="dxa"/>
            </w:tcMar>
          </w:tcPr>
          <w:p w14:paraId="4ACE623C"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Form 10-K</w:t>
            </w:r>
          </w:p>
        </w:tc>
        <w:tc>
          <w:tcPr>
            <w:tcW w:w="0" w:type="auto"/>
            <w:shd w:val="clear" w:color="auto" w:fill="auto"/>
            <w:tcMar>
              <w:top w:w="40" w:type="dxa"/>
              <w:left w:w="40" w:type="dxa"/>
              <w:bottom w:w="40" w:type="dxa"/>
              <w:right w:w="40" w:type="dxa"/>
            </w:tcMar>
            <w:vAlign w:val="bottom"/>
          </w:tcPr>
          <w:p w14:paraId="4ACE623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3E"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Annual Report on Form 10-K</w:t>
            </w:r>
          </w:p>
        </w:tc>
      </w:tr>
      <w:tr w:rsidR="006F587A" w14:paraId="4ACE6243" w14:textId="77777777">
        <w:tc>
          <w:tcPr>
            <w:tcW w:w="0" w:type="auto"/>
            <w:shd w:val="clear" w:color="auto" w:fill="auto"/>
            <w:tcMar>
              <w:top w:w="40" w:type="dxa"/>
              <w:left w:w="40" w:type="dxa"/>
              <w:bottom w:w="40" w:type="dxa"/>
              <w:right w:w="40" w:type="dxa"/>
            </w:tcMar>
          </w:tcPr>
          <w:p w14:paraId="4ACE6240"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FPGA</w:t>
            </w:r>
          </w:p>
        </w:tc>
        <w:tc>
          <w:tcPr>
            <w:tcW w:w="0" w:type="auto"/>
            <w:shd w:val="clear" w:color="auto" w:fill="auto"/>
            <w:tcMar>
              <w:top w:w="40" w:type="dxa"/>
              <w:left w:w="40" w:type="dxa"/>
              <w:bottom w:w="40" w:type="dxa"/>
              <w:right w:w="40" w:type="dxa"/>
            </w:tcMar>
            <w:vAlign w:val="bottom"/>
          </w:tcPr>
          <w:p w14:paraId="4ACE624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42"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Field-programmable gate array</w:t>
            </w:r>
          </w:p>
        </w:tc>
      </w:tr>
      <w:tr w:rsidR="006F587A" w14:paraId="4ACE6247" w14:textId="77777777">
        <w:tc>
          <w:tcPr>
            <w:tcW w:w="0" w:type="auto"/>
            <w:shd w:val="clear" w:color="auto" w:fill="auto"/>
            <w:tcMar>
              <w:top w:w="40" w:type="dxa"/>
              <w:left w:w="40" w:type="dxa"/>
              <w:bottom w:w="40" w:type="dxa"/>
              <w:right w:w="40" w:type="dxa"/>
            </w:tcMar>
          </w:tcPr>
          <w:p w14:paraId="4ACE6244"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GHG</w:t>
            </w:r>
          </w:p>
        </w:tc>
        <w:tc>
          <w:tcPr>
            <w:tcW w:w="0" w:type="auto"/>
            <w:shd w:val="clear" w:color="auto" w:fill="auto"/>
            <w:tcMar>
              <w:top w:w="40" w:type="dxa"/>
              <w:left w:w="40" w:type="dxa"/>
              <w:bottom w:w="40" w:type="dxa"/>
              <w:right w:w="40" w:type="dxa"/>
            </w:tcMar>
            <w:vAlign w:val="bottom"/>
          </w:tcPr>
          <w:p w14:paraId="4ACE624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46"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Greenhouse gas</w:t>
            </w:r>
          </w:p>
        </w:tc>
      </w:tr>
      <w:tr w:rsidR="006F587A" w14:paraId="4ACE624B" w14:textId="77777777">
        <w:tc>
          <w:tcPr>
            <w:tcW w:w="0" w:type="auto"/>
            <w:shd w:val="clear" w:color="auto" w:fill="auto"/>
            <w:tcMar>
              <w:top w:w="40" w:type="dxa"/>
              <w:left w:w="40" w:type="dxa"/>
              <w:bottom w:w="40" w:type="dxa"/>
              <w:right w:w="40" w:type="dxa"/>
            </w:tcMar>
          </w:tcPr>
          <w:p w14:paraId="4ACE6248"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lastRenderedPageBreak/>
              <w:t>GPU</w:t>
            </w:r>
          </w:p>
        </w:tc>
        <w:tc>
          <w:tcPr>
            <w:tcW w:w="0" w:type="auto"/>
            <w:shd w:val="clear" w:color="auto" w:fill="auto"/>
            <w:tcMar>
              <w:top w:w="40" w:type="dxa"/>
              <w:left w:w="40" w:type="dxa"/>
              <w:bottom w:w="40" w:type="dxa"/>
              <w:right w:w="40" w:type="dxa"/>
            </w:tcMar>
            <w:vAlign w:val="bottom"/>
          </w:tcPr>
          <w:p w14:paraId="4ACE624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4A"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Graphics processing unit</w:t>
            </w:r>
          </w:p>
        </w:tc>
      </w:tr>
      <w:tr w:rsidR="006F587A" w14:paraId="4ACE624F" w14:textId="77777777">
        <w:tc>
          <w:tcPr>
            <w:tcW w:w="0" w:type="auto"/>
            <w:shd w:val="clear" w:color="auto" w:fill="auto"/>
            <w:tcMar>
              <w:top w:w="40" w:type="dxa"/>
              <w:left w:w="40" w:type="dxa"/>
              <w:bottom w:w="40" w:type="dxa"/>
              <w:right w:w="40" w:type="dxa"/>
            </w:tcMar>
          </w:tcPr>
          <w:p w14:paraId="4ACE624C"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IDM</w:t>
            </w:r>
          </w:p>
        </w:tc>
        <w:tc>
          <w:tcPr>
            <w:tcW w:w="0" w:type="auto"/>
            <w:shd w:val="clear" w:color="auto" w:fill="auto"/>
            <w:tcMar>
              <w:top w:w="40" w:type="dxa"/>
              <w:left w:w="40" w:type="dxa"/>
              <w:bottom w:w="40" w:type="dxa"/>
              <w:right w:w="40" w:type="dxa"/>
            </w:tcMar>
            <w:vAlign w:val="bottom"/>
          </w:tcPr>
          <w:p w14:paraId="4ACE624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4E"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Integrated device manufacturer</w:t>
            </w:r>
          </w:p>
        </w:tc>
      </w:tr>
      <w:tr w:rsidR="006F587A" w14:paraId="4ACE6253" w14:textId="77777777">
        <w:tc>
          <w:tcPr>
            <w:tcW w:w="0" w:type="auto"/>
            <w:shd w:val="clear" w:color="auto" w:fill="auto"/>
            <w:tcMar>
              <w:top w:w="40" w:type="dxa"/>
              <w:left w:w="40" w:type="dxa"/>
              <w:bottom w:w="40" w:type="dxa"/>
              <w:right w:w="40" w:type="dxa"/>
            </w:tcMar>
          </w:tcPr>
          <w:p w14:paraId="4ACE6250"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IMFT</w:t>
            </w:r>
          </w:p>
        </w:tc>
        <w:tc>
          <w:tcPr>
            <w:tcW w:w="0" w:type="auto"/>
            <w:shd w:val="clear" w:color="auto" w:fill="auto"/>
            <w:tcMar>
              <w:top w:w="40" w:type="dxa"/>
              <w:left w:w="40" w:type="dxa"/>
              <w:bottom w:w="40" w:type="dxa"/>
              <w:right w:w="40" w:type="dxa"/>
            </w:tcMar>
            <w:vAlign w:val="bottom"/>
          </w:tcPr>
          <w:p w14:paraId="4ACE625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52"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IM Flash Technologies, LLC</w:t>
            </w:r>
          </w:p>
        </w:tc>
      </w:tr>
      <w:tr w:rsidR="006F587A" w14:paraId="4ACE6257" w14:textId="77777777">
        <w:tc>
          <w:tcPr>
            <w:tcW w:w="0" w:type="auto"/>
            <w:shd w:val="clear" w:color="auto" w:fill="auto"/>
            <w:tcMar>
              <w:top w:w="40" w:type="dxa"/>
              <w:left w:w="40" w:type="dxa"/>
              <w:bottom w:w="40" w:type="dxa"/>
              <w:right w:w="40" w:type="dxa"/>
            </w:tcMar>
          </w:tcPr>
          <w:p w14:paraId="4ACE6254"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Internet of Things</w:t>
            </w:r>
          </w:p>
        </w:tc>
        <w:tc>
          <w:tcPr>
            <w:tcW w:w="0" w:type="auto"/>
            <w:shd w:val="clear" w:color="auto" w:fill="auto"/>
            <w:tcMar>
              <w:top w:w="40" w:type="dxa"/>
              <w:left w:w="40" w:type="dxa"/>
              <w:bottom w:w="40" w:type="dxa"/>
              <w:right w:w="40" w:type="dxa"/>
            </w:tcMar>
            <w:vAlign w:val="bottom"/>
          </w:tcPr>
          <w:p w14:paraId="4ACE625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56"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Refers to the Internet of Things market in which we sell our IOTG and Mobileye products</w:t>
            </w:r>
          </w:p>
        </w:tc>
      </w:tr>
      <w:tr w:rsidR="006F587A" w14:paraId="4ACE625B" w14:textId="77777777">
        <w:tc>
          <w:tcPr>
            <w:tcW w:w="0" w:type="auto"/>
            <w:shd w:val="clear" w:color="auto" w:fill="auto"/>
            <w:tcMar>
              <w:top w:w="40" w:type="dxa"/>
              <w:left w:w="40" w:type="dxa"/>
              <w:bottom w:w="40" w:type="dxa"/>
              <w:right w:w="40" w:type="dxa"/>
            </w:tcMar>
          </w:tcPr>
          <w:p w14:paraId="4ACE6258"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I/O</w:t>
            </w:r>
          </w:p>
        </w:tc>
        <w:tc>
          <w:tcPr>
            <w:tcW w:w="0" w:type="auto"/>
            <w:shd w:val="clear" w:color="auto" w:fill="auto"/>
            <w:tcMar>
              <w:top w:w="40" w:type="dxa"/>
              <w:left w:w="40" w:type="dxa"/>
              <w:bottom w:w="40" w:type="dxa"/>
              <w:right w:w="40" w:type="dxa"/>
            </w:tcMar>
            <w:vAlign w:val="bottom"/>
          </w:tcPr>
          <w:p w14:paraId="4ACE625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5A"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Input/output</w:t>
            </w:r>
          </w:p>
        </w:tc>
      </w:tr>
      <w:tr w:rsidR="006F587A" w14:paraId="4ACE625F" w14:textId="77777777">
        <w:tc>
          <w:tcPr>
            <w:tcW w:w="0" w:type="auto"/>
            <w:shd w:val="clear" w:color="auto" w:fill="auto"/>
            <w:tcMar>
              <w:top w:w="40" w:type="dxa"/>
              <w:left w:w="40" w:type="dxa"/>
              <w:bottom w:w="40" w:type="dxa"/>
              <w:right w:w="40" w:type="dxa"/>
            </w:tcMar>
          </w:tcPr>
          <w:p w14:paraId="4ACE625C"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IP</w:t>
            </w:r>
          </w:p>
        </w:tc>
        <w:tc>
          <w:tcPr>
            <w:tcW w:w="0" w:type="auto"/>
            <w:shd w:val="clear" w:color="auto" w:fill="auto"/>
            <w:tcMar>
              <w:top w:w="40" w:type="dxa"/>
              <w:left w:w="40" w:type="dxa"/>
              <w:bottom w:w="40" w:type="dxa"/>
              <w:right w:w="40" w:type="dxa"/>
            </w:tcMar>
            <w:vAlign w:val="bottom"/>
          </w:tcPr>
          <w:p w14:paraId="4ACE625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5E"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Intellectual property</w:t>
            </w:r>
          </w:p>
        </w:tc>
      </w:tr>
      <w:tr w:rsidR="006F587A" w14:paraId="4ACE6263" w14:textId="77777777">
        <w:tc>
          <w:tcPr>
            <w:tcW w:w="0" w:type="auto"/>
            <w:shd w:val="clear" w:color="auto" w:fill="auto"/>
            <w:tcMar>
              <w:top w:w="40" w:type="dxa"/>
              <w:left w:w="40" w:type="dxa"/>
              <w:bottom w:w="40" w:type="dxa"/>
              <w:right w:w="40" w:type="dxa"/>
            </w:tcMar>
          </w:tcPr>
          <w:p w14:paraId="4ACE6260"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ISecG</w:t>
            </w:r>
          </w:p>
        </w:tc>
        <w:tc>
          <w:tcPr>
            <w:tcW w:w="0" w:type="auto"/>
            <w:shd w:val="clear" w:color="auto" w:fill="auto"/>
            <w:tcMar>
              <w:top w:w="40" w:type="dxa"/>
              <w:left w:w="40" w:type="dxa"/>
              <w:bottom w:w="40" w:type="dxa"/>
              <w:right w:w="40" w:type="dxa"/>
            </w:tcMar>
            <w:vAlign w:val="bottom"/>
          </w:tcPr>
          <w:p w14:paraId="4ACE626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62"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Intel Security Group (divested in Q2 2017)</w:t>
            </w:r>
          </w:p>
        </w:tc>
      </w:tr>
      <w:tr w:rsidR="006F587A" w14:paraId="4ACE6267" w14:textId="77777777">
        <w:tc>
          <w:tcPr>
            <w:tcW w:w="0" w:type="auto"/>
            <w:shd w:val="clear" w:color="auto" w:fill="auto"/>
            <w:tcMar>
              <w:top w:w="40" w:type="dxa"/>
              <w:left w:w="40" w:type="dxa"/>
              <w:bottom w:w="40" w:type="dxa"/>
              <w:right w:w="40" w:type="dxa"/>
            </w:tcMar>
          </w:tcPr>
          <w:p w14:paraId="4ACE6264"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LEED*</w:t>
            </w:r>
          </w:p>
        </w:tc>
        <w:tc>
          <w:tcPr>
            <w:tcW w:w="0" w:type="auto"/>
            <w:shd w:val="clear" w:color="auto" w:fill="auto"/>
            <w:tcMar>
              <w:top w:w="40" w:type="dxa"/>
              <w:left w:w="40" w:type="dxa"/>
              <w:bottom w:w="40" w:type="dxa"/>
              <w:right w:w="40" w:type="dxa"/>
            </w:tcMar>
            <w:vAlign w:val="bottom"/>
          </w:tcPr>
          <w:p w14:paraId="4ACE626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66"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Leadership in Energy and Environmental Design, which is the most widely used green building rating system in the world</w:t>
            </w:r>
          </w:p>
        </w:tc>
      </w:tr>
      <w:tr w:rsidR="006F587A" w14:paraId="4ACE626A" w14:textId="77777777">
        <w:tc>
          <w:tcPr>
            <w:tcW w:w="0" w:type="auto"/>
            <w:gridSpan w:val="2"/>
            <w:shd w:val="clear" w:color="auto" w:fill="auto"/>
            <w:tcMar>
              <w:top w:w="40" w:type="dxa"/>
              <w:left w:w="40" w:type="dxa"/>
              <w:bottom w:w="40" w:type="dxa"/>
              <w:right w:w="40" w:type="dxa"/>
            </w:tcMar>
          </w:tcPr>
          <w:p w14:paraId="4ACE6268"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Levels of autonomous driving:</w:t>
            </w:r>
          </w:p>
        </w:tc>
        <w:tc>
          <w:tcPr>
            <w:tcW w:w="0" w:type="auto"/>
            <w:shd w:val="clear" w:color="auto" w:fill="auto"/>
            <w:tcMar>
              <w:top w:w="40" w:type="dxa"/>
              <w:left w:w="40" w:type="dxa"/>
              <w:bottom w:w="40" w:type="dxa"/>
              <w:right w:w="40" w:type="dxa"/>
            </w:tcMar>
            <w:vAlign w:val="bottom"/>
          </w:tcPr>
          <w:p w14:paraId="4ACE626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26E" w14:textId="77777777">
        <w:tc>
          <w:tcPr>
            <w:tcW w:w="0" w:type="auto"/>
            <w:shd w:val="clear" w:color="auto" w:fill="auto"/>
            <w:tcMar>
              <w:top w:w="40" w:type="dxa"/>
              <w:left w:w="560" w:type="dxa"/>
              <w:bottom w:w="40" w:type="dxa"/>
              <w:right w:w="40" w:type="dxa"/>
            </w:tcMar>
          </w:tcPr>
          <w:p w14:paraId="4ACE626B"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(L1) Level 1</w:t>
            </w:r>
          </w:p>
        </w:tc>
        <w:tc>
          <w:tcPr>
            <w:tcW w:w="0" w:type="auto"/>
            <w:shd w:val="clear" w:color="auto" w:fill="auto"/>
            <w:tcMar>
              <w:top w:w="40" w:type="dxa"/>
              <w:left w:w="40" w:type="dxa"/>
              <w:bottom w:w="40" w:type="dxa"/>
              <w:right w:w="40" w:type="dxa"/>
            </w:tcMar>
            <w:vAlign w:val="bottom"/>
          </w:tcPr>
          <w:p w14:paraId="4ACE626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6D"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Most functions are controlled by a human driver; certain functions (parking assist, acce</w:t>
            </w:r>
            <w:r>
              <w:rPr>
                <w:rFonts w:ascii="Arial" w:eastAsia="宋体" w:hAnsi="Arial" w:cs="Arial"/>
                <w:color w:val="333333"/>
                <w:sz w:val="18"/>
                <w:szCs w:val="18"/>
              </w:rPr>
              <w:t>leration, and limited steering) can be done automatically by the vehicle</w:t>
            </w:r>
          </w:p>
        </w:tc>
      </w:tr>
    </w:tbl>
    <w:p w14:paraId="4ACE626F"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6271" w14:textId="77777777">
        <w:tc>
          <w:tcPr>
            <w:tcW w:w="0" w:type="auto"/>
            <w:gridSpan w:val="3"/>
            <w:shd w:val="clear" w:color="auto" w:fill="auto"/>
            <w:vAlign w:val="center"/>
          </w:tcPr>
          <w:p w14:paraId="4ACE6270" w14:textId="77777777" w:rsidR="006F587A" w:rsidRDefault="006F587A">
            <w:pPr>
              <w:rPr>
                <w:rFonts w:ascii="Times New Roman" w:hAnsi="Times New Roman"/>
                <w:sz w:val="20"/>
                <w:szCs w:val="20"/>
              </w:rPr>
            </w:pPr>
          </w:p>
        </w:tc>
      </w:tr>
      <w:tr w:rsidR="006F587A" w14:paraId="4ACE6275" w14:textId="77777777">
        <w:tc>
          <w:tcPr>
            <w:tcW w:w="1300" w:type="pct"/>
            <w:shd w:val="clear" w:color="auto" w:fill="auto"/>
            <w:vAlign w:val="center"/>
          </w:tcPr>
          <w:p w14:paraId="4ACE6272" w14:textId="77777777" w:rsidR="006F587A" w:rsidRDefault="006F587A">
            <w:pPr>
              <w:rPr>
                <w:rFonts w:ascii="Times New Roman" w:hAnsi="Times New Roman"/>
                <w:sz w:val="20"/>
                <w:szCs w:val="20"/>
              </w:rPr>
            </w:pPr>
          </w:p>
        </w:tc>
        <w:tc>
          <w:tcPr>
            <w:tcW w:w="1600" w:type="pct"/>
            <w:shd w:val="clear" w:color="auto" w:fill="auto"/>
            <w:vAlign w:val="center"/>
          </w:tcPr>
          <w:p w14:paraId="4ACE6273" w14:textId="77777777" w:rsidR="006F587A" w:rsidRDefault="006F587A">
            <w:pPr>
              <w:rPr>
                <w:rFonts w:ascii="Times New Roman" w:hAnsi="Times New Roman"/>
                <w:sz w:val="20"/>
                <w:szCs w:val="20"/>
              </w:rPr>
            </w:pPr>
          </w:p>
        </w:tc>
        <w:tc>
          <w:tcPr>
            <w:tcW w:w="2100" w:type="pct"/>
            <w:shd w:val="clear" w:color="auto" w:fill="auto"/>
            <w:vAlign w:val="center"/>
          </w:tcPr>
          <w:p w14:paraId="4ACE6274" w14:textId="77777777" w:rsidR="006F587A" w:rsidRDefault="006F587A">
            <w:pPr>
              <w:rPr>
                <w:rFonts w:ascii="Times New Roman" w:hAnsi="Times New Roman"/>
                <w:sz w:val="20"/>
                <w:szCs w:val="20"/>
              </w:rPr>
            </w:pPr>
          </w:p>
        </w:tc>
      </w:tr>
      <w:tr w:rsidR="006F587A" w14:paraId="4ACE6279"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6276" w14:textId="77777777" w:rsidR="006F587A" w:rsidRDefault="007B2B61">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E2F" wp14:editId="4ACE6E30">
                  <wp:extent cx="304800" cy="304800"/>
                  <wp:effectExtent l="0" t="0" r="0" b="0"/>
                  <wp:docPr id="120" name="图片 356"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356"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SUPPLEMENTAL DETAILS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627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6278"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109</w:t>
            </w:r>
          </w:p>
        </w:tc>
      </w:tr>
    </w:tbl>
    <w:p w14:paraId="4ACE627A" w14:textId="77777777" w:rsidR="006F587A" w:rsidRDefault="007B2B61">
      <w:r>
        <w:pict w14:anchorId="4ACE6E31">
          <v:rect id="_x0000_i1135" style="width:415.3pt;height:1.5pt" o:hralign="center" o:hrstd="t" o:hr="t" fillcolor="#a0a0a0" stroked="f"/>
        </w:pict>
      </w:r>
    </w:p>
    <w:p w14:paraId="4ACE627B" w14:textId="77777777" w:rsidR="006F587A" w:rsidRDefault="007B2B61">
      <w:pPr>
        <w:spacing w:line="288" w:lineRule="auto"/>
        <w:jc w:val="right"/>
        <w:rPr>
          <w:rFonts w:ascii="Times New Roman" w:hAnsi="Times New Roman"/>
          <w:sz w:val="16"/>
          <w:szCs w:val="16"/>
        </w:rPr>
      </w:pPr>
      <w:hyperlink r:id="rId174" w:anchor="s9DB683E2CF52561EB8A73BE37F5BF9BE" w:history="1">
        <w:r>
          <w:rPr>
            <w:rStyle w:val="a5"/>
            <w:rFonts w:ascii="Arial" w:eastAsia="宋体" w:hAnsi="Arial" w:cs="Arial"/>
            <w:b/>
            <w:bCs/>
            <w:sz w:val="16"/>
            <w:szCs w:val="16"/>
          </w:rPr>
          <w:t>Table of Contents</w:t>
        </w:r>
      </w:hyperlink>
    </w:p>
    <w:p w14:paraId="4ACE627C" w14:textId="77777777" w:rsidR="006F587A" w:rsidRDefault="006F587A">
      <w:pPr>
        <w:spacing w:line="288" w:lineRule="auto"/>
        <w:jc w:val="right"/>
        <w:rPr>
          <w:rFonts w:ascii="Times New Roman" w:hAnsi="Times New Roman"/>
          <w:sz w:val="16"/>
          <w:szCs w:val="16"/>
        </w:rPr>
      </w:pPr>
    </w:p>
    <w:p w14:paraId="4ACE627D"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1662"/>
        <w:gridCol w:w="581"/>
        <w:gridCol w:w="6063"/>
      </w:tblGrid>
      <w:tr w:rsidR="006F587A" w14:paraId="4ACE627F" w14:textId="77777777">
        <w:tc>
          <w:tcPr>
            <w:tcW w:w="0" w:type="auto"/>
            <w:gridSpan w:val="3"/>
            <w:shd w:val="clear" w:color="auto" w:fill="auto"/>
            <w:vAlign w:val="center"/>
          </w:tcPr>
          <w:p w14:paraId="4ACE627E" w14:textId="77777777" w:rsidR="006F587A" w:rsidRDefault="006F587A">
            <w:pPr>
              <w:rPr>
                <w:rFonts w:ascii="Times New Roman" w:hAnsi="Times New Roman"/>
                <w:sz w:val="20"/>
                <w:szCs w:val="20"/>
              </w:rPr>
            </w:pPr>
          </w:p>
        </w:tc>
      </w:tr>
      <w:tr w:rsidR="006F587A" w14:paraId="4ACE6283" w14:textId="77777777">
        <w:tc>
          <w:tcPr>
            <w:tcW w:w="1000" w:type="pct"/>
            <w:shd w:val="clear" w:color="auto" w:fill="auto"/>
            <w:vAlign w:val="center"/>
          </w:tcPr>
          <w:p w14:paraId="4ACE6280" w14:textId="77777777" w:rsidR="006F587A" w:rsidRDefault="006F587A">
            <w:pPr>
              <w:rPr>
                <w:rFonts w:ascii="Times New Roman" w:hAnsi="Times New Roman"/>
                <w:sz w:val="20"/>
                <w:szCs w:val="20"/>
              </w:rPr>
            </w:pPr>
          </w:p>
        </w:tc>
        <w:tc>
          <w:tcPr>
            <w:tcW w:w="350" w:type="pct"/>
            <w:shd w:val="clear" w:color="auto" w:fill="auto"/>
            <w:vAlign w:val="center"/>
          </w:tcPr>
          <w:p w14:paraId="4ACE6281" w14:textId="77777777" w:rsidR="006F587A" w:rsidRDefault="006F587A">
            <w:pPr>
              <w:rPr>
                <w:rFonts w:ascii="Times New Roman" w:hAnsi="Times New Roman"/>
                <w:sz w:val="20"/>
                <w:szCs w:val="20"/>
              </w:rPr>
            </w:pPr>
          </w:p>
        </w:tc>
        <w:tc>
          <w:tcPr>
            <w:tcW w:w="3650" w:type="pct"/>
            <w:shd w:val="clear" w:color="auto" w:fill="auto"/>
            <w:vAlign w:val="center"/>
          </w:tcPr>
          <w:p w14:paraId="4ACE6282" w14:textId="77777777" w:rsidR="006F587A" w:rsidRDefault="006F587A">
            <w:pPr>
              <w:rPr>
                <w:rFonts w:ascii="Times New Roman" w:hAnsi="Times New Roman"/>
                <w:sz w:val="20"/>
                <w:szCs w:val="20"/>
              </w:rPr>
            </w:pPr>
          </w:p>
        </w:tc>
      </w:tr>
      <w:tr w:rsidR="006F587A" w14:paraId="4ACE6287" w14:textId="77777777">
        <w:tc>
          <w:tcPr>
            <w:tcW w:w="0" w:type="auto"/>
            <w:shd w:val="clear" w:color="auto" w:fill="auto"/>
            <w:tcMar>
              <w:top w:w="40" w:type="dxa"/>
              <w:left w:w="560" w:type="dxa"/>
              <w:bottom w:w="40" w:type="dxa"/>
              <w:right w:w="40" w:type="dxa"/>
            </w:tcMar>
          </w:tcPr>
          <w:p w14:paraId="4ACE6284"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(L2) Level 2</w:t>
            </w:r>
          </w:p>
        </w:tc>
        <w:tc>
          <w:tcPr>
            <w:tcW w:w="0" w:type="auto"/>
            <w:shd w:val="clear" w:color="auto" w:fill="auto"/>
            <w:tcMar>
              <w:top w:w="40" w:type="dxa"/>
              <w:left w:w="40" w:type="dxa"/>
              <w:bottom w:w="40" w:type="dxa"/>
              <w:right w:w="40" w:type="dxa"/>
            </w:tcMar>
            <w:vAlign w:val="bottom"/>
          </w:tcPr>
          <w:p w14:paraId="4ACE628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86"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 xml:space="preserve">The system controls both steering and </w:t>
            </w:r>
            <w:r>
              <w:rPr>
                <w:rFonts w:ascii="Arial" w:eastAsia="宋体" w:hAnsi="Arial" w:cs="Arial"/>
                <w:color w:val="333333"/>
                <w:sz w:val="18"/>
                <w:szCs w:val="18"/>
              </w:rPr>
              <w:t>acceleration using information about the driving environment (e.g., lane centering and cruise control), but with the expectation that a human will perform all remaining aspects of driving; the driver can have his or her hands off the steering wheel, but mu</w:t>
            </w:r>
            <w:r>
              <w:rPr>
                <w:rFonts w:ascii="Arial" w:eastAsia="宋体" w:hAnsi="Arial" w:cs="Arial"/>
                <w:color w:val="333333"/>
                <w:sz w:val="18"/>
                <w:szCs w:val="18"/>
              </w:rPr>
              <w:t>st monitor the “dynamic driving task” at all times</w:t>
            </w:r>
          </w:p>
        </w:tc>
      </w:tr>
      <w:tr w:rsidR="006F587A" w14:paraId="4ACE628B" w14:textId="77777777">
        <w:tc>
          <w:tcPr>
            <w:tcW w:w="0" w:type="auto"/>
            <w:shd w:val="clear" w:color="auto" w:fill="auto"/>
            <w:tcMar>
              <w:top w:w="40" w:type="dxa"/>
              <w:left w:w="560" w:type="dxa"/>
              <w:bottom w:w="40" w:type="dxa"/>
              <w:right w:w="40" w:type="dxa"/>
            </w:tcMar>
          </w:tcPr>
          <w:p w14:paraId="4ACE6288"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(L2+) Level 2+</w:t>
            </w:r>
          </w:p>
        </w:tc>
        <w:tc>
          <w:tcPr>
            <w:tcW w:w="0" w:type="auto"/>
            <w:shd w:val="clear" w:color="auto" w:fill="auto"/>
            <w:tcMar>
              <w:top w:w="40" w:type="dxa"/>
              <w:left w:w="40" w:type="dxa"/>
              <w:bottom w:w="40" w:type="dxa"/>
              <w:right w:w="40" w:type="dxa"/>
            </w:tcMar>
            <w:vAlign w:val="bottom"/>
          </w:tcPr>
          <w:p w14:paraId="4ACE628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8A"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The system controls both steering and acceleration using multi camera sensor suite and/ or high definition maps to enhance and solidify L2 capabilities.</w:t>
            </w:r>
          </w:p>
        </w:tc>
      </w:tr>
      <w:tr w:rsidR="006F587A" w14:paraId="4ACE628F" w14:textId="77777777">
        <w:tc>
          <w:tcPr>
            <w:tcW w:w="0" w:type="auto"/>
            <w:shd w:val="clear" w:color="auto" w:fill="auto"/>
            <w:tcMar>
              <w:top w:w="40" w:type="dxa"/>
              <w:left w:w="560" w:type="dxa"/>
              <w:bottom w:w="40" w:type="dxa"/>
              <w:right w:w="40" w:type="dxa"/>
            </w:tcMar>
          </w:tcPr>
          <w:p w14:paraId="4ACE628C"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(L3) Level 3</w:t>
            </w:r>
          </w:p>
        </w:tc>
        <w:tc>
          <w:tcPr>
            <w:tcW w:w="0" w:type="auto"/>
            <w:shd w:val="clear" w:color="auto" w:fill="auto"/>
            <w:tcMar>
              <w:top w:w="40" w:type="dxa"/>
              <w:left w:w="40" w:type="dxa"/>
              <w:bottom w:w="40" w:type="dxa"/>
              <w:right w:w="40" w:type="dxa"/>
            </w:tcMar>
            <w:vAlign w:val="bottom"/>
          </w:tcPr>
          <w:p w14:paraId="4ACE628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8E"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 xml:space="preserve">The system </w:t>
            </w:r>
            <w:r>
              <w:rPr>
                <w:rFonts w:ascii="Arial" w:eastAsia="宋体" w:hAnsi="Arial" w:cs="Arial"/>
                <w:color w:val="333333"/>
                <w:sz w:val="18"/>
                <w:szCs w:val="18"/>
              </w:rPr>
              <w:t>performs all aspects of the driving task with the expectation that a human will respond appropriately if intervention is necessary. The vehicle transfers control to the driver when necessary; the driver must be ready to retake control at all times, but doe</w:t>
            </w:r>
            <w:r>
              <w:rPr>
                <w:rFonts w:ascii="Arial" w:eastAsia="宋体" w:hAnsi="Arial" w:cs="Arial"/>
                <w:color w:val="333333"/>
                <w:sz w:val="18"/>
                <w:szCs w:val="18"/>
              </w:rPr>
              <w:t>s not need to continuously monitor conditions</w:t>
            </w:r>
          </w:p>
        </w:tc>
      </w:tr>
      <w:tr w:rsidR="006F587A" w14:paraId="4ACE6293" w14:textId="77777777">
        <w:tc>
          <w:tcPr>
            <w:tcW w:w="0" w:type="auto"/>
            <w:shd w:val="clear" w:color="auto" w:fill="auto"/>
            <w:tcMar>
              <w:top w:w="40" w:type="dxa"/>
              <w:left w:w="560" w:type="dxa"/>
              <w:bottom w:w="40" w:type="dxa"/>
              <w:right w:w="40" w:type="dxa"/>
            </w:tcMar>
          </w:tcPr>
          <w:p w14:paraId="4ACE6290"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(L4) Level 4</w:t>
            </w:r>
          </w:p>
        </w:tc>
        <w:tc>
          <w:tcPr>
            <w:tcW w:w="0" w:type="auto"/>
            <w:shd w:val="clear" w:color="auto" w:fill="auto"/>
            <w:tcMar>
              <w:top w:w="40" w:type="dxa"/>
              <w:left w:w="40" w:type="dxa"/>
              <w:bottom w:w="40" w:type="dxa"/>
              <w:right w:w="40" w:type="dxa"/>
            </w:tcMar>
            <w:vAlign w:val="bottom"/>
          </w:tcPr>
          <w:p w14:paraId="4ACE629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92"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The system performs all aspects of the driving task even if the driver does not respond appropriately to a request for intervention, including all safety-critical driving</w:t>
            </w:r>
            <w:r>
              <w:rPr>
                <w:rFonts w:ascii="Arial" w:eastAsia="宋体" w:hAnsi="Arial" w:cs="Arial"/>
                <w:color w:val="333333"/>
                <w:sz w:val="18"/>
                <w:szCs w:val="18"/>
              </w:rPr>
              <w:br/>
              <w:t>functions and monitorin</w:t>
            </w:r>
            <w:r>
              <w:rPr>
                <w:rFonts w:ascii="Arial" w:eastAsia="宋体" w:hAnsi="Arial" w:cs="Arial"/>
                <w:color w:val="333333"/>
                <w:sz w:val="18"/>
                <w:szCs w:val="18"/>
              </w:rPr>
              <w:t>g roadway conditions for an entire trip. For a defined use case (e.g., urban driving), no driver intervention is required at all</w:t>
            </w:r>
          </w:p>
        </w:tc>
      </w:tr>
      <w:tr w:rsidR="006F587A" w14:paraId="4ACE6297" w14:textId="77777777">
        <w:tc>
          <w:tcPr>
            <w:tcW w:w="0" w:type="auto"/>
            <w:shd w:val="clear" w:color="auto" w:fill="auto"/>
            <w:tcMar>
              <w:top w:w="40" w:type="dxa"/>
              <w:left w:w="560" w:type="dxa"/>
              <w:bottom w:w="40" w:type="dxa"/>
              <w:right w:w="40" w:type="dxa"/>
            </w:tcMar>
          </w:tcPr>
          <w:p w14:paraId="4ACE6294"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(L5) Level 5</w:t>
            </w:r>
          </w:p>
        </w:tc>
        <w:tc>
          <w:tcPr>
            <w:tcW w:w="0" w:type="auto"/>
            <w:shd w:val="clear" w:color="auto" w:fill="auto"/>
            <w:tcMar>
              <w:top w:w="40" w:type="dxa"/>
              <w:left w:w="40" w:type="dxa"/>
              <w:bottom w:w="40" w:type="dxa"/>
              <w:right w:w="40" w:type="dxa"/>
            </w:tcMar>
            <w:vAlign w:val="bottom"/>
          </w:tcPr>
          <w:p w14:paraId="4ACE629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96"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The system performs all aspects of the driving task under all roadway and environmental conditions. System perf</w:t>
            </w:r>
            <w:r>
              <w:rPr>
                <w:rFonts w:ascii="Arial" w:eastAsia="宋体" w:hAnsi="Arial" w:cs="Arial"/>
                <w:color w:val="333333"/>
                <w:sz w:val="18"/>
                <w:szCs w:val="18"/>
              </w:rPr>
              <w:t>ormance is equal to a human driver in every scenario, including extreme environments</w:t>
            </w:r>
          </w:p>
        </w:tc>
      </w:tr>
      <w:tr w:rsidR="006F587A" w14:paraId="4ACE629B" w14:textId="77777777">
        <w:tc>
          <w:tcPr>
            <w:tcW w:w="0" w:type="auto"/>
            <w:shd w:val="clear" w:color="auto" w:fill="auto"/>
            <w:tcMar>
              <w:top w:w="40" w:type="dxa"/>
              <w:left w:w="40" w:type="dxa"/>
              <w:bottom w:w="40" w:type="dxa"/>
              <w:right w:w="40" w:type="dxa"/>
            </w:tcMar>
          </w:tcPr>
          <w:p w14:paraId="4ACE6298"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MaaS</w:t>
            </w:r>
          </w:p>
        </w:tc>
        <w:tc>
          <w:tcPr>
            <w:tcW w:w="0" w:type="auto"/>
            <w:shd w:val="clear" w:color="auto" w:fill="auto"/>
            <w:tcMar>
              <w:top w:w="40" w:type="dxa"/>
              <w:left w:w="40" w:type="dxa"/>
              <w:bottom w:w="40" w:type="dxa"/>
              <w:right w:w="40" w:type="dxa"/>
            </w:tcMar>
            <w:vAlign w:val="bottom"/>
          </w:tcPr>
          <w:p w14:paraId="4ACE629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9A"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Mobility-as-a-Service</w:t>
            </w:r>
          </w:p>
        </w:tc>
      </w:tr>
      <w:tr w:rsidR="006F587A" w14:paraId="4ACE629F" w14:textId="77777777">
        <w:tc>
          <w:tcPr>
            <w:tcW w:w="0" w:type="auto"/>
            <w:shd w:val="clear" w:color="auto" w:fill="auto"/>
            <w:tcMar>
              <w:top w:w="40" w:type="dxa"/>
              <w:left w:w="40" w:type="dxa"/>
              <w:bottom w:w="40" w:type="dxa"/>
              <w:right w:w="40" w:type="dxa"/>
            </w:tcMar>
          </w:tcPr>
          <w:p w14:paraId="4ACE629C"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McAfee</w:t>
            </w:r>
          </w:p>
        </w:tc>
        <w:tc>
          <w:tcPr>
            <w:tcW w:w="0" w:type="auto"/>
            <w:shd w:val="clear" w:color="auto" w:fill="auto"/>
            <w:tcMar>
              <w:top w:w="40" w:type="dxa"/>
              <w:left w:w="40" w:type="dxa"/>
              <w:bottom w:w="40" w:type="dxa"/>
              <w:right w:w="40" w:type="dxa"/>
            </w:tcMar>
            <w:vAlign w:val="bottom"/>
          </w:tcPr>
          <w:p w14:paraId="4ACE629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9E"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Business, post divestiture of ISecG in Q2 2017, which we retained an interest in as part of our investment strategy</w:t>
            </w:r>
          </w:p>
        </w:tc>
      </w:tr>
      <w:tr w:rsidR="006F587A" w14:paraId="4ACE62A3" w14:textId="77777777">
        <w:tc>
          <w:tcPr>
            <w:tcW w:w="0" w:type="auto"/>
            <w:shd w:val="clear" w:color="auto" w:fill="auto"/>
            <w:tcMar>
              <w:top w:w="40" w:type="dxa"/>
              <w:left w:w="40" w:type="dxa"/>
              <w:bottom w:w="40" w:type="dxa"/>
              <w:right w:w="40" w:type="dxa"/>
            </w:tcMar>
          </w:tcPr>
          <w:p w14:paraId="4ACE62A0"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MD&amp;A</w:t>
            </w:r>
          </w:p>
        </w:tc>
        <w:tc>
          <w:tcPr>
            <w:tcW w:w="0" w:type="auto"/>
            <w:shd w:val="clear" w:color="auto" w:fill="auto"/>
            <w:tcMar>
              <w:top w:w="40" w:type="dxa"/>
              <w:left w:w="40" w:type="dxa"/>
              <w:bottom w:w="40" w:type="dxa"/>
              <w:right w:w="40" w:type="dxa"/>
            </w:tcMar>
            <w:vAlign w:val="bottom"/>
          </w:tcPr>
          <w:p w14:paraId="4ACE62A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A2"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Management's Discussion &amp; Analysis</w:t>
            </w:r>
          </w:p>
        </w:tc>
      </w:tr>
      <w:tr w:rsidR="006F587A" w14:paraId="4ACE62A7" w14:textId="77777777">
        <w:tc>
          <w:tcPr>
            <w:tcW w:w="0" w:type="auto"/>
            <w:shd w:val="clear" w:color="auto" w:fill="auto"/>
            <w:tcMar>
              <w:top w:w="40" w:type="dxa"/>
              <w:left w:w="40" w:type="dxa"/>
              <w:bottom w:w="40" w:type="dxa"/>
              <w:right w:w="40" w:type="dxa"/>
            </w:tcMar>
          </w:tcPr>
          <w:p w14:paraId="4ACE62A4"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MDF</w:t>
            </w:r>
          </w:p>
        </w:tc>
        <w:tc>
          <w:tcPr>
            <w:tcW w:w="0" w:type="auto"/>
            <w:shd w:val="clear" w:color="auto" w:fill="auto"/>
            <w:tcMar>
              <w:top w:w="40" w:type="dxa"/>
              <w:left w:w="40" w:type="dxa"/>
              <w:bottom w:w="40" w:type="dxa"/>
              <w:right w:w="40" w:type="dxa"/>
            </w:tcMar>
            <w:vAlign w:val="bottom"/>
          </w:tcPr>
          <w:p w14:paraId="4ACE62A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A6"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Member debt financing</w:t>
            </w:r>
          </w:p>
        </w:tc>
      </w:tr>
      <w:tr w:rsidR="006F587A" w14:paraId="4ACE62AB" w14:textId="77777777">
        <w:tc>
          <w:tcPr>
            <w:tcW w:w="0" w:type="auto"/>
            <w:shd w:val="clear" w:color="auto" w:fill="auto"/>
            <w:tcMar>
              <w:top w:w="40" w:type="dxa"/>
              <w:left w:w="40" w:type="dxa"/>
              <w:bottom w:w="40" w:type="dxa"/>
              <w:right w:w="40" w:type="dxa"/>
            </w:tcMar>
          </w:tcPr>
          <w:p w14:paraId="4ACE62A8"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MG&amp;A</w:t>
            </w:r>
          </w:p>
        </w:tc>
        <w:tc>
          <w:tcPr>
            <w:tcW w:w="0" w:type="auto"/>
            <w:shd w:val="clear" w:color="auto" w:fill="auto"/>
            <w:tcMar>
              <w:top w:w="40" w:type="dxa"/>
              <w:left w:w="40" w:type="dxa"/>
              <w:bottom w:w="40" w:type="dxa"/>
              <w:right w:w="40" w:type="dxa"/>
            </w:tcMar>
            <w:vAlign w:val="bottom"/>
          </w:tcPr>
          <w:p w14:paraId="4ACE62A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AA"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Marketing, general and administrative</w:t>
            </w:r>
          </w:p>
        </w:tc>
      </w:tr>
      <w:tr w:rsidR="006F587A" w14:paraId="4ACE62AF" w14:textId="77777777">
        <w:tc>
          <w:tcPr>
            <w:tcW w:w="0" w:type="auto"/>
            <w:shd w:val="clear" w:color="auto" w:fill="auto"/>
            <w:tcMar>
              <w:top w:w="40" w:type="dxa"/>
              <w:left w:w="40" w:type="dxa"/>
              <w:bottom w:w="40" w:type="dxa"/>
              <w:right w:w="40" w:type="dxa"/>
            </w:tcMar>
          </w:tcPr>
          <w:p w14:paraId="4ACE62AC"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NAND</w:t>
            </w:r>
          </w:p>
        </w:tc>
        <w:tc>
          <w:tcPr>
            <w:tcW w:w="0" w:type="auto"/>
            <w:shd w:val="clear" w:color="auto" w:fill="auto"/>
            <w:tcMar>
              <w:top w:w="40" w:type="dxa"/>
              <w:left w:w="40" w:type="dxa"/>
              <w:bottom w:w="40" w:type="dxa"/>
              <w:right w:w="40" w:type="dxa"/>
            </w:tcMar>
            <w:vAlign w:val="bottom"/>
          </w:tcPr>
          <w:p w14:paraId="4ACE62A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AE"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NAND flash memory</w:t>
            </w:r>
          </w:p>
        </w:tc>
      </w:tr>
      <w:tr w:rsidR="006F587A" w14:paraId="4ACE62B3" w14:textId="77777777">
        <w:tc>
          <w:tcPr>
            <w:tcW w:w="0" w:type="auto"/>
            <w:shd w:val="clear" w:color="auto" w:fill="auto"/>
            <w:tcMar>
              <w:top w:w="40" w:type="dxa"/>
              <w:left w:w="40" w:type="dxa"/>
              <w:bottom w:w="40" w:type="dxa"/>
              <w:right w:w="40" w:type="dxa"/>
            </w:tcMar>
          </w:tcPr>
          <w:p w14:paraId="4ACE62B0"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lastRenderedPageBreak/>
              <w:t>nm</w:t>
            </w:r>
          </w:p>
        </w:tc>
        <w:tc>
          <w:tcPr>
            <w:tcW w:w="0" w:type="auto"/>
            <w:shd w:val="clear" w:color="auto" w:fill="auto"/>
            <w:tcMar>
              <w:top w:w="40" w:type="dxa"/>
              <w:left w:w="40" w:type="dxa"/>
              <w:bottom w:w="40" w:type="dxa"/>
              <w:right w:w="40" w:type="dxa"/>
            </w:tcMar>
            <w:vAlign w:val="bottom"/>
          </w:tcPr>
          <w:p w14:paraId="4ACE62B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B2"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Nanometer</w:t>
            </w:r>
          </w:p>
        </w:tc>
      </w:tr>
      <w:tr w:rsidR="006F587A" w14:paraId="4ACE62B7" w14:textId="77777777">
        <w:tc>
          <w:tcPr>
            <w:tcW w:w="0" w:type="auto"/>
            <w:shd w:val="clear" w:color="auto" w:fill="auto"/>
            <w:tcMar>
              <w:top w:w="40" w:type="dxa"/>
              <w:left w:w="40" w:type="dxa"/>
              <w:bottom w:w="40" w:type="dxa"/>
              <w:right w:w="40" w:type="dxa"/>
            </w:tcMar>
          </w:tcPr>
          <w:p w14:paraId="4ACE62B4"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ODM</w:t>
            </w:r>
          </w:p>
        </w:tc>
        <w:tc>
          <w:tcPr>
            <w:tcW w:w="0" w:type="auto"/>
            <w:shd w:val="clear" w:color="auto" w:fill="auto"/>
            <w:tcMar>
              <w:top w:w="40" w:type="dxa"/>
              <w:left w:w="40" w:type="dxa"/>
              <w:bottom w:w="40" w:type="dxa"/>
              <w:right w:w="40" w:type="dxa"/>
            </w:tcMar>
            <w:vAlign w:val="bottom"/>
          </w:tcPr>
          <w:p w14:paraId="4ACE62B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B6"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Original design manufacturer</w:t>
            </w:r>
          </w:p>
        </w:tc>
      </w:tr>
      <w:tr w:rsidR="006F587A" w14:paraId="4ACE62BB" w14:textId="77777777">
        <w:tc>
          <w:tcPr>
            <w:tcW w:w="0" w:type="auto"/>
            <w:shd w:val="clear" w:color="auto" w:fill="auto"/>
            <w:tcMar>
              <w:top w:w="40" w:type="dxa"/>
              <w:left w:w="40" w:type="dxa"/>
              <w:bottom w:w="40" w:type="dxa"/>
              <w:right w:w="40" w:type="dxa"/>
            </w:tcMar>
          </w:tcPr>
          <w:p w14:paraId="4ACE62B8"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OEM</w:t>
            </w:r>
          </w:p>
        </w:tc>
        <w:tc>
          <w:tcPr>
            <w:tcW w:w="0" w:type="auto"/>
            <w:shd w:val="clear" w:color="auto" w:fill="auto"/>
            <w:tcMar>
              <w:top w:w="40" w:type="dxa"/>
              <w:left w:w="40" w:type="dxa"/>
              <w:bottom w:w="40" w:type="dxa"/>
              <w:right w:w="40" w:type="dxa"/>
            </w:tcMar>
            <w:vAlign w:val="bottom"/>
          </w:tcPr>
          <w:p w14:paraId="4ACE62B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BA"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Original equipment manufacturer</w:t>
            </w:r>
          </w:p>
        </w:tc>
      </w:tr>
      <w:tr w:rsidR="006F587A" w14:paraId="4ACE62BF" w14:textId="77777777">
        <w:tc>
          <w:tcPr>
            <w:tcW w:w="0" w:type="auto"/>
            <w:shd w:val="clear" w:color="auto" w:fill="auto"/>
            <w:tcMar>
              <w:top w:w="40" w:type="dxa"/>
              <w:left w:w="40" w:type="dxa"/>
              <w:bottom w:w="40" w:type="dxa"/>
              <w:right w:w="40" w:type="dxa"/>
            </w:tcMar>
          </w:tcPr>
          <w:p w14:paraId="4ACE62BC"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PC-centric business</w:t>
            </w:r>
          </w:p>
        </w:tc>
        <w:tc>
          <w:tcPr>
            <w:tcW w:w="0" w:type="auto"/>
            <w:shd w:val="clear" w:color="auto" w:fill="auto"/>
            <w:tcMar>
              <w:top w:w="40" w:type="dxa"/>
              <w:left w:w="40" w:type="dxa"/>
              <w:bottom w:w="40" w:type="dxa"/>
              <w:right w:w="40" w:type="dxa"/>
            </w:tcMar>
            <w:vAlign w:val="bottom"/>
          </w:tcPr>
          <w:p w14:paraId="4ACE62B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BE"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 xml:space="preserve">Our </w:t>
            </w:r>
            <w:r>
              <w:rPr>
                <w:rFonts w:ascii="Arial" w:eastAsia="宋体" w:hAnsi="Arial" w:cs="Arial"/>
                <w:color w:val="333333"/>
                <w:sz w:val="18"/>
                <w:szCs w:val="18"/>
              </w:rPr>
              <w:t>Client Computing Group (CCG) business, including both platform and adjacent products</w:t>
            </w:r>
          </w:p>
        </w:tc>
      </w:tr>
      <w:tr w:rsidR="006F587A" w14:paraId="4ACE62C3" w14:textId="77777777">
        <w:tc>
          <w:tcPr>
            <w:tcW w:w="0" w:type="auto"/>
            <w:shd w:val="clear" w:color="auto" w:fill="auto"/>
            <w:tcMar>
              <w:top w:w="40" w:type="dxa"/>
              <w:left w:w="40" w:type="dxa"/>
              <w:bottom w:w="40" w:type="dxa"/>
              <w:right w:w="40" w:type="dxa"/>
            </w:tcMar>
          </w:tcPr>
          <w:p w14:paraId="4ACE62C0"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PLD</w:t>
            </w:r>
          </w:p>
        </w:tc>
        <w:tc>
          <w:tcPr>
            <w:tcW w:w="0" w:type="auto"/>
            <w:shd w:val="clear" w:color="auto" w:fill="auto"/>
            <w:tcMar>
              <w:top w:w="40" w:type="dxa"/>
              <w:left w:w="40" w:type="dxa"/>
              <w:bottom w:w="40" w:type="dxa"/>
              <w:right w:w="40" w:type="dxa"/>
            </w:tcMar>
            <w:vAlign w:val="bottom"/>
          </w:tcPr>
          <w:p w14:paraId="4ACE62C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C2"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Programmable logic device</w:t>
            </w:r>
          </w:p>
        </w:tc>
      </w:tr>
      <w:tr w:rsidR="006F587A" w14:paraId="4ACE62C7" w14:textId="77777777">
        <w:tc>
          <w:tcPr>
            <w:tcW w:w="0" w:type="auto"/>
            <w:shd w:val="clear" w:color="auto" w:fill="auto"/>
            <w:tcMar>
              <w:top w:w="40" w:type="dxa"/>
              <w:left w:w="40" w:type="dxa"/>
              <w:bottom w:w="40" w:type="dxa"/>
              <w:right w:w="40" w:type="dxa"/>
            </w:tcMar>
          </w:tcPr>
          <w:p w14:paraId="4ACE62C4" w14:textId="77777777" w:rsidR="006F587A" w:rsidRDefault="007B2B61">
            <w:pPr>
              <w:ind w:hanging="240"/>
              <w:textAlignment w:val="top"/>
              <w:rPr>
                <w:rFonts w:ascii="Times New Roman" w:hAnsi="Times New Roman"/>
                <w:sz w:val="18"/>
                <w:szCs w:val="18"/>
              </w:rPr>
            </w:pPr>
            <w:r>
              <w:rPr>
                <w:rFonts w:ascii="Arial" w:eastAsia="宋体" w:hAnsi="Arial" w:cs="Arial"/>
                <w:b/>
                <w:bCs/>
                <w:color w:val="0071C5"/>
                <w:sz w:val="18"/>
                <w:szCs w:val="18"/>
              </w:rPr>
              <w:t>Program (specific to Mobileye business)</w:t>
            </w:r>
          </w:p>
        </w:tc>
        <w:tc>
          <w:tcPr>
            <w:tcW w:w="0" w:type="auto"/>
            <w:shd w:val="clear" w:color="auto" w:fill="auto"/>
            <w:tcMar>
              <w:top w:w="40" w:type="dxa"/>
              <w:left w:w="40" w:type="dxa"/>
              <w:bottom w:w="40" w:type="dxa"/>
              <w:right w:w="40" w:type="dxa"/>
            </w:tcMar>
            <w:vAlign w:val="bottom"/>
          </w:tcPr>
          <w:p w14:paraId="4ACE62C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2C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A process that takes two to three years of intense activity with the carmaker and Tier 1 </w:t>
            </w:r>
            <w:r>
              <w:rPr>
                <w:rFonts w:ascii="Arial" w:eastAsia="宋体" w:hAnsi="Arial" w:cs="Arial"/>
                <w:color w:val="333333"/>
                <w:sz w:val="18"/>
                <w:szCs w:val="18"/>
              </w:rPr>
              <w:t>after a design win until Mobileye technology is launched into production</w:t>
            </w:r>
          </w:p>
        </w:tc>
      </w:tr>
      <w:tr w:rsidR="006F587A" w14:paraId="4ACE62CB" w14:textId="77777777">
        <w:tc>
          <w:tcPr>
            <w:tcW w:w="0" w:type="auto"/>
            <w:shd w:val="clear" w:color="auto" w:fill="auto"/>
            <w:tcMar>
              <w:top w:w="40" w:type="dxa"/>
              <w:left w:w="40" w:type="dxa"/>
              <w:bottom w:w="40" w:type="dxa"/>
              <w:right w:w="40" w:type="dxa"/>
            </w:tcMar>
          </w:tcPr>
          <w:p w14:paraId="4ACE62C8"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PRQ</w:t>
            </w:r>
          </w:p>
        </w:tc>
        <w:tc>
          <w:tcPr>
            <w:tcW w:w="0" w:type="auto"/>
            <w:shd w:val="clear" w:color="auto" w:fill="auto"/>
            <w:tcMar>
              <w:top w:w="40" w:type="dxa"/>
              <w:left w:w="40" w:type="dxa"/>
              <w:bottom w:w="40" w:type="dxa"/>
              <w:right w:w="40" w:type="dxa"/>
            </w:tcMar>
            <w:vAlign w:val="bottom"/>
          </w:tcPr>
          <w:p w14:paraId="4ACE62C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CA"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Product Release Qualification, which is the milestone when costs to manufacture a product are included in inventory valuation</w:t>
            </w:r>
          </w:p>
        </w:tc>
      </w:tr>
      <w:tr w:rsidR="006F587A" w14:paraId="4ACE62CF" w14:textId="77777777">
        <w:tc>
          <w:tcPr>
            <w:tcW w:w="0" w:type="auto"/>
            <w:shd w:val="clear" w:color="auto" w:fill="auto"/>
            <w:tcMar>
              <w:top w:w="40" w:type="dxa"/>
              <w:left w:w="40" w:type="dxa"/>
              <w:bottom w:w="40" w:type="dxa"/>
              <w:right w:w="40" w:type="dxa"/>
            </w:tcMar>
          </w:tcPr>
          <w:p w14:paraId="4ACE62CC"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QLC</w:t>
            </w:r>
          </w:p>
        </w:tc>
        <w:tc>
          <w:tcPr>
            <w:tcW w:w="0" w:type="auto"/>
            <w:shd w:val="clear" w:color="auto" w:fill="auto"/>
            <w:tcMar>
              <w:top w:w="40" w:type="dxa"/>
              <w:left w:w="40" w:type="dxa"/>
              <w:bottom w:w="40" w:type="dxa"/>
              <w:right w:w="40" w:type="dxa"/>
            </w:tcMar>
            <w:vAlign w:val="bottom"/>
          </w:tcPr>
          <w:p w14:paraId="4ACE62C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CE"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 xml:space="preserve">Quad-level cell </w:t>
            </w:r>
          </w:p>
        </w:tc>
      </w:tr>
      <w:tr w:rsidR="006F587A" w14:paraId="4ACE62D3" w14:textId="77777777">
        <w:tc>
          <w:tcPr>
            <w:tcW w:w="0" w:type="auto"/>
            <w:shd w:val="clear" w:color="auto" w:fill="auto"/>
            <w:tcMar>
              <w:top w:w="40" w:type="dxa"/>
              <w:left w:w="40" w:type="dxa"/>
              <w:bottom w:w="40" w:type="dxa"/>
              <w:right w:w="40" w:type="dxa"/>
            </w:tcMar>
          </w:tcPr>
          <w:p w14:paraId="4ACE62D0"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R&amp;D</w:t>
            </w:r>
          </w:p>
        </w:tc>
        <w:tc>
          <w:tcPr>
            <w:tcW w:w="0" w:type="auto"/>
            <w:shd w:val="clear" w:color="auto" w:fill="auto"/>
            <w:tcMar>
              <w:top w:w="40" w:type="dxa"/>
              <w:left w:w="40" w:type="dxa"/>
              <w:bottom w:w="40" w:type="dxa"/>
              <w:right w:w="40" w:type="dxa"/>
            </w:tcMar>
            <w:vAlign w:val="bottom"/>
          </w:tcPr>
          <w:p w14:paraId="4ACE62D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D2"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 xml:space="preserve">Research and </w:t>
            </w:r>
            <w:r>
              <w:rPr>
                <w:rFonts w:ascii="Arial" w:eastAsia="宋体" w:hAnsi="Arial" w:cs="Arial"/>
                <w:color w:val="333333"/>
                <w:sz w:val="18"/>
                <w:szCs w:val="18"/>
              </w:rPr>
              <w:t>development</w:t>
            </w:r>
          </w:p>
        </w:tc>
      </w:tr>
      <w:tr w:rsidR="006F587A" w14:paraId="4ACE62D7" w14:textId="77777777">
        <w:tc>
          <w:tcPr>
            <w:tcW w:w="0" w:type="auto"/>
            <w:shd w:val="clear" w:color="auto" w:fill="auto"/>
            <w:tcMar>
              <w:top w:w="40" w:type="dxa"/>
              <w:left w:w="40" w:type="dxa"/>
              <w:bottom w:w="40" w:type="dxa"/>
              <w:right w:w="40" w:type="dxa"/>
            </w:tcMar>
          </w:tcPr>
          <w:p w14:paraId="4ACE62D4"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RDFV</w:t>
            </w:r>
          </w:p>
        </w:tc>
        <w:tc>
          <w:tcPr>
            <w:tcW w:w="0" w:type="auto"/>
            <w:shd w:val="clear" w:color="auto" w:fill="auto"/>
            <w:tcMar>
              <w:top w:w="40" w:type="dxa"/>
              <w:left w:w="40" w:type="dxa"/>
              <w:bottom w:w="40" w:type="dxa"/>
              <w:right w:w="40" w:type="dxa"/>
            </w:tcMar>
            <w:vAlign w:val="bottom"/>
          </w:tcPr>
          <w:p w14:paraId="4ACE62D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D6"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Readily determinable fair value</w:t>
            </w:r>
          </w:p>
        </w:tc>
      </w:tr>
      <w:tr w:rsidR="006F587A" w14:paraId="4ACE62DB" w14:textId="77777777">
        <w:tc>
          <w:tcPr>
            <w:tcW w:w="0" w:type="auto"/>
            <w:shd w:val="clear" w:color="auto" w:fill="auto"/>
            <w:tcMar>
              <w:top w:w="40" w:type="dxa"/>
              <w:left w:w="40" w:type="dxa"/>
              <w:bottom w:w="40" w:type="dxa"/>
              <w:right w:w="40" w:type="dxa"/>
            </w:tcMar>
          </w:tcPr>
          <w:p w14:paraId="4ACE62D8"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REM</w:t>
            </w:r>
          </w:p>
        </w:tc>
        <w:tc>
          <w:tcPr>
            <w:tcW w:w="0" w:type="auto"/>
            <w:shd w:val="clear" w:color="auto" w:fill="auto"/>
            <w:tcMar>
              <w:top w:w="40" w:type="dxa"/>
              <w:left w:w="40" w:type="dxa"/>
              <w:bottom w:w="40" w:type="dxa"/>
              <w:right w:w="40" w:type="dxa"/>
            </w:tcMar>
            <w:vAlign w:val="bottom"/>
          </w:tcPr>
          <w:p w14:paraId="4ACE62D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DA"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Road Experience Management</w:t>
            </w:r>
          </w:p>
        </w:tc>
      </w:tr>
      <w:tr w:rsidR="006F587A" w14:paraId="4ACE62DF" w14:textId="77777777">
        <w:tc>
          <w:tcPr>
            <w:tcW w:w="0" w:type="auto"/>
            <w:shd w:val="clear" w:color="auto" w:fill="auto"/>
            <w:tcMar>
              <w:top w:w="40" w:type="dxa"/>
              <w:left w:w="40" w:type="dxa"/>
              <w:bottom w:w="40" w:type="dxa"/>
              <w:right w:w="40" w:type="dxa"/>
            </w:tcMar>
          </w:tcPr>
          <w:p w14:paraId="4ACE62DC"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 xml:space="preserve">RSU </w:t>
            </w:r>
          </w:p>
        </w:tc>
        <w:tc>
          <w:tcPr>
            <w:tcW w:w="0" w:type="auto"/>
            <w:shd w:val="clear" w:color="auto" w:fill="auto"/>
            <w:tcMar>
              <w:top w:w="40" w:type="dxa"/>
              <w:left w:w="40" w:type="dxa"/>
              <w:bottom w:w="40" w:type="dxa"/>
              <w:right w:w="40" w:type="dxa"/>
            </w:tcMar>
            <w:vAlign w:val="bottom"/>
          </w:tcPr>
          <w:p w14:paraId="4ACE62D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DE"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Restricted stock unit</w:t>
            </w:r>
          </w:p>
        </w:tc>
      </w:tr>
      <w:tr w:rsidR="006F587A" w14:paraId="4ACE62E3" w14:textId="77777777">
        <w:tc>
          <w:tcPr>
            <w:tcW w:w="0" w:type="auto"/>
            <w:shd w:val="clear" w:color="auto" w:fill="auto"/>
            <w:tcMar>
              <w:top w:w="40" w:type="dxa"/>
              <w:left w:w="40" w:type="dxa"/>
              <w:bottom w:w="40" w:type="dxa"/>
              <w:right w:w="40" w:type="dxa"/>
            </w:tcMar>
          </w:tcPr>
          <w:p w14:paraId="4ACE62E0"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SEC</w:t>
            </w:r>
          </w:p>
        </w:tc>
        <w:tc>
          <w:tcPr>
            <w:tcW w:w="0" w:type="auto"/>
            <w:shd w:val="clear" w:color="auto" w:fill="auto"/>
            <w:tcMar>
              <w:top w:w="40" w:type="dxa"/>
              <w:left w:w="40" w:type="dxa"/>
              <w:bottom w:w="40" w:type="dxa"/>
              <w:right w:w="40" w:type="dxa"/>
            </w:tcMar>
            <w:vAlign w:val="bottom"/>
          </w:tcPr>
          <w:p w14:paraId="4ACE62E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E2"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U.S. Securities and Exchange Commission</w:t>
            </w:r>
          </w:p>
        </w:tc>
      </w:tr>
      <w:tr w:rsidR="006F587A" w14:paraId="4ACE62E7" w14:textId="77777777">
        <w:tc>
          <w:tcPr>
            <w:tcW w:w="0" w:type="auto"/>
            <w:shd w:val="clear" w:color="auto" w:fill="auto"/>
            <w:tcMar>
              <w:top w:w="40" w:type="dxa"/>
              <w:left w:w="40" w:type="dxa"/>
              <w:bottom w:w="40" w:type="dxa"/>
              <w:right w:w="40" w:type="dxa"/>
            </w:tcMar>
          </w:tcPr>
          <w:p w14:paraId="4ACE62E4"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SiP</w:t>
            </w:r>
          </w:p>
        </w:tc>
        <w:tc>
          <w:tcPr>
            <w:tcW w:w="0" w:type="auto"/>
            <w:shd w:val="clear" w:color="auto" w:fill="auto"/>
            <w:tcMar>
              <w:top w:w="40" w:type="dxa"/>
              <w:left w:w="40" w:type="dxa"/>
              <w:bottom w:w="40" w:type="dxa"/>
              <w:right w:w="40" w:type="dxa"/>
            </w:tcMar>
            <w:vAlign w:val="bottom"/>
          </w:tcPr>
          <w:p w14:paraId="4ACE62E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E6"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 xml:space="preserve">System-in-package, a number of integrated circuits enclosed in a single chip </w:t>
            </w:r>
            <w:r>
              <w:rPr>
                <w:rFonts w:ascii="Arial" w:eastAsia="宋体" w:hAnsi="Arial" w:cs="Arial"/>
                <w:color w:val="333333"/>
                <w:sz w:val="18"/>
                <w:szCs w:val="18"/>
              </w:rPr>
              <w:t>carrier package</w:t>
            </w:r>
          </w:p>
        </w:tc>
      </w:tr>
      <w:tr w:rsidR="006F587A" w14:paraId="4ACE62EB" w14:textId="77777777">
        <w:tc>
          <w:tcPr>
            <w:tcW w:w="0" w:type="auto"/>
            <w:shd w:val="clear" w:color="auto" w:fill="auto"/>
            <w:tcMar>
              <w:top w:w="40" w:type="dxa"/>
              <w:left w:w="40" w:type="dxa"/>
              <w:bottom w:w="40" w:type="dxa"/>
              <w:right w:w="40" w:type="dxa"/>
            </w:tcMar>
          </w:tcPr>
          <w:p w14:paraId="4ACE62E8"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SoC</w:t>
            </w:r>
          </w:p>
        </w:tc>
        <w:tc>
          <w:tcPr>
            <w:tcW w:w="0" w:type="auto"/>
            <w:shd w:val="clear" w:color="auto" w:fill="auto"/>
            <w:tcMar>
              <w:top w:w="40" w:type="dxa"/>
              <w:left w:w="40" w:type="dxa"/>
              <w:bottom w:w="40" w:type="dxa"/>
              <w:right w:w="40" w:type="dxa"/>
            </w:tcMar>
            <w:vAlign w:val="bottom"/>
          </w:tcPr>
          <w:p w14:paraId="4ACE62E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EA"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 xml:space="preserve">System-on-Chip </w:t>
            </w:r>
          </w:p>
        </w:tc>
      </w:tr>
      <w:tr w:rsidR="006F587A" w14:paraId="4ACE62EF" w14:textId="77777777">
        <w:tc>
          <w:tcPr>
            <w:tcW w:w="0" w:type="auto"/>
            <w:shd w:val="clear" w:color="auto" w:fill="auto"/>
            <w:tcMar>
              <w:top w:w="40" w:type="dxa"/>
              <w:left w:w="40" w:type="dxa"/>
              <w:bottom w:w="40" w:type="dxa"/>
              <w:right w:w="40" w:type="dxa"/>
            </w:tcMar>
          </w:tcPr>
          <w:p w14:paraId="4ACE62EC"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SSD</w:t>
            </w:r>
          </w:p>
        </w:tc>
        <w:tc>
          <w:tcPr>
            <w:tcW w:w="0" w:type="auto"/>
            <w:shd w:val="clear" w:color="auto" w:fill="auto"/>
            <w:tcMar>
              <w:top w:w="40" w:type="dxa"/>
              <w:left w:w="40" w:type="dxa"/>
              <w:bottom w:w="40" w:type="dxa"/>
              <w:right w:w="40" w:type="dxa"/>
            </w:tcMar>
            <w:vAlign w:val="bottom"/>
          </w:tcPr>
          <w:p w14:paraId="4ACE62E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EE"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Solid-state drive</w:t>
            </w:r>
          </w:p>
        </w:tc>
      </w:tr>
      <w:tr w:rsidR="006F587A" w14:paraId="4ACE62F3" w14:textId="77777777">
        <w:tc>
          <w:tcPr>
            <w:tcW w:w="0" w:type="auto"/>
            <w:shd w:val="clear" w:color="auto" w:fill="auto"/>
            <w:tcMar>
              <w:top w:w="40" w:type="dxa"/>
              <w:left w:w="40" w:type="dxa"/>
              <w:bottom w:w="40" w:type="dxa"/>
              <w:right w:w="40" w:type="dxa"/>
            </w:tcMar>
          </w:tcPr>
          <w:p w14:paraId="4ACE62F0"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TAM</w:t>
            </w:r>
          </w:p>
        </w:tc>
        <w:tc>
          <w:tcPr>
            <w:tcW w:w="0" w:type="auto"/>
            <w:shd w:val="clear" w:color="auto" w:fill="auto"/>
            <w:tcMar>
              <w:top w:w="40" w:type="dxa"/>
              <w:left w:w="40" w:type="dxa"/>
              <w:bottom w:w="40" w:type="dxa"/>
              <w:right w:w="40" w:type="dxa"/>
            </w:tcMar>
            <w:vAlign w:val="bottom"/>
          </w:tcPr>
          <w:p w14:paraId="4ACE62F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F2"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Total addressable market</w:t>
            </w:r>
          </w:p>
        </w:tc>
      </w:tr>
      <w:tr w:rsidR="006F587A" w14:paraId="4ACE62F7" w14:textId="77777777">
        <w:tc>
          <w:tcPr>
            <w:tcW w:w="0" w:type="auto"/>
            <w:shd w:val="clear" w:color="auto" w:fill="auto"/>
            <w:tcMar>
              <w:top w:w="40" w:type="dxa"/>
              <w:left w:w="40" w:type="dxa"/>
              <w:bottom w:w="40" w:type="dxa"/>
              <w:right w:w="40" w:type="dxa"/>
            </w:tcMar>
          </w:tcPr>
          <w:p w14:paraId="4ACE62F4"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Tax Reform</w:t>
            </w:r>
          </w:p>
        </w:tc>
        <w:tc>
          <w:tcPr>
            <w:tcW w:w="0" w:type="auto"/>
            <w:shd w:val="clear" w:color="auto" w:fill="auto"/>
            <w:tcMar>
              <w:top w:w="40" w:type="dxa"/>
              <w:left w:w="40" w:type="dxa"/>
              <w:bottom w:w="40" w:type="dxa"/>
              <w:right w:w="40" w:type="dxa"/>
            </w:tcMar>
            <w:vAlign w:val="bottom"/>
          </w:tcPr>
          <w:p w14:paraId="4ACE62F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F6"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 xml:space="preserve">U.S. Tax Cuts and Jobs Act </w:t>
            </w:r>
          </w:p>
        </w:tc>
      </w:tr>
      <w:tr w:rsidR="006F587A" w14:paraId="4ACE62FB" w14:textId="77777777">
        <w:tc>
          <w:tcPr>
            <w:tcW w:w="0" w:type="auto"/>
            <w:shd w:val="clear" w:color="auto" w:fill="auto"/>
            <w:tcMar>
              <w:top w:w="40" w:type="dxa"/>
              <w:left w:w="40" w:type="dxa"/>
              <w:bottom w:w="40" w:type="dxa"/>
              <w:right w:w="40" w:type="dxa"/>
            </w:tcMar>
          </w:tcPr>
          <w:p w14:paraId="4ACE62F8"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TCFD</w:t>
            </w:r>
          </w:p>
        </w:tc>
        <w:tc>
          <w:tcPr>
            <w:tcW w:w="0" w:type="auto"/>
            <w:shd w:val="clear" w:color="auto" w:fill="auto"/>
            <w:tcMar>
              <w:top w:w="40" w:type="dxa"/>
              <w:left w:w="40" w:type="dxa"/>
              <w:bottom w:w="40" w:type="dxa"/>
              <w:right w:w="40" w:type="dxa"/>
            </w:tcMar>
            <w:vAlign w:val="bottom"/>
          </w:tcPr>
          <w:p w14:paraId="4ACE62F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FA"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Task Force on Climate-Related Financial Disclosures</w:t>
            </w:r>
          </w:p>
        </w:tc>
      </w:tr>
      <w:tr w:rsidR="006F587A" w14:paraId="4ACE62FF" w14:textId="77777777">
        <w:tc>
          <w:tcPr>
            <w:tcW w:w="0" w:type="auto"/>
            <w:shd w:val="clear" w:color="auto" w:fill="auto"/>
            <w:tcMar>
              <w:top w:w="40" w:type="dxa"/>
              <w:left w:w="40" w:type="dxa"/>
              <w:bottom w:w="40" w:type="dxa"/>
              <w:right w:w="40" w:type="dxa"/>
            </w:tcMar>
          </w:tcPr>
          <w:p w14:paraId="4ACE62FC"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TLC</w:t>
            </w:r>
          </w:p>
        </w:tc>
        <w:tc>
          <w:tcPr>
            <w:tcW w:w="0" w:type="auto"/>
            <w:shd w:val="clear" w:color="auto" w:fill="auto"/>
            <w:tcMar>
              <w:top w:w="40" w:type="dxa"/>
              <w:left w:w="40" w:type="dxa"/>
              <w:bottom w:w="40" w:type="dxa"/>
              <w:right w:w="40" w:type="dxa"/>
            </w:tcMar>
            <w:vAlign w:val="bottom"/>
          </w:tcPr>
          <w:p w14:paraId="4ACE62F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2FE"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Triple-level cell</w:t>
            </w:r>
          </w:p>
        </w:tc>
      </w:tr>
      <w:tr w:rsidR="006F587A" w14:paraId="4ACE6303" w14:textId="77777777">
        <w:tc>
          <w:tcPr>
            <w:tcW w:w="0" w:type="auto"/>
            <w:shd w:val="clear" w:color="auto" w:fill="auto"/>
            <w:tcMar>
              <w:top w:w="40" w:type="dxa"/>
              <w:left w:w="40" w:type="dxa"/>
              <w:bottom w:w="40" w:type="dxa"/>
              <w:right w:w="40" w:type="dxa"/>
            </w:tcMar>
          </w:tcPr>
          <w:p w14:paraId="4ACE6300"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TSR</w:t>
            </w:r>
          </w:p>
        </w:tc>
        <w:tc>
          <w:tcPr>
            <w:tcW w:w="0" w:type="auto"/>
            <w:shd w:val="clear" w:color="auto" w:fill="auto"/>
            <w:tcMar>
              <w:top w:w="40" w:type="dxa"/>
              <w:left w:w="40" w:type="dxa"/>
              <w:bottom w:w="40" w:type="dxa"/>
              <w:right w:w="40" w:type="dxa"/>
            </w:tcMar>
            <w:vAlign w:val="bottom"/>
          </w:tcPr>
          <w:p w14:paraId="4ACE630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302"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 xml:space="preserve">Total </w:t>
            </w:r>
            <w:r>
              <w:rPr>
                <w:rFonts w:ascii="Arial" w:eastAsia="宋体" w:hAnsi="Arial" w:cs="Arial"/>
                <w:color w:val="333333"/>
                <w:sz w:val="18"/>
                <w:szCs w:val="18"/>
              </w:rPr>
              <w:t>stockholder return</w:t>
            </w:r>
          </w:p>
        </w:tc>
      </w:tr>
      <w:tr w:rsidR="006F587A" w14:paraId="4ACE6307" w14:textId="77777777">
        <w:tc>
          <w:tcPr>
            <w:tcW w:w="0" w:type="auto"/>
            <w:shd w:val="clear" w:color="auto" w:fill="auto"/>
            <w:tcMar>
              <w:top w:w="40" w:type="dxa"/>
              <w:left w:w="40" w:type="dxa"/>
              <w:bottom w:w="40" w:type="dxa"/>
              <w:right w:w="40" w:type="dxa"/>
            </w:tcMar>
          </w:tcPr>
          <w:p w14:paraId="4ACE6304"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U.S. GAAP</w:t>
            </w:r>
          </w:p>
        </w:tc>
        <w:tc>
          <w:tcPr>
            <w:tcW w:w="0" w:type="auto"/>
            <w:shd w:val="clear" w:color="auto" w:fill="auto"/>
            <w:tcMar>
              <w:top w:w="40" w:type="dxa"/>
              <w:left w:w="40" w:type="dxa"/>
              <w:bottom w:w="40" w:type="dxa"/>
              <w:right w:w="40" w:type="dxa"/>
            </w:tcMar>
            <w:vAlign w:val="bottom"/>
          </w:tcPr>
          <w:p w14:paraId="4ACE630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306"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U.S. Generally Accepted Accounting Principles</w:t>
            </w:r>
          </w:p>
        </w:tc>
      </w:tr>
      <w:tr w:rsidR="006F587A" w14:paraId="4ACE630B" w14:textId="77777777">
        <w:tc>
          <w:tcPr>
            <w:tcW w:w="0" w:type="auto"/>
            <w:shd w:val="clear" w:color="auto" w:fill="auto"/>
            <w:tcMar>
              <w:top w:w="40" w:type="dxa"/>
              <w:left w:w="40" w:type="dxa"/>
              <w:bottom w:w="40" w:type="dxa"/>
              <w:right w:w="40" w:type="dxa"/>
            </w:tcMar>
          </w:tcPr>
          <w:p w14:paraId="4ACE6308"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U.S. Pension Plan</w:t>
            </w:r>
          </w:p>
        </w:tc>
        <w:tc>
          <w:tcPr>
            <w:tcW w:w="0" w:type="auto"/>
            <w:shd w:val="clear" w:color="auto" w:fill="auto"/>
            <w:tcMar>
              <w:top w:w="40" w:type="dxa"/>
              <w:left w:w="40" w:type="dxa"/>
              <w:bottom w:w="40" w:type="dxa"/>
              <w:right w:w="40" w:type="dxa"/>
            </w:tcMar>
            <w:vAlign w:val="bottom"/>
          </w:tcPr>
          <w:p w14:paraId="4ACE630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30A"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U.S. Intel Minimum Pension Plan</w:t>
            </w:r>
          </w:p>
        </w:tc>
      </w:tr>
      <w:tr w:rsidR="006F587A" w14:paraId="4ACE630F" w14:textId="77777777">
        <w:tc>
          <w:tcPr>
            <w:tcW w:w="0" w:type="auto"/>
            <w:shd w:val="clear" w:color="auto" w:fill="auto"/>
            <w:tcMar>
              <w:top w:w="40" w:type="dxa"/>
              <w:left w:w="40" w:type="dxa"/>
              <w:bottom w:w="40" w:type="dxa"/>
              <w:right w:w="40" w:type="dxa"/>
            </w:tcMar>
          </w:tcPr>
          <w:p w14:paraId="4ACE630C"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U.S. Retiree Medical Plan</w:t>
            </w:r>
          </w:p>
        </w:tc>
        <w:tc>
          <w:tcPr>
            <w:tcW w:w="0" w:type="auto"/>
            <w:shd w:val="clear" w:color="auto" w:fill="auto"/>
            <w:tcMar>
              <w:top w:w="40" w:type="dxa"/>
              <w:left w:w="40" w:type="dxa"/>
              <w:bottom w:w="40" w:type="dxa"/>
              <w:right w:w="40" w:type="dxa"/>
            </w:tcMar>
            <w:vAlign w:val="bottom"/>
          </w:tcPr>
          <w:p w14:paraId="4ACE630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30E"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U.S. Postretirement Medical Benefits Plan</w:t>
            </w:r>
          </w:p>
        </w:tc>
      </w:tr>
      <w:tr w:rsidR="006F587A" w14:paraId="4ACE6313" w14:textId="77777777">
        <w:tc>
          <w:tcPr>
            <w:tcW w:w="0" w:type="auto"/>
            <w:shd w:val="clear" w:color="auto" w:fill="auto"/>
            <w:tcMar>
              <w:top w:w="40" w:type="dxa"/>
              <w:left w:w="40" w:type="dxa"/>
              <w:bottom w:w="40" w:type="dxa"/>
              <w:right w:w="40" w:type="dxa"/>
            </w:tcMar>
          </w:tcPr>
          <w:p w14:paraId="4ACE6310"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VPU</w:t>
            </w:r>
          </w:p>
        </w:tc>
        <w:tc>
          <w:tcPr>
            <w:tcW w:w="0" w:type="auto"/>
            <w:shd w:val="clear" w:color="auto" w:fill="auto"/>
            <w:tcMar>
              <w:top w:w="40" w:type="dxa"/>
              <w:left w:w="40" w:type="dxa"/>
              <w:bottom w:w="40" w:type="dxa"/>
              <w:right w:w="40" w:type="dxa"/>
            </w:tcMar>
            <w:vAlign w:val="bottom"/>
          </w:tcPr>
          <w:p w14:paraId="4ACE631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312"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Vision processing unit</w:t>
            </w:r>
          </w:p>
        </w:tc>
      </w:tr>
      <w:tr w:rsidR="006F587A" w14:paraId="4ACE6317" w14:textId="77777777">
        <w:tc>
          <w:tcPr>
            <w:tcW w:w="0" w:type="auto"/>
            <w:shd w:val="clear" w:color="auto" w:fill="auto"/>
            <w:tcMar>
              <w:top w:w="40" w:type="dxa"/>
              <w:left w:w="40" w:type="dxa"/>
              <w:bottom w:w="40" w:type="dxa"/>
              <w:right w:w="40" w:type="dxa"/>
            </w:tcMar>
          </w:tcPr>
          <w:p w14:paraId="4ACE6314"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Wind River</w:t>
            </w:r>
          </w:p>
        </w:tc>
        <w:tc>
          <w:tcPr>
            <w:tcW w:w="0" w:type="auto"/>
            <w:shd w:val="clear" w:color="auto" w:fill="auto"/>
            <w:tcMar>
              <w:top w:w="40" w:type="dxa"/>
              <w:left w:w="40" w:type="dxa"/>
              <w:bottom w:w="40" w:type="dxa"/>
              <w:right w:w="40" w:type="dxa"/>
            </w:tcMar>
            <w:vAlign w:val="bottom"/>
          </w:tcPr>
          <w:p w14:paraId="4ACE631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316"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 xml:space="preserve">Wind </w:t>
            </w:r>
            <w:r>
              <w:rPr>
                <w:rFonts w:ascii="Arial" w:eastAsia="宋体" w:hAnsi="Arial" w:cs="Arial"/>
                <w:color w:val="333333"/>
                <w:sz w:val="18"/>
                <w:szCs w:val="18"/>
              </w:rPr>
              <w:t>River Systems, Inc. (divested in Q2 2018)</w:t>
            </w:r>
          </w:p>
        </w:tc>
      </w:tr>
      <w:tr w:rsidR="006F587A" w14:paraId="4ACE631B" w14:textId="77777777">
        <w:tc>
          <w:tcPr>
            <w:tcW w:w="0" w:type="auto"/>
            <w:shd w:val="clear" w:color="auto" w:fill="auto"/>
            <w:tcMar>
              <w:top w:w="40" w:type="dxa"/>
              <w:left w:w="40" w:type="dxa"/>
              <w:bottom w:w="40" w:type="dxa"/>
              <w:right w:w="40" w:type="dxa"/>
            </w:tcMar>
          </w:tcPr>
          <w:p w14:paraId="4ACE6318" w14:textId="77777777" w:rsidR="006F587A" w:rsidRDefault="007B2B61">
            <w:pPr>
              <w:textAlignment w:val="top"/>
              <w:rPr>
                <w:rFonts w:ascii="Times New Roman" w:hAnsi="Times New Roman"/>
                <w:sz w:val="18"/>
                <w:szCs w:val="18"/>
              </w:rPr>
            </w:pPr>
            <w:r>
              <w:rPr>
                <w:rFonts w:ascii="Arial" w:eastAsia="宋体" w:hAnsi="Arial" w:cs="Arial"/>
                <w:b/>
                <w:bCs/>
                <w:color w:val="0071C5"/>
                <w:sz w:val="18"/>
                <w:szCs w:val="18"/>
              </w:rPr>
              <w:t>xPU</w:t>
            </w:r>
          </w:p>
        </w:tc>
        <w:tc>
          <w:tcPr>
            <w:tcW w:w="0" w:type="auto"/>
            <w:shd w:val="clear" w:color="auto" w:fill="auto"/>
            <w:tcMar>
              <w:top w:w="40" w:type="dxa"/>
              <w:left w:w="40" w:type="dxa"/>
              <w:bottom w:w="40" w:type="dxa"/>
              <w:right w:w="40" w:type="dxa"/>
            </w:tcMar>
            <w:vAlign w:val="bottom"/>
          </w:tcPr>
          <w:p w14:paraId="4ACE631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31A"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A term for processors that are designed for one of four major computing architectures: CPU, GPU, AI accelerator, and FPGA</w:t>
            </w:r>
          </w:p>
        </w:tc>
      </w:tr>
    </w:tbl>
    <w:p w14:paraId="4ACE631C"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631E" w14:textId="77777777">
        <w:tc>
          <w:tcPr>
            <w:tcW w:w="0" w:type="auto"/>
            <w:gridSpan w:val="3"/>
            <w:shd w:val="clear" w:color="auto" w:fill="auto"/>
            <w:vAlign w:val="center"/>
          </w:tcPr>
          <w:p w14:paraId="4ACE631D" w14:textId="77777777" w:rsidR="006F587A" w:rsidRDefault="006F587A">
            <w:pPr>
              <w:rPr>
                <w:rFonts w:ascii="Times New Roman" w:hAnsi="Times New Roman"/>
                <w:sz w:val="20"/>
                <w:szCs w:val="20"/>
              </w:rPr>
            </w:pPr>
          </w:p>
        </w:tc>
      </w:tr>
      <w:tr w:rsidR="006F587A" w14:paraId="4ACE6322" w14:textId="77777777">
        <w:tc>
          <w:tcPr>
            <w:tcW w:w="1300" w:type="pct"/>
            <w:shd w:val="clear" w:color="auto" w:fill="auto"/>
            <w:vAlign w:val="center"/>
          </w:tcPr>
          <w:p w14:paraId="4ACE631F" w14:textId="77777777" w:rsidR="006F587A" w:rsidRDefault="006F587A">
            <w:pPr>
              <w:rPr>
                <w:rFonts w:ascii="Times New Roman" w:hAnsi="Times New Roman"/>
                <w:sz w:val="20"/>
                <w:szCs w:val="20"/>
              </w:rPr>
            </w:pPr>
          </w:p>
        </w:tc>
        <w:tc>
          <w:tcPr>
            <w:tcW w:w="1600" w:type="pct"/>
            <w:shd w:val="clear" w:color="auto" w:fill="auto"/>
            <w:vAlign w:val="center"/>
          </w:tcPr>
          <w:p w14:paraId="4ACE6320" w14:textId="77777777" w:rsidR="006F587A" w:rsidRDefault="006F587A">
            <w:pPr>
              <w:rPr>
                <w:rFonts w:ascii="Times New Roman" w:hAnsi="Times New Roman"/>
                <w:sz w:val="20"/>
                <w:szCs w:val="20"/>
              </w:rPr>
            </w:pPr>
          </w:p>
        </w:tc>
        <w:tc>
          <w:tcPr>
            <w:tcW w:w="2100" w:type="pct"/>
            <w:shd w:val="clear" w:color="auto" w:fill="auto"/>
            <w:vAlign w:val="center"/>
          </w:tcPr>
          <w:p w14:paraId="4ACE6321" w14:textId="77777777" w:rsidR="006F587A" w:rsidRDefault="006F587A">
            <w:pPr>
              <w:rPr>
                <w:rFonts w:ascii="Times New Roman" w:hAnsi="Times New Roman"/>
                <w:sz w:val="20"/>
                <w:szCs w:val="20"/>
              </w:rPr>
            </w:pPr>
          </w:p>
        </w:tc>
      </w:tr>
      <w:tr w:rsidR="006F587A" w14:paraId="4ACE6326"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6323" w14:textId="77777777" w:rsidR="006F587A" w:rsidRDefault="007B2B61">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E32" wp14:editId="4ACE6E33">
                  <wp:extent cx="304800" cy="304800"/>
                  <wp:effectExtent l="0" t="0" r="0" b="0"/>
                  <wp:docPr id="92" name="图片 358"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358"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SUPPLEMENTAL DETAILS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632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6325"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110</w:t>
            </w:r>
          </w:p>
        </w:tc>
      </w:tr>
    </w:tbl>
    <w:p w14:paraId="4ACE6327" w14:textId="77777777" w:rsidR="006F587A" w:rsidRDefault="007B2B61">
      <w:r>
        <w:pict w14:anchorId="4ACE6E34">
          <v:rect id="_x0000_i1136" style="width:415.3pt;height:1.5pt" o:hralign="center" o:hrstd="t" o:hr="t" fillcolor="#a0a0a0" stroked="f"/>
        </w:pict>
      </w:r>
    </w:p>
    <w:p w14:paraId="4ACE6328" w14:textId="77777777" w:rsidR="006F587A" w:rsidRDefault="007B2B61">
      <w:pPr>
        <w:spacing w:line="288" w:lineRule="auto"/>
        <w:jc w:val="right"/>
        <w:rPr>
          <w:rFonts w:ascii="Times New Roman" w:hAnsi="Times New Roman"/>
          <w:sz w:val="16"/>
          <w:szCs w:val="16"/>
        </w:rPr>
      </w:pPr>
      <w:hyperlink r:id="rId175" w:anchor="s9DB683E2CF52561EB8A73BE37F5BF9BE" w:history="1">
        <w:r>
          <w:rPr>
            <w:rStyle w:val="a5"/>
            <w:rFonts w:ascii="Arial" w:eastAsia="宋体" w:hAnsi="Arial" w:cs="Arial"/>
            <w:b/>
            <w:bCs/>
            <w:sz w:val="16"/>
            <w:szCs w:val="16"/>
          </w:rPr>
          <w:t>Table of Contents</w:t>
        </w:r>
      </w:hyperlink>
    </w:p>
    <w:p w14:paraId="4ACE6329" w14:textId="77777777" w:rsidR="006F587A" w:rsidRDefault="006F587A">
      <w:pPr>
        <w:spacing w:line="288" w:lineRule="auto"/>
        <w:jc w:val="right"/>
        <w:rPr>
          <w:rFonts w:ascii="Times New Roman" w:hAnsi="Times New Roman"/>
          <w:sz w:val="16"/>
          <w:szCs w:val="16"/>
        </w:rPr>
      </w:pPr>
    </w:p>
    <w:p w14:paraId="4ACE632A" w14:textId="77777777" w:rsidR="006F587A" w:rsidRDefault="006F587A">
      <w:pPr>
        <w:rPr>
          <w:rFonts w:ascii="Times New Roman" w:hAnsi="Times New Roman"/>
          <w:sz w:val="20"/>
          <w:szCs w:val="20"/>
        </w:rPr>
      </w:pPr>
    </w:p>
    <w:tbl>
      <w:tblPr>
        <w:tblW w:w="4982" w:type="pct"/>
        <w:tblCellMar>
          <w:left w:w="0" w:type="dxa"/>
          <w:right w:w="0" w:type="dxa"/>
        </w:tblCellMar>
        <w:tblLook w:val="04A0" w:firstRow="1" w:lastRow="0" w:firstColumn="1" w:lastColumn="0" w:noHBand="0" w:noVBand="1"/>
      </w:tblPr>
      <w:tblGrid>
        <w:gridCol w:w="8276"/>
      </w:tblGrid>
      <w:tr w:rsidR="006F587A" w14:paraId="4ACE632C" w14:textId="77777777">
        <w:tc>
          <w:tcPr>
            <w:tcW w:w="0" w:type="auto"/>
            <w:shd w:val="clear" w:color="auto" w:fill="auto"/>
            <w:vAlign w:val="center"/>
          </w:tcPr>
          <w:p w14:paraId="4ACE632B" w14:textId="77777777" w:rsidR="006F587A" w:rsidRDefault="006F587A">
            <w:pPr>
              <w:rPr>
                <w:rFonts w:ascii="Times New Roman" w:hAnsi="Times New Roman"/>
                <w:sz w:val="20"/>
                <w:szCs w:val="20"/>
              </w:rPr>
            </w:pPr>
          </w:p>
        </w:tc>
      </w:tr>
      <w:tr w:rsidR="006F587A" w14:paraId="4ACE632E" w14:textId="77777777">
        <w:tc>
          <w:tcPr>
            <w:tcW w:w="5000" w:type="pct"/>
            <w:shd w:val="clear" w:color="auto" w:fill="auto"/>
            <w:vAlign w:val="center"/>
          </w:tcPr>
          <w:p w14:paraId="4ACE632D" w14:textId="77777777" w:rsidR="006F587A" w:rsidRDefault="006F587A">
            <w:pPr>
              <w:rPr>
                <w:rFonts w:ascii="Times New Roman" w:hAnsi="Times New Roman"/>
                <w:sz w:val="20"/>
                <w:szCs w:val="20"/>
              </w:rPr>
            </w:pPr>
          </w:p>
        </w:tc>
      </w:tr>
      <w:tr w:rsidR="006F587A" w14:paraId="4ACE6330" w14:textId="77777777">
        <w:tc>
          <w:tcPr>
            <w:tcW w:w="0" w:type="auto"/>
            <w:shd w:val="clear" w:color="auto" w:fill="0071C5"/>
            <w:tcMar>
              <w:top w:w="40" w:type="dxa"/>
              <w:left w:w="880" w:type="dxa"/>
              <w:bottom w:w="40" w:type="dxa"/>
              <w:right w:w="40" w:type="dxa"/>
            </w:tcMar>
            <w:vAlign w:val="bottom"/>
          </w:tcPr>
          <w:p w14:paraId="4ACE632F" w14:textId="77777777" w:rsidR="006F587A" w:rsidRDefault="007B2B61">
            <w:pPr>
              <w:textAlignment w:val="bottom"/>
              <w:rPr>
                <w:rFonts w:ascii="Times New Roman" w:hAnsi="Times New Roman"/>
                <w:sz w:val="36"/>
                <w:szCs w:val="36"/>
              </w:rPr>
            </w:pPr>
            <w:r>
              <w:rPr>
                <w:rFonts w:ascii="Arial" w:eastAsia="宋体" w:hAnsi="Arial" w:cs="Arial"/>
                <w:b/>
                <w:bCs/>
                <w:color w:val="FFFFFF"/>
                <w:sz w:val="36"/>
                <w:szCs w:val="36"/>
              </w:rPr>
              <w:t>FINANCIAL INFORMATION BY QUARTER (UNAUDITED)</w:t>
            </w:r>
          </w:p>
        </w:tc>
      </w:tr>
    </w:tbl>
    <w:p w14:paraId="4ACE6331" w14:textId="77777777" w:rsidR="006F587A" w:rsidRDefault="006F587A">
      <w:pPr>
        <w:rPr>
          <w:vanish/>
        </w:rPr>
      </w:pPr>
    </w:p>
    <w:tbl>
      <w:tblPr>
        <w:tblW w:w="5000" w:type="pct"/>
        <w:tblCellMar>
          <w:left w:w="0" w:type="dxa"/>
          <w:right w:w="0" w:type="dxa"/>
        </w:tblCellMar>
        <w:tblLook w:val="04A0" w:firstRow="1" w:lastRow="0" w:firstColumn="1" w:lastColumn="0" w:noHBand="0" w:noVBand="1"/>
      </w:tblPr>
      <w:tblGrid>
        <w:gridCol w:w="3857"/>
        <w:gridCol w:w="130"/>
        <w:gridCol w:w="142"/>
        <w:gridCol w:w="792"/>
        <w:gridCol w:w="79"/>
        <w:gridCol w:w="130"/>
        <w:gridCol w:w="142"/>
        <w:gridCol w:w="856"/>
        <w:gridCol w:w="77"/>
        <w:gridCol w:w="130"/>
        <w:gridCol w:w="141"/>
        <w:gridCol w:w="703"/>
        <w:gridCol w:w="36"/>
        <w:gridCol w:w="130"/>
        <w:gridCol w:w="141"/>
        <w:gridCol w:w="784"/>
        <w:gridCol w:w="36"/>
      </w:tblGrid>
      <w:tr w:rsidR="006F587A" w14:paraId="4ACE6333" w14:textId="77777777">
        <w:tc>
          <w:tcPr>
            <w:tcW w:w="0" w:type="auto"/>
            <w:gridSpan w:val="17"/>
            <w:shd w:val="clear" w:color="auto" w:fill="auto"/>
            <w:vAlign w:val="center"/>
          </w:tcPr>
          <w:p w14:paraId="4ACE6332" w14:textId="77777777" w:rsidR="006F587A" w:rsidRDefault="006F587A">
            <w:pPr>
              <w:rPr>
                <w:rFonts w:ascii="Times New Roman" w:hAnsi="Times New Roman"/>
                <w:sz w:val="20"/>
                <w:szCs w:val="20"/>
              </w:rPr>
            </w:pPr>
          </w:p>
        </w:tc>
      </w:tr>
      <w:tr w:rsidR="006F587A" w14:paraId="4ACE6345" w14:textId="77777777">
        <w:tc>
          <w:tcPr>
            <w:tcW w:w="2350" w:type="pct"/>
            <w:shd w:val="clear" w:color="auto" w:fill="auto"/>
            <w:vAlign w:val="center"/>
          </w:tcPr>
          <w:p w14:paraId="4ACE6334" w14:textId="77777777" w:rsidR="006F587A" w:rsidRDefault="006F587A">
            <w:pPr>
              <w:rPr>
                <w:rFonts w:ascii="Times New Roman" w:hAnsi="Times New Roman"/>
                <w:sz w:val="20"/>
                <w:szCs w:val="20"/>
              </w:rPr>
            </w:pPr>
          </w:p>
        </w:tc>
        <w:tc>
          <w:tcPr>
            <w:tcW w:w="50" w:type="pct"/>
            <w:shd w:val="clear" w:color="auto" w:fill="auto"/>
            <w:vAlign w:val="center"/>
          </w:tcPr>
          <w:p w14:paraId="4ACE6335" w14:textId="77777777" w:rsidR="006F587A" w:rsidRDefault="006F587A">
            <w:pPr>
              <w:rPr>
                <w:rFonts w:ascii="Times New Roman" w:hAnsi="Times New Roman"/>
                <w:sz w:val="20"/>
                <w:szCs w:val="20"/>
              </w:rPr>
            </w:pPr>
          </w:p>
        </w:tc>
        <w:tc>
          <w:tcPr>
            <w:tcW w:w="50" w:type="pct"/>
            <w:shd w:val="clear" w:color="auto" w:fill="auto"/>
            <w:vAlign w:val="center"/>
          </w:tcPr>
          <w:p w14:paraId="4ACE6336" w14:textId="77777777" w:rsidR="006F587A" w:rsidRDefault="006F587A">
            <w:pPr>
              <w:rPr>
                <w:rFonts w:ascii="Times New Roman" w:hAnsi="Times New Roman"/>
                <w:sz w:val="20"/>
                <w:szCs w:val="20"/>
              </w:rPr>
            </w:pPr>
          </w:p>
        </w:tc>
        <w:tc>
          <w:tcPr>
            <w:tcW w:w="500" w:type="pct"/>
            <w:shd w:val="clear" w:color="auto" w:fill="auto"/>
            <w:vAlign w:val="center"/>
          </w:tcPr>
          <w:p w14:paraId="4ACE6337" w14:textId="77777777" w:rsidR="006F587A" w:rsidRDefault="006F587A">
            <w:pPr>
              <w:rPr>
                <w:rFonts w:ascii="Times New Roman" w:hAnsi="Times New Roman"/>
                <w:sz w:val="20"/>
                <w:szCs w:val="20"/>
              </w:rPr>
            </w:pPr>
          </w:p>
        </w:tc>
        <w:tc>
          <w:tcPr>
            <w:tcW w:w="50" w:type="pct"/>
            <w:shd w:val="clear" w:color="auto" w:fill="auto"/>
            <w:vAlign w:val="center"/>
          </w:tcPr>
          <w:p w14:paraId="4ACE6338" w14:textId="77777777" w:rsidR="006F587A" w:rsidRDefault="006F587A">
            <w:pPr>
              <w:rPr>
                <w:rFonts w:ascii="Times New Roman" w:hAnsi="Times New Roman"/>
                <w:sz w:val="20"/>
                <w:szCs w:val="20"/>
              </w:rPr>
            </w:pPr>
          </w:p>
        </w:tc>
        <w:tc>
          <w:tcPr>
            <w:tcW w:w="50" w:type="pct"/>
            <w:shd w:val="clear" w:color="auto" w:fill="auto"/>
            <w:vAlign w:val="center"/>
          </w:tcPr>
          <w:p w14:paraId="4ACE6339" w14:textId="77777777" w:rsidR="006F587A" w:rsidRDefault="006F587A">
            <w:pPr>
              <w:rPr>
                <w:rFonts w:ascii="Times New Roman" w:hAnsi="Times New Roman"/>
                <w:sz w:val="20"/>
                <w:szCs w:val="20"/>
              </w:rPr>
            </w:pPr>
          </w:p>
        </w:tc>
        <w:tc>
          <w:tcPr>
            <w:tcW w:w="50" w:type="pct"/>
            <w:shd w:val="clear" w:color="auto" w:fill="auto"/>
            <w:vAlign w:val="center"/>
          </w:tcPr>
          <w:p w14:paraId="4ACE633A" w14:textId="77777777" w:rsidR="006F587A" w:rsidRDefault="006F587A">
            <w:pPr>
              <w:rPr>
                <w:rFonts w:ascii="Times New Roman" w:hAnsi="Times New Roman"/>
                <w:sz w:val="20"/>
                <w:szCs w:val="20"/>
              </w:rPr>
            </w:pPr>
          </w:p>
        </w:tc>
        <w:tc>
          <w:tcPr>
            <w:tcW w:w="550" w:type="pct"/>
            <w:shd w:val="clear" w:color="auto" w:fill="auto"/>
            <w:vAlign w:val="center"/>
          </w:tcPr>
          <w:p w14:paraId="4ACE633B" w14:textId="77777777" w:rsidR="006F587A" w:rsidRDefault="006F587A">
            <w:pPr>
              <w:rPr>
                <w:rFonts w:ascii="Times New Roman" w:hAnsi="Times New Roman"/>
                <w:sz w:val="20"/>
                <w:szCs w:val="20"/>
              </w:rPr>
            </w:pPr>
          </w:p>
        </w:tc>
        <w:tc>
          <w:tcPr>
            <w:tcW w:w="50" w:type="pct"/>
            <w:shd w:val="clear" w:color="auto" w:fill="auto"/>
            <w:vAlign w:val="center"/>
          </w:tcPr>
          <w:p w14:paraId="4ACE633C" w14:textId="77777777" w:rsidR="006F587A" w:rsidRDefault="006F587A">
            <w:pPr>
              <w:rPr>
                <w:rFonts w:ascii="Times New Roman" w:hAnsi="Times New Roman"/>
                <w:sz w:val="20"/>
                <w:szCs w:val="20"/>
              </w:rPr>
            </w:pPr>
          </w:p>
        </w:tc>
        <w:tc>
          <w:tcPr>
            <w:tcW w:w="50" w:type="pct"/>
            <w:shd w:val="clear" w:color="auto" w:fill="auto"/>
            <w:vAlign w:val="center"/>
          </w:tcPr>
          <w:p w14:paraId="4ACE633D" w14:textId="77777777" w:rsidR="006F587A" w:rsidRDefault="006F587A">
            <w:pPr>
              <w:rPr>
                <w:rFonts w:ascii="Times New Roman" w:hAnsi="Times New Roman"/>
                <w:sz w:val="20"/>
                <w:szCs w:val="20"/>
              </w:rPr>
            </w:pPr>
          </w:p>
        </w:tc>
        <w:tc>
          <w:tcPr>
            <w:tcW w:w="50" w:type="pct"/>
            <w:shd w:val="clear" w:color="auto" w:fill="auto"/>
            <w:vAlign w:val="center"/>
          </w:tcPr>
          <w:p w14:paraId="4ACE633E" w14:textId="77777777" w:rsidR="006F587A" w:rsidRDefault="006F587A">
            <w:pPr>
              <w:rPr>
                <w:rFonts w:ascii="Times New Roman" w:hAnsi="Times New Roman"/>
                <w:sz w:val="20"/>
                <w:szCs w:val="20"/>
              </w:rPr>
            </w:pPr>
          </w:p>
        </w:tc>
        <w:tc>
          <w:tcPr>
            <w:tcW w:w="500" w:type="pct"/>
            <w:shd w:val="clear" w:color="auto" w:fill="auto"/>
            <w:vAlign w:val="center"/>
          </w:tcPr>
          <w:p w14:paraId="4ACE633F" w14:textId="77777777" w:rsidR="006F587A" w:rsidRDefault="006F587A">
            <w:pPr>
              <w:rPr>
                <w:rFonts w:ascii="Times New Roman" w:hAnsi="Times New Roman"/>
                <w:sz w:val="20"/>
                <w:szCs w:val="20"/>
              </w:rPr>
            </w:pPr>
          </w:p>
        </w:tc>
        <w:tc>
          <w:tcPr>
            <w:tcW w:w="50" w:type="pct"/>
            <w:shd w:val="clear" w:color="auto" w:fill="auto"/>
            <w:vAlign w:val="center"/>
          </w:tcPr>
          <w:p w14:paraId="4ACE6340" w14:textId="77777777" w:rsidR="006F587A" w:rsidRDefault="006F587A">
            <w:pPr>
              <w:rPr>
                <w:rFonts w:ascii="Times New Roman" w:hAnsi="Times New Roman"/>
                <w:sz w:val="20"/>
                <w:szCs w:val="20"/>
              </w:rPr>
            </w:pPr>
          </w:p>
        </w:tc>
        <w:tc>
          <w:tcPr>
            <w:tcW w:w="50" w:type="pct"/>
            <w:shd w:val="clear" w:color="auto" w:fill="auto"/>
            <w:vAlign w:val="center"/>
          </w:tcPr>
          <w:p w14:paraId="4ACE6341" w14:textId="77777777" w:rsidR="006F587A" w:rsidRDefault="006F587A">
            <w:pPr>
              <w:rPr>
                <w:rFonts w:ascii="Times New Roman" w:hAnsi="Times New Roman"/>
                <w:sz w:val="20"/>
                <w:szCs w:val="20"/>
              </w:rPr>
            </w:pPr>
          </w:p>
        </w:tc>
        <w:tc>
          <w:tcPr>
            <w:tcW w:w="50" w:type="pct"/>
            <w:shd w:val="clear" w:color="auto" w:fill="auto"/>
            <w:vAlign w:val="center"/>
          </w:tcPr>
          <w:p w14:paraId="4ACE6342" w14:textId="77777777" w:rsidR="006F587A" w:rsidRDefault="006F587A">
            <w:pPr>
              <w:rPr>
                <w:rFonts w:ascii="Times New Roman" w:hAnsi="Times New Roman"/>
                <w:sz w:val="20"/>
                <w:szCs w:val="20"/>
              </w:rPr>
            </w:pPr>
          </w:p>
        </w:tc>
        <w:tc>
          <w:tcPr>
            <w:tcW w:w="500" w:type="pct"/>
            <w:shd w:val="clear" w:color="auto" w:fill="auto"/>
            <w:vAlign w:val="center"/>
          </w:tcPr>
          <w:p w14:paraId="4ACE6343" w14:textId="77777777" w:rsidR="006F587A" w:rsidRDefault="006F587A">
            <w:pPr>
              <w:rPr>
                <w:rFonts w:ascii="Times New Roman" w:hAnsi="Times New Roman"/>
                <w:sz w:val="20"/>
                <w:szCs w:val="20"/>
              </w:rPr>
            </w:pPr>
          </w:p>
        </w:tc>
        <w:tc>
          <w:tcPr>
            <w:tcW w:w="50" w:type="pct"/>
            <w:shd w:val="clear" w:color="auto" w:fill="auto"/>
            <w:vAlign w:val="center"/>
          </w:tcPr>
          <w:p w14:paraId="4ACE6344" w14:textId="77777777" w:rsidR="006F587A" w:rsidRDefault="006F587A">
            <w:pPr>
              <w:rPr>
                <w:rFonts w:ascii="Times New Roman" w:hAnsi="Times New Roman"/>
                <w:sz w:val="20"/>
                <w:szCs w:val="20"/>
              </w:rPr>
            </w:pPr>
          </w:p>
        </w:tc>
      </w:tr>
      <w:tr w:rsidR="006F587A" w14:paraId="4ACE634F"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6346"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lastRenderedPageBreak/>
              <w:t>2019 for Quarter Ended</w:t>
            </w:r>
            <w:r>
              <w:rPr>
                <w:rFonts w:ascii="Arial" w:eastAsia="宋体" w:hAnsi="Arial" w:cs="Arial"/>
                <w:b/>
                <w:bCs/>
                <w:color w:val="333333"/>
                <w:sz w:val="18"/>
                <w:szCs w:val="18"/>
              </w:rPr>
              <w:br/>
              <w:t>(In Millions, Except Per Share Amounts)</w:t>
            </w:r>
          </w:p>
        </w:tc>
        <w:tc>
          <w:tcPr>
            <w:tcW w:w="0" w:type="auto"/>
            <w:shd w:val="clear" w:color="auto" w:fill="auto"/>
            <w:tcMar>
              <w:top w:w="40" w:type="dxa"/>
              <w:left w:w="40" w:type="dxa"/>
              <w:bottom w:w="40" w:type="dxa"/>
              <w:right w:w="40" w:type="dxa"/>
            </w:tcMar>
            <w:vAlign w:val="bottom"/>
          </w:tcPr>
          <w:p w14:paraId="4ACE634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6348"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December 28</w:t>
            </w:r>
          </w:p>
        </w:tc>
        <w:tc>
          <w:tcPr>
            <w:tcW w:w="0" w:type="auto"/>
            <w:shd w:val="clear" w:color="auto" w:fill="auto"/>
            <w:tcMar>
              <w:top w:w="40" w:type="dxa"/>
              <w:left w:w="40" w:type="dxa"/>
              <w:bottom w:w="40" w:type="dxa"/>
              <w:right w:w="40" w:type="dxa"/>
            </w:tcMar>
            <w:vAlign w:val="bottom"/>
          </w:tcPr>
          <w:p w14:paraId="4ACE634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634A"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September 28</w:t>
            </w:r>
          </w:p>
        </w:tc>
        <w:tc>
          <w:tcPr>
            <w:tcW w:w="0" w:type="auto"/>
            <w:shd w:val="clear" w:color="auto" w:fill="auto"/>
            <w:tcMar>
              <w:top w:w="40" w:type="dxa"/>
              <w:left w:w="40" w:type="dxa"/>
              <w:bottom w:w="40" w:type="dxa"/>
              <w:right w:w="40" w:type="dxa"/>
            </w:tcMar>
            <w:vAlign w:val="bottom"/>
          </w:tcPr>
          <w:p w14:paraId="4ACE634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634C"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June 29</w:t>
            </w:r>
          </w:p>
        </w:tc>
        <w:tc>
          <w:tcPr>
            <w:tcW w:w="0" w:type="auto"/>
            <w:shd w:val="clear" w:color="auto" w:fill="auto"/>
            <w:tcMar>
              <w:top w:w="40" w:type="dxa"/>
              <w:left w:w="40" w:type="dxa"/>
              <w:bottom w:w="40" w:type="dxa"/>
              <w:right w:w="40" w:type="dxa"/>
            </w:tcMar>
            <w:vAlign w:val="bottom"/>
          </w:tcPr>
          <w:p w14:paraId="4ACE634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634E"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March 30</w:t>
            </w:r>
          </w:p>
        </w:tc>
      </w:tr>
      <w:tr w:rsidR="006F587A" w14:paraId="4ACE6361" w14:textId="77777777">
        <w:tc>
          <w:tcPr>
            <w:tcW w:w="0" w:type="auto"/>
            <w:shd w:val="clear" w:color="auto" w:fill="auto"/>
            <w:tcMar>
              <w:top w:w="40" w:type="dxa"/>
              <w:left w:w="40" w:type="dxa"/>
              <w:bottom w:w="40" w:type="dxa"/>
              <w:right w:w="40" w:type="dxa"/>
            </w:tcMar>
            <w:vAlign w:val="bottom"/>
          </w:tcPr>
          <w:p w14:paraId="4ACE635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Net revenue</w:t>
            </w:r>
          </w:p>
        </w:tc>
        <w:tc>
          <w:tcPr>
            <w:tcW w:w="0" w:type="auto"/>
            <w:shd w:val="clear" w:color="auto" w:fill="auto"/>
            <w:tcMar>
              <w:top w:w="40" w:type="dxa"/>
              <w:left w:w="40" w:type="dxa"/>
              <w:bottom w:w="40" w:type="dxa"/>
              <w:right w:w="40" w:type="dxa"/>
            </w:tcMar>
            <w:vAlign w:val="bottom"/>
          </w:tcPr>
          <w:p w14:paraId="4ACE635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352"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635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20,209</w:t>
            </w:r>
          </w:p>
        </w:tc>
        <w:tc>
          <w:tcPr>
            <w:tcW w:w="0" w:type="auto"/>
            <w:shd w:val="clear" w:color="auto" w:fill="auto"/>
            <w:vAlign w:val="bottom"/>
          </w:tcPr>
          <w:p w14:paraId="4ACE635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35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356"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6357"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19,190</w:t>
            </w:r>
          </w:p>
        </w:tc>
        <w:tc>
          <w:tcPr>
            <w:tcW w:w="0" w:type="auto"/>
            <w:shd w:val="clear" w:color="auto" w:fill="auto"/>
            <w:vAlign w:val="bottom"/>
          </w:tcPr>
          <w:p w14:paraId="4ACE635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35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35A"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635B"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16,505</w:t>
            </w:r>
          </w:p>
        </w:tc>
        <w:tc>
          <w:tcPr>
            <w:tcW w:w="0" w:type="auto"/>
            <w:shd w:val="clear" w:color="auto" w:fill="auto"/>
            <w:vAlign w:val="bottom"/>
          </w:tcPr>
          <w:p w14:paraId="4ACE635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35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35E"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635F"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16,061</w:t>
            </w:r>
          </w:p>
        </w:tc>
        <w:tc>
          <w:tcPr>
            <w:tcW w:w="0" w:type="auto"/>
            <w:shd w:val="clear" w:color="auto" w:fill="auto"/>
            <w:vAlign w:val="bottom"/>
          </w:tcPr>
          <w:p w14:paraId="4ACE6360" w14:textId="77777777" w:rsidR="006F587A" w:rsidRDefault="006F587A">
            <w:pPr>
              <w:textAlignment w:val="bottom"/>
              <w:rPr>
                <w:rFonts w:ascii="Times New Roman" w:hAnsi="Times New Roman"/>
                <w:sz w:val="20"/>
                <w:szCs w:val="20"/>
              </w:rPr>
            </w:pPr>
          </w:p>
        </w:tc>
      </w:tr>
      <w:tr w:rsidR="006F587A" w14:paraId="4ACE6373" w14:textId="77777777">
        <w:tc>
          <w:tcPr>
            <w:tcW w:w="0" w:type="auto"/>
            <w:shd w:val="clear" w:color="auto" w:fill="auto"/>
            <w:tcMar>
              <w:top w:w="40" w:type="dxa"/>
              <w:left w:w="40" w:type="dxa"/>
              <w:bottom w:w="40" w:type="dxa"/>
              <w:right w:w="40" w:type="dxa"/>
            </w:tcMar>
            <w:vAlign w:val="bottom"/>
          </w:tcPr>
          <w:p w14:paraId="4ACE636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Gross margin</w:t>
            </w:r>
          </w:p>
        </w:tc>
        <w:tc>
          <w:tcPr>
            <w:tcW w:w="0" w:type="auto"/>
            <w:shd w:val="clear" w:color="auto" w:fill="auto"/>
            <w:tcMar>
              <w:top w:w="40" w:type="dxa"/>
              <w:left w:w="40" w:type="dxa"/>
              <w:bottom w:w="40" w:type="dxa"/>
              <w:right w:w="40" w:type="dxa"/>
            </w:tcMar>
            <w:vAlign w:val="bottom"/>
          </w:tcPr>
          <w:p w14:paraId="4ACE636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364"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6365"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11,878</w:t>
            </w:r>
          </w:p>
        </w:tc>
        <w:tc>
          <w:tcPr>
            <w:tcW w:w="0" w:type="auto"/>
            <w:shd w:val="clear" w:color="auto" w:fill="auto"/>
            <w:vAlign w:val="bottom"/>
          </w:tcPr>
          <w:p w14:paraId="4ACE636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36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368"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6369"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11,295</w:t>
            </w:r>
          </w:p>
        </w:tc>
        <w:tc>
          <w:tcPr>
            <w:tcW w:w="0" w:type="auto"/>
            <w:shd w:val="clear" w:color="auto" w:fill="auto"/>
            <w:vAlign w:val="bottom"/>
          </w:tcPr>
          <w:p w14:paraId="4ACE636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36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36C"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636D"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9,878</w:t>
            </w:r>
          </w:p>
        </w:tc>
        <w:tc>
          <w:tcPr>
            <w:tcW w:w="0" w:type="auto"/>
            <w:shd w:val="clear" w:color="auto" w:fill="auto"/>
            <w:vAlign w:val="bottom"/>
          </w:tcPr>
          <w:p w14:paraId="4ACE636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36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370"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6371"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9,089</w:t>
            </w:r>
          </w:p>
        </w:tc>
        <w:tc>
          <w:tcPr>
            <w:tcW w:w="0" w:type="auto"/>
            <w:shd w:val="clear" w:color="auto" w:fill="auto"/>
            <w:vAlign w:val="bottom"/>
          </w:tcPr>
          <w:p w14:paraId="4ACE6372" w14:textId="77777777" w:rsidR="006F587A" w:rsidRDefault="006F587A">
            <w:pPr>
              <w:textAlignment w:val="bottom"/>
              <w:rPr>
                <w:rFonts w:ascii="Times New Roman" w:hAnsi="Times New Roman"/>
                <w:sz w:val="20"/>
                <w:szCs w:val="20"/>
              </w:rPr>
            </w:pPr>
          </w:p>
        </w:tc>
      </w:tr>
      <w:tr w:rsidR="006F587A" w14:paraId="4ACE6385" w14:textId="77777777">
        <w:tc>
          <w:tcPr>
            <w:tcW w:w="0" w:type="auto"/>
            <w:shd w:val="clear" w:color="auto" w:fill="auto"/>
            <w:tcMar>
              <w:top w:w="40" w:type="dxa"/>
              <w:left w:w="40" w:type="dxa"/>
              <w:bottom w:w="40" w:type="dxa"/>
              <w:right w:w="40" w:type="dxa"/>
            </w:tcMar>
            <w:vAlign w:val="bottom"/>
          </w:tcPr>
          <w:p w14:paraId="4ACE637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Net income </w:t>
            </w:r>
          </w:p>
        </w:tc>
        <w:tc>
          <w:tcPr>
            <w:tcW w:w="0" w:type="auto"/>
            <w:shd w:val="clear" w:color="auto" w:fill="auto"/>
            <w:tcMar>
              <w:top w:w="40" w:type="dxa"/>
              <w:left w:w="40" w:type="dxa"/>
              <w:bottom w:w="40" w:type="dxa"/>
              <w:right w:w="40" w:type="dxa"/>
            </w:tcMar>
            <w:vAlign w:val="bottom"/>
          </w:tcPr>
          <w:p w14:paraId="4ACE637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376"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6377"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6,905</w:t>
            </w:r>
          </w:p>
        </w:tc>
        <w:tc>
          <w:tcPr>
            <w:tcW w:w="0" w:type="auto"/>
            <w:shd w:val="clear" w:color="auto" w:fill="auto"/>
            <w:vAlign w:val="bottom"/>
          </w:tcPr>
          <w:p w14:paraId="4ACE637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37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37A"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637B"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5,990</w:t>
            </w:r>
          </w:p>
        </w:tc>
        <w:tc>
          <w:tcPr>
            <w:tcW w:w="0" w:type="auto"/>
            <w:shd w:val="clear" w:color="auto" w:fill="auto"/>
            <w:vAlign w:val="bottom"/>
          </w:tcPr>
          <w:p w14:paraId="4ACE637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37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37E"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637F"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4,179</w:t>
            </w:r>
          </w:p>
        </w:tc>
        <w:tc>
          <w:tcPr>
            <w:tcW w:w="0" w:type="auto"/>
            <w:shd w:val="clear" w:color="auto" w:fill="auto"/>
            <w:vAlign w:val="bottom"/>
          </w:tcPr>
          <w:p w14:paraId="4ACE638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38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382"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638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3,974</w:t>
            </w:r>
          </w:p>
        </w:tc>
        <w:tc>
          <w:tcPr>
            <w:tcW w:w="0" w:type="auto"/>
            <w:shd w:val="clear" w:color="auto" w:fill="auto"/>
            <w:vAlign w:val="bottom"/>
          </w:tcPr>
          <w:p w14:paraId="4ACE6384" w14:textId="77777777" w:rsidR="006F587A" w:rsidRDefault="006F587A">
            <w:pPr>
              <w:textAlignment w:val="bottom"/>
              <w:rPr>
                <w:rFonts w:ascii="Times New Roman" w:hAnsi="Times New Roman"/>
                <w:sz w:val="20"/>
                <w:szCs w:val="20"/>
              </w:rPr>
            </w:pPr>
          </w:p>
        </w:tc>
      </w:tr>
      <w:tr w:rsidR="006F587A" w14:paraId="4ACE6397" w14:textId="77777777">
        <w:tc>
          <w:tcPr>
            <w:tcW w:w="0" w:type="auto"/>
            <w:shd w:val="clear" w:color="auto" w:fill="auto"/>
            <w:tcMar>
              <w:top w:w="40" w:type="dxa"/>
              <w:left w:w="40" w:type="dxa"/>
              <w:bottom w:w="40" w:type="dxa"/>
              <w:right w:w="40" w:type="dxa"/>
            </w:tcMar>
            <w:vAlign w:val="bottom"/>
          </w:tcPr>
          <w:p w14:paraId="4ACE638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Earnings per share—Basic</w:t>
            </w:r>
          </w:p>
        </w:tc>
        <w:tc>
          <w:tcPr>
            <w:tcW w:w="0" w:type="auto"/>
            <w:shd w:val="clear" w:color="auto" w:fill="auto"/>
            <w:tcMar>
              <w:top w:w="40" w:type="dxa"/>
              <w:left w:w="40" w:type="dxa"/>
              <w:bottom w:w="40" w:type="dxa"/>
              <w:right w:w="40" w:type="dxa"/>
            </w:tcMar>
            <w:vAlign w:val="bottom"/>
          </w:tcPr>
          <w:p w14:paraId="4ACE638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388"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6389"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1.60</w:t>
            </w:r>
          </w:p>
        </w:tc>
        <w:tc>
          <w:tcPr>
            <w:tcW w:w="0" w:type="auto"/>
            <w:shd w:val="clear" w:color="auto" w:fill="auto"/>
            <w:vAlign w:val="bottom"/>
          </w:tcPr>
          <w:p w14:paraId="4ACE638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38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38C"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638D"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1.36</w:t>
            </w:r>
          </w:p>
        </w:tc>
        <w:tc>
          <w:tcPr>
            <w:tcW w:w="0" w:type="auto"/>
            <w:shd w:val="clear" w:color="auto" w:fill="auto"/>
            <w:vAlign w:val="bottom"/>
          </w:tcPr>
          <w:p w14:paraId="4ACE638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38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390"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6391"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0.94</w:t>
            </w:r>
          </w:p>
        </w:tc>
        <w:tc>
          <w:tcPr>
            <w:tcW w:w="0" w:type="auto"/>
            <w:shd w:val="clear" w:color="auto" w:fill="auto"/>
            <w:vAlign w:val="bottom"/>
          </w:tcPr>
          <w:p w14:paraId="4ACE639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39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394"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6395"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0.88</w:t>
            </w:r>
          </w:p>
        </w:tc>
        <w:tc>
          <w:tcPr>
            <w:tcW w:w="0" w:type="auto"/>
            <w:shd w:val="clear" w:color="auto" w:fill="auto"/>
            <w:vAlign w:val="bottom"/>
          </w:tcPr>
          <w:p w14:paraId="4ACE6396" w14:textId="77777777" w:rsidR="006F587A" w:rsidRDefault="006F587A">
            <w:pPr>
              <w:textAlignment w:val="bottom"/>
              <w:rPr>
                <w:rFonts w:ascii="Times New Roman" w:hAnsi="Times New Roman"/>
                <w:sz w:val="20"/>
                <w:szCs w:val="20"/>
              </w:rPr>
            </w:pPr>
          </w:p>
        </w:tc>
      </w:tr>
      <w:tr w:rsidR="006F587A" w14:paraId="4ACE63A9" w14:textId="77777777">
        <w:tc>
          <w:tcPr>
            <w:tcW w:w="0" w:type="auto"/>
            <w:shd w:val="clear" w:color="auto" w:fill="auto"/>
            <w:tcMar>
              <w:top w:w="40" w:type="dxa"/>
              <w:left w:w="40" w:type="dxa"/>
              <w:bottom w:w="40" w:type="dxa"/>
              <w:right w:w="40" w:type="dxa"/>
            </w:tcMar>
            <w:vAlign w:val="bottom"/>
          </w:tcPr>
          <w:p w14:paraId="4ACE639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Earnings per share—Diluted</w:t>
            </w:r>
          </w:p>
        </w:tc>
        <w:tc>
          <w:tcPr>
            <w:tcW w:w="0" w:type="auto"/>
            <w:shd w:val="clear" w:color="auto" w:fill="auto"/>
            <w:tcMar>
              <w:top w:w="40" w:type="dxa"/>
              <w:left w:w="40" w:type="dxa"/>
              <w:bottom w:w="40" w:type="dxa"/>
              <w:right w:w="40" w:type="dxa"/>
            </w:tcMar>
            <w:vAlign w:val="bottom"/>
          </w:tcPr>
          <w:p w14:paraId="4ACE639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39A"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639B"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1.58</w:t>
            </w:r>
          </w:p>
        </w:tc>
        <w:tc>
          <w:tcPr>
            <w:tcW w:w="0" w:type="auto"/>
            <w:shd w:val="clear" w:color="auto" w:fill="auto"/>
            <w:vAlign w:val="bottom"/>
          </w:tcPr>
          <w:p w14:paraId="4ACE639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39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39E"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639F"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1.35</w:t>
            </w:r>
          </w:p>
        </w:tc>
        <w:tc>
          <w:tcPr>
            <w:tcW w:w="0" w:type="auto"/>
            <w:shd w:val="clear" w:color="auto" w:fill="auto"/>
            <w:vAlign w:val="bottom"/>
          </w:tcPr>
          <w:p w14:paraId="4ACE63A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3A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3A2"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63A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0.92</w:t>
            </w:r>
          </w:p>
        </w:tc>
        <w:tc>
          <w:tcPr>
            <w:tcW w:w="0" w:type="auto"/>
            <w:shd w:val="clear" w:color="auto" w:fill="auto"/>
            <w:vAlign w:val="bottom"/>
          </w:tcPr>
          <w:p w14:paraId="4ACE63A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3A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3A6"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63A7"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0.87</w:t>
            </w:r>
          </w:p>
        </w:tc>
        <w:tc>
          <w:tcPr>
            <w:tcW w:w="0" w:type="auto"/>
            <w:shd w:val="clear" w:color="auto" w:fill="auto"/>
            <w:vAlign w:val="bottom"/>
          </w:tcPr>
          <w:p w14:paraId="4ACE63A8" w14:textId="77777777" w:rsidR="006F587A" w:rsidRDefault="006F587A">
            <w:pPr>
              <w:textAlignment w:val="bottom"/>
              <w:rPr>
                <w:rFonts w:ascii="Times New Roman" w:hAnsi="Times New Roman"/>
                <w:sz w:val="20"/>
                <w:szCs w:val="20"/>
              </w:rPr>
            </w:pPr>
          </w:p>
        </w:tc>
      </w:tr>
      <w:tr w:rsidR="006F587A" w14:paraId="4ACE63B3" w14:textId="77777777">
        <w:tc>
          <w:tcPr>
            <w:tcW w:w="0" w:type="auto"/>
            <w:shd w:val="clear" w:color="auto" w:fill="auto"/>
            <w:tcMar>
              <w:top w:w="40" w:type="dxa"/>
              <w:left w:w="40" w:type="dxa"/>
              <w:bottom w:w="40" w:type="dxa"/>
              <w:right w:w="40" w:type="dxa"/>
            </w:tcMar>
            <w:vAlign w:val="bottom"/>
          </w:tcPr>
          <w:p w14:paraId="4ACE63A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Dividends per share of common stock:</w:t>
            </w:r>
          </w:p>
        </w:tc>
        <w:tc>
          <w:tcPr>
            <w:tcW w:w="0" w:type="auto"/>
            <w:shd w:val="clear" w:color="auto" w:fill="auto"/>
            <w:tcMar>
              <w:top w:w="40" w:type="dxa"/>
              <w:left w:w="40" w:type="dxa"/>
              <w:bottom w:w="40" w:type="dxa"/>
              <w:right w:w="40" w:type="dxa"/>
            </w:tcMar>
            <w:vAlign w:val="bottom"/>
          </w:tcPr>
          <w:p w14:paraId="4ACE63A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63A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3A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63A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3A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63B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3B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63B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3C5" w14:textId="77777777">
        <w:tc>
          <w:tcPr>
            <w:tcW w:w="0" w:type="auto"/>
            <w:shd w:val="clear" w:color="auto" w:fill="auto"/>
            <w:tcMar>
              <w:top w:w="40" w:type="dxa"/>
              <w:left w:w="240" w:type="dxa"/>
              <w:bottom w:w="40" w:type="dxa"/>
              <w:right w:w="40" w:type="dxa"/>
            </w:tcMar>
            <w:vAlign w:val="bottom"/>
          </w:tcPr>
          <w:p w14:paraId="4ACE63B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Declared</w:t>
            </w:r>
          </w:p>
        </w:tc>
        <w:tc>
          <w:tcPr>
            <w:tcW w:w="0" w:type="auto"/>
            <w:shd w:val="clear" w:color="auto" w:fill="auto"/>
            <w:tcMar>
              <w:top w:w="40" w:type="dxa"/>
              <w:left w:w="40" w:type="dxa"/>
              <w:bottom w:w="40" w:type="dxa"/>
              <w:right w:w="40" w:type="dxa"/>
            </w:tcMar>
            <w:vAlign w:val="bottom"/>
          </w:tcPr>
          <w:p w14:paraId="4ACE63B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3B6"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63B7"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63B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3B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3BA"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63BB"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0.63</w:t>
            </w:r>
          </w:p>
        </w:tc>
        <w:tc>
          <w:tcPr>
            <w:tcW w:w="0" w:type="auto"/>
            <w:shd w:val="clear" w:color="auto" w:fill="auto"/>
            <w:vAlign w:val="bottom"/>
          </w:tcPr>
          <w:p w14:paraId="4ACE63B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3B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3BE"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63BF"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4ACE63C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3C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3C2"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63C3"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0.63</w:t>
            </w:r>
          </w:p>
        </w:tc>
        <w:tc>
          <w:tcPr>
            <w:tcW w:w="0" w:type="auto"/>
            <w:shd w:val="clear" w:color="auto" w:fill="auto"/>
            <w:vAlign w:val="bottom"/>
          </w:tcPr>
          <w:p w14:paraId="4ACE63C4" w14:textId="77777777" w:rsidR="006F587A" w:rsidRDefault="006F587A">
            <w:pPr>
              <w:textAlignment w:val="bottom"/>
              <w:rPr>
                <w:rFonts w:ascii="Times New Roman" w:hAnsi="Times New Roman"/>
                <w:sz w:val="20"/>
                <w:szCs w:val="20"/>
              </w:rPr>
            </w:pPr>
          </w:p>
        </w:tc>
      </w:tr>
      <w:tr w:rsidR="006F587A" w14:paraId="4ACE63D7" w14:textId="77777777">
        <w:tc>
          <w:tcPr>
            <w:tcW w:w="0" w:type="auto"/>
            <w:shd w:val="clear" w:color="auto" w:fill="auto"/>
            <w:tcMar>
              <w:top w:w="40" w:type="dxa"/>
              <w:left w:w="240" w:type="dxa"/>
              <w:bottom w:w="40" w:type="dxa"/>
              <w:right w:w="40" w:type="dxa"/>
            </w:tcMar>
            <w:vAlign w:val="bottom"/>
          </w:tcPr>
          <w:p w14:paraId="4ACE63C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Paid</w:t>
            </w:r>
          </w:p>
        </w:tc>
        <w:tc>
          <w:tcPr>
            <w:tcW w:w="0" w:type="auto"/>
            <w:shd w:val="clear" w:color="auto" w:fill="auto"/>
            <w:tcMar>
              <w:top w:w="40" w:type="dxa"/>
              <w:left w:w="40" w:type="dxa"/>
              <w:bottom w:w="40" w:type="dxa"/>
              <w:right w:w="40" w:type="dxa"/>
            </w:tcMar>
            <w:vAlign w:val="bottom"/>
          </w:tcPr>
          <w:p w14:paraId="4ACE63C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3C8"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63C9"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0.315</w:t>
            </w:r>
          </w:p>
        </w:tc>
        <w:tc>
          <w:tcPr>
            <w:tcW w:w="0" w:type="auto"/>
            <w:shd w:val="clear" w:color="auto" w:fill="auto"/>
            <w:vAlign w:val="bottom"/>
          </w:tcPr>
          <w:p w14:paraId="4ACE63C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3C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3CC"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63CD"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0.315</w:t>
            </w:r>
          </w:p>
        </w:tc>
        <w:tc>
          <w:tcPr>
            <w:tcW w:w="0" w:type="auto"/>
            <w:shd w:val="clear" w:color="auto" w:fill="auto"/>
            <w:vAlign w:val="bottom"/>
          </w:tcPr>
          <w:p w14:paraId="4ACE63C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3C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3D0"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63D1"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0.315</w:t>
            </w:r>
          </w:p>
        </w:tc>
        <w:tc>
          <w:tcPr>
            <w:tcW w:w="0" w:type="auto"/>
            <w:shd w:val="clear" w:color="auto" w:fill="auto"/>
            <w:vAlign w:val="bottom"/>
          </w:tcPr>
          <w:p w14:paraId="4ACE63D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3D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3D4" w14:textId="77777777" w:rsidR="006F587A" w:rsidRDefault="007B2B61">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4ACE63D5" w14:textId="77777777" w:rsidR="006F587A" w:rsidRDefault="007B2B61">
            <w:pPr>
              <w:jc w:val="right"/>
              <w:textAlignment w:val="bottom"/>
              <w:rPr>
                <w:rFonts w:ascii="Times New Roman" w:hAnsi="Times New Roman"/>
                <w:sz w:val="18"/>
                <w:szCs w:val="18"/>
              </w:rPr>
            </w:pPr>
            <w:r>
              <w:rPr>
                <w:rFonts w:ascii="Arial" w:eastAsia="宋体" w:hAnsi="Arial" w:cs="Arial"/>
                <w:color w:val="0071C5"/>
                <w:sz w:val="18"/>
                <w:szCs w:val="18"/>
              </w:rPr>
              <w:t>0.315</w:t>
            </w:r>
          </w:p>
        </w:tc>
        <w:tc>
          <w:tcPr>
            <w:tcW w:w="0" w:type="auto"/>
            <w:shd w:val="clear" w:color="auto" w:fill="auto"/>
            <w:vAlign w:val="bottom"/>
          </w:tcPr>
          <w:p w14:paraId="4ACE63D6" w14:textId="77777777" w:rsidR="006F587A" w:rsidRDefault="006F587A">
            <w:pPr>
              <w:textAlignment w:val="bottom"/>
              <w:rPr>
                <w:rFonts w:ascii="Times New Roman" w:hAnsi="Times New Roman"/>
                <w:sz w:val="20"/>
                <w:szCs w:val="20"/>
              </w:rPr>
            </w:pPr>
          </w:p>
        </w:tc>
      </w:tr>
    </w:tbl>
    <w:p w14:paraId="4ACE63D8" w14:textId="77777777" w:rsidR="006F587A" w:rsidRDefault="006F587A">
      <w:pPr>
        <w:rPr>
          <w:vanish/>
        </w:rPr>
      </w:pPr>
    </w:p>
    <w:tbl>
      <w:tblPr>
        <w:tblW w:w="5000" w:type="pct"/>
        <w:tblCellMar>
          <w:left w:w="0" w:type="dxa"/>
          <w:right w:w="0" w:type="dxa"/>
        </w:tblCellMar>
        <w:tblLook w:val="04A0" w:firstRow="1" w:lastRow="0" w:firstColumn="1" w:lastColumn="0" w:noHBand="0" w:noVBand="1"/>
      </w:tblPr>
      <w:tblGrid>
        <w:gridCol w:w="3857"/>
        <w:gridCol w:w="130"/>
        <w:gridCol w:w="142"/>
        <w:gridCol w:w="792"/>
        <w:gridCol w:w="79"/>
        <w:gridCol w:w="130"/>
        <w:gridCol w:w="142"/>
        <w:gridCol w:w="856"/>
        <w:gridCol w:w="77"/>
        <w:gridCol w:w="130"/>
        <w:gridCol w:w="141"/>
        <w:gridCol w:w="703"/>
        <w:gridCol w:w="36"/>
        <w:gridCol w:w="130"/>
        <w:gridCol w:w="141"/>
        <w:gridCol w:w="784"/>
        <w:gridCol w:w="36"/>
      </w:tblGrid>
      <w:tr w:rsidR="006F587A" w14:paraId="4ACE63DA" w14:textId="77777777">
        <w:tc>
          <w:tcPr>
            <w:tcW w:w="0" w:type="auto"/>
            <w:gridSpan w:val="17"/>
            <w:shd w:val="clear" w:color="auto" w:fill="auto"/>
            <w:vAlign w:val="center"/>
          </w:tcPr>
          <w:p w14:paraId="4ACE63D9" w14:textId="77777777" w:rsidR="006F587A" w:rsidRDefault="006F587A">
            <w:pPr>
              <w:rPr>
                <w:rFonts w:ascii="Times New Roman" w:hAnsi="Times New Roman"/>
                <w:sz w:val="20"/>
                <w:szCs w:val="20"/>
              </w:rPr>
            </w:pPr>
          </w:p>
        </w:tc>
      </w:tr>
      <w:tr w:rsidR="006F587A" w14:paraId="4ACE63EC" w14:textId="77777777">
        <w:tc>
          <w:tcPr>
            <w:tcW w:w="2350" w:type="pct"/>
            <w:shd w:val="clear" w:color="auto" w:fill="auto"/>
            <w:vAlign w:val="center"/>
          </w:tcPr>
          <w:p w14:paraId="4ACE63DB" w14:textId="77777777" w:rsidR="006F587A" w:rsidRDefault="006F587A">
            <w:pPr>
              <w:rPr>
                <w:rFonts w:ascii="Times New Roman" w:hAnsi="Times New Roman"/>
                <w:sz w:val="20"/>
                <w:szCs w:val="20"/>
              </w:rPr>
            </w:pPr>
          </w:p>
        </w:tc>
        <w:tc>
          <w:tcPr>
            <w:tcW w:w="50" w:type="pct"/>
            <w:shd w:val="clear" w:color="auto" w:fill="auto"/>
            <w:vAlign w:val="center"/>
          </w:tcPr>
          <w:p w14:paraId="4ACE63DC" w14:textId="77777777" w:rsidR="006F587A" w:rsidRDefault="006F587A">
            <w:pPr>
              <w:rPr>
                <w:rFonts w:ascii="Times New Roman" w:hAnsi="Times New Roman"/>
                <w:sz w:val="20"/>
                <w:szCs w:val="20"/>
              </w:rPr>
            </w:pPr>
          </w:p>
        </w:tc>
        <w:tc>
          <w:tcPr>
            <w:tcW w:w="50" w:type="pct"/>
            <w:shd w:val="clear" w:color="auto" w:fill="auto"/>
            <w:vAlign w:val="center"/>
          </w:tcPr>
          <w:p w14:paraId="4ACE63DD" w14:textId="77777777" w:rsidR="006F587A" w:rsidRDefault="006F587A">
            <w:pPr>
              <w:rPr>
                <w:rFonts w:ascii="Times New Roman" w:hAnsi="Times New Roman"/>
                <w:sz w:val="20"/>
                <w:szCs w:val="20"/>
              </w:rPr>
            </w:pPr>
          </w:p>
        </w:tc>
        <w:tc>
          <w:tcPr>
            <w:tcW w:w="500" w:type="pct"/>
            <w:shd w:val="clear" w:color="auto" w:fill="auto"/>
            <w:vAlign w:val="center"/>
          </w:tcPr>
          <w:p w14:paraId="4ACE63DE" w14:textId="77777777" w:rsidR="006F587A" w:rsidRDefault="006F587A">
            <w:pPr>
              <w:rPr>
                <w:rFonts w:ascii="Times New Roman" w:hAnsi="Times New Roman"/>
                <w:sz w:val="20"/>
                <w:szCs w:val="20"/>
              </w:rPr>
            </w:pPr>
          </w:p>
        </w:tc>
        <w:tc>
          <w:tcPr>
            <w:tcW w:w="50" w:type="pct"/>
            <w:shd w:val="clear" w:color="auto" w:fill="auto"/>
            <w:vAlign w:val="center"/>
          </w:tcPr>
          <w:p w14:paraId="4ACE63DF" w14:textId="77777777" w:rsidR="006F587A" w:rsidRDefault="006F587A">
            <w:pPr>
              <w:rPr>
                <w:rFonts w:ascii="Times New Roman" w:hAnsi="Times New Roman"/>
                <w:sz w:val="20"/>
                <w:szCs w:val="20"/>
              </w:rPr>
            </w:pPr>
          </w:p>
        </w:tc>
        <w:tc>
          <w:tcPr>
            <w:tcW w:w="50" w:type="pct"/>
            <w:shd w:val="clear" w:color="auto" w:fill="auto"/>
            <w:vAlign w:val="center"/>
          </w:tcPr>
          <w:p w14:paraId="4ACE63E0" w14:textId="77777777" w:rsidR="006F587A" w:rsidRDefault="006F587A">
            <w:pPr>
              <w:rPr>
                <w:rFonts w:ascii="Times New Roman" w:hAnsi="Times New Roman"/>
                <w:sz w:val="20"/>
                <w:szCs w:val="20"/>
              </w:rPr>
            </w:pPr>
          </w:p>
        </w:tc>
        <w:tc>
          <w:tcPr>
            <w:tcW w:w="50" w:type="pct"/>
            <w:shd w:val="clear" w:color="auto" w:fill="auto"/>
            <w:vAlign w:val="center"/>
          </w:tcPr>
          <w:p w14:paraId="4ACE63E1" w14:textId="77777777" w:rsidR="006F587A" w:rsidRDefault="006F587A">
            <w:pPr>
              <w:rPr>
                <w:rFonts w:ascii="Times New Roman" w:hAnsi="Times New Roman"/>
                <w:sz w:val="20"/>
                <w:szCs w:val="20"/>
              </w:rPr>
            </w:pPr>
          </w:p>
        </w:tc>
        <w:tc>
          <w:tcPr>
            <w:tcW w:w="550" w:type="pct"/>
            <w:shd w:val="clear" w:color="auto" w:fill="auto"/>
            <w:vAlign w:val="center"/>
          </w:tcPr>
          <w:p w14:paraId="4ACE63E2" w14:textId="77777777" w:rsidR="006F587A" w:rsidRDefault="006F587A">
            <w:pPr>
              <w:rPr>
                <w:rFonts w:ascii="Times New Roman" w:hAnsi="Times New Roman"/>
                <w:sz w:val="20"/>
                <w:szCs w:val="20"/>
              </w:rPr>
            </w:pPr>
          </w:p>
        </w:tc>
        <w:tc>
          <w:tcPr>
            <w:tcW w:w="50" w:type="pct"/>
            <w:shd w:val="clear" w:color="auto" w:fill="auto"/>
            <w:vAlign w:val="center"/>
          </w:tcPr>
          <w:p w14:paraId="4ACE63E3" w14:textId="77777777" w:rsidR="006F587A" w:rsidRDefault="006F587A">
            <w:pPr>
              <w:rPr>
                <w:rFonts w:ascii="Times New Roman" w:hAnsi="Times New Roman"/>
                <w:sz w:val="20"/>
                <w:szCs w:val="20"/>
              </w:rPr>
            </w:pPr>
          </w:p>
        </w:tc>
        <w:tc>
          <w:tcPr>
            <w:tcW w:w="50" w:type="pct"/>
            <w:shd w:val="clear" w:color="auto" w:fill="auto"/>
            <w:vAlign w:val="center"/>
          </w:tcPr>
          <w:p w14:paraId="4ACE63E4" w14:textId="77777777" w:rsidR="006F587A" w:rsidRDefault="006F587A">
            <w:pPr>
              <w:rPr>
                <w:rFonts w:ascii="Times New Roman" w:hAnsi="Times New Roman"/>
                <w:sz w:val="20"/>
                <w:szCs w:val="20"/>
              </w:rPr>
            </w:pPr>
          </w:p>
        </w:tc>
        <w:tc>
          <w:tcPr>
            <w:tcW w:w="50" w:type="pct"/>
            <w:shd w:val="clear" w:color="auto" w:fill="auto"/>
            <w:vAlign w:val="center"/>
          </w:tcPr>
          <w:p w14:paraId="4ACE63E5" w14:textId="77777777" w:rsidR="006F587A" w:rsidRDefault="006F587A">
            <w:pPr>
              <w:rPr>
                <w:rFonts w:ascii="Times New Roman" w:hAnsi="Times New Roman"/>
                <w:sz w:val="20"/>
                <w:szCs w:val="20"/>
              </w:rPr>
            </w:pPr>
          </w:p>
        </w:tc>
        <w:tc>
          <w:tcPr>
            <w:tcW w:w="500" w:type="pct"/>
            <w:shd w:val="clear" w:color="auto" w:fill="auto"/>
            <w:vAlign w:val="center"/>
          </w:tcPr>
          <w:p w14:paraId="4ACE63E6" w14:textId="77777777" w:rsidR="006F587A" w:rsidRDefault="006F587A">
            <w:pPr>
              <w:rPr>
                <w:rFonts w:ascii="Times New Roman" w:hAnsi="Times New Roman"/>
                <w:sz w:val="20"/>
                <w:szCs w:val="20"/>
              </w:rPr>
            </w:pPr>
          </w:p>
        </w:tc>
        <w:tc>
          <w:tcPr>
            <w:tcW w:w="50" w:type="pct"/>
            <w:shd w:val="clear" w:color="auto" w:fill="auto"/>
            <w:vAlign w:val="center"/>
          </w:tcPr>
          <w:p w14:paraId="4ACE63E7" w14:textId="77777777" w:rsidR="006F587A" w:rsidRDefault="006F587A">
            <w:pPr>
              <w:rPr>
                <w:rFonts w:ascii="Times New Roman" w:hAnsi="Times New Roman"/>
                <w:sz w:val="20"/>
                <w:szCs w:val="20"/>
              </w:rPr>
            </w:pPr>
          </w:p>
        </w:tc>
        <w:tc>
          <w:tcPr>
            <w:tcW w:w="50" w:type="pct"/>
            <w:shd w:val="clear" w:color="auto" w:fill="auto"/>
            <w:vAlign w:val="center"/>
          </w:tcPr>
          <w:p w14:paraId="4ACE63E8" w14:textId="77777777" w:rsidR="006F587A" w:rsidRDefault="006F587A">
            <w:pPr>
              <w:rPr>
                <w:rFonts w:ascii="Times New Roman" w:hAnsi="Times New Roman"/>
                <w:sz w:val="20"/>
                <w:szCs w:val="20"/>
              </w:rPr>
            </w:pPr>
          </w:p>
        </w:tc>
        <w:tc>
          <w:tcPr>
            <w:tcW w:w="50" w:type="pct"/>
            <w:shd w:val="clear" w:color="auto" w:fill="auto"/>
            <w:vAlign w:val="center"/>
          </w:tcPr>
          <w:p w14:paraId="4ACE63E9" w14:textId="77777777" w:rsidR="006F587A" w:rsidRDefault="006F587A">
            <w:pPr>
              <w:rPr>
                <w:rFonts w:ascii="Times New Roman" w:hAnsi="Times New Roman"/>
                <w:sz w:val="20"/>
                <w:szCs w:val="20"/>
              </w:rPr>
            </w:pPr>
          </w:p>
        </w:tc>
        <w:tc>
          <w:tcPr>
            <w:tcW w:w="500" w:type="pct"/>
            <w:shd w:val="clear" w:color="auto" w:fill="auto"/>
            <w:vAlign w:val="center"/>
          </w:tcPr>
          <w:p w14:paraId="4ACE63EA" w14:textId="77777777" w:rsidR="006F587A" w:rsidRDefault="006F587A">
            <w:pPr>
              <w:rPr>
                <w:rFonts w:ascii="Times New Roman" w:hAnsi="Times New Roman"/>
                <w:sz w:val="20"/>
                <w:szCs w:val="20"/>
              </w:rPr>
            </w:pPr>
          </w:p>
        </w:tc>
        <w:tc>
          <w:tcPr>
            <w:tcW w:w="50" w:type="pct"/>
            <w:shd w:val="clear" w:color="auto" w:fill="auto"/>
            <w:vAlign w:val="center"/>
          </w:tcPr>
          <w:p w14:paraId="4ACE63EB" w14:textId="77777777" w:rsidR="006F587A" w:rsidRDefault="006F587A">
            <w:pPr>
              <w:rPr>
                <w:rFonts w:ascii="Times New Roman" w:hAnsi="Times New Roman"/>
                <w:sz w:val="20"/>
                <w:szCs w:val="20"/>
              </w:rPr>
            </w:pPr>
          </w:p>
        </w:tc>
      </w:tr>
      <w:tr w:rsidR="006F587A" w14:paraId="4ACE63F6"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63ED"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2018 for Quarter Ended</w:t>
            </w:r>
            <w:r>
              <w:rPr>
                <w:rFonts w:ascii="Arial" w:eastAsia="宋体" w:hAnsi="Arial" w:cs="Arial"/>
                <w:b/>
                <w:bCs/>
                <w:color w:val="333333"/>
                <w:sz w:val="18"/>
                <w:szCs w:val="18"/>
              </w:rPr>
              <w:br/>
              <w:t>(In Millions, Except Per Share Amounts)</w:t>
            </w:r>
          </w:p>
        </w:tc>
        <w:tc>
          <w:tcPr>
            <w:tcW w:w="0" w:type="auto"/>
            <w:shd w:val="clear" w:color="auto" w:fill="auto"/>
            <w:tcMar>
              <w:top w:w="40" w:type="dxa"/>
              <w:left w:w="40" w:type="dxa"/>
              <w:bottom w:w="40" w:type="dxa"/>
              <w:right w:w="40" w:type="dxa"/>
            </w:tcMar>
            <w:vAlign w:val="bottom"/>
          </w:tcPr>
          <w:p w14:paraId="4ACE63E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63EF"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December 29</w:t>
            </w:r>
          </w:p>
        </w:tc>
        <w:tc>
          <w:tcPr>
            <w:tcW w:w="0" w:type="auto"/>
            <w:shd w:val="clear" w:color="auto" w:fill="auto"/>
            <w:tcMar>
              <w:top w:w="40" w:type="dxa"/>
              <w:left w:w="40" w:type="dxa"/>
              <w:bottom w:w="40" w:type="dxa"/>
              <w:right w:w="40" w:type="dxa"/>
            </w:tcMar>
            <w:vAlign w:val="bottom"/>
          </w:tcPr>
          <w:p w14:paraId="4ACE63F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63F1"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September 29</w:t>
            </w:r>
          </w:p>
        </w:tc>
        <w:tc>
          <w:tcPr>
            <w:tcW w:w="0" w:type="auto"/>
            <w:shd w:val="clear" w:color="auto" w:fill="auto"/>
            <w:tcMar>
              <w:top w:w="40" w:type="dxa"/>
              <w:left w:w="40" w:type="dxa"/>
              <w:bottom w:w="40" w:type="dxa"/>
              <w:right w:w="40" w:type="dxa"/>
            </w:tcMar>
            <w:vAlign w:val="bottom"/>
          </w:tcPr>
          <w:p w14:paraId="4ACE63F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63F3"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June 30</w:t>
            </w:r>
          </w:p>
        </w:tc>
        <w:tc>
          <w:tcPr>
            <w:tcW w:w="0" w:type="auto"/>
            <w:shd w:val="clear" w:color="auto" w:fill="auto"/>
            <w:tcMar>
              <w:top w:w="40" w:type="dxa"/>
              <w:left w:w="40" w:type="dxa"/>
              <w:bottom w:w="40" w:type="dxa"/>
              <w:right w:w="40" w:type="dxa"/>
            </w:tcMar>
            <w:vAlign w:val="bottom"/>
          </w:tcPr>
          <w:p w14:paraId="4ACE63F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4ACE63F5"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March 31</w:t>
            </w:r>
          </w:p>
        </w:tc>
      </w:tr>
      <w:tr w:rsidR="006F587A" w14:paraId="4ACE6408" w14:textId="77777777">
        <w:tc>
          <w:tcPr>
            <w:tcW w:w="0" w:type="auto"/>
            <w:shd w:val="clear" w:color="auto" w:fill="auto"/>
            <w:tcMar>
              <w:top w:w="40" w:type="dxa"/>
              <w:left w:w="40" w:type="dxa"/>
              <w:bottom w:w="40" w:type="dxa"/>
              <w:right w:w="40" w:type="dxa"/>
            </w:tcMar>
            <w:vAlign w:val="bottom"/>
          </w:tcPr>
          <w:p w14:paraId="4ACE63F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Net revenue</w:t>
            </w:r>
          </w:p>
        </w:tc>
        <w:tc>
          <w:tcPr>
            <w:tcW w:w="0" w:type="auto"/>
            <w:shd w:val="clear" w:color="auto" w:fill="auto"/>
            <w:tcMar>
              <w:top w:w="40" w:type="dxa"/>
              <w:left w:w="40" w:type="dxa"/>
              <w:bottom w:w="40" w:type="dxa"/>
              <w:right w:w="40" w:type="dxa"/>
            </w:tcMar>
            <w:vAlign w:val="bottom"/>
          </w:tcPr>
          <w:p w14:paraId="4ACE63F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3F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63F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18,657</w:t>
            </w:r>
          </w:p>
        </w:tc>
        <w:tc>
          <w:tcPr>
            <w:tcW w:w="0" w:type="auto"/>
            <w:shd w:val="clear" w:color="auto" w:fill="auto"/>
            <w:vAlign w:val="bottom"/>
          </w:tcPr>
          <w:p w14:paraId="4ACE63F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3F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3F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63F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19,163</w:t>
            </w:r>
          </w:p>
        </w:tc>
        <w:tc>
          <w:tcPr>
            <w:tcW w:w="0" w:type="auto"/>
            <w:shd w:val="clear" w:color="auto" w:fill="auto"/>
            <w:vAlign w:val="bottom"/>
          </w:tcPr>
          <w:p w14:paraId="4ACE63F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40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40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640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16,962</w:t>
            </w:r>
          </w:p>
        </w:tc>
        <w:tc>
          <w:tcPr>
            <w:tcW w:w="0" w:type="auto"/>
            <w:shd w:val="clear" w:color="auto" w:fill="auto"/>
            <w:vAlign w:val="bottom"/>
          </w:tcPr>
          <w:p w14:paraId="4ACE640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40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40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640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16,066</w:t>
            </w:r>
          </w:p>
        </w:tc>
        <w:tc>
          <w:tcPr>
            <w:tcW w:w="0" w:type="auto"/>
            <w:shd w:val="clear" w:color="auto" w:fill="auto"/>
            <w:vAlign w:val="bottom"/>
          </w:tcPr>
          <w:p w14:paraId="4ACE6407" w14:textId="77777777" w:rsidR="006F587A" w:rsidRDefault="006F587A">
            <w:pPr>
              <w:textAlignment w:val="bottom"/>
              <w:rPr>
                <w:rFonts w:ascii="Times New Roman" w:hAnsi="Times New Roman"/>
                <w:sz w:val="20"/>
                <w:szCs w:val="20"/>
              </w:rPr>
            </w:pPr>
          </w:p>
        </w:tc>
      </w:tr>
      <w:tr w:rsidR="006F587A" w14:paraId="4ACE641A" w14:textId="77777777">
        <w:tc>
          <w:tcPr>
            <w:tcW w:w="0" w:type="auto"/>
            <w:shd w:val="clear" w:color="auto" w:fill="auto"/>
            <w:tcMar>
              <w:top w:w="40" w:type="dxa"/>
              <w:left w:w="40" w:type="dxa"/>
              <w:bottom w:w="40" w:type="dxa"/>
              <w:right w:w="40" w:type="dxa"/>
            </w:tcMar>
            <w:vAlign w:val="bottom"/>
          </w:tcPr>
          <w:p w14:paraId="4ACE640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Gross margin</w:t>
            </w:r>
          </w:p>
        </w:tc>
        <w:tc>
          <w:tcPr>
            <w:tcW w:w="0" w:type="auto"/>
            <w:shd w:val="clear" w:color="auto" w:fill="auto"/>
            <w:tcMar>
              <w:top w:w="40" w:type="dxa"/>
              <w:left w:w="40" w:type="dxa"/>
              <w:bottom w:w="40" w:type="dxa"/>
              <w:right w:w="40" w:type="dxa"/>
            </w:tcMar>
            <w:vAlign w:val="bottom"/>
          </w:tcPr>
          <w:p w14:paraId="4ACE640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40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640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11,227</w:t>
            </w:r>
          </w:p>
        </w:tc>
        <w:tc>
          <w:tcPr>
            <w:tcW w:w="0" w:type="auto"/>
            <w:shd w:val="clear" w:color="auto" w:fill="auto"/>
            <w:vAlign w:val="bottom"/>
          </w:tcPr>
          <w:p w14:paraId="4ACE640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40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40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6410"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12,360</w:t>
            </w:r>
          </w:p>
        </w:tc>
        <w:tc>
          <w:tcPr>
            <w:tcW w:w="0" w:type="auto"/>
            <w:shd w:val="clear" w:color="auto" w:fill="auto"/>
            <w:vAlign w:val="bottom"/>
          </w:tcPr>
          <w:p w14:paraId="4ACE641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41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41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641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10,419</w:t>
            </w:r>
          </w:p>
        </w:tc>
        <w:tc>
          <w:tcPr>
            <w:tcW w:w="0" w:type="auto"/>
            <w:shd w:val="clear" w:color="auto" w:fill="auto"/>
            <w:vAlign w:val="bottom"/>
          </w:tcPr>
          <w:p w14:paraId="4ACE641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41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41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641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9,731</w:t>
            </w:r>
          </w:p>
        </w:tc>
        <w:tc>
          <w:tcPr>
            <w:tcW w:w="0" w:type="auto"/>
            <w:shd w:val="clear" w:color="auto" w:fill="auto"/>
            <w:vAlign w:val="bottom"/>
          </w:tcPr>
          <w:p w14:paraId="4ACE6419" w14:textId="77777777" w:rsidR="006F587A" w:rsidRDefault="006F587A">
            <w:pPr>
              <w:textAlignment w:val="bottom"/>
              <w:rPr>
                <w:rFonts w:ascii="Times New Roman" w:hAnsi="Times New Roman"/>
                <w:sz w:val="20"/>
                <w:szCs w:val="20"/>
              </w:rPr>
            </w:pPr>
          </w:p>
        </w:tc>
      </w:tr>
      <w:tr w:rsidR="006F587A" w14:paraId="4ACE642C" w14:textId="77777777">
        <w:tc>
          <w:tcPr>
            <w:tcW w:w="0" w:type="auto"/>
            <w:shd w:val="clear" w:color="auto" w:fill="auto"/>
            <w:tcMar>
              <w:top w:w="40" w:type="dxa"/>
              <w:left w:w="40" w:type="dxa"/>
              <w:bottom w:w="40" w:type="dxa"/>
              <w:right w:w="40" w:type="dxa"/>
            </w:tcMar>
            <w:vAlign w:val="bottom"/>
          </w:tcPr>
          <w:p w14:paraId="4ACE641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Net income (loss)</w:t>
            </w:r>
          </w:p>
        </w:tc>
        <w:tc>
          <w:tcPr>
            <w:tcW w:w="0" w:type="auto"/>
            <w:shd w:val="clear" w:color="auto" w:fill="auto"/>
            <w:tcMar>
              <w:top w:w="40" w:type="dxa"/>
              <w:left w:w="40" w:type="dxa"/>
              <w:bottom w:w="40" w:type="dxa"/>
              <w:right w:w="40" w:type="dxa"/>
            </w:tcMar>
            <w:vAlign w:val="bottom"/>
          </w:tcPr>
          <w:p w14:paraId="4ACE641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41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641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5,195</w:t>
            </w:r>
          </w:p>
        </w:tc>
        <w:tc>
          <w:tcPr>
            <w:tcW w:w="0" w:type="auto"/>
            <w:shd w:val="clear" w:color="auto" w:fill="auto"/>
            <w:vAlign w:val="bottom"/>
          </w:tcPr>
          <w:p w14:paraId="4ACE641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42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42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642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6,398</w:t>
            </w:r>
          </w:p>
        </w:tc>
        <w:tc>
          <w:tcPr>
            <w:tcW w:w="0" w:type="auto"/>
            <w:shd w:val="clear" w:color="auto" w:fill="auto"/>
            <w:vAlign w:val="bottom"/>
          </w:tcPr>
          <w:p w14:paraId="4ACE642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42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42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642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5,006</w:t>
            </w:r>
          </w:p>
        </w:tc>
        <w:tc>
          <w:tcPr>
            <w:tcW w:w="0" w:type="auto"/>
            <w:shd w:val="clear" w:color="auto" w:fill="auto"/>
            <w:vAlign w:val="bottom"/>
          </w:tcPr>
          <w:p w14:paraId="4ACE642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42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42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642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4,454</w:t>
            </w:r>
          </w:p>
        </w:tc>
        <w:tc>
          <w:tcPr>
            <w:tcW w:w="0" w:type="auto"/>
            <w:shd w:val="clear" w:color="auto" w:fill="auto"/>
            <w:vAlign w:val="bottom"/>
          </w:tcPr>
          <w:p w14:paraId="4ACE642B" w14:textId="77777777" w:rsidR="006F587A" w:rsidRDefault="006F587A">
            <w:pPr>
              <w:textAlignment w:val="bottom"/>
              <w:rPr>
                <w:rFonts w:ascii="Times New Roman" w:hAnsi="Times New Roman"/>
                <w:sz w:val="20"/>
                <w:szCs w:val="20"/>
              </w:rPr>
            </w:pPr>
          </w:p>
        </w:tc>
      </w:tr>
      <w:tr w:rsidR="006F587A" w14:paraId="4ACE643E" w14:textId="77777777">
        <w:tc>
          <w:tcPr>
            <w:tcW w:w="0" w:type="auto"/>
            <w:shd w:val="clear" w:color="auto" w:fill="auto"/>
            <w:tcMar>
              <w:top w:w="40" w:type="dxa"/>
              <w:left w:w="40" w:type="dxa"/>
              <w:bottom w:w="40" w:type="dxa"/>
              <w:right w:w="40" w:type="dxa"/>
            </w:tcMar>
            <w:vAlign w:val="bottom"/>
          </w:tcPr>
          <w:p w14:paraId="4ACE642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Earnings per share—Basic</w:t>
            </w:r>
          </w:p>
        </w:tc>
        <w:tc>
          <w:tcPr>
            <w:tcW w:w="0" w:type="auto"/>
            <w:shd w:val="clear" w:color="auto" w:fill="auto"/>
            <w:tcMar>
              <w:top w:w="40" w:type="dxa"/>
              <w:left w:w="40" w:type="dxa"/>
              <w:bottom w:w="40" w:type="dxa"/>
              <w:right w:w="40" w:type="dxa"/>
            </w:tcMar>
            <w:vAlign w:val="bottom"/>
          </w:tcPr>
          <w:p w14:paraId="4ACE642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42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6430"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1.14</w:t>
            </w:r>
          </w:p>
        </w:tc>
        <w:tc>
          <w:tcPr>
            <w:tcW w:w="0" w:type="auto"/>
            <w:shd w:val="clear" w:color="auto" w:fill="auto"/>
            <w:vAlign w:val="bottom"/>
          </w:tcPr>
          <w:p w14:paraId="4ACE643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43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43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643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1.40</w:t>
            </w:r>
          </w:p>
        </w:tc>
        <w:tc>
          <w:tcPr>
            <w:tcW w:w="0" w:type="auto"/>
            <w:shd w:val="clear" w:color="auto" w:fill="auto"/>
            <w:vAlign w:val="bottom"/>
          </w:tcPr>
          <w:p w14:paraId="4ACE643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43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43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643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1.08</w:t>
            </w:r>
          </w:p>
        </w:tc>
        <w:tc>
          <w:tcPr>
            <w:tcW w:w="0" w:type="auto"/>
            <w:shd w:val="clear" w:color="auto" w:fill="auto"/>
            <w:vAlign w:val="bottom"/>
          </w:tcPr>
          <w:p w14:paraId="4ACE643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43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43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643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0.95</w:t>
            </w:r>
          </w:p>
        </w:tc>
        <w:tc>
          <w:tcPr>
            <w:tcW w:w="0" w:type="auto"/>
            <w:shd w:val="clear" w:color="auto" w:fill="auto"/>
            <w:vAlign w:val="bottom"/>
          </w:tcPr>
          <w:p w14:paraId="4ACE643D" w14:textId="77777777" w:rsidR="006F587A" w:rsidRDefault="006F587A">
            <w:pPr>
              <w:textAlignment w:val="bottom"/>
              <w:rPr>
                <w:rFonts w:ascii="Times New Roman" w:hAnsi="Times New Roman"/>
                <w:sz w:val="20"/>
                <w:szCs w:val="20"/>
              </w:rPr>
            </w:pPr>
          </w:p>
        </w:tc>
      </w:tr>
      <w:tr w:rsidR="006F587A" w14:paraId="4ACE6450" w14:textId="77777777">
        <w:tc>
          <w:tcPr>
            <w:tcW w:w="0" w:type="auto"/>
            <w:shd w:val="clear" w:color="auto" w:fill="auto"/>
            <w:tcMar>
              <w:top w:w="40" w:type="dxa"/>
              <w:left w:w="40" w:type="dxa"/>
              <w:bottom w:w="40" w:type="dxa"/>
              <w:right w:w="40" w:type="dxa"/>
            </w:tcMar>
            <w:vAlign w:val="bottom"/>
          </w:tcPr>
          <w:p w14:paraId="4ACE643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Earnings per </w:t>
            </w:r>
            <w:r>
              <w:rPr>
                <w:rFonts w:ascii="Arial" w:eastAsia="宋体" w:hAnsi="Arial" w:cs="Arial"/>
                <w:color w:val="333333"/>
                <w:sz w:val="18"/>
                <w:szCs w:val="18"/>
              </w:rPr>
              <w:t>share—Diluted</w:t>
            </w:r>
          </w:p>
        </w:tc>
        <w:tc>
          <w:tcPr>
            <w:tcW w:w="0" w:type="auto"/>
            <w:shd w:val="clear" w:color="auto" w:fill="auto"/>
            <w:tcMar>
              <w:top w:w="40" w:type="dxa"/>
              <w:left w:w="40" w:type="dxa"/>
              <w:bottom w:w="40" w:type="dxa"/>
              <w:right w:w="40" w:type="dxa"/>
            </w:tcMar>
            <w:vAlign w:val="bottom"/>
          </w:tcPr>
          <w:p w14:paraId="4ACE644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44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644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1.12</w:t>
            </w:r>
          </w:p>
        </w:tc>
        <w:tc>
          <w:tcPr>
            <w:tcW w:w="0" w:type="auto"/>
            <w:shd w:val="clear" w:color="auto" w:fill="auto"/>
            <w:vAlign w:val="bottom"/>
          </w:tcPr>
          <w:p w14:paraId="4ACE644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44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44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644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1.38</w:t>
            </w:r>
          </w:p>
        </w:tc>
        <w:tc>
          <w:tcPr>
            <w:tcW w:w="0" w:type="auto"/>
            <w:shd w:val="clear" w:color="auto" w:fill="auto"/>
            <w:vAlign w:val="bottom"/>
          </w:tcPr>
          <w:p w14:paraId="4ACE644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44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44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644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1.05</w:t>
            </w:r>
          </w:p>
        </w:tc>
        <w:tc>
          <w:tcPr>
            <w:tcW w:w="0" w:type="auto"/>
            <w:shd w:val="clear" w:color="auto" w:fill="auto"/>
            <w:vAlign w:val="bottom"/>
          </w:tcPr>
          <w:p w14:paraId="4ACE644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44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44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644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0.93</w:t>
            </w:r>
          </w:p>
        </w:tc>
        <w:tc>
          <w:tcPr>
            <w:tcW w:w="0" w:type="auto"/>
            <w:shd w:val="clear" w:color="auto" w:fill="auto"/>
            <w:vAlign w:val="bottom"/>
          </w:tcPr>
          <w:p w14:paraId="4ACE644F" w14:textId="77777777" w:rsidR="006F587A" w:rsidRDefault="006F587A">
            <w:pPr>
              <w:textAlignment w:val="bottom"/>
              <w:rPr>
                <w:rFonts w:ascii="Times New Roman" w:hAnsi="Times New Roman"/>
                <w:sz w:val="20"/>
                <w:szCs w:val="20"/>
              </w:rPr>
            </w:pPr>
          </w:p>
        </w:tc>
      </w:tr>
      <w:tr w:rsidR="006F587A" w14:paraId="4ACE645A" w14:textId="77777777">
        <w:tc>
          <w:tcPr>
            <w:tcW w:w="0" w:type="auto"/>
            <w:shd w:val="clear" w:color="auto" w:fill="auto"/>
            <w:tcMar>
              <w:top w:w="40" w:type="dxa"/>
              <w:left w:w="40" w:type="dxa"/>
              <w:bottom w:w="40" w:type="dxa"/>
              <w:right w:w="40" w:type="dxa"/>
            </w:tcMar>
            <w:vAlign w:val="bottom"/>
          </w:tcPr>
          <w:p w14:paraId="4ACE645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Dividends per share of common stock:</w:t>
            </w:r>
          </w:p>
        </w:tc>
        <w:tc>
          <w:tcPr>
            <w:tcW w:w="0" w:type="auto"/>
            <w:shd w:val="clear" w:color="auto" w:fill="auto"/>
            <w:tcMar>
              <w:top w:w="40" w:type="dxa"/>
              <w:left w:w="40" w:type="dxa"/>
              <w:bottom w:w="40" w:type="dxa"/>
              <w:right w:w="40" w:type="dxa"/>
            </w:tcMar>
            <w:vAlign w:val="bottom"/>
          </w:tcPr>
          <w:p w14:paraId="4ACE645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645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45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645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45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645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45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645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46C" w14:textId="77777777">
        <w:tc>
          <w:tcPr>
            <w:tcW w:w="0" w:type="auto"/>
            <w:shd w:val="clear" w:color="auto" w:fill="auto"/>
            <w:tcMar>
              <w:top w:w="40" w:type="dxa"/>
              <w:left w:w="240" w:type="dxa"/>
              <w:bottom w:w="40" w:type="dxa"/>
              <w:right w:w="40" w:type="dxa"/>
            </w:tcMar>
            <w:vAlign w:val="bottom"/>
          </w:tcPr>
          <w:p w14:paraId="4ACE645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Declared</w:t>
            </w:r>
          </w:p>
        </w:tc>
        <w:tc>
          <w:tcPr>
            <w:tcW w:w="0" w:type="auto"/>
            <w:shd w:val="clear" w:color="auto" w:fill="auto"/>
            <w:tcMar>
              <w:top w:w="40" w:type="dxa"/>
              <w:left w:w="40" w:type="dxa"/>
              <w:bottom w:w="40" w:type="dxa"/>
              <w:right w:w="40" w:type="dxa"/>
            </w:tcMar>
            <w:vAlign w:val="bottom"/>
          </w:tcPr>
          <w:p w14:paraId="4ACE645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45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645E"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645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46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46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6462"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0.60</w:t>
            </w:r>
          </w:p>
        </w:tc>
        <w:tc>
          <w:tcPr>
            <w:tcW w:w="0" w:type="auto"/>
            <w:shd w:val="clear" w:color="auto" w:fill="auto"/>
            <w:vAlign w:val="bottom"/>
          </w:tcPr>
          <w:p w14:paraId="4ACE646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46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46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646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4ACE646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46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46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646A"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0.60</w:t>
            </w:r>
          </w:p>
        </w:tc>
        <w:tc>
          <w:tcPr>
            <w:tcW w:w="0" w:type="auto"/>
            <w:shd w:val="clear" w:color="auto" w:fill="auto"/>
            <w:vAlign w:val="bottom"/>
          </w:tcPr>
          <w:p w14:paraId="4ACE646B" w14:textId="77777777" w:rsidR="006F587A" w:rsidRDefault="006F587A">
            <w:pPr>
              <w:textAlignment w:val="bottom"/>
              <w:rPr>
                <w:rFonts w:ascii="Times New Roman" w:hAnsi="Times New Roman"/>
                <w:sz w:val="20"/>
                <w:szCs w:val="20"/>
              </w:rPr>
            </w:pPr>
          </w:p>
        </w:tc>
      </w:tr>
      <w:tr w:rsidR="006F587A" w14:paraId="4ACE647E" w14:textId="77777777">
        <w:tc>
          <w:tcPr>
            <w:tcW w:w="0" w:type="auto"/>
            <w:shd w:val="clear" w:color="auto" w:fill="auto"/>
            <w:tcMar>
              <w:top w:w="40" w:type="dxa"/>
              <w:left w:w="240" w:type="dxa"/>
              <w:bottom w:w="40" w:type="dxa"/>
              <w:right w:w="40" w:type="dxa"/>
            </w:tcMar>
            <w:vAlign w:val="bottom"/>
          </w:tcPr>
          <w:p w14:paraId="4ACE646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Paid</w:t>
            </w:r>
          </w:p>
        </w:tc>
        <w:tc>
          <w:tcPr>
            <w:tcW w:w="0" w:type="auto"/>
            <w:shd w:val="clear" w:color="auto" w:fill="auto"/>
            <w:tcMar>
              <w:top w:w="40" w:type="dxa"/>
              <w:left w:w="40" w:type="dxa"/>
              <w:bottom w:w="40" w:type="dxa"/>
              <w:right w:w="40" w:type="dxa"/>
            </w:tcMar>
            <w:vAlign w:val="bottom"/>
          </w:tcPr>
          <w:p w14:paraId="4ACE646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46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6470"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0.30</w:t>
            </w:r>
          </w:p>
        </w:tc>
        <w:tc>
          <w:tcPr>
            <w:tcW w:w="0" w:type="auto"/>
            <w:shd w:val="clear" w:color="auto" w:fill="auto"/>
            <w:vAlign w:val="bottom"/>
          </w:tcPr>
          <w:p w14:paraId="4ACE647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47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47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647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0.30</w:t>
            </w:r>
          </w:p>
        </w:tc>
        <w:tc>
          <w:tcPr>
            <w:tcW w:w="0" w:type="auto"/>
            <w:shd w:val="clear" w:color="auto" w:fill="auto"/>
            <w:vAlign w:val="bottom"/>
          </w:tcPr>
          <w:p w14:paraId="4ACE647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47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47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6478"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0.30</w:t>
            </w:r>
          </w:p>
        </w:tc>
        <w:tc>
          <w:tcPr>
            <w:tcW w:w="0" w:type="auto"/>
            <w:shd w:val="clear" w:color="auto" w:fill="auto"/>
            <w:vAlign w:val="bottom"/>
          </w:tcPr>
          <w:p w14:paraId="4ACE647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47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47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4ACE647C"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0.30</w:t>
            </w:r>
          </w:p>
        </w:tc>
        <w:tc>
          <w:tcPr>
            <w:tcW w:w="0" w:type="auto"/>
            <w:shd w:val="clear" w:color="auto" w:fill="auto"/>
            <w:vAlign w:val="bottom"/>
          </w:tcPr>
          <w:p w14:paraId="4ACE647D" w14:textId="77777777" w:rsidR="006F587A" w:rsidRDefault="006F587A">
            <w:pPr>
              <w:textAlignment w:val="bottom"/>
              <w:rPr>
                <w:rFonts w:ascii="Times New Roman" w:hAnsi="Times New Roman"/>
                <w:sz w:val="20"/>
                <w:szCs w:val="20"/>
              </w:rPr>
            </w:pPr>
          </w:p>
        </w:tc>
      </w:tr>
    </w:tbl>
    <w:p w14:paraId="4ACE647F" w14:textId="77777777" w:rsidR="006F587A" w:rsidRDefault="006F587A">
      <w:pPr>
        <w:spacing w:line="288" w:lineRule="auto"/>
        <w:rPr>
          <w:rFonts w:ascii="Times New Roman" w:hAnsi="Times New Roman"/>
          <w:sz w:val="18"/>
          <w:szCs w:val="18"/>
        </w:rPr>
      </w:pPr>
    </w:p>
    <w:p w14:paraId="4ACE6480"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6482" w14:textId="77777777">
        <w:tc>
          <w:tcPr>
            <w:tcW w:w="0" w:type="auto"/>
            <w:gridSpan w:val="3"/>
            <w:shd w:val="clear" w:color="auto" w:fill="auto"/>
            <w:vAlign w:val="center"/>
          </w:tcPr>
          <w:p w14:paraId="4ACE6481" w14:textId="77777777" w:rsidR="006F587A" w:rsidRDefault="006F587A">
            <w:pPr>
              <w:rPr>
                <w:rFonts w:ascii="Times New Roman" w:hAnsi="Times New Roman"/>
                <w:sz w:val="20"/>
                <w:szCs w:val="20"/>
              </w:rPr>
            </w:pPr>
          </w:p>
        </w:tc>
      </w:tr>
      <w:tr w:rsidR="006F587A" w14:paraId="4ACE6486" w14:textId="77777777">
        <w:tc>
          <w:tcPr>
            <w:tcW w:w="1300" w:type="pct"/>
            <w:shd w:val="clear" w:color="auto" w:fill="auto"/>
            <w:vAlign w:val="center"/>
          </w:tcPr>
          <w:p w14:paraId="4ACE6483" w14:textId="77777777" w:rsidR="006F587A" w:rsidRDefault="006F587A">
            <w:pPr>
              <w:rPr>
                <w:rFonts w:ascii="Times New Roman" w:hAnsi="Times New Roman"/>
                <w:sz w:val="20"/>
                <w:szCs w:val="20"/>
              </w:rPr>
            </w:pPr>
          </w:p>
        </w:tc>
        <w:tc>
          <w:tcPr>
            <w:tcW w:w="1600" w:type="pct"/>
            <w:shd w:val="clear" w:color="auto" w:fill="auto"/>
            <w:vAlign w:val="center"/>
          </w:tcPr>
          <w:p w14:paraId="4ACE6484" w14:textId="77777777" w:rsidR="006F587A" w:rsidRDefault="006F587A">
            <w:pPr>
              <w:rPr>
                <w:rFonts w:ascii="Times New Roman" w:hAnsi="Times New Roman"/>
                <w:sz w:val="20"/>
                <w:szCs w:val="20"/>
              </w:rPr>
            </w:pPr>
          </w:p>
        </w:tc>
        <w:tc>
          <w:tcPr>
            <w:tcW w:w="2100" w:type="pct"/>
            <w:shd w:val="clear" w:color="auto" w:fill="auto"/>
            <w:vAlign w:val="center"/>
          </w:tcPr>
          <w:p w14:paraId="4ACE6485" w14:textId="77777777" w:rsidR="006F587A" w:rsidRDefault="006F587A">
            <w:pPr>
              <w:rPr>
                <w:rFonts w:ascii="Times New Roman" w:hAnsi="Times New Roman"/>
                <w:sz w:val="20"/>
                <w:szCs w:val="20"/>
              </w:rPr>
            </w:pPr>
          </w:p>
        </w:tc>
      </w:tr>
      <w:tr w:rsidR="006F587A" w14:paraId="4ACE648A"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6487" w14:textId="77777777" w:rsidR="006F587A" w:rsidRDefault="007B2B61">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E35" wp14:editId="4ACE6E36">
                  <wp:extent cx="304800" cy="304800"/>
                  <wp:effectExtent l="0" t="0" r="0" b="0"/>
                  <wp:docPr id="93" name="图片 360"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360"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SUPPLEMENTAL DETAILS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648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6489"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111</w:t>
            </w:r>
          </w:p>
        </w:tc>
      </w:tr>
    </w:tbl>
    <w:p w14:paraId="4ACE648B" w14:textId="77777777" w:rsidR="006F587A" w:rsidRDefault="007B2B61">
      <w:r>
        <w:pict w14:anchorId="4ACE6E37">
          <v:rect id="_x0000_i1137" style="width:415.3pt;height:1.5pt" o:hralign="center" o:hrstd="t" o:hr="t" fillcolor="#a0a0a0" stroked="f"/>
        </w:pict>
      </w:r>
    </w:p>
    <w:p w14:paraId="4ACE648C" w14:textId="77777777" w:rsidR="006F587A" w:rsidRDefault="007B2B61">
      <w:pPr>
        <w:spacing w:line="288" w:lineRule="auto"/>
        <w:jc w:val="right"/>
        <w:rPr>
          <w:rFonts w:ascii="Times New Roman" w:hAnsi="Times New Roman"/>
          <w:sz w:val="16"/>
          <w:szCs w:val="16"/>
        </w:rPr>
      </w:pPr>
      <w:hyperlink r:id="rId176" w:anchor="s9DB683E2CF52561EB8A73BE37F5BF9BE" w:history="1">
        <w:r>
          <w:rPr>
            <w:rStyle w:val="a5"/>
            <w:rFonts w:ascii="Arial" w:eastAsia="宋体" w:hAnsi="Arial" w:cs="Arial"/>
            <w:b/>
            <w:bCs/>
            <w:sz w:val="16"/>
            <w:szCs w:val="16"/>
          </w:rPr>
          <w:t>Table of Contents</w:t>
        </w:r>
      </w:hyperlink>
    </w:p>
    <w:p w14:paraId="4ACE648D" w14:textId="77777777" w:rsidR="006F587A" w:rsidRDefault="006F587A">
      <w:pPr>
        <w:spacing w:line="288" w:lineRule="auto"/>
        <w:jc w:val="right"/>
        <w:rPr>
          <w:rFonts w:ascii="Times New Roman" w:hAnsi="Times New Roman"/>
          <w:sz w:val="16"/>
          <w:szCs w:val="16"/>
        </w:rPr>
      </w:pPr>
    </w:p>
    <w:p w14:paraId="4ACE648E"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6F587A" w14:paraId="4ACE6490" w14:textId="77777777">
        <w:tc>
          <w:tcPr>
            <w:tcW w:w="0" w:type="auto"/>
            <w:shd w:val="clear" w:color="auto" w:fill="auto"/>
            <w:vAlign w:val="center"/>
          </w:tcPr>
          <w:p w14:paraId="4ACE648F" w14:textId="77777777" w:rsidR="006F587A" w:rsidRDefault="006F587A">
            <w:pPr>
              <w:rPr>
                <w:rFonts w:ascii="Times New Roman" w:hAnsi="Times New Roman"/>
                <w:sz w:val="20"/>
                <w:szCs w:val="20"/>
              </w:rPr>
            </w:pPr>
          </w:p>
        </w:tc>
      </w:tr>
      <w:tr w:rsidR="006F587A" w14:paraId="4ACE6492" w14:textId="77777777">
        <w:tc>
          <w:tcPr>
            <w:tcW w:w="5000" w:type="pct"/>
            <w:shd w:val="clear" w:color="auto" w:fill="auto"/>
            <w:vAlign w:val="center"/>
          </w:tcPr>
          <w:p w14:paraId="4ACE6491" w14:textId="77777777" w:rsidR="006F587A" w:rsidRDefault="006F587A">
            <w:pPr>
              <w:rPr>
                <w:rFonts w:ascii="Times New Roman" w:hAnsi="Times New Roman"/>
                <w:sz w:val="20"/>
                <w:szCs w:val="20"/>
              </w:rPr>
            </w:pPr>
          </w:p>
        </w:tc>
      </w:tr>
      <w:tr w:rsidR="006F587A" w14:paraId="4ACE6494" w14:textId="77777777">
        <w:tc>
          <w:tcPr>
            <w:tcW w:w="0" w:type="auto"/>
            <w:shd w:val="clear" w:color="auto" w:fill="0071C5"/>
            <w:tcMar>
              <w:top w:w="40" w:type="dxa"/>
              <w:left w:w="880" w:type="dxa"/>
              <w:bottom w:w="40" w:type="dxa"/>
              <w:right w:w="40" w:type="dxa"/>
            </w:tcMar>
            <w:vAlign w:val="bottom"/>
          </w:tcPr>
          <w:p w14:paraId="4ACE6493" w14:textId="77777777" w:rsidR="006F587A" w:rsidRDefault="007B2B61">
            <w:pPr>
              <w:textAlignment w:val="bottom"/>
              <w:rPr>
                <w:rFonts w:ascii="Times New Roman" w:hAnsi="Times New Roman"/>
                <w:sz w:val="36"/>
                <w:szCs w:val="36"/>
              </w:rPr>
            </w:pPr>
            <w:r>
              <w:rPr>
                <w:rFonts w:ascii="Arial" w:eastAsia="宋体" w:hAnsi="Arial" w:cs="Arial"/>
                <w:b/>
                <w:bCs/>
                <w:color w:val="FFFFFF"/>
                <w:sz w:val="36"/>
                <w:szCs w:val="36"/>
              </w:rPr>
              <w:t>CONTROLS AND PROCEDURES</w:t>
            </w:r>
          </w:p>
        </w:tc>
      </w:tr>
    </w:tbl>
    <w:p w14:paraId="4ACE6495" w14:textId="77777777" w:rsidR="006F587A" w:rsidRDefault="007B2B61">
      <w:pPr>
        <w:spacing w:line="288" w:lineRule="auto"/>
        <w:rPr>
          <w:rFonts w:ascii="Times New Roman" w:hAnsi="Times New Roman"/>
          <w:sz w:val="28"/>
          <w:szCs w:val="28"/>
        </w:rPr>
      </w:pPr>
      <w:r>
        <w:rPr>
          <w:rFonts w:ascii="Arial" w:eastAsia="宋体" w:hAnsi="Arial" w:cs="Arial"/>
          <w:b/>
          <w:bCs/>
          <w:color w:val="0071C5"/>
          <w:sz w:val="28"/>
          <w:szCs w:val="28"/>
        </w:rPr>
        <w:t xml:space="preserve">EVALUATION OF DISCLOSURE CONTROLS AND </w:t>
      </w:r>
      <w:r>
        <w:rPr>
          <w:rFonts w:ascii="Arial" w:eastAsia="宋体" w:hAnsi="Arial" w:cs="Arial"/>
          <w:b/>
          <w:bCs/>
          <w:color w:val="0071C5"/>
          <w:sz w:val="28"/>
          <w:szCs w:val="28"/>
        </w:rPr>
        <w:t>PROCEDURES</w:t>
      </w:r>
    </w:p>
    <w:p w14:paraId="4ACE6496"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Based on management’s evaluation (with the participation of our principal executive officer and principal financial officer), as of the end of the period covered by this report, our principal executive officer and principal financial officer hav</w:t>
      </w:r>
      <w:r>
        <w:rPr>
          <w:rFonts w:ascii="Arial" w:eastAsia="宋体" w:hAnsi="Arial" w:cs="Arial"/>
          <w:color w:val="333333"/>
          <w:sz w:val="18"/>
          <w:szCs w:val="18"/>
        </w:rPr>
        <w:t>e concluded that our disclosure controls and procedures (as defined in Rules 13a-15(e) and 15d-15(e) under the Securities Exchange Act of 1934, as amended (the Exchange Act)), are effective to provide reasonable assurance that information required to be di</w:t>
      </w:r>
      <w:r>
        <w:rPr>
          <w:rFonts w:ascii="Arial" w:eastAsia="宋体" w:hAnsi="Arial" w:cs="Arial"/>
          <w:color w:val="333333"/>
          <w:sz w:val="18"/>
          <w:szCs w:val="18"/>
        </w:rPr>
        <w:t>sclosed by us in reports that we file or submit under the Exchange Act is recorded, processed, summarized, and reported within the time periods specified in SEC rules and forms, and is accumulated and communicated to management, including our principal exe</w:t>
      </w:r>
      <w:r>
        <w:rPr>
          <w:rFonts w:ascii="Arial" w:eastAsia="宋体" w:hAnsi="Arial" w:cs="Arial"/>
          <w:color w:val="333333"/>
          <w:sz w:val="18"/>
          <w:szCs w:val="18"/>
        </w:rPr>
        <w:t>cutive officer and principal financial officer, as appropriate, to allow timely decisions regarding required disclosure.</w:t>
      </w:r>
    </w:p>
    <w:p w14:paraId="4ACE6497" w14:textId="77777777" w:rsidR="006F587A" w:rsidRDefault="007B2B61">
      <w:pPr>
        <w:spacing w:line="288" w:lineRule="auto"/>
        <w:rPr>
          <w:rFonts w:ascii="Times New Roman" w:hAnsi="Times New Roman"/>
          <w:sz w:val="28"/>
          <w:szCs w:val="28"/>
        </w:rPr>
      </w:pPr>
      <w:r>
        <w:rPr>
          <w:rFonts w:ascii="Arial" w:eastAsia="宋体" w:hAnsi="Arial" w:cs="Arial"/>
          <w:b/>
          <w:bCs/>
          <w:color w:val="0071C5"/>
          <w:sz w:val="28"/>
          <w:szCs w:val="28"/>
        </w:rPr>
        <w:t>CHANGES IN INTERNAL CONTROL OVER FINANCIAL REPORTING</w:t>
      </w:r>
    </w:p>
    <w:p w14:paraId="4ACE6498"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lastRenderedPageBreak/>
        <w:t>There were no changes to our internal control over financial reporting (as defined</w:t>
      </w:r>
      <w:r>
        <w:rPr>
          <w:rFonts w:ascii="Arial" w:eastAsia="宋体" w:hAnsi="Arial" w:cs="Arial"/>
          <w:color w:val="333333"/>
          <w:sz w:val="18"/>
          <w:szCs w:val="18"/>
        </w:rPr>
        <w:t xml:space="preserve"> in Rules 13a-15(f) and 15d-15(f) under the Exchange Act) that occurred during the quarter ended December 28, 2019 that have materially affected, or are reasonably likely to materially affect, our internal control over financial reporting.</w:t>
      </w:r>
    </w:p>
    <w:p w14:paraId="4ACE6499" w14:textId="77777777" w:rsidR="006F587A" w:rsidRDefault="007B2B61">
      <w:pPr>
        <w:spacing w:line="288" w:lineRule="auto"/>
        <w:rPr>
          <w:rFonts w:ascii="Times New Roman" w:hAnsi="Times New Roman"/>
          <w:sz w:val="28"/>
          <w:szCs w:val="28"/>
        </w:rPr>
      </w:pPr>
      <w:r>
        <w:rPr>
          <w:rFonts w:ascii="Arial" w:eastAsia="宋体" w:hAnsi="Arial" w:cs="Arial"/>
          <w:b/>
          <w:bCs/>
          <w:color w:val="0071C5"/>
          <w:sz w:val="28"/>
          <w:szCs w:val="28"/>
        </w:rPr>
        <w:t>MANAGEMENT REPOR</w:t>
      </w:r>
      <w:r>
        <w:rPr>
          <w:rFonts w:ascii="Arial" w:eastAsia="宋体" w:hAnsi="Arial" w:cs="Arial"/>
          <w:b/>
          <w:bCs/>
          <w:color w:val="0071C5"/>
          <w:sz w:val="28"/>
          <w:szCs w:val="28"/>
        </w:rPr>
        <w:t>T ON INTERNAL CONTROL OVER FINANCIAL REPORTING</w:t>
      </w:r>
    </w:p>
    <w:p w14:paraId="4ACE649A"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Our management is responsible for establishing and maintaining adequate internal control over financial reporting (as defined in Rules 13a-15(f) and 15d-15(f) under the Exchange Act) to provide reasonable assu</w:t>
      </w:r>
      <w:r>
        <w:rPr>
          <w:rFonts w:ascii="Arial" w:eastAsia="宋体" w:hAnsi="Arial" w:cs="Arial"/>
          <w:color w:val="333333"/>
          <w:sz w:val="18"/>
          <w:szCs w:val="18"/>
        </w:rPr>
        <w:t>rance regarding the reliability of our financial reporting and the preparation of Consolidated Financial Statements for external purposes in accordance with U.S. GAAP.</w:t>
      </w:r>
    </w:p>
    <w:p w14:paraId="4ACE649B"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Management assessed our internal control over financial reporting as of December 28, 201</w:t>
      </w:r>
      <w:r>
        <w:rPr>
          <w:rFonts w:ascii="Arial" w:eastAsia="宋体" w:hAnsi="Arial" w:cs="Arial"/>
          <w:color w:val="333333"/>
          <w:sz w:val="18"/>
          <w:szCs w:val="18"/>
        </w:rPr>
        <w:t>9. Management based its assessment on criteria established in Internal Control—Integrated Framework issued by the Committee of Sponsoring Organizations of the Treadway Commission (2013 framework). Management’s assessment included evaluation of elements suc</w:t>
      </w:r>
      <w:r>
        <w:rPr>
          <w:rFonts w:ascii="Arial" w:eastAsia="宋体" w:hAnsi="Arial" w:cs="Arial"/>
          <w:color w:val="333333"/>
          <w:sz w:val="18"/>
          <w:szCs w:val="18"/>
        </w:rPr>
        <w:t>h as the design and operating effectiveness of key financial reporting controls, process documentation, accounting policies, and our overall control environment.</w:t>
      </w:r>
    </w:p>
    <w:p w14:paraId="4ACE649C"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Based on this assessment, management has concluded that our internal control over financial re</w:t>
      </w:r>
      <w:r>
        <w:rPr>
          <w:rFonts w:ascii="Arial" w:eastAsia="宋体" w:hAnsi="Arial" w:cs="Arial"/>
          <w:color w:val="333333"/>
          <w:sz w:val="18"/>
          <w:szCs w:val="18"/>
        </w:rPr>
        <w:t>porting was effective as of the end of the fiscal year to provide reasonable assurance regarding the reliability of financial reporting and the preparation of Consolidated Financial Statements for external reporting purposes in accordance with U.S. GAAP. W</w:t>
      </w:r>
      <w:r>
        <w:rPr>
          <w:rFonts w:ascii="Arial" w:eastAsia="宋体" w:hAnsi="Arial" w:cs="Arial"/>
          <w:color w:val="333333"/>
          <w:sz w:val="18"/>
          <w:szCs w:val="18"/>
        </w:rPr>
        <w:t>e reviewed the results of management’s assessment with the Audit Committee of our Board of Directors.</w:t>
      </w:r>
    </w:p>
    <w:p w14:paraId="4ACE649D"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Our independent registered public accounting firm, Ernst &amp; Young LLP, independently assessed the effectiveness of the company’s internal control over fina</w:t>
      </w:r>
      <w:r>
        <w:rPr>
          <w:rFonts w:ascii="Arial" w:eastAsia="宋体" w:hAnsi="Arial" w:cs="Arial"/>
          <w:color w:val="333333"/>
          <w:sz w:val="18"/>
          <w:szCs w:val="18"/>
        </w:rPr>
        <w:t xml:space="preserve">ncial reporting, as stated in the firm’s attestation report, which is included within Financial Statements and Supplemental Details. </w:t>
      </w:r>
    </w:p>
    <w:p w14:paraId="4ACE649E" w14:textId="77777777" w:rsidR="006F587A" w:rsidRDefault="007B2B61">
      <w:pPr>
        <w:spacing w:line="288" w:lineRule="auto"/>
        <w:rPr>
          <w:rFonts w:ascii="Times New Roman" w:hAnsi="Times New Roman"/>
          <w:sz w:val="28"/>
          <w:szCs w:val="28"/>
        </w:rPr>
      </w:pPr>
      <w:r>
        <w:rPr>
          <w:rFonts w:ascii="Arial" w:eastAsia="宋体" w:hAnsi="Arial" w:cs="Arial"/>
          <w:b/>
          <w:bCs/>
          <w:color w:val="0071C5"/>
          <w:sz w:val="28"/>
          <w:szCs w:val="28"/>
        </w:rPr>
        <w:t>INHERENT LIMITATIONS ON EFFECTIVENESS OF CONTROLS</w:t>
      </w:r>
    </w:p>
    <w:p w14:paraId="4ACE649F"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Our management, including the principal executive officer and principal </w:t>
      </w:r>
      <w:r>
        <w:rPr>
          <w:rFonts w:ascii="Arial" w:eastAsia="宋体" w:hAnsi="Arial" w:cs="Arial"/>
          <w:color w:val="333333"/>
          <w:sz w:val="18"/>
          <w:szCs w:val="18"/>
        </w:rPr>
        <w:t>financial officer, does not expect that our disclosure controls and procedures or our internal control over financial reporting will prevent or detect all errors and all fraud. A control system, no matter how well-designed and operated, can provide only re</w:t>
      </w:r>
      <w:r>
        <w:rPr>
          <w:rFonts w:ascii="Arial" w:eastAsia="宋体" w:hAnsi="Arial" w:cs="Arial"/>
          <w:color w:val="333333"/>
          <w:sz w:val="18"/>
          <w:szCs w:val="18"/>
        </w:rPr>
        <w:t xml:space="preserve">asonable, not absolute, assurance that the control system’s objectives will be met. The design of a control system must reflect the fact that there are resource constraints, and the benefits of controls must be considered relative to their costs. Further, </w:t>
      </w:r>
      <w:r>
        <w:rPr>
          <w:rFonts w:ascii="Arial" w:eastAsia="宋体" w:hAnsi="Arial" w:cs="Arial"/>
          <w:color w:val="333333"/>
          <w:sz w:val="18"/>
          <w:szCs w:val="18"/>
        </w:rPr>
        <w:t xml:space="preserve">because of the inherent limitations in all control systems, no evaluation of controls can provide absolute assurance that misstatements due to error or fraud will not occur or that all control issues and instances of fraud, if any, have been detected. </w:t>
      </w:r>
    </w:p>
    <w:p w14:paraId="4ACE64A0"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64A2" w14:textId="77777777">
        <w:tc>
          <w:tcPr>
            <w:tcW w:w="0" w:type="auto"/>
            <w:gridSpan w:val="3"/>
            <w:shd w:val="clear" w:color="auto" w:fill="auto"/>
            <w:vAlign w:val="center"/>
          </w:tcPr>
          <w:p w14:paraId="4ACE64A1" w14:textId="77777777" w:rsidR="006F587A" w:rsidRDefault="006F587A">
            <w:pPr>
              <w:rPr>
                <w:rFonts w:ascii="Times New Roman" w:hAnsi="Times New Roman"/>
                <w:sz w:val="20"/>
                <w:szCs w:val="20"/>
              </w:rPr>
            </w:pPr>
          </w:p>
        </w:tc>
      </w:tr>
      <w:tr w:rsidR="006F587A" w14:paraId="4ACE64A6" w14:textId="77777777">
        <w:tc>
          <w:tcPr>
            <w:tcW w:w="1300" w:type="pct"/>
            <w:shd w:val="clear" w:color="auto" w:fill="auto"/>
            <w:vAlign w:val="center"/>
          </w:tcPr>
          <w:p w14:paraId="4ACE64A3" w14:textId="77777777" w:rsidR="006F587A" w:rsidRDefault="006F587A">
            <w:pPr>
              <w:rPr>
                <w:rFonts w:ascii="Times New Roman" w:hAnsi="Times New Roman"/>
                <w:sz w:val="20"/>
                <w:szCs w:val="20"/>
              </w:rPr>
            </w:pPr>
          </w:p>
        </w:tc>
        <w:tc>
          <w:tcPr>
            <w:tcW w:w="1600" w:type="pct"/>
            <w:shd w:val="clear" w:color="auto" w:fill="auto"/>
            <w:vAlign w:val="center"/>
          </w:tcPr>
          <w:p w14:paraId="4ACE64A4" w14:textId="77777777" w:rsidR="006F587A" w:rsidRDefault="006F587A">
            <w:pPr>
              <w:rPr>
                <w:rFonts w:ascii="Times New Roman" w:hAnsi="Times New Roman"/>
                <w:sz w:val="20"/>
                <w:szCs w:val="20"/>
              </w:rPr>
            </w:pPr>
          </w:p>
        </w:tc>
        <w:tc>
          <w:tcPr>
            <w:tcW w:w="2100" w:type="pct"/>
            <w:shd w:val="clear" w:color="auto" w:fill="auto"/>
            <w:vAlign w:val="center"/>
          </w:tcPr>
          <w:p w14:paraId="4ACE64A5" w14:textId="77777777" w:rsidR="006F587A" w:rsidRDefault="006F587A">
            <w:pPr>
              <w:rPr>
                <w:rFonts w:ascii="Times New Roman" w:hAnsi="Times New Roman"/>
                <w:sz w:val="20"/>
                <w:szCs w:val="20"/>
              </w:rPr>
            </w:pPr>
          </w:p>
        </w:tc>
      </w:tr>
      <w:tr w:rsidR="006F587A" w14:paraId="4ACE64AA"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64A7" w14:textId="77777777" w:rsidR="006F587A" w:rsidRDefault="007B2B61">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E38" wp14:editId="4ACE6E39">
                  <wp:extent cx="304800" cy="304800"/>
                  <wp:effectExtent l="0" t="0" r="0" b="0"/>
                  <wp:docPr id="94" name="图片 362"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362"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SUPPLEMENTAL DETAILS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64A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64A9"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112</w:t>
            </w:r>
          </w:p>
        </w:tc>
      </w:tr>
    </w:tbl>
    <w:p w14:paraId="4ACE64AB" w14:textId="77777777" w:rsidR="006F587A" w:rsidRDefault="007B2B61">
      <w:r>
        <w:pict w14:anchorId="4ACE6E3A">
          <v:rect id="_x0000_i1138" style="width:415.3pt;height:1.5pt" o:hralign="center" o:hrstd="t" o:hr="t" fillcolor="#a0a0a0" stroked="f"/>
        </w:pict>
      </w:r>
    </w:p>
    <w:p w14:paraId="4ACE64AC" w14:textId="77777777" w:rsidR="006F587A" w:rsidRDefault="007B2B61">
      <w:pPr>
        <w:spacing w:line="288" w:lineRule="auto"/>
        <w:jc w:val="right"/>
        <w:rPr>
          <w:rFonts w:ascii="Times New Roman" w:hAnsi="Times New Roman"/>
          <w:sz w:val="16"/>
          <w:szCs w:val="16"/>
        </w:rPr>
      </w:pPr>
      <w:hyperlink r:id="rId177" w:anchor="s9DB683E2CF52561EB8A73BE37F5BF9BE" w:history="1">
        <w:r>
          <w:rPr>
            <w:rStyle w:val="a5"/>
            <w:rFonts w:ascii="Arial" w:eastAsia="宋体" w:hAnsi="Arial" w:cs="Arial"/>
            <w:b/>
            <w:bCs/>
            <w:sz w:val="16"/>
            <w:szCs w:val="16"/>
          </w:rPr>
          <w:t>Table of Contents</w:t>
        </w:r>
      </w:hyperlink>
    </w:p>
    <w:p w14:paraId="4ACE64AD" w14:textId="77777777" w:rsidR="006F587A" w:rsidRDefault="006F587A">
      <w:pPr>
        <w:spacing w:line="288" w:lineRule="auto"/>
        <w:jc w:val="right"/>
        <w:rPr>
          <w:rFonts w:ascii="Times New Roman" w:hAnsi="Times New Roman"/>
          <w:sz w:val="16"/>
          <w:szCs w:val="16"/>
        </w:rPr>
      </w:pPr>
    </w:p>
    <w:p w14:paraId="4ACE64AE"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6F587A" w14:paraId="4ACE64B0" w14:textId="77777777">
        <w:tc>
          <w:tcPr>
            <w:tcW w:w="0" w:type="auto"/>
            <w:shd w:val="clear" w:color="auto" w:fill="auto"/>
            <w:vAlign w:val="center"/>
          </w:tcPr>
          <w:p w14:paraId="4ACE64AF" w14:textId="77777777" w:rsidR="006F587A" w:rsidRDefault="006F587A">
            <w:pPr>
              <w:rPr>
                <w:rFonts w:ascii="Times New Roman" w:hAnsi="Times New Roman"/>
                <w:sz w:val="20"/>
                <w:szCs w:val="20"/>
              </w:rPr>
            </w:pPr>
          </w:p>
        </w:tc>
      </w:tr>
      <w:tr w:rsidR="006F587A" w14:paraId="4ACE64B2" w14:textId="77777777">
        <w:tc>
          <w:tcPr>
            <w:tcW w:w="5000" w:type="pct"/>
            <w:shd w:val="clear" w:color="auto" w:fill="auto"/>
            <w:vAlign w:val="center"/>
          </w:tcPr>
          <w:p w14:paraId="4ACE64B1" w14:textId="77777777" w:rsidR="006F587A" w:rsidRDefault="006F587A">
            <w:pPr>
              <w:rPr>
                <w:rFonts w:ascii="Times New Roman" w:hAnsi="Times New Roman"/>
                <w:sz w:val="20"/>
                <w:szCs w:val="20"/>
              </w:rPr>
            </w:pPr>
          </w:p>
        </w:tc>
      </w:tr>
      <w:tr w:rsidR="006F587A" w14:paraId="4ACE64B4" w14:textId="77777777">
        <w:tc>
          <w:tcPr>
            <w:tcW w:w="0" w:type="auto"/>
            <w:shd w:val="clear" w:color="auto" w:fill="0071C5"/>
            <w:tcMar>
              <w:top w:w="40" w:type="dxa"/>
              <w:left w:w="880" w:type="dxa"/>
              <w:bottom w:w="40" w:type="dxa"/>
              <w:right w:w="40" w:type="dxa"/>
            </w:tcMar>
            <w:vAlign w:val="bottom"/>
          </w:tcPr>
          <w:p w14:paraId="4ACE64B3" w14:textId="77777777" w:rsidR="006F587A" w:rsidRDefault="007B2B61">
            <w:pPr>
              <w:textAlignment w:val="bottom"/>
              <w:rPr>
                <w:rFonts w:ascii="Times New Roman" w:hAnsi="Times New Roman"/>
                <w:sz w:val="36"/>
                <w:szCs w:val="36"/>
              </w:rPr>
            </w:pPr>
            <w:r>
              <w:rPr>
                <w:rFonts w:ascii="Arial" w:eastAsia="宋体" w:hAnsi="Arial" w:cs="Arial"/>
                <w:b/>
                <w:bCs/>
                <w:color w:val="FFFFFF"/>
                <w:sz w:val="36"/>
                <w:szCs w:val="36"/>
              </w:rPr>
              <w:t>EXHIBITS</w:t>
            </w:r>
          </w:p>
        </w:tc>
      </w:tr>
    </w:tbl>
    <w:p w14:paraId="4ACE64B5" w14:textId="77777777" w:rsidR="006F587A" w:rsidRDefault="006F587A">
      <w:pPr>
        <w:spacing w:line="288" w:lineRule="auto"/>
        <w:rPr>
          <w:rFonts w:ascii="Times New Roman" w:hAnsi="Times New Roman"/>
          <w:sz w:val="18"/>
          <w:szCs w:val="18"/>
        </w:rPr>
      </w:pPr>
    </w:p>
    <w:tbl>
      <w:tblPr>
        <w:tblW w:w="0" w:type="auto"/>
        <w:tblCellSpacing w:w="0" w:type="dxa"/>
        <w:tblCellMar>
          <w:left w:w="0" w:type="dxa"/>
          <w:bottom w:w="240" w:type="dxa"/>
          <w:right w:w="0" w:type="dxa"/>
        </w:tblCellMar>
        <w:tblLook w:val="04A0" w:firstRow="1" w:lastRow="0" w:firstColumn="1" w:lastColumn="0" w:noHBand="0" w:noVBand="1"/>
      </w:tblPr>
      <w:tblGrid>
        <w:gridCol w:w="960"/>
        <w:gridCol w:w="7346"/>
      </w:tblGrid>
      <w:tr w:rsidR="006F587A" w14:paraId="4ACE64B8" w14:textId="77777777">
        <w:trPr>
          <w:tblCellSpacing w:w="0" w:type="dxa"/>
        </w:trPr>
        <w:tc>
          <w:tcPr>
            <w:tcW w:w="960" w:type="dxa"/>
            <w:shd w:val="clear" w:color="auto" w:fill="auto"/>
            <w:vAlign w:val="center"/>
          </w:tcPr>
          <w:p w14:paraId="4ACE64B6" w14:textId="77777777" w:rsidR="006F587A" w:rsidRDefault="006F587A">
            <w:pPr>
              <w:rPr>
                <w:rFonts w:ascii="Times New Roman" w:hAnsi="Times New Roman"/>
                <w:sz w:val="20"/>
                <w:szCs w:val="20"/>
              </w:rPr>
            </w:pPr>
          </w:p>
        </w:tc>
        <w:tc>
          <w:tcPr>
            <w:tcW w:w="0" w:type="auto"/>
            <w:shd w:val="clear" w:color="auto" w:fill="auto"/>
            <w:vAlign w:val="center"/>
          </w:tcPr>
          <w:p w14:paraId="4ACE64B7" w14:textId="77777777" w:rsidR="006F587A" w:rsidRDefault="006F587A">
            <w:pPr>
              <w:rPr>
                <w:rFonts w:ascii="Times New Roman" w:hAnsi="Times New Roman"/>
                <w:sz w:val="20"/>
                <w:szCs w:val="20"/>
              </w:rPr>
            </w:pPr>
          </w:p>
        </w:tc>
      </w:tr>
      <w:tr w:rsidR="006F587A" w14:paraId="4ACE64BB" w14:textId="77777777">
        <w:trPr>
          <w:tblCellSpacing w:w="0" w:type="dxa"/>
        </w:trPr>
        <w:tc>
          <w:tcPr>
            <w:tcW w:w="0" w:type="auto"/>
            <w:shd w:val="clear" w:color="auto" w:fill="auto"/>
          </w:tcPr>
          <w:p w14:paraId="4ACE64B9"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1.</w:t>
            </w:r>
          </w:p>
        </w:tc>
        <w:tc>
          <w:tcPr>
            <w:tcW w:w="0" w:type="auto"/>
            <w:shd w:val="clear" w:color="auto" w:fill="auto"/>
          </w:tcPr>
          <w:p w14:paraId="4ACE64BA"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Financial Statements: See "Index to </w:t>
            </w:r>
            <w:r>
              <w:rPr>
                <w:rFonts w:ascii="Arial" w:eastAsia="宋体" w:hAnsi="Arial" w:cs="Arial"/>
                <w:color w:val="333333"/>
                <w:sz w:val="18"/>
                <w:szCs w:val="18"/>
              </w:rPr>
              <w:t>Consolidated Financial Statements" within the Consolidated Financial Statements.</w:t>
            </w:r>
          </w:p>
        </w:tc>
      </w:tr>
    </w:tbl>
    <w:p w14:paraId="4ACE64BC" w14:textId="77777777" w:rsidR="006F587A" w:rsidRDefault="006F587A">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960"/>
        <w:gridCol w:w="7346"/>
      </w:tblGrid>
      <w:tr w:rsidR="006F587A" w14:paraId="4ACE64BF" w14:textId="77777777">
        <w:trPr>
          <w:tblCellSpacing w:w="0" w:type="dxa"/>
        </w:trPr>
        <w:tc>
          <w:tcPr>
            <w:tcW w:w="960" w:type="dxa"/>
            <w:shd w:val="clear" w:color="auto" w:fill="auto"/>
            <w:vAlign w:val="center"/>
          </w:tcPr>
          <w:p w14:paraId="4ACE64BD" w14:textId="77777777" w:rsidR="006F587A" w:rsidRDefault="006F587A">
            <w:pPr>
              <w:rPr>
                <w:rFonts w:ascii="Times New Roman" w:hAnsi="Times New Roman"/>
                <w:sz w:val="20"/>
                <w:szCs w:val="20"/>
              </w:rPr>
            </w:pPr>
          </w:p>
        </w:tc>
        <w:tc>
          <w:tcPr>
            <w:tcW w:w="0" w:type="auto"/>
            <w:shd w:val="clear" w:color="auto" w:fill="auto"/>
            <w:vAlign w:val="center"/>
          </w:tcPr>
          <w:p w14:paraId="4ACE64BE" w14:textId="77777777" w:rsidR="006F587A" w:rsidRDefault="006F587A">
            <w:pPr>
              <w:rPr>
                <w:rFonts w:ascii="Times New Roman" w:hAnsi="Times New Roman"/>
                <w:sz w:val="20"/>
                <w:szCs w:val="20"/>
              </w:rPr>
            </w:pPr>
          </w:p>
        </w:tc>
      </w:tr>
      <w:tr w:rsidR="006F587A" w14:paraId="4ACE64C2" w14:textId="77777777">
        <w:trPr>
          <w:tblCellSpacing w:w="0" w:type="dxa"/>
        </w:trPr>
        <w:tc>
          <w:tcPr>
            <w:tcW w:w="0" w:type="auto"/>
            <w:shd w:val="clear" w:color="auto" w:fill="auto"/>
          </w:tcPr>
          <w:p w14:paraId="4ACE64C0"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lastRenderedPageBreak/>
              <w:t>2.</w:t>
            </w:r>
          </w:p>
        </w:tc>
        <w:tc>
          <w:tcPr>
            <w:tcW w:w="0" w:type="auto"/>
            <w:shd w:val="clear" w:color="auto" w:fill="auto"/>
          </w:tcPr>
          <w:p w14:paraId="4ACE64C1"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Financial Statement Schedules; not applicable or the required information is otherwise included in the Consolidated Financial Statements and accompanying notes.</w:t>
            </w:r>
          </w:p>
        </w:tc>
      </w:tr>
    </w:tbl>
    <w:p w14:paraId="4ACE64C3" w14:textId="77777777" w:rsidR="006F587A" w:rsidRDefault="006F587A">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960"/>
        <w:gridCol w:w="7346"/>
      </w:tblGrid>
      <w:tr w:rsidR="006F587A" w14:paraId="4ACE64C6" w14:textId="77777777">
        <w:trPr>
          <w:tblCellSpacing w:w="0" w:type="dxa"/>
        </w:trPr>
        <w:tc>
          <w:tcPr>
            <w:tcW w:w="960" w:type="dxa"/>
            <w:shd w:val="clear" w:color="auto" w:fill="auto"/>
            <w:vAlign w:val="center"/>
          </w:tcPr>
          <w:p w14:paraId="4ACE64C4" w14:textId="77777777" w:rsidR="006F587A" w:rsidRDefault="006F587A">
            <w:pPr>
              <w:rPr>
                <w:rFonts w:ascii="Times New Roman" w:hAnsi="Times New Roman"/>
                <w:sz w:val="20"/>
                <w:szCs w:val="20"/>
              </w:rPr>
            </w:pPr>
          </w:p>
        </w:tc>
        <w:tc>
          <w:tcPr>
            <w:tcW w:w="0" w:type="auto"/>
            <w:shd w:val="clear" w:color="auto" w:fill="auto"/>
            <w:vAlign w:val="center"/>
          </w:tcPr>
          <w:p w14:paraId="4ACE64C5" w14:textId="77777777" w:rsidR="006F587A" w:rsidRDefault="006F587A">
            <w:pPr>
              <w:rPr>
                <w:rFonts w:ascii="Times New Roman" w:hAnsi="Times New Roman"/>
                <w:sz w:val="20"/>
                <w:szCs w:val="20"/>
              </w:rPr>
            </w:pPr>
          </w:p>
        </w:tc>
      </w:tr>
      <w:tr w:rsidR="006F587A" w14:paraId="4ACE64C9" w14:textId="77777777">
        <w:trPr>
          <w:tblCellSpacing w:w="0" w:type="dxa"/>
        </w:trPr>
        <w:tc>
          <w:tcPr>
            <w:tcW w:w="0" w:type="auto"/>
            <w:shd w:val="clear" w:color="auto" w:fill="auto"/>
          </w:tcPr>
          <w:p w14:paraId="4ACE64C7"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3.</w:t>
            </w:r>
          </w:p>
        </w:tc>
        <w:tc>
          <w:tcPr>
            <w:tcW w:w="0" w:type="auto"/>
            <w:shd w:val="clear" w:color="auto" w:fill="auto"/>
          </w:tcPr>
          <w:p w14:paraId="4ACE64C8"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Exhibits: The exhibits listed in the accompanying index to exhibits are filed, furnished, or incorporated by reference as part of this Form 10-K.</w:t>
            </w:r>
          </w:p>
        </w:tc>
      </w:tr>
    </w:tbl>
    <w:p w14:paraId="4ACE64CA"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Certain of the agreements filed as exhibits to this Form 10-K contain representations and warranties by th</w:t>
      </w:r>
      <w:r>
        <w:rPr>
          <w:rFonts w:ascii="Arial" w:eastAsia="宋体" w:hAnsi="Arial" w:cs="Arial"/>
          <w:color w:val="333333"/>
          <w:sz w:val="18"/>
          <w:szCs w:val="18"/>
        </w:rPr>
        <w:t>e parties to the agreements that have been made solely for the benefit of the parties to the agreement. These representations and warranties:</w:t>
      </w: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6F587A" w14:paraId="4ACE64CD" w14:textId="77777777">
        <w:trPr>
          <w:tblCellSpacing w:w="0" w:type="dxa"/>
        </w:trPr>
        <w:tc>
          <w:tcPr>
            <w:tcW w:w="480" w:type="dxa"/>
            <w:shd w:val="clear" w:color="auto" w:fill="auto"/>
            <w:vAlign w:val="center"/>
          </w:tcPr>
          <w:p w14:paraId="4ACE64CB" w14:textId="77777777" w:rsidR="006F587A" w:rsidRDefault="006F587A">
            <w:pPr>
              <w:rPr>
                <w:rFonts w:ascii="Times New Roman" w:hAnsi="Times New Roman"/>
                <w:sz w:val="20"/>
                <w:szCs w:val="20"/>
              </w:rPr>
            </w:pPr>
          </w:p>
        </w:tc>
        <w:tc>
          <w:tcPr>
            <w:tcW w:w="0" w:type="auto"/>
            <w:shd w:val="clear" w:color="auto" w:fill="auto"/>
            <w:vAlign w:val="center"/>
          </w:tcPr>
          <w:p w14:paraId="4ACE64CC" w14:textId="77777777" w:rsidR="006F587A" w:rsidRDefault="006F587A">
            <w:pPr>
              <w:rPr>
                <w:rFonts w:ascii="Times New Roman" w:hAnsi="Times New Roman"/>
                <w:sz w:val="20"/>
                <w:szCs w:val="20"/>
              </w:rPr>
            </w:pPr>
          </w:p>
        </w:tc>
      </w:tr>
      <w:tr w:rsidR="006F587A" w14:paraId="4ACE64D0" w14:textId="77777777">
        <w:trPr>
          <w:tblCellSpacing w:w="0" w:type="dxa"/>
        </w:trPr>
        <w:tc>
          <w:tcPr>
            <w:tcW w:w="0" w:type="auto"/>
            <w:shd w:val="clear" w:color="auto" w:fill="auto"/>
          </w:tcPr>
          <w:p w14:paraId="4ACE64CE"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64CF"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may have been qualified by disclosures that were made to the other parties in connection with the negotiation</w:t>
            </w:r>
            <w:r>
              <w:rPr>
                <w:rFonts w:ascii="Arial" w:eastAsia="宋体" w:hAnsi="Arial" w:cs="Arial"/>
                <w:color w:val="333333"/>
                <w:sz w:val="18"/>
                <w:szCs w:val="18"/>
              </w:rPr>
              <w:t xml:space="preserve"> of the agreements, which disclosures are not necessarily reflected in the agreements;</w:t>
            </w:r>
          </w:p>
        </w:tc>
      </w:tr>
    </w:tbl>
    <w:p w14:paraId="4ACE64D1"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6804"/>
      </w:tblGrid>
      <w:tr w:rsidR="006F587A" w14:paraId="4ACE64D4" w14:textId="77777777">
        <w:trPr>
          <w:tblCellSpacing w:w="0" w:type="dxa"/>
        </w:trPr>
        <w:tc>
          <w:tcPr>
            <w:tcW w:w="480" w:type="dxa"/>
            <w:shd w:val="clear" w:color="auto" w:fill="auto"/>
            <w:vAlign w:val="center"/>
          </w:tcPr>
          <w:p w14:paraId="4ACE64D2" w14:textId="77777777" w:rsidR="006F587A" w:rsidRDefault="006F587A">
            <w:pPr>
              <w:rPr>
                <w:rFonts w:ascii="Times New Roman" w:hAnsi="Times New Roman"/>
                <w:sz w:val="20"/>
                <w:szCs w:val="20"/>
              </w:rPr>
            </w:pPr>
          </w:p>
        </w:tc>
        <w:tc>
          <w:tcPr>
            <w:tcW w:w="0" w:type="auto"/>
            <w:shd w:val="clear" w:color="auto" w:fill="auto"/>
            <w:vAlign w:val="center"/>
          </w:tcPr>
          <w:p w14:paraId="4ACE64D3" w14:textId="77777777" w:rsidR="006F587A" w:rsidRDefault="006F587A">
            <w:pPr>
              <w:rPr>
                <w:rFonts w:ascii="Times New Roman" w:hAnsi="Times New Roman"/>
                <w:sz w:val="20"/>
                <w:szCs w:val="20"/>
              </w:rPr>
            </w:pPr>
          </w:p>
        </w:tc>
      </w:tr>
      <w:tr w:rsidR="006F587A" w14:paraId="4ACE64D7" w14:textId="77777777">
        <w:trPr>
          <w:tblCellSpacing w:w="0" w:type="dxa"/>
        </w:trPr>
        <w:tc>
          <w:tcPr>
            <w:tcW w:w="0" w:type="auto"/>
            <w:shd w:val="clear" w:color="auto" w:fill="auto"/>
          </w:tcPr>
          <w:p w14:paraId="4ACE64D5"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64D6"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may apply standards of materiality that differ from those of a reasonable investor; and</w:t>
            </w:r>
          </w:p>
        </w:tc>
      </w:tr>
    </w:tbl>
    <w:p w14:paraId="4ACE64D8" w14:textId="77777777" w:rsidR="006F587A" w:rsidRDefault="006F587A">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480"/>
        <w:gridCol w:w="7826"/>
      </w:tblGrid>
      <w:tr w:rsidR="006F587A" w14:paraId="4ACE64DB" w14:textId="77777777">
        <w:trPr>
          <w:tblCellSpacing w:w="0" w:type="dxa"/>
        </w:trPr>
        <w:tc>
          <w:tcPr>
            <w:tcW w:w="480" w:type="dxa"/>
            <w:shd w:val="clear" w:color="auto" w:fill="auto"/>
            <w:vAlign w:val="center"/>
          </w:tcPr>
          <w:p w14:paraId="4ACE64D9" w14:textId="77777777" w:rsidR="006F587A" w:rsidRDefault="006F587A">
            <w:pPr>
              <w:rPr>
                <w:rFonts w:ascii="Times New Roman" w:hAnsi="Times New Roman"/>
                <w:sz w:val="20"/>
                <w:szCs w:val="20"/>
              </w:rPr>
            </w:pPr>
          </w:p>
        </w:tc>
        <w:tc>
          <w:tcPr>
            <w:tcW w:w="0" w:type="auto"/>
            <w:shd w:val="clear" w:color="auto" w:fill="auto"/>
            <w:vAlign w:val="center"/>
          </w:tcPr>
          <w:p w14:paraId="4ACE64DA" w14:textId="77777777" w:rsidR="006F587A" w:rsidRDefault="006F587A">
            <w:pPr>
              <w:rPr>
                <w:rFonts w:ascii="Times New Roman" w:hAnsi="Times New Roman"/>
                <w:sz w:val="20"/>
                <w:szCs w:val="20"/>
              </w:rPr>
            </w:pPr>
          </w:p>
        </w:tc>
      </w:tr>
      <w:tr w:rsidR="006F587A" w14:paraId="4ACE64DE" w14:textId="77777777">
        <w:trPr>
          <w:tblCellSpacing w:w="0" w:type="dxa"/>
        </w:trPr>
        <w:tc>
          <w:tcPr>
            <w:tcW w:w="0" w:type="auto"/>
            <w:shd w:val="clear" w:color="auto" w:fill="auto"/>
          </w:tcPr>
          <w:p w14:paraId="4ACE64DC" w14:textId="77777777" w:rsidR="006F587A" w:rsidRDefault="007B2B61">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4ACE64DD" w14:textId="77777777" w:rsidR="006F587A" w:rsidRDefault="007B2B61">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were made only as of specified dates contained in the </w:t>
            </w:r>
            <w:r>
              <w:rPr>
                <w:rFonts w:ascii="Arial" w:eastAsia="宋体" w:hAnsi="Arial" w:cs="Arial"/>
                <w:color w:val="333333"/>
                <w:sz w:val="18"/>
                <w:szCs w:val="18"/>
              </w:rPr>
              <w:t>agreements and are subject to subsequent developments and changed circumstances.</w:t>
            </w:r>
          </w:p>
        </w:tc>
      </w:tr>
    </w:tbl>
    <w:p w14:paraId="4ACE64DF" w14:textId="77777777" w:rsidR="006F587A" w:rsidRDefault="007B2B61">
      <w:pPr>
        <w:spacing w:line="288" w:lineRule="auto"/>
        <w:rPr>
          <w:rFonts w:ascii="Times New Roman" w:hAnsi="Times New Roman"/>
          <w:sz w:val="18"/>
          <w:szCs w:val="18"/>
        </w:rPr>
      </w:pPr>
      <w:r>
        <w:rPr>
          <w:rFonts w:ascii="Arial" w:eastAsia="宋体" w:hAnsi="Arial" w:cs="Arial"/>
          <w:color w:val="333333"/>
          <w:sz w:val="18"/>
          <w:szCs w:val="18"/>
        </w:rPr>
        <w:t xml:space="preserve">Accordingly, these representations and warranties may not describe the actual state of affairs as of the date that these representations and warranties were made or at any </w:t>
      </w:r>
      <w:r>
        <w:rPr>
          <w:rFonts w:ascii="Arial" w:eastAsia="宋体" w:hAnsi="Arial" w:cs="Arial"/>
          <w:color w:val="333333"/>
          <w:sz w:val="18"/>
          <w:szCs w:val="18"/>
        </w:rPr>
        <w:t>other time. Investors should not rely on them as statements of fact.</w:t>
      </w:r>
    </w:p>
    <w:p w14:paraId="4ACE64E0" w14:textId="77777777" w:rsidR="006F587A" w:rsidRDefault="006F587A">
      <w:pPr>
        <w:spacing w:line="288" w:lineRule="auto"/>
        <w:rPr>
          <w:rFonts w:ascii="Times New Roman" w:hAnsi="Times New Roman"/>
          <w:sz w:val="18"/>
          <w:szCs w:val="18"/>
        </w:rPr>
      </w:pPr>
    </w:p>
    <w:p w14:paraId="4ACE64E1" w14:textId="77777777" w:rsidR="006F587A" w:rsidRDefault="006F587A">
      <w:pPr>
        <w:spacing w:line="288" w:lineRule="auto"/>
        <w:rPr>
          <w:rFonts w:ascii="Times New Roman" w:hAnsi="Times New Roman"/>
          <w:sz w:val="18"/>
          <w:szCs w:val="18"/>
        </w:rPr>
      </w:pPr>
    </w:p>
    <w:p w14:paraId="4ACE64E2" w14:textId="77777777" w:rsidR="006F587A" w:rsidRDefault="006F587A">
      <w:pPr>
        <w:spacing w:line="288" w:lineRule="auto"/>
        <w:rPr>
          <w:rFonts w:ascii="Times New Roman" w:hAnsi="Times New Roman"/>
          <w:sz w:val="18"/>
          <w:szCs w:val="18"/>
        </w:rPr>
      </w:pPr>
    </w:p>
    <w:p w14:paraId="4ACE64E3" w14:textId="77777777" w:rsidR="006F587A" w:rsidRDefault="006F587A">
      <w:pPr>
        <w:spacing w:line="288" w:lineRule="auto"/>
        <w:rPr>
          <w:rFonts w:ascii="Times New Roman" w:hAnsi="Times New Roman"/>
          <w:sz w:val="18"/>
          <w:szCs w:val="18"/>
        </w:rPr>
      </w:pPr>
    </w:p>
    <w:p w14:paraId="4ACE64E4" w14:textId="77777777" w:rsidR="006F587A" w:rsidRDefault="006F587A">
      <w:pPr>
        <w:spacing w:line="288" w:lineRule="auto"/>
        <w:rPr>
          <w:rFonts w:ascii="Times New Roman" w:hAnsi="Times New Roman"/>
          <w:sz w:val="18"/>
          <w:szCs w:val="18"/>
        </w:rPr>
      </w:pPr>
    </w:p>
    <w:p w14:paraId="4ACE64E5" w14:textId="77777777" w:rsidR="006F587A" w:rsidRDefault="006F587A">
      <w:pPr>
        <w:spacing w:line="288" w:lineRule="auto"/>
        <w:rPr>
          <w:rFonts w:ascii="Times New Roman" w:hAnsi="Times New Roman"/>
          <w:sz w:val="18"/>
          <w:szCs w:val="18"/>
        </w:rPr>
      </w:pPr>
    </w:p>
    <w:p w14:paraId="4ACE64E6" w14:textId="77777777" w:rsidR="006F587A" w:rsidRDefault="006F587A">
      <w:pPr>
        <w:spacing w:line="288" w:lineRule="auto"/>
        <w:rPr>
          <w:rFonts w:ascii="Times New Roman" w:hAnsi="Times New Roman"/>
          <w:sz w:val="18"/>
          <w:szCs w:val="18"/>
        </w:rPr>
      </w:pPr>
    </w:p>
    <w:p w14:paraId="4ACE64E7" w14:textId="77777777" w:rsidR="006F587A" w:rsidRDefault="006F587A">
      <w:pPr>
        <w:spacing w:line="288" w:lineRule="auto"/>
        <w:rPr>
          <w:rFonts w:ascii="Times New Roman" w:hAnsi="Times New Roman"/>
          <w:sz w:val="18"/>
          <w:szCs w:val="18"/>
        </w:rPr>
      </w:pPr>
    </w:p>
    <w:p w14:paraId="4ACE64E8" w14:textId="77777777" w:rsidR="006F587A" w:rsidRDefault="006F587A">
      <w:pPr>
        <w:spacing w:line="288" w:lineRule="auto"/>
        <w:rPr>
          <w:rFonts w:ascii="Times New Roman" w:hAnsi="Times New Roman"/>
          <w:sz w:val="18"/>
          <w:szCs w:val="18"/>
        </w:rPr>
      </w:pPr>
    </w:p>
    <w:p w14:paraId="4ACE64E9" w14:textId="77777777" w:rsidR="006F587A" w:rsidRDefault="006F587A">
      <w:pPr>
        <w:spacing w:line="288" w:lineRule="auto"/>
        <w:rPr>
          <w:rFonts w:ascii="Times New Roman" w:hAnsi="Times New Roman"/>
          <w:sz w:val="18"/>
          <w:szCs w:val="18"/>
        </w:rPr>
      </w:pPr>
    </w:p>
    <w:p w14:paraId="4ACE64EA" w14:textId="77777777" w:rsidR="006F587A" w:rsidRDefault="006F587A">
      <w:pPr>
        <w:spacing w:line="288" w:lineRule="auto"/>
        <w:rPr>
          <w:rFonts w:ascii="Times New Roman" w:hAnsi="Times New Roman"/>
          <w:sz w:val="18"/>
          <w:szCs w:val="18"/>
        </w:rPr>
      </w:pPr>
    </w:p>
    <w:p w14:paraId="4ACE64EB" w14:textId="77777777" w:rsidR="006F587A" w:rsidRDefault="006F587A">
      <w:pPr>
        <w:spacing w:line="288" w:lineRule="auto"/>
        <w:rPr>
          <w:rFonts w:ascii="Times New Roman" w:hAnsi="Times New Roman"/>
          <w:sz w:val="18"/>
          <w:szCs w:val="18"/>
        </w:rPr>
      </w:pPr>
    </w:p>
    <w:p w14:paraId="4ACE64EC" w14:textId="77777777" w:rsidR="006F587A" w:rsidRDefault="006F587A">
      <w:pPr>
        <w:spacing w:line="288" w:lineRule="auto"/>
        <w:rPr>
          <w:rFonts w:ascii="Times New Roman" w:hAnsi="Times New Roman"/>
          <w:sz w:val="18"/>
          <w:szCs w:val="18"/>
        </w:rPr>
      </w:pPr>
    </w:p>
    <w:p w14:paraId="4ACE64ED" w14:textId="77777777" w:rsidR="006F587A" w:rsidRDefault="006F587A">
      <w:pPr>
        <w:spacing w:line="288" w:lineRule="auto"/>
        <w:rPr>
          <w:rFonts w:ascii="Times New Roman" w:hAnsi="Times New Roman"/>
          <w:sz w:val="18"/>
          <w:szCs w:val="18"/>
        </w:rPr>
      </w:pPr>
    </w:p>
    <w:p w14:paraId="4ACE64EE" w14:textId="77777777" w:rsidR="006F587A" w:rsidRDefault="006F587A">
      <w:pPr>
        <w:spacing w:line="288" w:lineRule="auto"/>
        <w:rPr>
          <w:rFonts w:ascii="Times New Roman" w:hAnsi="Times New Roman"/>
          <w:sz w:val="18"/>
          <w:szCs w:val="18"/>
        </w:rPr>
      </w:pPr>
    </w:p>
    <w:p w14:paraId="4ACE64EF" w14:textId="77777777" w:rsidR="006F587A" w:rsidRDefault="006F587A">
      <w:pPr>
        <w:spacing w:line="288" w:lineRule="auto"/>
        <w:rPr>
          <w:rFonts w:ascii="Times New Roman" w:hAnsi="Times New Roman"/>
          <w:sz w:val="18"/>
          <w:szCs w:val="18"/>
        </w:rPr>
      </w:pPr>
    </w:p>
    <w:p w14:paraId="4ACE64F0" w14:textId="77777777" w:rsidR="006F587A" w:rsidRDefault="006F587A">
      <w:pPr>
        <w:spacing w:line="288" w:lineRule="auto"/>
        <w:rPr>
          <w:rFonts w:ascii="Times New Roman" w:hAnsi="Times New Roman"/>
          <w:sz w:val="18"/>
          <w:szCs w:val="18"/>
        </w:rPr>
      </w:pPr>
    </w:p>
    <w:p w14:paraId="4ACE64F1" w14:textId="77777777" w:rsidR="006F587A" w:rsidRDefault="006F587A">
      <w:pPr>
        <w:spacing w:line="288" w:lineRule="auto"/>
        <w:rPr>
          <w:rFonts w:ascii="Times New Roman" w:hAnsi="Times New Roman"/>
          <w:sz w:val="18"/>
          <w:szCs w:val="18"/>
        </w:rPr>
      </w:pPr>
    </w:p>
    <w:p w14:paraId="4ACE64F2" w14:textId="77777777" w:rsidR="006F587A" w:rsidRDefault="006F587A">
      <w:pPr>
        <w:spacing w:line="288" w:lineRule="auto"/>
        <w:rPr>
          <w:rFonts w:ascii="Times New Roman" w:hAnsi="Times New Roman"/>
          <w:sz w:val="18"/>
          <w:szCs w:val="18"/>
        </w:rPr>
      </w:pPr>
    </w:p>
    <w:p w14:paraId="4ACE64F3" w14:textId="77777777" w:rsidR="006F587A" w:rsidRDefault="006F587A">
      <w:pPr>
        <w:spacing w:line="288" w:lineRule="auto"/>
        <w:rPr>
          <w:rFonts w:ascii="Times New Roman" w:hAnsi="Times New Roman"/>
          <w:sz w:val="18"/>
          <w:szCs w:val="18"/>
        </w:rPr>
      </w:pPr>
    </w:p>
    <w:p w14:paraId="4ACE64F4" w14:textId="77777777" w:rsidR="006F587A" w:rsidRDefault="006F587A">
      <w:pPr>
        <w:spacing w:line="288" w:lineRule="auto"/>
        <w:rPr>
          <w:rFonts w:ascii="Times New Roman" w:hAnsi="Times New Roman"/>
          <w:sz w:val="18"/>
          <w:szCs w:val="18"/>
        </w:rPr>
      </w:pPr>
    </w:p>
    <w:p w14:paraId="4ACE64F5" w14:textId="77777777" w:rsidR="006F587A" w:rsidRDefault="006F587A">
      <w:pPr>
        <w:spacing w:line="288" w:lineRule="auto"/>
        <w:rPr>
          <w:rFonts w:ascii="Times New Roman" w:hAnsi="Times New Roman"/>
          <w:sz w:val="18"/>
          <w:szCs w:val="18"/>
        </w:rPr>
      </w:pPr>
    </w:p>
    <w:p w14:paraId="4ACE64F6" w14:textId="77777777" w:rsidR="006F587A" w:rsidRDefault="006F587A">
      <w:pPr>
        <w:spacing w:line="288" w:lineRule="auto"/>
        <w:rPr>
          <w:rFonts w:ascii="Times New Roman" w:hAnsi="Times New Roman"/>
          <w:sz w:val="18"/>
          <w:szCs w:val="18"/>
        </w:rPr>
      </w:pPr>
    </w:p>
    <w:p w14:paraId="4ACE64F7"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64F9" w14:textId="77777777">
        <w:tc>
          <w:tcPr>
            <w:tcW w:w="0" w:type="auto"/>
            <w:gridSpan w:val="3"/>
            <w:shd w:val="clear" w:color="auto" w:fill="auto"/>
            <w:vAlign w:val="center"/>
          </w:tcPr>
          <w:p w14:paraId="4ACE64F8" w14:textId="77777777" w:rsidR="006F587A" w:rsidRDefault="006F587A">
            <w:pPr>
              <w:rPr>
                <w:rFonts w:ascii="Times New Roman" w:hAnsi="Times New Roman"/>
                <w:sz w:val="20"/>
                <w:szCs w:val="20"/>
              </w:rPr>
            </w:pPr>
          </w:p>
        </w:tc>
      </w:tr>
      <w:tr w:rsidR="006F587A" w14:paraId="4ACE64FD" w14:textId="77777777">
        <w:tc>
          <w:tcPr>
            <w:tcW w:w="1300" w:type="pct"/>
            <w:shd w:val="clear" w:color="auto" w:fill="auto"/>
            <w:vAlign w:val="center"/>
          </w:tcPr>
          <w:p w14:paraId="4ACE64FA" w14:textId="77777777" w:rsidR="006F587A" w:rsidRDefault="006F587A">
            <w:pPr>
              <w:rPr>
                <w:rFonts w:ascii="Times New Roman" w:hAnsi="Times New Roman"/>
                <w:sz w:val="20"/>
                <w:szCs w:val="20"/>
              </w:rPr>
            </w:pPr>
          </w:p>
        </w:tc>
        <w:tc>
          <w:tcPr>
            <w:tcW w:w="1600" w:type="pct"/>
            <w:shd w:val="clear" w:color="auto" w:fill="auto"/>
            <w:vAlign w:val="center"/>
          </w:tcPr>
          <w:p w14:paraId="4ACE64FB" w14:textId="77777777" w:rsidR="006F587A" w:rsidRDefault="006F587A">
            <w:pPr>
              <w:rPr>
                <w:rFonts w:ascii="Times New Roman" w:hAnsi="Times New Roman"/>
                <w:sz w:val="20"/>
                <w:szCs w:val="20"/>
              </w:rPr>
            </w:pPr>
          </w:p>
        </w:tc>
        <w:tc>
          <w:tcPr>
            <w:tcW w:w="2100" w:type="pct"/>
            <w:shd w:val="clear" w:color="auto" w:fill="auto"/>
            <w:vAlign w:val="center"/>
          </w:tcPr>
          <w:p w14:paraId="4ACE64FC" w14:textId="77777777" w:rsidR="006F587A" w:rsidRDefault="006F587A">
            <w:pPr>
              <w:rPr>
                <w:rFonts w:ascii="Times New Roman" w:hAnsi="Times New Roman"/>
                <w:sz w:val="20"/>
                <w:szCs w:val="20"/>
              </w:rPr>
            </w:pPr>
          </w:p>
        </w:tc>
      </w:tr>
      <w:tr w:rsidR="006F587A" w14:paraId="4ACE6501"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64FE" w14:textId="77777777" w:rsidR="006F587A" w:rsidRDefault="007B2B61">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E3B" wp14:editId="4ACE6E3C">
                  <wp:extent cx="304800" cy="304800"/>
                  <wp:effectExtent l="0" t="0" r="0" b="0"/>
                  <wp:docPr id="75" name="图片 364"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364"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SUPPLEMENTAL DETAILS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64F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6500"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113</w:t>
            </w:r>
          </w:p>
        </w:tc>
      </w:tr>
    </w:tbl>
    <w:p w14:paraId="4ACE6502" w14:textId="77777777" w:rsidR="006F587A" w:rsidRDefault="007B2B61">
      <w:r>
        <w:pict w14:anchorId="4ACE6E3D">
          <v:rect id="_x0000_i1139" style="width:415.3pt;height:1.5pt" o:hralign="center" o:hrstd="t" o:hr="t" fillcolor="#a0a0a0" stroked="f"/>
        </w:pict>
      </w:r>
    </w:p>
    <w:p w14:paraId="4ACE6503" w14:textId="77777777" w:rsidR="006F587A" w:rsidRDefault="007B2B61">
      <w:pPr>
        <w:spacing w:line="288" w:lineRule="auto"/>
        <w:jc w:val="right"/>
        <w:rPr>
          <w:rFonts w:ascii="Times New Roman" w:hAnsi="Times New Roman"/>
          <w:sz w:val="16"/>
          <w:szCs w:val="16"/>
        </w:rPr>
      </w:pPr>
      <w:hyperlink r:id="rId178" w:anchor="s9DB683E2CF52561EB8A73BE37F5BF9BE" w:history="1">
        <w:r>
          <w:rPr>
            <w:rStyle w:val="a5"/>
            <w:rFonts w:ascii="Arial" w:eastAsia="宋体" w:hAnsi="Arial" w:cs="Arial"/>
            <w:b/>
            <w:bCs/>
            <w:sz w:val="16"/>
            <w:szCs w:val="16"/>
          </w:rPr>
          <w:t>Table of Contents</w:t>
        </w:r>
      </w:hyperlink>
    </w:p>
    <w:p w14:paraId="4ACE6504" w14:textId="77777777" w:rsidR="006F587A" w:rsidRDefault="006F587A">
      <w:pPr>
        <w:spacing w:line="288" w:lineRule="auto"/>
        <w:jc w:val="right"/>
        <w:rPr>
          <w:rFonts w:ascii="Times New Roman" w:hAnsi="Times New Roman"/>
          <w:sz w:val="16"/>
          <w:szCs w:val="16"/>
        </w:rPr>
      </w:pPr>
    </w:p>
    <w:p w14:paraId="4ACE6505" w14:textId="77777777" w:rsidR="006F587A" w:rsidRDefault="006F587A">
      <w:pPr>
        <w:rPr>
          <w:rFonts w:ascii="Times New Roman" w:hAnsi="Times New Roman"/>
          <w:sz w:val="20"/>
          <w:szCs w:val="20"/>
        </w:rPr>
      </w:pPr>
    </w:p>
    <w:p w14:paraId="4ACE6506" w14:textId="77777777" w:rsidR="006F587A" w:rsidRDefault="007B2B61">
      <w:pPr>
        <w:spacing w:line="288" w:lineRule="auto"/>
        <w:rPr>
          <w:rFonts w:ascii="Times New Roman" w:hAnsi="Times New Roman"/>
          <w:sz w:val="28"/>
          <w:szCs w:val="28"/>
        </w:rPr>
      </w:pPr>
      <w:r>
        <w:rPr>
          <w:rFonts w:ascii="Arial" w:eastAsia="宋体" w:hAnsi="Arial" w:cs="Arial"/>
          <w:b/>
          <w:bCs/>
          <w:color w:val="0071C5"/>
          <w:sz w:val="28"/>
          <w:szCs w:val="28"/>
        </w:rPr>
        <w:t>Exhibit Index</w:t>
      </w:r>
    </w:p>
    <w:tbl>
      <w:tblPr>
        <w:tblW w:w="4991" w:type="pct"/>
        <w:tblCellMar>
          <w:left w:w="0" w:type="dxa"/>
          <w:right w:w="0" w:type="dxa"/>
        </w:tblCellMar>
        <w:tblLook w:val="04A0" w:firstRow="1" w:lastRow="0" w:firstColumn="1" w:lastColumn="0" w:noHBand="0" w:noVBand="1"/>
      </w:tblPr>
      <w:tblGrid>
        <w:gridCol w:w="761"/>
        <w:gridCol w:w="130"/>
        <w:gridCol w:w="2285"/>
        <w:gridCol w:w="130"/>
        <w:gridCol w:w="731"/>
        <w:gridCol w:w="130"/>
        <w:gridCol w:w="1121"/>
        <w:gridCol w:w="130"/>
        <w:gridCol w:w="584"/>
        <w:gridCol w:w="97"/>
        <w:gridCol w:w="130"/>
        <w:gridCol w:w="981"/>
        <w:gridCol w:w="130"/>
        <w:gridCol w:w="951"/>
      </w:tblGrid>
      <w:tr w:rsidR="006F587A" w14:paraId="4ACE6508" w14:textId="77777777">
        <w:tc>
          <w:tcPr>
            <w:tcW w:w="0" w:type="auto"/>
            <w:gridSpan w:val="14"/>
            <w:shd w:val="clear" w:color="auto" w:fill="auto"/>
            <w:vAlign w:val="center"/>
          </w:tcPr>
          <w:p w14:paraId="4ACE6507" w14:textId="77777777" w:rsidR="006F587A" w:rsidRDefault="006F587A">
            <w:pPr>
              <w:rPr>
                <w:rFonts w:ascii="Times New Roman" w:hAnsi="Times New Roman"/>
                <w:sz w:val="20"/>
                <w:szCs w:val="20"/>
              </w:rPr>
            </w:pPr>
          </w:p>
        </w:tc>
      </w:tr>
      <w:tr w:rsidR="006F587A" w14:paraId="4ACE6517" w14:textId="77777777">
        <w:tc>
          <w:tcPr>
            <w:tcW w:w="350" w:type="pct"/>
            <w:shd w:val="clear" w:color="auto" w:fill="auto"/>
            <w:vAlign w:val="center"/>
          </w:tcPr>
          <w:p w14:paraId="4ACE6509" w14:textId="77777777" w:rsidR="006F587A" w:rsidRDefault="006F587A">
            <w:pPr>
              <w:rPr>
                <w:rFonts w:ascii="Times New Roman" w:hAnsi="Times New Roman"/>
                <w:sz w:val="20"/>
                <w:szCs w:val="20"/>
              </w:rPr>
            </w:pPr>
          </w:p>
        </w:tc>
        <w:tc>
          <w:tcPr>
            <w:tcW w:w="50" w:type="pct"/>
            <w:shd w:val="clear" w:color="auto" w:fill="auto"/>
            <w:vAlign w:val="center"/>
          </w:tcPr>
          <w:p w14:paraId="4ACE650A" w14:textId="77777777" w:rsidR="006F587A" w:rsidRDefault="006F587A">
            <w:pPr>
              <w:rPr>
                <w:rFonts w:ascii="Times New Roman" w:hAnsi="Times New Roman"/>
                <w:sz w:val="20"/>
                <w:szCs w:val="20"/>
              </w:rPr>
            </w:pPr>
          </w:p>
        </w:tc>
        <w:tc>
          <w:tcPr>
            <w:tcW w:w="1950" w:type="pct"/>
            <w:shd w:val="clear" w:color="auto" w:fill="auto"/>
            <w:vAlign w:val="center"/>
          </w:tcPr>
          <w:p w14:paraId="4ACE650B" w14:textId="77777777" w:rsidR="006F587A" w:rsidRDefault="006F587A">
            <w:pPr>
              <w:rPr>
                <w:rFonts w:ascii="Times New Roman" w:hAnsi="Times New Roman"/>
                <w:sz w:val="20"/>
                <w:szCs w:val="20"/>
              </w:rPr>
            </w:pPr>
          </w:p>
        </w:tc>
        <w:tc>
          <w:tcPr>
            <w:tcW w:w="50" w:type="pct"/>
            <w:shd w:val="clear" w:color="auto" w:fill="auto"/>
            <w:vAlign w:val="center"/>
          </w:tcPr>
          <w:p w14:paraId="4ACE650C" w14:textId="77777777" w:rsidR="006F587A" w:rsidRDefault="006F587A">
            <w:pPr>
              <w:rPr>
                <w:rFonts w:ascii="Times New Roman" w:hAnsi="Times New Roman"/>
                <w:sz w:val="20"/>
                <w:szCs w:val="20"/>
              </w:rPr>
            </w:pPr>
          </w:p>
        </w:tc>
        <w:tc>
          <w:tcPr>
            <w:tcW w:w="350" w:type="pct"/>
            <w:shd w:val="clear" w:color="auto" w:fill="auto"/>
            <w:vAlign w:val="center"/>
          </w:tcPr>
          <w:p w14:paraId="4ACE650D" w14:textId="77777777" w:rsidR="006F587A" w:rsidRDefault="006F587A">
            <w:pPr>
              <w:rPr>
                <w:rFonts w:ascii="Times New Roman" w:hAnsi="Times New Roman"/>
                <w:sz w:val="20"/>
                <w:szCs w:val="20"/>
              </w:rPr>
            </w:pPr>
          </w:p>
        </w:tc>
        <w:tc>
          <w:tcPr>
            <w:tcW w:w="50" w:type="pct"/>
            <w:shd w:val="clear" w:color="auto" w:fill="auto"/>
            <w:vAlign w:val="center"/>
          </w:tcPr>
          <w:p w14:paraId="4ACE650E" w14:textId="77777777" w:rsidR="006F587A" w:rsidRDefault="006F587A">
            <w:pPr>
              <w:rPr>
                <w:rFonts w:ascii="Times New Roman" w:hAnsi="Times New Roman"/>
                <w:sz w:val="20"/>
                <w:szCs w:val="20"/>
              </w:rPr>
            </w:pPr>
          </w:p>
        </w:tc>
        <w:tc>
          <w:tcPr>
            <w:tcW w:w="650" w:type="pct"/>
            <w:shd w:val="clear" w:color="auto" w:fill="auto"/>
            <w:vAlign w:val="center"/>
          </w:tcPr>
          <w:p w14:paraId="4ACE650F" w14:textId="77777777" w:rsidR="006F587A" w:rsidRDefault="006F587A">
            <w:pPr>
              <w:rPr>
                <w:rFonts w:ascii="Times New Roman" w:hAnsi="Times New Roman"/>
                <w:sz w:val="20"/>
                <w:szCs w:val="20"/>
              </w:rPr>
            </w:pPr>
          </w:p>
        </w:tc>
        <w:tc>
          <w:tcPr>
            <w:tcW w:w="50" w:type="pct"/>
            <w:shd w:val="clear" w:color="auto" w:fill="auto"/>
            <w:vAlign w:val="center"/>
          </w:tcPr>
          <w:p w14:paraId="4ACE6510" w14:textId="77777777" w:rsidR="006F587A" w:rsidRDefault="006F587A">
            <w:pPr>
              <w:rPr>
                <w:rFonts w:ascii="Times New Roman" w:hAnsi="Times New Roman"/>
                <w:sz w:val="20"/>
                <w:szCs w:val="20"/>
              </w:rPr>
            </w:pPr>
          </w:p>
        </w:tc>
        <w:tc>
          <w:tcPr>
            <w:tcW w:w="300" w:type="pct"/>
            <w:shd w:val="clear" w:color="auto" w:fill="auto"/>
            <w:vAlign w:val="center"/>
          </w:tcPr>
          <w:p w14:paraId="4ACE6511" w14:textId="77777777" w:rsidR="006F587A" w:rsidRDefault="006F587A">
            <w:pPr>
              <w:rPr>
                <w:rFonts w:ascii="Times New Roman" w:hAnsi="Times New Roman"/>
                <w:sz w:val="20"/>
                <w:szCs w:val="20"/>
              </w:rPr>
            </w:pPr>
          </w:p>
        </w:tc>
        <w:tc>
          <w:tcPr>
            <w:tcW w:w="50" w:type="pct"/>
            <w:shd w:val="clear" w:color="auto" w:fill="auto"/>
            <w:vAlign w:val="center"/>
          </w:tcPr>
          <w:p w14:paraId="4ACE6512" w14:textId="77777777" w:rsidR="006F587A" w:rsidRDefault="006F587A">
            <w:pPr>
              <w:rPr>
                <w:rFonts w:ascii="Times New Roman" w:hAnsi="Times New Roman"/>
                <w:sz w:val="20"/>
                <w:szCs w:val="20"/>
              </w:rPr>
            </w:pPr>
          </w:p>
        </w:tc>
        <w:tc>
          <w:tcPr>
            <w:tcW w:w="50" w:type="pct"/>
            <w:shd w:val="clear" w:color="auto" w:fill="auto"/>
            <w:vAlign w:val="center"/>
          </w:tcPr>
          <w:p w14:paraId="4ACE6513" w14:textId="77777777" w:rsidR="006F587A" w:rsidRDefault="006F587A">
            <w:pPr>
              <w:rPr>
                <w:rFonts w:ascii="Times New Roman" w:hAnsi="Times New Roman"/>
                <w:sz w:val="20"/>
                <w:szCs w:val="20"/>
              </w:rPr>
            </w:pPr>
          </w:p>
        </w:tc>
        <w:tc>
          <w:tcPr>
            <w:tcW w:w="500" w:type="pct"/>
            <w:shd w:val="clear" w:color="auto" w:fill="auto"/>
            <w:vAlign w:val="center"/>
          </w:tcPr>
          <w:p w14:paraId="4ACE6514" w14:textId="77777777" w:rsidR="006F587A" w:rsidRDefault="006F587A">
            <w:pPr>
              <w:rPr>
                <w:rFonts w:ascii="Times New Roman" w:hAnsi="Times New Roman"/>
                <w:sz w:val="20"/>
                <w:szCs w:val="20"/>
              </w:rPr>
            </w:pPr>
          </w:p>
        </w:tc>
        <w:tc>
          <w:tcPr>
            <w:tcW w:w="50" w:type="pct"/>
            <w:shd w:val="clear" w:color="auto" w:fill="auto"/>
            <w:vAlign w:val="center"/>
          </w:tcPr>
          <w:p w14:paraId="4ACE6515" w14:textId="77777777" w:rsidR="006F587A" w:rsidRDefault="006F587A">
            <w:pPr>
              <w:rPr>
                <w:rFonts w:ascii="Times New Roman" w:hAnsi="Times New Roman"/>
                <w:sz w:val="20"/>
                <w:szCs w:val="20"/>
              </w:rPr>
            </w:pPr>
          </w:p>
        </w:tc>
        <w:tc>
          <w:tcPr>
            <w:tcW w:w="550" w:type="pct"/>
            <w:shd w:val="clear" w:color="auto" w:fill="auto"/>
            <w:vAlign w:val="center"/>
          </w:tcPr>
          <w:p w14:paraId="4ACE6516" w14:textId="77777777" w:rsidR="006F587A" w:rsidRDefault="006F587A">
            <w:pPr>
              <w:rPr>
                <w:rFonts w:ascii="Times New Roman" w:hAnsi="Times New Roman"/>
                <w:sz w:val="20"/>
                <w:szCs w:val="20"/>
              </w:rPr>
            </w:pPr>
          </w:p>
        </w:tc>
      </w:tr>
      <w:tr w:rsidR="006F587A" w14:paraId="4ACE6522" w14:textId="77777777">
        <w:tc>
          <w:tcPr>
            <w:tcW w:w="0" w:type="auto"/>
            <w:vMerge w:val="restart"/>
            <w:tcBorders>
              <w:bottom w:val="single" w:sz="8" w:space="0" w:color="0071C5"/>
            </w:tcBorders>
            <w:shd w:val="clear" w:color="auto" w:fill="auto"/>
            <w:tcMar>
              <w:top w:w="40" w:type="dxa"/>
              <w:left w:w="40" w:type="dxa"/>
              <w:bottom w:w="40" w:type="dxa"/>
              <w:right w:w="40" w:type="dxa"/>
            </w:tcMar>
            <w:vAlign w:val="bottom"/>
          </w:tcPr>
          <w:p w14:paraId="4ACE6518"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Exhibit</w:t>
            </w:r>
          </w:p>
          <w:p w14:paraId="4ACE6519"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Number</w:t>
            </w:r>
          </w:p>
        </w:tc>
        <w:tc>
          <w:tcPr>
            <w:tcW w:w="0" w:type="auto"/>
            <w:vMerge w:val="restart"/>
            <w:shd w:val="clear" w:color="auto" w:fill="auto"/>
            <w:tcMar>
              <w:top w:w="40" w:type="dxa"/>
              <w:left w:w="40" w:type="dxa"/>
              <w:bottom w:w="40" w:type="dxa"/>
              <w:right w:w="40" w:type="dxa"/>
            </w:tcMar>
            <w:vAlign w:val="bottom"/>
          </w:tcPr>
          <w:p w14:paraId="4ACE651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51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51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8"/>
            <w:tcBorders>
              <w:bottom w:val="single" w:sz="8" w:space="0" w:color="0071C5"/>
            </w:tcBorders>
            <w:shd w:val="clear" w:color="auto" w:fill="auto"/>
            <w:tcMar>
              <w:top w:w="40" w:type="dxa"/>
              <w:left w:w="40" w:type="dxa"/>
              <w:bottom w:w="40" w:type="dxa"/>
              <w:right w:w="40" w:type="dxa"/>
            </w:tcMar>
            <w:vAlign w:val="bottom"/>
          </w:tcPr>
          <w:p w14:paraId="4ACE651D"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Incorporated by Reference</w:t>
            </w:r>
          </w:p>
        </w:tc>
        <w:tc>
          <w:tcPr>
            <w:tcW w:w="0" w:type="auto"/>
            <w:shd w:val="clear" w:color="auto" w:fill="auto"/>
            <w:tcMar>
              <w:top w:w="40" w:type="dxa"/>
              <w:left w:w="40" w:type="dxa"/>
              <w:bottom w:w="40" w:type="dxa"/>
              <w:right w:w="40" w:type="dxa"/>
            </w:tcMar>
            <w:vAlign w:val="bottom"/>
          </w:tcPr>
          <w:p w14:paraId="4ACE651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tcBorders>
              <w:bottom w:val="single" w:sz="8" w:space="0" w:color="0071C5"/>
            </w:tcBorders>
            <w:shd w:val="clear" w:color="auto" w:fill="auto"/>
            <w:tcMar>
              <w:top w:w="40" w:type="dxa"/>
              <w:left w:w="40" w:type="dxa"/>
              <w:bottom w:w="40" w:type="dxa"/>
              <w:right w:w="40" w:type="dxa"/>
            </w:tcMar>
            <w:vAlign w:val="bottom"/>
          </w:tcPr>
          <w:p w14:paraId="4ACE651F"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Filed or</w:t>
            </w:r>
          </w:p>
          <w:p w14:paraId="4ACE6520"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Furnished</w:t>
            </w:r>
          </w:p>
          <w:p w14:paraId="4ACE6521"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Herewith</w:t>
            </w:r>
          </w:p>
        </w:tc>
      </w:tr>
      <w:tr w:rsidR="006F587A" w14:paraId="4ACE6531" w14:textId="77777777">
        <w:tc>
          <w:tcPr>
            <w:tcW w:w="0" w:type="auto"/>
            <w:vMerge/>
            <w:tcBorders>
              <w:bottom w:val="single" w:sz="8" w:space="0" w:color="0071C5"/>
            </w:tcBorders>
            <w:shd w:val="clear" w:color="auto" w:fill="auto"/>
            <w:tcMar>
              <w:top w:w="40" w:type="dxa"/>
              <w:left w:w="40" w:type="dxa"/>
              <w:bottom w:w="40" w:type="dxa"/>
              <w:right w:w="40" w:type="dxa"/>
            </w:tcMar>
            <w:vAlign w:val="bottom"/>
          </w:tcPr>
          <w:p w14:paraId="4ACE6523" w14:textId="77777777" w:rsidR="006F587A" w:rsidRDefault="006F587A">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4ACE6524" w14:textId="77777777" w:rsidR="006F587A" w:rsidRDefault="006F587A">
            <w:pPr>
              <w:rPr>
                <w:rFonts w:ascii="Times New Roman" w:hAnsi="Times New Roman"/>
                <w:sz w:val="20"/>
                <w:szCs w:val="20"/>
              </w:rPr>
            </w:pPr>
          </w:p>
        </w:tc>
        <w:tc>
          <w:tcPr>
            <w:tcW w:w="0" w:type="auto"/>
            <w:tcBorders>
              <w:bottom w:val="single" w:sz="8" w:space="0" w:color="0071C5"/>
            </w:tcBorders>
            <w:shd w:val="clear" w:color="auto" w:fill="auto"/>
            <w:tcMar>
              <w:top w:w="40" w:type="dxa"/>
              <w:left w:w="40" w:type="dxa"/>
              <w:bottom w:w="40" w:type="dxa"/>
              <w:right w:w="40" w:type="dxa"/>
            </w:tcMar>
            <w:vAlign w:val="bottom"/>
          </w:tcPr>
          <w:p w14:paraId="4ACE6525"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Exhibit Description</w:t>
            </w:r>
          </w:p>
        </w:tc>
        <w:tc>
          <w:tcPr>
            <w:tcW w:w="0" w:type="auto"/>
            <w:shd w:val="clear" w:color="auto" w:fill="auto"/>
            <w:tcMar>
              <w:top w:w="40" w:type="dxa"/>
              <w:left w:w="40" w:type="dxa"/>
              <w:bottom w:w="40" w:type="dxa"/>
              <w:right w:w="40" w:type="dxa"/>
            </w:tcMar>
            <w:vAlign w:val="bottom"/>
          </w:tcPr>
          <w:p w14:paraId="4ACE652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71C5"/>
            </w:tcBorders>
            <w:shd w:val="clear" w:color="auto" w:fill="auto"/>
            <w:tcMar>
              <w:top w:w="40" w:type="dxa"/>
              <w:left w:w="40" w:type="dxa"/>
              <w:bottom w:w="40" w:type="dxa"/>
              <w:right w:w="40" w:type="dxa"/>
            </w:tcMar>
            <w:vAlign w:val="bottom"/>
          </w:tcPr>
          <w:p w14:paraId="4ACE6527"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Form</w:t>
            </w:r>
          </w:p>
        </w:tc>
        <w:tc>
          <w:tcPr>
            <w:tcW w:w="0" w:type="auto"/>
            <w:shd w:val="clear" w:color="auto" w:fill="auto"/>
            <w:tcMar>
              <w:top w:w="40" w:type="dxa"/>
              <w:left w:w="40" w:type="dxa"/>
              <w:bottom w:w="40" w:type="dxa"/>
              <w:right w:w="40" w:type="dxa"/>
            </w:tcMar>
            <w:vAlign w:val="bottom"/>
          </w:tcPr>
          <w:p w14:paraId="4ACE652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71C5"/>
            </w:tcBorders>
            <w:shd w:val="clear" w:color="auto" w:fill="auto"/>
            <w:tcMar>
              <w:top w:w="40" w:type="dxa"/>
              <w:left w:w="40" w:type="dxa"/>
              <w:bottom w:w="40" w:type="dxa"/>
              <w:right w:w="40" w:type="dxa"/>
            </w:tcMar>
            <w:vAlign w:val="bottom"/>
          </w:tcPr>
          <w:p w14:paraId="4ACE6529"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File Number</w:t>
            </w:r>
          </w:p>
        </w:tc>
        <w:tc>
          <w:tcPr>
            <w:tcW w:w="0" w:type="auto"/>
            <w:shd w:val="clear" w:color="auto" w:fill="auto"/>
            <w:tcMar>
              <w:top w:w="40" w:type="dxa"/>
              <w:left w:w="40" w:type="dxa"/>
              <w:bottom w:w="40" w:type="dxa"/>
              <w:right w:w="40" w:type="dxa"/>
            </w:tcMar>
            <w:vAlign w:val="bottom"/>
          </w:tcPr>
          <w:p w14:paraId="4ACE652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71C5"/>
            </w:tcBorders>
            <w:shd w:val="clear" w:color="auto" w:fill="auto"/>
            <w:tcMar>
              <w:top w:w="40" w:type="dxa"/>
              <w:left w:w="40" w:type="dxa"/>
              <w:bottom w:w="40" w:type="dxa"/>
              <w:right w:w="40" w:type="dxa"/>
            </w:tcMar>
            <w:vAlign w:val="bottom"/>
          </w:tcPr>
          <w:p w14:paraId="4ACE652B"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Exhibit</w:t>
            </w:r>
          </w:p>
        </w:tc>
        <w:tc>
          <w:tcPr>
            <w:tcW w:w="0" w:type="auto"/>
            <w:shd w:val="clear" w:color="auto" w:fill="auto"/>
            <w:tcMar>
              <w:top w:w="40" w:type="dxa"/>
              <w:left w:w="40" w:type="dxa"/>
              <w:bottom w:w="40" w:type="dxa"/>
              <w:right w:w="40" w:type="dxa"/>
            </w:tcMar>
            <w:vAlign w:val="bottom"/>
          </w:tcPr>
          <w:p w14:paraId="4ACE652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71C5"/>
            </w:tcBorders>
            <w:shd w:val="clear" w:color="auto" w:fill="auto"/>
            <w:tcMar>
              <w:top w:w="40" w:type="dxa"/>
              <w:left w:w="40" w:type="dxa"/>
              <w:bottom w:w="40" w:type="dxa"/>
              <w:right w:w="40" w:type="dxa"/>
            </w:tcMar>
            <w:vAlign w:val="bottom"/>
          </w:tcPr>
          <w:p w14:paraId="4ACE652D"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Filing</w:t>
            </w:r>
          </w:p>
          <w:p w14:paraId="4ACE652E"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Date</w:t>
            </w:r>
          </w:p>
        </w:tc>
        <w:tc>
          <w:tcPr>
            <w:tcW w:w="0" w:type="auto"/>
            <w:shd w:val="clear" w:color="auto" w:fill="auto"/>
            <w:tcMar>
              <w:top w:w="40" w:type="dxa"/>
              <w:left w:w="40" w:type="dxa"/>
              <w:bottom w:w="40" w:type="dxa"/>
              <w:right w:w="40" w:type="dxa"/>
            </w:tcMar>
            <w:vAlign w:val="bottom"/>
          </w:tcPr>
          <w:p w14:paraId="4ACE652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tcBorders>
              <w:bottom w:val="single" w:sz="8" w:space="0" w:color="0071C5"/>
            </w:tcBorders>
            <w:shd w:val="clear" w:color="auto" w:fill="auto"/>
            <w:tcMar>
              <w:top w:w="40" w:type="dxa"/>
              <w:left w:w="40" w:type="dxa"/>
              <w:bottom w:w="40" w:type="dxa"/>
              <w:right w:w="40" w:type="dxa"/>
            </w:tcMar>
            <w:vAlign w:val="bottom"/>
          </w:tcPr>
          <w:p w14:paraId="4ACE6530" w14:textId="77777777" w:rsidR="006F587A" w:rsidRDefault="006F587A">
            <w:pPr>
              <w:rPr>
                <w:rFonts w:ascii="Times New Roman" w:hAnsi="Times New Roman"/>
                <w:sz w:val="20"/>
                <w:szCs w:val="20"/>
              </w:rPr>
            </w:pPr>
          </w:p>
        </w:tc>
      </w:tr>
      <w:tr w:rsidR="006F587A" w14:paraId="4ACE6541" w14:textId="77777777">
        <w:tc>
          <w:tcPr>
            <w:tcW w:w="0" w:type="auto"/>
            <w:shd w:val="clear" w:color="auto" w:fill="auto"/>
            <w:tcMar>
              <w:top w:w="40" w:type="dxa"/>
              <w:left w:w="240" w:type="dxa"/>
              <w:bottom w:w="40" w:type="dxa"/>
              <w:right w:w="40" w:type="dxa"/>
            </w:tcMar>
          </w:tcPr>
          <w:p w14:paraId="4ACE6532"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2.1</w:t>
            </w:r>
          </w:p>
        </w:tc>
        <w:tc>
          <w:tcPr>
            <w:tcW w:w="0" w:type="auto"/>
            <w:shd w:val="clear" w:color="auto" w:fill="auto"/>
            <w:tcMar>
              <w:top w:w="40" w:type="dxa"/>
              <w:left w:w="40" w:type="dxa"/>
              <w:bottom w:w="40" w:type="dxa"/>
              <w:right w:w="40" w:type="dxa"/>
            </w:tcMar>
            <w:vAlign w:val="bottom"/>
          </w:tcPr>
          <w:p w14:paraId="4ACE653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34" w14:textId="77777777" w:rsidR="006F587A" w:rsidRDefault="007B2B61">
            <w:pPr>
              <w:textAlignment w:val="top"/>
              <w:rPr>
                <w:rFonts w:ascii="Times New Roman" w:hAnsi="Times New Roman"/>
                <w:sz w:val="18"/>
                <w:szCs w:val="18"/>
              </w:rPr>
            </w:pPr>
            <w:hyperlink r:id="rId179" w:history="1">
              <w:r>
                <w:rPr>
                  <w:rStyle w:val="a5"/>
                  <w:rFonts w:ascii="Arial" w:eastAsia="宋体" w:hAnsi="Arial" w:cs="Arial"/>
                  <w:sz w:val="18"/>
                  <w:szCs w:val="18"/>
                </w:rPr>
                <w:t>Purchase Agreement, dated as of March 12, 2017, by and among Intel Corporation, Cyclops Holdings, Inc. and Mobileye N.V.</w:t>
              </w:r>
            </w:hyperlink>
          </w:p>
          <w:p w14:paraId="4ACE6535" w14:textId="77777777" w:rsidR="006F587A" w:rsidRDefault="006F587A">
            <w:pPr>
              <w:textAlignment w:val="top"/>
              <w:rPr>
                <w:rFonts w:ascii="Times New Roman" w:hAnsi="Times New Roman"/>
                <w:sz w:val="18"/>
                <w:szCs w:val="18"/>
              </w:rPr>
            </w:pPr>
          </w:p>
        </w:tc>
        <w:tc>
          <w:tcPr>
            <w:tcW w:w="0" w:type="auto"/>
            <w:shd w:val="clear" w:color="auto" w:fill="auto"/>
            <w:tcMar>
              <w:top w:w="40" w:type="dxa"/>
              <w:left w:w="40" w:type="dxa"/>
              <w:bottom w:w="40" w:type="dxa"/>
              <w:right w:w="40" w:type="dxa"/>
            </w:tcMar>
            <w:vAlign w:val="bottom"/>
          </w:tcPr>
          <w:p w14:paraId="4ACE653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37"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8-K</w:t>
            </w:r>
          </w:p>
        </w:tc>
        <w:tc>
          <w:tcPr>
            <w:tcW w:w="0" w:type="auto"/>
            <w:shd w:val="clear" w:color="auto" w:fill="auto"/>
            <w:tcMar>
              <w:top w:w="40" w:type="dxa"/>
              <w:left w:w="40" w:type="dxa"/>
              <w:bottom w:w="40" w:type="dxa"/>
              <w:right w:w="40" w:type="dxa"/>
            </w:tcMar>
            <w:vAlign w:val="bottom"/>
          </w:tcPr>
          <w:p w14:paraId="4ACE653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39"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4ACE653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ACE653B"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2.1</w:t>
            </w:r>
          </w:p>
        </w:tc>
        <w:tc>
          <w:tcPr>
            <w:tcW w:w="0" w:type="auto"/>
            <w:shd w:val="clear" w:color="auto" w:fill="auto"/>
            <w:vAlign w:val="bottom"/>
          </w:tcPr>
          <w:p w14:paraId="4ACE653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53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3E"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3/13/2017</w:t>
            </w:r>
          </w:p>
        </w:tc>
        <w:tc>
          <w:tcPr>
            <w:tcW w:w="0" w:type="auto"/>
            <w:shd w:val="clear" w:color="auto" w:fill="auto"/>
            <w:tcMar>
              <w:top w:w="40" w:type="dxa"/>
              <w:left w:w="40" w:type="dxa"/>
              <w:bottom w:w="40" w:type="dxa"/>
              <w:right w:w="40" w:type="dxa"/>
            </w:tcMar>
            <w:vAlign w:val="bottom"/>
          </w:tcPr>
          <w:p w14:paraId="4ACE653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54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550" w14:textId="77777777">
        <w:tc>
          <w:tcPr>
            <w:tcW w:w="0" w:type="auto"/>
            <w:shd w:val="clear" w:color="auto" w:fill="auto"/>
            <w:tcMar>
              <w:top w:w="40" w:type="dxa"/>
              <w:left w:w="240" w:type="dxa"/>
              <w:bottom w:w="40" w:type="dxa"/>
              <w:right w:w="40" w:type="dxa"/>
            </w:tcMar>
          </w:tcPr>
          <w:p w14:paraId="4ACE6542"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3.1</w:t>
            </w:r>
          </w:p>
        </w:tc>
        <w:tc>
          <w:tcPr>
            <w:tcW w:w="0" w:type="auto"/>
            <w:shd w:val="clear" w:color="auto" w:fill="auto"/>
            <w:tcMar>
              <w:top w:w="40" w:type="dxa"/>
              <w:left w:w="40" w:type="dxa"/>
              <w:bottom w:w="40" w:type="dxa"/>
              <w:right w:w="40" w:type="dxa"/>
            </w:tcMar>
            <w:vAlign w:val="bottom"/>
          </w:tcPr>
          <w:p w14:paraId="4ACE654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44" w14:textId="77777777" w:rsidR="006F587A" w:rsidRDefault="007B2B61">
            <w:pPr>
              <w:textAlignment w:val="top"/>
              <w:rPr>
                <w:rFonts w:ascii="Times New Roman" w:hAnsi="Times New Roman"/>
                <w:sz w:val="18"/>
                <w:szCs w:val="18"/>
              </w:rPr>
            </w:pPr>
            <w:hyperlink r:id="rId180" w:history="1">
              <w:r>
                <w:rPr>
                  <w:rStyle w:val="a5"/>
                  <w:rFonts w:ascii="Arial" w:eastAsia="宋体" w:hAnsi="Arial" w:cs="Arial"/>
                  <w:sz w:val="18"/>
                  <w:szCs w:val="18"/>
                </w:rPr>
                <w:t>Intel Corporation Third Restated Certificate of Incorporation of Intel Corporation dated May 17, 2006</w:t>
              </w:r>
            </w:hyperlink>
          </w:p>
        </w:tc>
        <w:tc>
          <w:tcPr>
            <w:tcW w:w="0" w:type="auto"/>
            <w:shd w:val="clear" w:color="auto" w:fill="auto"/>
            <w:tcMar>
              <w:top w:w="40" w:type="dxa"/>
              <w:left w:w="40" w:type="dxa"/>
              <w:bottom w:w="40" w:type="dxa"/>
              <w:right w:w="40" w:type="dxa"/>
            </w:tcMar>
            <w:vAlign w:val="bottom"/>
          </w:tcPr>
          <w:p w14:paraId="4ACE654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46"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8-K</w:t>
            </w:r>
          </w:p>
        </w:tc>
        <w:tc>
          <w:tcPr>
            <w:tcW w:w="0" w:type="auto"/>
            <w:shd w:val="clear" w:color="auto" w:fill="auto"/>
            <w:tcMar>
              <w:top w:w="40" w:type="dxa"/>
              <w:left w:w="40" w:type="dxa"/>
              <w:bottom w:w="40" w:type="dxa"/>
              <w:right w:w="40" w:type="dxa"/>
            </w:tcMar>
            <w:vAlign w:val="bottom"/>
          </w:tcPr>
          <w:p w14:paraId="4ACE654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48"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4ACE654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ACE654A"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3.1</w:t>
            </w:r>
          </w:p>
        </w:tc>
        <w:tc>
          <w:tcPr>
            <w:tcW w:w="0" w:type="auto"/>
            <w:shd w:val="clear" w:color="auto" w:fill="auto"/>
            <w:vAlign w:val="bottom"/>
          </w:tcPr>
          <w:p w14:paraId="4ACE654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54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4D"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5/22/2006</w:t>
            </w:r>
          </w:p>
        </w:tc>
        <w:tc>
          <w:tcPr>
            <w:tcW w:w="0" w:type="auto"/>
            <w:shd w:val="clear" w:color="auto" w:fill="auto"/>
            <w:tcMar>
              <w:top w:w="40" w:type="dxa"/>
              <w:left w:w="40" w:type="dxa"/>
              <w:bottom w:w="40" w:type="dxa"/>
              <w:right w:w="40" w:type="dxa"/>
            </w:tcMar>
            <w:vAlign w:val="bottom"/>
          </w:tcPr>
          <w:p w14:paraId="4ACE654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54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55F" w14:textId="77777777">
        <w:tc>
          <w:tcPr>
            <w:tcW w:w="0" w:type="auto"/>
            <w:shd w:val="clear" w:color="auto" w:fill="auto"/>
            <w:tcMar>
              <w:top w:w="40" w:type="dxa"/>
              <w:left w:w="240" w:type="dxa"/>
              <w:bottom w:w="40" w:type="dxa"/>
              <w:right w:w="40" w:type="dxa"/>
            </w:tcMar>
          </w:tcPr>
          <w:p w14:paraId="4ACE6551"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3.2</w:t>
            </w:r>
          </w:p>
        </w:tc>
        <w:tc>
          <w:tcPr>
            <w:tcW w:w="0" w:type="auto"/>
            <w:shd w:val="clear" w:color="auto" w:fill="auto"/>
            <w:tcMar>
              <w:top w:w="40" w:type="dxa"/>
              <w:left w:w="40" w:type="dxa"/>
              <w:bottom w:w="40" w:type="dxa"/>
              <w:right w:w="40" w:type="dxa"/>
            </w:tcMar>
            <w:vAlign w:val="bottom"/>
          </w:tcPr>
          <w:p w14:paraId="4ACE655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53" w14:textId="77777777" w:rsidR="006F587A" w:rsidRDefault="007B2B61">
            <w:pPr>
              <w:textAlignment w:val="top"/>
              <w:rPr>
                <w:rFonts w:ascii="Times New Roman" w:hAnsi="Times New Roman"/>
                <w:sz w:val="18"/>
                <w:szCs w:val="18"/>
              </w:rPr>
            </w:pPr>
            <w:hyperlink r:id="rId181" w:history="1">
              <w:r>
                <w:rPr>
                  <w:rStyle w:val="a5"/>
                  <w:rFonts w:ascii="Arial" w:eastAsia="宋体" w:hAnsi="Arial" w:cs="Arial"/>
                  <w:sz w:val="18"/>
                  <w:szCs w:val="18"/>
                </w:rPr>
                <w:t>Intel Corporation Bylaws, as amended and restated on January 16, 2019</w:t>
              </w:r>
            </w:hyperlink>
          </w:p>
        </w:tc>
        <w:tc>
          <w:tcPr>
            <w:tcW w:w="0" w:type="auto"/>
            <w:shd w:val="clear" w:color="auto" w:fill="auto"/>
            <w:tcMar>
              <w:top w:w="40" w:type="dxa"/>
              <w:left w:w="40" w:type="dxa"/>
              <w:bottom w:w="40" w:type="dxa"/>
              <w:right w:w="40" w:type="dxa"/>
            </w:tcMar>
            <w:vAlign w:val="bottom"/>
          </w:tcPr>
          <w:p w14:paraId="4ACE655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55"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8-K</w:t>
            </w:r>
          </w:p>
        </w:tc>
        <w:tc>
          <w:tcPr>
            <w:tcW w:w="0" w:type="auto"/>
            <w:shd w:val="clear" w:color="auto" w:fill="auto"/>
            <w:tcMar>
              <w:top w:w="40" w:type="dxa"/>
              <w:left w:w="40" w:type="dxa"/>
              <w:bottom w:w="40" w:type="dxa"/>
              <w:right w:w="40" w:type="dxa"/>
            </w:tcMar>
            <w:vAlign w:val="bottom"/>
          </w:tcPr>
          <w:p w14:paraId="4ACE655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57"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4ACE655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ACE6559"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3.2</w:t>
            </w:r>
          </w:p>
        </w:tc>
        <w:tc>
          <w:tcPr>
            <w:tcW w:w="0" w:type="auto"/>
            <w:shd w:val="clear" w:color="auto" w:fill="auto"/>
            <w:vAlign w:val="bottom"/>
          </w:tcPr>
          <w:p w14:paraId="4ACE655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55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5C"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1/17/2019</w:t>
            </w:r>
          </w:p>
        </w:tc>
        <w:tc>
          <w:tcPr>
            <w:tcW w:w="0" w:type="auto"/>
            <w:shd w:val="clear" w:color="auto" w:fill="auto"/>
            <w:tcMar>
              <w:top w:w="40" w:type="dxa"/>
              <w:left w:w="40" w:type="dxa"/>
              <w:bottom w:w="40" w:type="dxa"/>
              <w:right w:w="40" w:type="dxa"/>
            </w:tcMar>
            <w:vAlign w:val="bottom"/>
          </w:tcPr>
          <w:p w14:paraId="4ACE655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55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56E" w14:textId="77777777">
        <w:tc>
          <w:tcPr>
            <w:tcW w:w="0" w:type="auto"/>
            <w:shd w:val="clear" w:color="auto" w:fill="auto"/>
            <w:tcMar>
              <w:top w:w="40" w:type="dxa"/>
              <w:left w:w="240" w:type="dxa"/>
              <w:bottom w:w="40" w:type="dxa"/>
              <w:right w:w="40" w:type="dxa"/>
            </w:tcMar>
          </w:tcPr>
          <w:p w14:paraId="4ACE6560"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4.1</w:t>
            </w:r>
          </w:p>
        </w:tc>
        <w:tc>
          <w:tcPr>
            <w:tcW w:w="0" w:type="auto"/>
            <w:shd w:val="clear" w:color="auto" w:fill="auto"/>
            <w:tcMar>
              <w:top w:w="40" w:type="dxa"/>
              <w:left w:w="40" w:type="dxa"/>
              <w:bottom w:w="40" w:type="dxa"/>
              <w:right w:w="40" w:type="dxa"/>
            </w:tcMar>
            <w:vAlign w:val="bottom"/>
          </w:tcPr>
          <w:p w14:paraId="4ACE656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62" w14:textId="77777777" w:rsidR="006F587A" w:rsidRDefault="007B2B61">
            <w:pPr>
              <w:textAlignment w:val="top"/>
              <w:rPr>
                <w:rFonts w:ascii="Times New Roman" w:hAnsi="Times New Roman"/>
                <w:sz w:val="18"/>
                <w:szCs w:val="18"/>
              </w:rPr>
            </w:pPr>
            <w:hyperlink r:id="rId182" w:history="1">
              <w:r>
                <w:rPr>
                  <w:rStyle w:val="a5"/>
                  <w:rFonts w:ascii="Arial" w:eastAsia="宋体" w:hAnsi="Arial" w:cs="Arial"/>
                  <w:sz w:val="18"/>
                  <w:szCs w:val="18"/>
                </w:rPr>
                <w:t>Indenture dated as of March 29, 2006 between Intel Corporation and Wells Fargo Bank, National Association (as successor to Citibank N.A.) (the "Open-Ended Indentu</w:t>
              </w:r>
              <w:r>
                <w:rPr>
                  <w:rStyle w:val="a5"/>
                  <w:rFonts w:ascii="Arial" w:eastAsia="宋体" w:hAnsi="Arial" w:cs="Arial"/>
                  <w:sz w:val="18"/>
                  <w:szCs w:val="18"/>
                </w:rPr>
                <w:t>re")</w:t>
              </w:r>
            </w:hyperlink>
          </w:p>
        </w:tc>
        <w:tc>
          <w:tcPr>
            <w:tcW w:w="0" w:type="auto"/>
            <w:shd w:val="clear" w:color="auto" w:fill="auto"/>
            <w:tcMar>
              <w:top w:w="40" w:type="dxa"/>
              <w:left w:w="40" w:type="dxa"/>
              <w:bottom w:w="40" w:type="dxa"/>
              <w:right w:w="40" w:type="dxa"/>
            </w:tcMar>
            <w:vAlign w:val="bottom"/>
          </w:tcPr>
          <w:p w14:paraId="4ACE656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64"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S-3ASR</w:t>
            </w:r>
          </w:p>
        </w:tc>
        <w:tc>
          <w:tcPr>
            <w:tcW w:w="0" w:type="auto"/>
            <w:shd w:val="clear" w:color="auto" w:fill="auto"/>
            <w:tcMar>
              <w:top w:w="40" w:type="dxa"/>
              <w:left w:w="40" w:type="dxa"/>
              <w:bottom w:w="40" w:type="dxa"/>
              <w:right w:w="40" w:type="dxa"/>
            </w:tcMar>
            <w:vAlign w:val="bottom"/>
          </w:tcPr>
          <w:p w14:paraId="4ACE656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66"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333-132865</w:t>
            </w:r>
          </w:p>
        </w:tc>
        <w:tc>
          <w:tcPr>
            <w:tcW w:w="0" w:type="auto"/>
            <w:shd w:val="clear" w:color="auto" w:fill="auto"/>
            <w:tcMar>
              <w:top w:w="40" w:type="dxa"/>
              <w:left w:w="40" w:type="dxa"/>
              <w:bottom w:w="40" w:type="dxa"/>
              <w:right w:w="40" w:type="dxa"/>
            </w:tcMar>
            <w:vAlign w:val="bottom"/>
          </w:tcPr>
          <w:p w14:paraId="4ACE656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ACE6568"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4.4</w:t>
            </w:r>
          </w:p>
        </w:tc>
        <w:tc>
          <w:tcPr>
            <w:tcW w:w="0" w:type="auto"/>
            <w:shd w:val="clear" w:color="auto" w:fill="auto"/>
            <w:vAlign w:val="bottom"/>
          </w:tcPr>
          <w:p w14:paraId="4ACE656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56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6B"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3/30/2006</w:t>
            </w:r>
          </w:p>
        </w:tc>
        <w:tc>
          <w:tcPr>
            <w:tcW w:w="0" w:type="auto"/>
            <w:shd w:val="clear" w:color="auto" w:fill="auto"/>
            <w:tcMar>
              <w:top w:w="40" w:type="dxa"/>
              <w:left w:w="40" w:type="dxa"/>
              <w:bottom w:w="40" w:type="dxa"/>
              <w:right w:w="40" w:type="dxa"/>
            </w:tcMar>
            <w:vAlign w:val="bottom"/>
          </w:tcPr>
          <w:p w14:paraId="4ACE656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56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57D" w14:textId="77777777">
        <w:tc>
          <w:tcPr>
            <w:tcW w:w="0" w:type="auto"/>
            <w:shd w:val="clear" w:color="auto" w:fill="auto"/>
            <w:tcMar>
              <w:top w:w="40" w:type="dxa"/>
              <w:left w:w="240" w:type="dxa"/>
              <w:bottom w:w="40" w:type="dxa"/>
              <w:right w:w="40" w:type="dxa"/>
            </w:tcMar>
          </w:tcPr>
          <w:p w14:paraId="4ACE656F"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4.2</w:t>
            </w:r>
          </w:p>
        </w:tc>
        <w:tc>
          <w:tcPr>
            <w:tcW w:w="0" w:type="auto"/>
            <w:shd w:val="clear" w:color="auto" w:fill="auto"/>
            <w:tcMar>
              <w:top w:w="40" w:type="dxa"/>
              <w:left w:w="40" w:type="dxa"/>
              <w:bottom w:w="40" w:type="dxa"/>
              <w:right w:w="40" w:type="dxa"/>
            </w:tcMar>
            <w:vAlign w:val="bottom"/>
          </w:tcPr>
          <w:p w14:paraId="4ACE657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71" w14:textId="77777777" w:rsidR="006F587A" w:rsidRDefault="007B2B61">
            <w:pPr>
              <w:textAlignment w:val="top"/>
              <w:rPr>
                <w:rFonts w:ascii="Times New Roman" w:hAnsi="Times New Roman"/>
                <w:sz w:val="18"/>
                <w:szCs w:val="18"/>
              </w:rPr>
            </w:pPr>
            <w:hyperlink r:id="rId183" w:history="1">
              <w:r>
                <w:rPr>
                  <w:rStyle w:val="a5"/>
                  <w:rFonts w:ascii="Arial" w:eastAsia="宋体" w:hAnsi="Arial" w:cs="Arial"/>
                  <w:sz w:val="18"/>
                  <w:szCs w:val="18"/>
                </w:rPr>
                <w:t>First Supplemental Indenture to Open-Ended Indenture, dated as of December 3, 2007</w:t>
              </w:r>
            </w:hyperlink>
          </w:p>
        </w:tc>
        <w:tc>
          <w:tcPr>
            <w:tcW w:w="0" w:type="auto"/>
            <w:shd w:val="clear" w:color="auto" w:fill="auto"/>
            <w:tcMar>
              <w:top w:w="40" w:type="dxa"/>
              <w:left w:w="40" w:type="dxa"/>
              <w:bottom w:w="40" w:type="dxa"/>
              <w:right w:w="40" w:type="dxa"/>
            </w:tcMar>
            <w:vAlign w:val="bottom"/>
          </w:tcPr>
          <w:p w14:paraId="4ACE657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73"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10-K</w:t>
            </w:r>
          </w:p>
        </w:tc>
        <w:tc>
          <w:tcPr>
            <w:tcW w:w="0" w:type="auto"/>
            <w:shd w:val="clear" w:color="auto" w:fill="auto"/>
            <w:tcMar>
              <w:top w:w="40" w:type="dxa"/>
              <w:left w:w="40" w:type="dxa"/>
              <w:bottom w:w="40" w:type="dxa"/>
              <w:right w:w="40" w:type="dxa"/>
            </w:tcMar>
            <w:vAlign w:val="bottom"/>
          </w:tcPr>
          <w:p w14:paraId="4ACE657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75"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4ACE657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ACE6577"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4.2.4</w:t>
            </w:r>
          </w:p>
        </w:tc>
        <w:tc>
          <w:tcPr>
            <w:tcW w:w="0" w:type="auto"/>
            <w:shd w:val="clear" w:color="auto" w:fill="auto"/>
            <w:vAlign w:val="bottom"/>
          </w:tcPr>
          <w:p w14:paraId="4ACE657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57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7A"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2/20/2008</w:t>
            </w:r>
          </w:p>
        </w:tc>
        <w:tc>
          <w:tcPr>
            <w:tcW w:w="0" w:type="auto"/>
            <w:shd w:val="clear" w:color="auto" w:fill="auto"/>
            <w:tcMar>
              <w:top w:w="40" w:type="dxa"/>
              <w:left w:w="40" w:type="dxa"/>
              <w:bottom w:w="40" w:type="dxa"/>
              <w:right w:w="40" w:type="dxa"/>
            </w:tcMar>
            <w:vAlign w:val="bottom"/>
          </w:tcPr>
          <w:p w14:paraId="4ACE657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57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58C" w14:textId="77777777">
        <w:tc>
          <w:tcPr>
            <w:tcW w:w="0" w:type="auto"/>
            <w:shd w:val="clear" w:color="auto" w:fill="auto"/>
            <w:tcMar>
              <w:top w:w="40" w:type="dxa"/>
              <w:left w:w="240" w:type="dxa"/>
              <w:bottom w:w="40" w:type="dxa"/>
              <w:right w:w="40" w:type="dxa"/>
            </w:tcMar>
          </w:tcPr>
          <w:p w14:paraId="4ACE657E"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4.3</w:t>
            </w:r>
          </w:p>
        </w:tc>
        <w:tc>
          <w:tcPr>
            <w:tcW w:w="0" w:type="auto"/>
            <w:shd w:val="clear" w:color="auto" w:fill="auto"/>
            <w:tcMar>
              <w:top w:w="40" w:type="dxa"/>
              <w:left w:w="40" w:type="dxa"/>
              <w:bottom w:w="40" w:type="dxa"/>
              <w:right w:w="40" w:type="dxa"/>
            </w:tcMar>
            <w:vAlign w:val="bottom"/>
          </w:tcPr>
          <w:p w14:paraId="4ACE657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80" w14:textId="77777777" w:rsidR="006F587A" w:rsidRDefault="007B2B61">
            <w:pPr>
              <w:textAlignment w:val="top"/>
              <w:rPr>
                <w:rFonts w:ascii="Times New Roman" w:hAnsi="Times New Roman"/>
                <w:sz w:val="18"/>
                <w:szCs w:val="18"/>
              </w:rPr>
            </w:pPr>
            <w:hyperlink r:id="rId184" w:history="1">
              <w:r>
                <w:rPr>
                  <w:rStyle w:val="a5"/>
                  <w:rFonts w:ascii="Arial" w:eastAsia="宋体" w:hAnsi="Arial" w:cs="Arial"/>
                  <w:sz w:val="18"/>
                  <w:szCs w:val="18"/>
                </w:rPr>
                <w:t xml:space="preserve">Indenture for the Registrant’s 3.25% Junior Subordinated Convertible Debentures due 2039 between Intel </w:t>
              </w:r>
              <w:r>
                <w:rPr>
                  <w:rStyle w:val="a5"/>
                  <w:rFonts w:ascii="Arial" w:eastAsia="宋体" w:hAnsi="Arial" w:cs="Arial"/>
                  <w:sz w:val="18"/>
                  <w:szCs w:val="18"/>
                </w:rPr>
                <w:t>Corporation and Wells Fargo Bank, National Association, dated as of July 27, 2009</w:t>
              </w:r>
            </w:hyperlink>
          </w:p>
        </w:tc>
        <w:tc>
          <w:tcPr>
            <w:tcW w:w="0" w:type="auto"/>
            <w:shd w:val="clear" w:color="auto" w:fill="auto"/>
            <w:tcMar>
              <w:top w:w="40" w:type="dxa"/>
              <w:left w:w="40" w:type="dxa"/>
              <w:bottom w:w="40" w:type="dxa"/>
              <w:right w:w="40" w:type="dxa"/>
            </w:tcMar>
            <w:vAlign w:val="bottom"/>
          </w:tcPr>
          <w:p w14:paraId="4ACE658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82"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10-Q</w:t>
            </w:r>
          </w:p>
        </w:tc>
        <w:tc>
          <w:tcPr>
            <w:tcW w:w="0" w:type="auto"/>
            <w:shd w:val="clear" w:color="auto" w:fill="auto"/>
            <w:tcMar>
              <w:top w:w="40" w:type="dxa"/>
              <w:left w:w="40" w:type="dxa"/>
              <w:bottom w:w="40" w:type="dxa"/>
              <w:right w:w="40" w:type="dxa"/>
            </w:tcMar>
            <w:vAlign w:val="bottom"/>
          </w:tcPr>
          <w:p w14:paraId="4ACE658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84"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4ACE658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ACE6586"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4.1</w:t>
            </w:r>
          </w:p>
        </w:tc>
        <w:tc>
          <w:tcPr>
            <w:tcW w:w="0" w:type="auto"/>
            <w:shd w:val="clear" w:color="auto" w:fill="auto"/>
            <w:vAlign w:val="bottom"/>
          </w:tcPr>
          <w:p w14:paraId="4ACE658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58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89"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11/2/2009</w:t>
            </w:r>
          </w:p>
        </w:tc>
        <w:tc>
          <w:tcPr>
            <w:tcW w:w="0" w:type="auto"/>
            <w:shd w:val="clear" w:color="auto" w:fill="auto"/>
            <w:tcMar>
              <w:top w:w="40" w:type="dxa"/>
              <w:left w:w="40" w:type="dxa"/>
              <w:bottom w:w="40" w:type="dxa"/>
              <w:right w:w="40" w:type="dxa"/>
            </w:tcMar>
            <w:vAlign w:val="bottom"/>
          </w:tcPr>
          <w:p w14:paraId="4ACE658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58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59B" w14:textId="77777777">
        <w:tc>
          <w:tcPr>
            <w:tcW w:w="0" w:type="auto"/>
            <w:shd w:val="clear" w:color="auto" w:fill="auto"/>
            <w:tcMar>
              <w:top w:w="40" w:type="dxa"/>
              <w:left w:w="240" w:type="dxa"/>
              <w:bottom w:w="40" w:type="dxa"/>
              <w:right w:w="40" w:type="dxa"/>
            </w:tcMar>
          </w:tcPr>
          <w:p w14:paraId="4ACE658D"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4.4</w:t>
            </w:r>
          </w:p>
        </w:tc>
        <w:tc>
          <w:tcPr>
            <w:tcW w:w="0" w:type="auto"/>
            <w:shd w:val="clear" w:color="auto" w:fill="auto"/>
            <w:tcMar>
              <w:top w:w="40" w:type="dxa"/>
              <w:left w:w="40" w:type="dxa"/>
              <w:bottom w:w="40" w:type="dxa"/>
              <w:right w:w="40" w:type="dxa"/>
            </w:tcMar>
            <w:vAlign w:val="bottom"/>
          </w:tcPr>
          <w:p w14:paraId="4ACE658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8F" w14:textId="77777777" w:rsidR="006F587A" w:rsidRDefault="007B2B61">
            <w:pPr>
              <w:textAlignment w:val="top"/>
              <w:rPr>
                <w:rFonts w:ascii="Times New Roman" w:hAnsi="Times New Roman"/>
                <w:sz w:val="18"/>
                <w:szCs w:val="18"/>
              </w:rPr>
            </w:pPr>
            <w:hyperlink r:id="rId185" w:history="1">
              <w:r>
                <w:rPr>
                  <w:rStyle w:val="a5"/>
                  <w:rFonts w:ascii="Arial" w:eastAsia="宋体" w:hAnsi="Arial" w:cs="Arial"/>
                  <w:sz w:val="18"/>
                  <w:szCs w:val="18"/>
                </w:rPr>
                <w:t>Second Supplemental Indenture to Open-Ended Indenture for the Registrant’s 1.95% Senior Notes due 2016, 3.30% Senior Notes due 2021, and 4.80% Senior Notes d</w:t>
              </w:r>
              <w:r>
                <w:rPr>
                  <w:rStyle w:val="a5"/>
                  <w:rFonts w:ascii="Arial" w:eastAsia="宋体" w:hAnsi="Arial" w:cs="Arial"/>
                  <w:sz w:val="18"/>
                  <w:szCs w:val="18"/>
                </w:rPr>
                <w:t>ue 2041, dated as of September 19, 2011</w:t>
              </w:r>
            </w:hyperlink>
          </w:p>
        </w:tc>
        <w:tc>
          <w:tcPr>
            <w:tcW w:w="0" w:type="auto"/>
            <w:shd w:val="clear" w:color="auto" w:fill="auto"/>
            <w:tcMar>
              <w:top w:w="40" w:type="dxa"/>
              <w:left w:w="40" w:type="dxa"/>
              <w:bottom w:w="40" w:type="dxa"/>
              <w:right w:w="40" w:type="dxa"/>
            </w:tcMar>
            <w:vAlign w:val="bottom"/>
          </w:tcPr>
          <w:p w14:paraId="4ACE659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91"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8-K</w:t>
            </w:r>
          </w:p>
        </w:tc>
        <w:tc>
          <w:tcPr>
            <w:tcW w:w="0" w:type="auto"/>
            <w:shd w:val="clear" w:color="auto" w:fill="auto"/>
            <w:tcMar>
              <w:top w:w="40" w:type="dxa"/>
              <w:left w:w="40" w:type="dxa"/>
              <w:bottom w:w="40" w:type="dxa"/>
              <w:right w:w="40" w:type="dxa"/>
            </w:tcMar>
            <w:vAlign w:val="bottom"/>
          </w:tcPr>
          <w:p w14:paraId="4ACE659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93"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4ACE659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ACE6595"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4.01</w:t>
            </w:r>
          </w:p>
        </w:tc>
        <w:tc>
          <w:tcPr>
            <w:tcW w:w="0" w:type="auto"/>
            <w:shd w:val="clear" w:color="auto" w:fill="auto"/>
            <w:vAlign w:val="bottom"/>
          </w:tcPr>
          <w:p w14:paraId="4ACE659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59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98"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9/19/2011</w:t>
            </w:r>
          </w:p>
        </w:tc>
        <w:tc>
          <w:tcPr>
            <w:tcW w:w="0" w:type="auto"/>
            <w:shd w:val="clear" w:color="auto" w:fill="auto"/>
            <w:tcMar>
              <w:top w:w="40" w:type="dxa"/>
              <w:left w:w="40" w:type="dxa"/>
              <w:bottom w:w="40" w:type="dxa"/>
              <w:right w:w="40" w:type="dxa"/>
            </w:tcMar>
            <w:vAlign w:val="bottom"/>
          </w:tcPr>
          <w:p w14:paraId="4ACE659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59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5AA" w14:textId="77777777">
        <w:tc>
          <w:tcPr>
            <w:tcW w:w="0" w:type="auto"/>
            <w:shd w:val="clear" w:color="auto" w:fill="auto"/>
            <w:tcMar>
              <w:top w:w="40" w:type="dxa"/>
              <w:left w:w="240" w:type="dxa"/>
              <w:bottom w:w="40" w:type="dxa"/>
              <w:right w:w="40" w:type="dxa"/>
            </w:tcMar>
          </w:tcPr>
          <w:p w14:paraId="4ACE659C"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4.5</w:t>
            </w:r>
          </w:p>
        </w:tc>
        <w:tc>
          <w:tcPr>
            <w:tcW w:w="0" w:type="auto"/>
            <w:shd w:val="clear" w:color="auto" w:fill="auto"/>
            <w:tcMar>
              <w:top w:w="40" w:type="dxa"/>
              <w:left w:w="40" w:type="dxa"/>
              <w:bottom w:w="40" w:type="dxa"/>
              <w:right w:w="40" w:type="dxa"/>
            </w:tcMar>
            <w:vAlign w:val="bottom"/>
          </w:tcPr>
          <w:p w14:paraId="4ACE659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9E" w14:textId="77777777" w:rsidR="006F587A" w:rsidRDefault="007B2B61">
            <w:pPr>
              <w:textAlignment w:val="top"/>
              <w:rPr>
                <w:rFonts w:ascii="Times New Roman" w:hAnsi="Times New Roman"/>
                <w:sz w:val="18"/>
                <w:szCs w:val="18"/>
              </w:rPr>
            </w:pPr>
            <w:hyperlink r:id="rId186" w:history="1">
              <w:r>
                <w:rPr>
                  <w:rStyle w:val="a5"/>
                  <w:rFonts w:ascii="Arial" w:eastAsia="宋体" w:hAnsi="Arial" w:cs="Arial"/>
                  <w:sz w:val="18"/>
                  <w:szCs w:val="18"/>
                </w:rPr>
                <w:t>Third Supplemental Indenture to Open-Ended Indenture for the Registrant’s 1.35% Senior Notes due 2017, 2.70% Senior Notes due 2022, 4.00% Senior Notes due 2</w:t>
              </w:r>
              <w:r>
                <w:rPr>
                  <w:rStyle w:val="a5"/>
                  <w:rFonts w:ascii="Arial" w:eastAsia="宋体" w:hAnsi="Arial" w:cs="Arial"/>
                  <w:sz w:val="18"/>
                  <w:szCs w:val="18"/>
                </w:rPr>
                <w:t>032, and 4.25% Senior Notes due 2042, dated as of December 11, 2012</w:t>
              </w:r>
            </w:hyperlink>
          </w:p>
        </w:tc>
        <w:tc>
          <w:tcPr>
            <w:tcW w:w="0" w:type="auto"/>
            <w:shd w:val="clear" w:color="auto" w:fill="auto"/>
            <w:tcMar>
              <w:top w:w="40" w:type="dxa"/>
              <w:left w:w="40" w:type="dxa"/>
              <w:bottom w:w="40" w:type="dxa"/>
              <w:right w:w="40" w:type="dxa"/>
            </w:tcMar>
            <w:vAlign w:val="bottom"/>
          </w:tcPr>
          <w:p w14:paraId="4ACE659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A0"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8-K</w:t>
            </w:r>
          </w:p>
        </w:tc>
        <w:tc>
          <w:tcPr>
            <w:tcW w:w="0" w:type="auto"/>
            <w:shd w:val="clear" w:color="auto" w:fill="auto"/>
            <w:tcMar>
              <w:top w:w="40" w:type="dxa"/>
              <w:left w:w="40" w:type="dxa"/>
              <w:bottom w:w="40" w:type="dxa"/>
              <w:right w:w="40" w:type="dxa"/>
            </w:tcMar>
            <w:vAlign w:val="bottom"/>
          </w:tcPr>
          <w:p w14:paraId="4ACE65A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A2"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4ACE65A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ACE65A4"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4.01</w:t>
            </w:r>
          </w:p>
        </w:tc>
        <w:tc>
          <w:tcPr>
            <w:tcW w:w="0" w:type="auto"/>
            <w:shd w:val="clear" w:color="auto" w:fill="auto"/>
            <w:vAlign w:val="bottom"/>
          </w:tcPr>
          <w:p w14:paraId="4ACE65A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5A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A7"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12/11/2012</w:t>
            </w:r>
          </w:p>
        </w:tc>
        <w:tc>
          <w:tcPr>
            <w:tcW w:w="0" w:type="auto"/>
            <w:shd w:val="clear" w:color="auto" w:fill="auto"/>
            <w:tcMar>
              <w:top w:w="40" w:type="dxa"/>
              <w:left w:w="40" w:type="dxa"/>
              <w:bottom w:w="40" w:type="dxa"/>
              <w:right w:w="40" w:type="dxa"/>
            </w:tcMar>
            <w:vAlign w:val="bottom"/>
          </w:tcPr>
          <w:p w14:paraId="4ACE65A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5A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5B9" w14:textId="77777777">
        <w:tc>
          <w:tcPr>
            <w:tcW w:w="0" w:type="auto"/>
            <w:shd w:val="clear" w:color="auto" w:fill="auto"/>
            <w:tcMar>
              <w:top w:w="40" w:type="dxa"/>
              <w:left w:w="240" w:type="dxa"/>
              <w:bottom w:w="40" w:type="dxa"/>
              <w:right w:w="40" w:type="dxa"/>
            </w:tcMar>
          </w:tcPr>
          <w:p w14:paraId="4ACE65AB"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lastRenderedPageBreak/>
              <w:t>4.6</w:t>
            </w:r>
          </w:p>
        </w:tc>
        <w:tc>
          <w:tcPr>
            <w:tcW w:w="0" w:type="auto"/>
            <w:shd w:val="clear" w:color="auto" w:fill="auto"/>
            <w:tcMar>
              <w:top w:w="40" w:type="dxa"/>
              <w:left w:w="40" w:type="dxa"/>
              <w:bottom w:w="40" w:type="dxa"/>
              <w:right w:w="40" w:type="dxa"/>
            </w:tcMar>
            <w:vAlign w:val="bottom"/>
          </w:tcPr>
          <w:p w14:paraId="4ACE65A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AD" w14:textId="77777777" w:rsidR="006F587A" w:rsidRDefault="007B2B61">
            <w:pPr>
              <w:textAlignment w:val="top"/>
              <w:rPr>
                <w:rFonts w:ascii="Times New Roman" w:hAnsi="Times New Roman"/>
                <w:sz w:val="18"/>
                <w:szCs w:val="18"/>
              </w:rPr>
            </w:pPr>
            <w:hyperlink r:id="rId187" w:history="1">
              <w:r>
                <w:rPr>
                  <w:rStyle w:val="a5"/>
                  <w:rFonts w:ascii="Arial" w:eastAsia="宋体" w:hAnsi="Arial" w:cs="Arial"/>
                  <w:sz w:val="18"/>
                  <w:szCs w:val="18"/>
                </w:rPr>
                <w:t>Fourth Supplemental Indenture to Open-Ended Indenture for the Registrant’s 4.25% Senior Notes due 2042, dated as of December 14, 2012</w:t>
              </w:r>
            </w:hyperlink>
          </w:p>
        </w:tc>
        <w:tc>
          <w:tcPr>
            <w:tcW w:w="0" w:type="auto"/>
            <w:shd w:val="clear" w:color="auto" w:fill="auto"/>
            <w:tcMar>
              <w:top w:w="40" w:type="dxa"/>
              <w:left w:w="40" w:type="dxa"/>
              <w:bottom w:w="40" w:type="dxa"/>
              <w:right w:w="40" w:type="dxa"/>
            </w:tcMar>
            <w:vAlign w:val="bottom"/>
          </w:tcPr>
          <w:p w14:paraId="4ACE65A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AF"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8-K</w:t>
            </w:r>
          </w:p>
        </w:tc>
        <w:tc>
          <w:tcPr>
            <w:tcW w:w="0" w:type="auto"/>
            <w:shd w:val="clear" w:color="auto" w:fill="auto"/>
            <w:tcMar>
              <w:top w:w="40" w:type="dxa"/>
              <w:left w:w="40" w:type="dxa"/>
              <w:bottom w:w="40" w:type="dxa"/>
              <w:right w:w="40" w:type="dxa"/>
            </w:tcMar>
            <w:vAlign w:val="bottom"/>
          </w:tcPr>
          <w:p w14:paraId="4ACE65B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B1"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4ACE65B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ACE65B3"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4.01</w:t>
            </w:r>
          </w:p>
        </w:tc>
        <w:tc>
          <w:tcPr>
            <w:tcW w:w="0" w:type="auto"/>
            <w:shd w:val="clear" w:color="auto" w:fill="auto"/>
            <w:vAlign w:val="bottom"/>
          </w:tcPr>
          <w:p w14:paraId="4ACE65B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5B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B6"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12/14/2012</w:t>
            </w:r>
          </w:p>
        </w:tc>
        <w:tc>
          <w:tcPr>
            <w:tcW w:w="0" w:type="auto"/>
            <w:shd w:val="clear" w:color="auto" w:fill="auto"/>
            <w:tcMar>
              <w:top w:w="40" w:type="dxa"/>
              <w:left w:w="40" w:type="dxa"/>
              <w:bottom w:w="40" w:type="dxa"/>
              <w:right w:w="40" w:type="dxa"/>
            </w:tcMar>
            <w:vAlign w:val="bottom"/>
          </w:tcPr>
          <w:p w14:paraId="4ACE65B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5B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5CA" w14:textId="77777777">
        <w:tc>
          <w:tcPr>
            <w:tcW w:w="0" w:type="auto"/>
            <w:shd w:val="clear" w:color="auto" w:fill="auto"/>
            <w:tcMar>
              <w:top w:w="40" w:type="dxa"/>
              <w:left w:w="240" w:type="dxa"/>
              <w:bottom w:w="40" w:type="dxa"/>
              <w:right w:w="40" w:type="dxa"/>
            </w:tcMar>
          </w:tcPr>
          <w:p w14:paraId="4ACE65BA"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4.7</w:t>
            </w:r>
          </w:p>
        </w:tc>
        <w:tc>
          <w:tcPr>
            <w:tcW w:w="0" w:type="auto"/>
            <w:shd w:val="clear" w:color="auto" w:fill="auto"/>
            <w:tcMar>
              <w:top w:w="40" w:type="dxa"/>
              <w:left w:w="40" w:type="dxa"/>
              <w:bottom w:w="40" w:type="dxa"/>
              <w:right w:w="40" w:type="dxa"/>
            </w:tcMar>
            <w:vAlign w:val="bottom"/>
          </w:tcPr>
          <w:p w14:paraId="4ACE65B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BC" w14:textId="77777777" w:rsidR="006F587A" w:rsidRDefault="007B2B61">
            <w:pPr>
              <w:textAlignment w:val="top"/>
              <w:rPr>
                <w:rFonts w:ascii="Times New Roman" w:hAnsi="Times New Roman"/>
                <w:sz w:val="18"/>
                <w:szCs w:val="18"/>
              </w:rPr>
            </w:pPr>
            <w:hyperlink r:id="rId188" w:history="1">
              <w:r>
                <w:rPr>
                  <w:rStyle w:val="a5"/>
                  <w:rFonts w:ascii="Arial" w:eastAsia="宋体" w:hAnsi="Arial" w:cs="Arial"/>
                  <w:sz w:val="18"/>
                  <w:szCs w:val="18"/>
                </w:rPr>
                <w:t xml:space="preserve">Fifth Supplemental Indenture to Open-Ended Indenture, dated as of July 29, 2015, between Intel </w:t>
              </w:r>
              <w:r>
                <w:rPr>
                  <w:rStyle w:val="a5"/>
                  <w:rFonts w:ascii="Arial" w:eastAsia="宋体" w:hAnsi="Arial" w:cs="Arial"/>
                  <w:sz w:val="18"/>
                  <w:szCs w:val="18"/>
                </w:rPr>
                <w:t>Corporation and Wells Fargo Bank, National Association, as successor trustee</w:t>
              </w:r>
            </w:hyperlink>
          </w:p>
        </w:tc>
        <w:tc>
          <w:tcPr>
            <w:tcW w:w="0" w:type="auto"/>
            <w:shd w:val="clear" w:color="auto" w:fill="auto"/>
            <w:tcMar>
              <w:top w:w="40" w:type="dxa"/>
              <w:left w:w="40" w:type="dxa"/>
              <w:bottom w:w="40" w:type="dxa"/>
              <w:right w:w="40" w:type="dxa"/>
            </w:tcMar>
            <w:vAlign w:val="bottom"/>
          </w:tcPr>
          <w:p w14:paraId="4ACE65B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BE"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8-K</w:t>
            </w:r>
          </w:p>
        </w:tc>
        <w:tc>
          <w:tcPr>
            <w:tcW w:w="0" w:type="auto"/>
            <w:shd w:val="clear" w:color="auto" w:fill="auto"/>
            <w:tcMar>
              <w:top w:w="40" w:type="dxa"/>
              <w:left w:w="40" w:type="dxa"/>
              <w:bottom w:w="40" w:type="dxa"/>
              <w:right w:w="40" w:type="dxa"/>
            </w:tcMar>
            <w:vAlign w:val="bottom"/>
          </w:tcPr>
          <w:p w14:paraId="4ACE65B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C0"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000-06217</w:t>
            </w:r>
          </w:p>
          <w:p w14:paraId="4ACE65C1" w14:textId="77777777" w:rsidR="006F587A" w:rsidRDefault="006F587A">
            <w:pPr>
              <w:jc w:val="right"/>
              <w:textAlignment w:val="top"/>
              <w:rPr>
                <w:rFonts w:ascii="Times New Roman" w:hAnsi="Times New Roman"/>
                <w:sz w:val="18"/>
                <w:szCs w:val="18"/>
              </w:rPr>
            </w:pPr>
          </w:p>
          <w:p w14:paraId="4ACE65C2" w14:textId="77777777" w:rsidR="006F587A" w:rsidRDefault="006F587A">
            <w:pPr>
              <w:jc w:val="right"/>
              <w:textAlignment w:val="top"/>
              <w:rPr>
                <w:rFonts w:ascii="Times New Roman" w:hAnsi="Times New Roman"/>
                <w:sz w:val="18"/>
                <w:szCs w:val="18"/>
              </w:rPr>
            </w:pPr>
          </w:p>
        </w:tc>
        <w:tc>
          <w:tcPr>
            <w:tcW w:w="0" w:type="auto"/>
            <w:shd w:val="clear" w:color="auto" w:fill="auto"/>
            <w:tcMar>
              <w:top w:w="40" w:type="dxa"/>
              <w:left w:w="40" w:type="dxa"/>
              <w:bottom w:w="40" w:type="dxa"/>
              <w:right w:w="40" w:type="dxa"/>
            </w:tcMar>
            <w:vAlign w:val="bottom"/>
          </w:tcPr>
          <w:p w14:paraId="4ACE65C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ACE65C4"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4.1</w:t>
            </w:r>
          </w:p>
        </w:tc>
        <w:tc>
          <w:tcPr>
            <w:tcW w:w="0" w:type="auto"/>
            <w:shd w:val="clear" w:color="auto" w:fill="auto"/>
            <w:vAlign w:val="bottom"/>
          </w:tcPr>
          <w:p w14:paraId="4ACE65C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5C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C7"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7/29/2015</w:t>
            </w:r>
          </w:p>
        </w:tc>
        <w:tc>
          <w:tcPr>
            <w:tcW w:w="0" w:type="auto"/>
            <w:shd w:val="clear" w:color="auto" w:fill="auto"/>
            <w:tcMar>
              <w:top w:w="40" w:type="dxa"/>
              <w:left w:w="40" w:type="dxa"/>
              <w:bottom w:w="40" w:type="dxa"/>
              <w:right w:w="40" w:type="dxa"/>
            </w:tcMar>
            <w:vAlign w:val="bottom"/>
          </w:tcPr>
          <w:p w14:paraId="4ACE65C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5C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5D9" w14:textId="77777777">
        <w:tc>
          <w:tcPr>
            <w:tcW w:w="0" w:type="auto"/>
            <w:shd w:val="clear" w:color="auto" w:fill="auto"/>
            <w:tcMar>
              <w:top w:w="40" w:type="dxa"/>
              <w:left w:w="240" w:type="dxa"/>
              <w:bottom w:w="40" w:type="dxa"/>
              <w:right w:w="40" w:type="dxa"/>
            </w:tcMar>
          </w:tcPr>
          <w:p w14:paraId="4ACE65CB"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4.8</w:t>
            </w:r>
          </w:p>
        </w:tc>
        <w:tc>
          <w:tcPr>
            <w:tcW w:w="0" w:type="auto"/>
            <w:shd w:val="clear" w:color="auto" w:fill="auto"/>
            <w:tcMar>
              <w:top w:w="40" w:type="dxa"/>
              <w:left w:w="40" w:type="dxa"/>
              <w:bottom w:w="40" w:type="dxa"/>
              <w:right w:w="40" w:type="dxa"/>
            </w:tcMar>
            <w:vAlign w:val="bottom"/>
          </w:tcPr>
          <w:p w14:paraId="4ACE65C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CD" w14:textId="77777777" w:rsidR="006F587A" w:rsidRDefault="007B2B61">
            <w:pPr>
              <w:textAlignment w:val="top"/>
              <w:rPr>
                <w:rFonts w:ascii="Times New Roman" w:hAnsi="Times New Roman"/>
                <w:sz w:val="18"/>
                <w:szCs w:val="18"/>
              </w:rPr>
            </w:pPr>
            <w:hyperlink r:id="rId189" w:history="1">
              <w:r>
                <w:rPr>
                  <w:rStyle w:val="a5"/>
                  <w:rFonts w:ascii="Arial" w:eastAsia="宋体" w:hAnsi="Arial" w:cs="Arial"/>
                  <w:sz w:val="18"/>
                  <w:szCs w:val="18"/>
                </w:rPr>
                <w:t>Eighth Supplemental Indenture to Open-Ended Indenture, dated as of May 19, 2016, between Intel Corporation and Wells Fargo Bank, National Association, as succ</w:t>
              </w:r>
              <w:r>
                <w:rPr>
                  <w:rStyle w:val="a5"/>
                  <w:rFonts w:ascii="Arial" w:eastAsia="宋体" w:hAnsi="Arial" w:cs="Arial"/>
                  <w:sz w:val="18"/>
                  <w:szCs w:val="18"/>
                </w:rPr>
                <w:t>essor trustee</w:t>
              </w:r>
            </w:hyperlink>
          </w:p>
        </w:tc>
        <w:tc>
          <w:tcPr>
            <w:tcW w:w="0" w:type="auto"/>
            <w:shd w:val="clear" w:color="auto" w:fill="auto"/>
            <w:tcMar>
              <w:top w:w="40" w:type="dxa"/>
              <w:left w:w="40" w:type="dxa"/>
              <w:bottom w:w="40" w:type="dxa"/>
              <w:right w:w="40" w:type="dxa"/>
            </w:tcMar>
            <w:vAlign w:val="bottom"/>
          </w:tcPr>
          <w:p w14:paraId="4ACE65C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CF"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8-K</w:t>
            </w:r>
          </w:p>
        </w:tc>
        <w:tc>
          <w:tcPr>
            <w:tcW w:w="0" w:type="auto"/>
            <w:shd w:val="clear" w:color="auto" w:fill="auto"/>
            <w:tcMar>
              <w:top w:w="40" w:type="dxa"/>
              <w:left w:w="40" w:type="dxa"/>
              <w:bottom w:w="40" w:type="dxa"/>
              <w:right w:w="40" w:type="dxa"/>
            </w:tcMar>
            <w:vAlign w:val="bottom"/>
          </w:tcPr>
          <w:p w14:paraId="4ACE65D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D1"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4ACE65D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ACE65D3"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4.1</w:t>
            </w:r>
          </w:p>
        </w:tc>
        <w:tc>
          <w:tcPr>
            <w:tcW w:w="0" w:type="auto"/>
            <w:shd w:val="clear" w:color="auto" w:fill="auto"/>
            <w:vAlign w:val="bottom"/>
          </w:tcPr>
          <w:p w14:paraId="4ACE65D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5D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D6"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5/19/2016</w:t>
            </w:r>
          </w:p>
        </w:tc>
        <w:tc>
          <w:tcPr>
            <w:tcW w:w="0" w:type="auto"/>
            <w:shd w:val="clear" w:color="auto" w:fill="auto"/>
            <w:tcMar>
              <w:top w:w="40" w:type="dxa"/>
              <w:left w:w="40" w:type="dxa"/>
              <w:bottom w:w="40" w:type="dxa"/>
              <w:right w:w="40" w:type="dxa"/>
            </w:tcMar>
            <w:vAlign w:val="bottom"/>
          </w:tcPr>
          <w:p w14:paraId="4ACE65D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5D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5E8" w14:textId="77777777">
        <w:tc>
          <w:tcPr>
            <w:tcW w:w="0" w:type="auto"/>
            <w:shd w:val="clear" w:color="auto" w:fill="auto"/>
            <w:tcMar>
              <w:top w:w="40" w:type="dxa"/>
              <w:left w:w="240" w:type="dxa"/>
              <w:bottom w:w="40" w:type="dxa"/>
              <w:right w:w="40" w:type="dxa"/>
            </w:tcMar>
          </w:tcPr>
          <w:p w14:paraId="4ACE65DA"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4.9</w:t>
            </w:r>
          </w:p>
        </w:tc>
        <w:tc>
          <w:tcPr>
            <w:tcW w:w="0" w:type="auto"/>
            <w:shd w:val="clear" w:color="auto" w:fill="auto"/>
            <w:tcMar>
              <w:top w:w="40" w:type="dxa"/>
              <w:left w:w="40" w:type="dxa"/>
              <w:bottom w:w="40" w:type="dxa"/>
              <w:right w:w="40" w:type="dxa"/>
            </w:tcMar>
            <w:vAlign w:val="bottom"/>
          </w:tcPr>
          <w:p w14:paraId="4ACE65D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DC" w14:textId="77777777" w:rsidR="006F587A" w:rsidRDefault="007B2B61">
            <w:pPr>
              <w:textAlignment w:val="top"/>
              <w:rPr>
                <w:rFonts w:ascii="Times New Roman" w:hAnsi="Times New Roman"/>
                <w:sz w:val="18"/>
                <w:szCs w:val="18"/>
              </w:rPr>
            </w:pPr>
            <w:hyperlink r:id="rId190" w:history="1">
              <w:r>
                <w:rPr>
                  <w:rStyle w:val="a5"/>
                  <w:rFonts w:ascii="Arial" w:eastAsia="宋体" w:hAnsi="Arial" w:cs="Arial"/>
                  <w:sz w:val="18"/>
                  <w:szCs w:val="18"/>
                </w:rPr>
                <w:t xml:space="preserve">Ninth Supplemental Indenture to Open-Ended Indenture, dated as of May 11, 2017, between </w:t>
              </w:r>
              <w:r>
                <w:rPr>
                  <w:rStyle w:val="a5"/>
                  <w:rFonts w:ascii="Arial" w:eastAsia="宋体" w:hAnsi="Arial" w:cs="Arial"/>
                  <w:sz w:val="18"/>
                  <w:szCs w:val="18"/>
                </w:rPr>
                <w:t>Intel Corporation and Wells Fargo Bank, National Association, as successor trustee</w:t>
              </w:r>
            </w:hyperlink>
          </w:p>
        </w:tc>
        <w:tc>
          <w:tcPr>
            <w:tcW w:w="0" w:type="auto"/>
            <w:shd w:val="clear" w:color="auto" w:fill="auto"/>
            <w:tcMar>
              <w:top w:w="40" w:type="dxa"/>
              <w:left w:w="40" w:type="dxa"/>
              <w:bottom w:w="40" w:type="dxa"/>
              <w:right w:w="40" w:type="dxa"/>
            </w:tcMar>
            <w:vAlign w:val="bottom"/>
          </w:tcPr>
          <w:p w14:paraId="4ACE65D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DE"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8-K</w:t>
            </w:r>
          </w:p>
        </w:tc>
        <w:tc>
          <w:tcPr>
            <w:tcW w:w="0" w:type="auto"/>
            <w:shd w:val="clear" w:color="auto" w:fill="auto"/>
            <w:tcMar>
              <w:top w:w="40" w:type="dxa"/>
              <w:left w:w="40" w:type="dxa"/>
              <w:bottom w:w="40" w:type="dxa"/>
              <w:right w:w="40" w:type="dxa"/>
            </w:tcMar>
            <w:vAlign w:val="bottom"/>
          </w:tcPr>
          <w:p w14:paraId="4ACE65D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E0"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4ACE65E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ACE65E2"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4.1</w:t>
            </w:r>
          </w:p>
        </w:tc>
        <w:tc>
          <w:tcPr>
            <w:tcW w:w="0" w:type="auto"/>
            <w:shd w:val="clear" w:color="auto" w:fill="auto"/>
            <w:vAlign w:val="bottom"/>
          </w:tcPr>
          <w:p w14:paraId="4ACE65E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5E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E5"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5/11/2017</w:t>
            </w:r>
          </w:p>
        </w:tc>
        <w:tc>
          <w:tcPr>
            <w:tcW w:w="0" w:type="auto"/>
            <w:shd w:val="clear" w:color="auto" w:fill="auto"/>
            <w:tcMar>
              <w:top w:w="40" w:type="dxa"/>
              <w:left w:w="40" w:type="dxa"/>
              <w:bottom w:w="40" w:type="dxa"/>
              <w:right w:w="40" w:type="dxa"/>
            </w:tcMar>
            <w:vAlign w:val="bottom"/>
          </w:tcPr>
          <w:p w14:paraId="4ACE65E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5E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5F7" w14:textId="77777777">
        <w:tc>
          <w:tcPr>
            <w:tcW w:w="0" w:type="auto"/>
            <w:shd w:val="clear" w:color="auto" w:fill="auto"/>
            <w:tcMar>
              <w:top w:w="40" w:type="dxa"/>
              <w:left w:w="240" w:type="dxa"/>
              <w:bottom w:w="40" w:type="dxa"/>
              <w:right w:w="40" w:type="dxa"/>
            </w:tcMar>
          </w:tcPr>
          <w:p w14:paraId="4ACE65E9"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4.10</w:t>
            </w:r>
          </w:p>
        </w:tc>
        <w:tc>
          <w:tcPr>
            <w:tcW w:w="0" w:type="auto"/>
            <w:shd w:val="clear" w:color="auto" w:fill="auto"/>
            <w:tcMar>
              <w:top w:w="40" w:type="dxa"/>
              <w:left w:w="40" w:type="dxa"/>
              <w:bottom w:w="40" w:type="dxa"/>
              <w:right w:w="40" w:type="dxa"/>
            </w:tcMar>
            <w:vAlign w:val="bottom"/>
          </w:tcPr>
          <w:p w14:paraId="4ACE65E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EB" w14:textId="77777777" w:rsidR="006F587A" w:rsidRDefault="007B2B61">
            <w:pPr>
              <w:textAlignment w:val="top"/>
              <w:rPr>
                <w:rFonts w:ascii="Times New Roman" w:hAnsi="Times New Roman"/>
                <w:sz w:val="18"/>
                <w:szCs w:val="18"/>
              </w:rPr>
            </w:pPr>
            <w:hyperlink r:id="rId191" w:history="1">
              <w:r>
                <w:rPr>
                  <w:rStyle w:val="a5"/>
                  <w:rFonts w:ascii="Arial" w:eastAsia="宋体" w:hAnsi="Arial" w:cs="Arial"/>
                  <w:sz w:val="18"/>
                  <w:szCs w:val="18"/>
                </w:rPr>
                <w:t>Tenth Supplemental Indenture to Open-Ended Indenture, dated as of June 16, 2017, between Intel Corporation and Wells Fargo Bank, National Association, as successo</w:t>
              </w:r>
              <w:r>
                <w:rPr>
                  <w:rStyle w:val="a5"/>
                  <w:rFonts w:ascii="Arial" w:eastAsia="宋体" w:hAnsi="Arial" w:cs="Arial"/>
                  <w:sz w:val="18"/>
                  <w:szCs w:val="18"/>
                </w:rPr>
                <w:t>r trustee</w:t>
              </w:r>
            </w:hyperlink>
          </w:p>
        </w:tc>
        <w:tc>
          <w:tcPr>
            <w:tcW w:w="0" w:type="auto"/>
            <w:shd w:val="clear" w:color="auto" w:fill="auto"/>
            <w:tcMar>
              <w:top w:w="40" w:type="dxa"/>
              <w:left w:w="40" w:type="dxa"/>
              <w:bottom w:w="40" w:type="dxa"/>
              <w:right w:w="40" w:type="dxa"/>
            </w:tcMar>
            <w:vAlign w:val="bottom"/>
          </w:tcPr>
          <w:p w14:paraId="4ACE65E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ED"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8-K</w:t>
            </w:r>
          </w:p>
        </w:tc>
        <w:tc>
          <w:tcPr>
            <w:tcW w:w="0" w:type="auto"/>
            <w:shd w:val="clear" w:color="auto" w:fill="auto"/>
            <w:tcMar>
              <w:top w:w="40" w:type="dxa"/>
              <w:left w:w="40" w:type="dxa"/>
              <w:bottom w:w="40" w:type="dxa"/>
              <w:right w:w="40" w:type="dxa"/>
            </w:tcMar>
            <w:vAlign w:val="bottom"/>
          </w:tcPr>
          <w:p w14:paraId="4ACE65E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EF"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4ACE65F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ACE65F1"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4.1</w:t>
            </w:r>
          </w:p>
        </w:tc>
        <w:tc>
          <w:tcPr>
            <w:tcW w:w="0" w:type="auto"/>
            <w:shd w:val="clear" w:color="auto" w:fill="auto"/>
            <w:vAlign w:val="bottom"/>
          </w:tcPr>
          <w:p w14:paraId="4ACE65F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5F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F4"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6/16/2017</w:t>
            </w:r>
          </w:p>
        </w:tc>
        <w:tc>
          <w:tcPr>
            <w:tcW w:w="0" w:type="auto"/>
            <w:shd w:val="clear" w:color="auto" w:fill="auto"/>
            <w:tcMar>
              <w:top w:w="40" w:type="dxa"/>
              <w:left w:w="40" w:type="dxa"/>
              <w:bottom w:w="40" w:type="dxa"/>
              <w:right w:w="40" w:type="dxa"/>
            </w:tcMar>
            <w:vAlign w:val="bottom"/>
          </w:tcPr>
          <w:p w14:paraId="4ACE65F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5F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606" w14:textId="77777777">
        <w:tc>
          <w:tcPr>
            <w:tcW w:w="0" w:type="auto"/>
            <w:shd w:val="clear" w:color="auto" w:fill="auto"/>
            <w:tcMar>
              <w:top w:w="40" w:type="dxa"/>
              <w:left w:w="240" w:type="dxa"/>
              <w:bottom w:w="40" w:type="dxa"/>
              <w:right w:w="40" w:type="dxa"/>
            </w:tcMar>
          </w:tcPr>
          <w:p w14:paraId="4ACE65F8"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4.11</w:t>
            </w:r>
          </w:p>
        </w:tc>
        <w:tc>
          <w:tcPr>
            <w:tcW w:w="0" w:type="auto"/>
            <w:shd w:val="clear" w:color="auto" w:fill="auto"/>
            <w:tcMar>
              <w:top w:w="40" w:type="dxa"/>
              <w:left w:w="40" w:type="dxa"/>
              <w:bottom w:w="40" w:type="dxa"/>
              <w:right w:w="40" w:type="dxa"/>
            </w:tcMar>
            <w:vAlign w:val="bottom"/>
          </w:tcPr>
          <w:p w14:paraId="4ACE65F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FA" w14:textId="77777777" w:rsidR="006F587A" w:rsidRDefault="007B2B61">
            <w:pPr>
              <w:textAlignment w:val="top"/>
              <w:rPr>
                <w:rFonts w:ascii="Times New Roman" w:hAnsi="Times New Roman"/>
                <w:sz w:val="18"/>
                <w:szCs w:val="18"/>
              </w:rPr>
            </w:pPr>
            <w:hyperlink r:id="rId192" w:history="1">
              <w:r>
                <w:rPr>
                  <w:rStyle w:val="a5"/>
                  <w:rFonts w:ascii="Arial" w:eastAsia="宋体" w:hAnsi="Arial" w:cs="Arial"/>
                  <w:sz w:val="18"/>
                  <w:szCs w:val="18"/>
                </w:rPr>
                <w:t xml:space="preserve">Eleventh Supplemental Indenture to Open-Ended Indenture, dated as of August 14, 2017, among </w:t>
              </w:r>
              <w:r>
                <w:rPr>
                  <w:rStyle w:val="a5"/>
                  <w:rFonts w:ascii="Arial" w:eastAsia="宋体" w:hAnsi="Arial" w:cs="Arial"/>
                  <w:sz w:val="18"/>
                  <w:szCs w:val="18"/>
                </w:rPr>
                <w:t>Intel Corporation, Wells Fargo Bank, National Association, as successor trustee, and Elavon Financial Services DAC, UK Branch, as paying agent</w:t>
              </w:r>
            </w:hyperlink>
          </w:p>
        </w:tc>
        <w:tc>
          <w:tcPr>
            <w:tcW w:w="0" w:type="auto"/>
            <w:shd w:val="clear" w:color="auto" w:fill="auto"/>
            <w:tcMar>
              <w:top w:w="40" w:type="dxa"/>
              <w:left w:w="40" w:type="dxa"/>
              <w:bottom w:w="40" w:type="dxa"/>
              <w:right w:w="40" w:type="dxa"/>
            </w:tcMar>
            <w:vAlign w:val="bottom"/>
          </w:tcPr>
          <w:p w14:paraId="4ACE65F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FC"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8-K</w:t>
            </w:r>
          </w:p>
        </w:tc>
        <w:tc>
          <w:tcPr>
            <w:tcW w:w="0" w:type="auto"/>
            <w:shd w:val="clear" w:color="auto" w:fill="auto"/>
            <w:tcMar>
              <w:top w:w="40" w:type="dxa"/>
              <w:left w:w="40" w:type="dxa"/>
              <w:bottom w:w="40" w:type="dxa"/>
              <w:right w:w="40" w:type="dxa"/>
            </w:tcMar>
            <w:vAlign w:val="bottom"/>
          </w:tcPr>
          <w:p w14:paraId="4ACE65F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5FE"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4ACE65F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ACE6600"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4.1</w:t>
            </w:r>
          </w:p>
        </w:tc>
        <w:tc>
          <w:tcPr>
            <w:tcW w:w="0" w:type="auto"/>
            <w:shd w:val="clear" w:color="auto" w:fill="auto"/>
            <w:vAlign w:val="bottom"/>
          </w:tcPr>
          <w:p w14:paraId="4ACE6601"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60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603"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8/14/2017</w:t>
            </w:r>
          </w:p>
        </w:tc>
        <w:tc>
          <w:tcPr>
            <w:tcW w:w="0" w:type="auto"/>
            <w:shd w:val="clear" w:color="auto" w:fill="auto"/>
            <w:tcMar>
              <w:top w:w="40" w:type="dxa"/>
              <w:left w:w="40" w:type="dxa"/>
              <w:bottom w:w="40" w:type="dxa"/>
              <w:right w:w="40" w:type="dxa"/>
            </w:tcMar>
            <w:vAlign w:val="bottom"/>
          </w:tcPr>
          <w:p w14:paraId="4ACE660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60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615" w14:textId="77777777">
        <w:tc>
          <w:tcPr>
            <w:tcW w:w="0" w:type="auto"/>
            <w:shd w:val="clear" w:color="auto" w:fill="auto"/>
            <w:tcMar>
              <w:top w:w="40" w:type="dxa"/>
              <w:left w:w="240" w:type="dxa"/>
              <w:bottom w:w="40" w:type="dxa"/>
              <w:right w:w="40" w:type="dxa"/>
            </w:tcMar>
          </w:tcPr>
          <w:p w14:paraId="4ACE6607"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4.12</w:t>
            </w:r>
          </w:p>
        </w:tc>
        <w:tc>
          <w:tcPr>
            <w:tcW w:w="0" w:type="auto"/>
            <w:shd w:val="clear" w:color="auto" w:fill="auto"/>
            <w:tcMar>
              <w:top w:w="40" w:type="dxa"/>
              <w:left w:w="40" w:type="dxa"/>
              <w:bottom w:w="40" w:type="dxa"/>
              <w:right w:w="40" w:type="dxa"/>
            </w:tcMar>
            <w:vAlign w:val="bottom"/>
          </w:tcPr>
          <w:p w14:paraId="4ACE660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609" w14:textId="77777777" w:rsidR="006F587A" w:rsidRDefault="007B2B61">
            <w:pPr>
              <w:textAlignment w:val="top"/>
              <w:rPr>
                <w:rFonts w:ascii="Times New Roman" w:hAnsi="Times New Roman"/>
                <w:sz w:val="18"/>
                <w:szCs w:val="18"/>
              </w:rPr>
            </w:pPr>
            <w:hyperlink r:id="rId193" w:history="1">
              <w:r>
                <w:rPr>
                  <w:rStyle w:val="a5"/>
                  <w:rFonts w:ascii="Arial" w:eastAsia="宋体" w:hAnsi="Arial" w:cs="Arial"/>
                  <w:sz w:val="18"/>
                  <w:szCs w:val="18"/>
                </w:rPr>
                <w:t xml:space="preserve">Twelfth Supplemental Indenture to Open-Ended Indenture, dated as of December 8, 2017, between Intel Corporation and Wells Fargo Bank, National Association, </w:t>
              </w:r>
              <w:r>
                <w:rPr>
                  <w:rStyle w:val="a5"/>
                  <w:rFonts w:ascii="Arial" w:eastAsia="宋体" w:hAnsi="Arial" w:cs="Arial"/>
                  <w:sz w:val="18"/>
                  <w:szCs w:val="18"/>
                </w:rPr>
                <w:t>as successor trustee</w:t>
              </w:r>
            </w:hyperlink>
          </w:p>
        </w:tc>
        <w:tc>
          <w:tcPr>
            <w:tcW w:w="0" w:type="auto"/>
            <w:shd w:val="clear" w:color="auto" w:fill="auto"/>
            <w:tcMar>
              <w:top w:w="40" w:type="dxa"/>
              <w:left w:w="40" w:type="dxa"/>
              <w:bottom w:w="40" w:type="dxa"/>
              <w:right w:w="40" w:type="dxa"/>
            </w:tcMar>
            <w:vAlign w:val="bottom"/>
          </w:tcPr>
          <w:p w14:paraId="4ACE660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60B"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10-K</w:t>
            </w:r>
          </w:p>
        </w:tc>
        <w:tc>
          <w:tcPr>
            <w:tcW w:w="0" w:type="auto"/>
            <w:shd w:val="clear" w:color="auto" w:fill="auto"/>
            <w:tcMar>
              <w:top w:w="40" w:type="dxa"/>
              <w:left w:w="40" w:type="dxa"/>
              <w:bottom w:w="40" w:type="dxa"/>
              <w:right w:w="40" w:type="dxa"/>
            </w:tcMar>
            <w:vAlign w:val="bottom"/>
          </w:tcPr>
          <w:p w14:paraId="4ACE660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60D"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4ACE660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ACE660F"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4.2.13</w:t>
            </w:r>
          </w:p>
        </w:tc>
        <w:tc>
          <w:tcPr>
            <w:tcW w:w="0" w:type="auto"/>
            <w:shd w:val="clear" w:color="auto" w:fill="auto"/>
            <w:vAlign w:val="bottom"/>
          </w:tcPr>
          <w:p w14:paraId="4ACE6610"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61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612"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2/16/2018</w:t>
            </w:r>
          </w:p>
        </w:tc>
        <w:tc>
          <w:tcPr>
            <w:tcW w:w="0" w:type="auto"/>
            <w:shd w:val="clear" w:color="auto" w:fill="auto"/>
            <w:tcMar>
              <w:top w:w="40" w:type="dxa"/>
              <w:left w:w="40" w:type="dxa"/>
              <w:bottom w:w="40" w:type="dxa"/>
              <w:right w:w="40" w:type="dxa"/>
            </w:tcMar>
            <w:vAlign w:val="bottom"/>
          </w:tcPr>
          <w:p w14:paraId="4ACE661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61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624" w14:textId="77777777">
        <w:tc>
          <w:tcPr>
            <w:tcW w:w="0" w:type="auto"/>
            <w:shd w:val="clear" w:color="auto" w:fill="auto"/>
            <w:tcMar>
              <w:top w:w="40" w:type="dxa"/>
              <w:left w:w="240" w:type="dxa"/>
              <w:bottom w:w="40" w:type="dxa"/>
              <w:right w:w="40" w:type="dxa"/>
            </w:tcMar>
          </w:tcPr>
          <w:p w14:paraId="4ACE6616"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4.13</w:t>
            </w:r>
          </w:p>
        </w:tc>
        <w:tc>
          <w:tcPr>
            <w:tcW w:w="0" w:type="auto"/>
            <w:shd w:val="clear" w:color="auto" w:fill="auto"/>
            <w:tcMar>
              <w:top w:w="40" w:type="dxa"/>
              <w:left w:w="40" w:type="dxa"/>
              <w:bottom w:w="40" w:type="dxa"/>
              <w:right w:w="40" w:type="dxa"/>
            </w:tcMar>
            <w:vAlign w:val="bottom"/>
          </w:tcPr>
          <w:p w14:paraId="4ACE661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618" w14:textId="77777777" w:rsidR="006F587A" w:rsidRDefault="007B2B61">
            <w:pPr>
              <w:textAlignment w:val="bottom"/>
              <w:rPr>
                <w:rFonts w:ascii="Times New Roman" w:hAnsi="Times New Roman"/>
                <w:sz w:val="18"/>
                <w:szCs w:val="18"/>
              </w:rPr>
            </w:pPr>
            <w:hyperlink r:id="rId194" w:history="1">
              <w:r>
                <w:rPr>
                  <w:rStyle w:val="a5"/>
                  <w:rFonts w:ascii="Arial" w:eastAsia="宋体" w:hAnsi="Arial" w:cs="Arial"/>
                  <w:sz w:val="18"/>
                  <w:szCs w:val="18"/>
                </w:rPr>
                <w:t>Thirteenth Supplemental Indenture, dated as of November 21, 2019, between Intel Corporation and Wells Fargo Bank, National Association, as successor trustee</w:t>
              </w:r>
            </w:hyperlink>
          </w:p>
        </w:tc>
        <w:tc>
          <w:tcPr>
            <w:tcW w:w="0" w:type="auto"/>
            <w:shd w:val="clear" w:color="auto" w:fill="auto"/>
            <w:tcMar>
              <w:top w:w="40" w:type="dxa"/>
              <w:left w:w="40" w:type="dxa"/>
              <w:bottom w:w="40" w:type="dxa"/>
              <w:right w:w="40" w:type="dxa"/>
            </w:tcMar>
            <w:vAlign w:val="bottom"/>
          </w:tcPr>
          <w:p w14:paraId="4ACE661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61A"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8-K</w:t>
            </w:r>
          </w:p>
        </w:tc>
        <w:tc>
          <w:tcPr>
            <w:tcW w:w="0" w:type="auto"/>
            <w:shd w:val="clear" w:color="auto" w:fill="auto"/>
            <w:tcMar>
              <w:top w:w="40" w:type="dxa"/>
              <w:left w:w="40" w:type="dxa"/>
              <w:bottom w:w="40" w:type="dxa"/>
              <w:right w:w="40" w:type="dxa"/>
            </w:tcMar>
            <w:vAlign w:val="bottom"/>
          </w:tcPr>
          <w:p w14:paraId="4ACE661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61C"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4ACE661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ACE661E"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4.1</w:t>
            </w:r>
          </w:p>
        </w:tc>
        <w:tc>
          <w:tcPr>
            <w:tcW w:w="0" w:type="auto"/>
            <w:shd w:val="clear" w:color="auto" w:fill="auto"/>
            <w:vAlign w:val="bottom"/>
          </w:tcPr>
          <w:p w14:paraId="4ACE661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62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621"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11/21/2019</w:t>
            </w:r>
          </w:p>
        </w:tc>
        <w:tc>
          <w:tcPr>
            <w:tcW w:w="0" w:type="auto"/>
            <w:shd w:val="clear" w:color="auto" w:fill="auto"/>
            <w:tcMar>
              <w:top w:w="40" w:type="dxa"/>
              <w:left w:w="40" w:type="dxa"/>
              <w:bottom w:w="40" w:type="dxa"/>
              <w:right w:w="40" w:type="dxa"/>
            </w:tcMar>
            <w:vAlign w:val="bottom"/>
          </w:tcPr>
          <w:p w14:paraId="4ACE662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62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bl>
    <w:p w14:paraId="4ACE6625"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6627" w14:textId="77777777">
        <w:tc>
          <w:tcPr>
            <w:tcW w:w="0" w:type="auto"/>
            <w:gridSpan w:val="3"/>
            <w:shd w:val="clear" w:color="auto" w:fill="auto"/>
            <w:vAlign w:val="center"/>
          </w:tcPr>
          <w:p w14:paraId="4ACE6626" w14:textId="77777777" w:rsidR="006F587A" w:rsidRDefault="006F587A">
            <w:pPr>
              <w:rPr>
                <w:rFonts w:ascii="Times New Roman" w:hAnsi="Times New Roman"/>
                <w:sz w:val="20"/>
                <w:szCs w:val="20"/>
              </w:rPr>
            </w:pPr>
          </w:p>
        </w:tc>
      </w:tr>
      <w:tr w:rsidR="006F587A" w14:paraId="4ACE662B" w14:textId="77777777">
        <w:tc>
          <w:tcPr>
            <w:tcW w:w="1300" w:type="pct"/>
            <w:shd w:val="clear" w:color="auto" w:fill="auto"/>
            <w:vAlign w:val="center"/>
          </w:tcPr>
          <w:p w14:paraId="4ACE6628" w14:textId="77777777" w:rsidR="006F587A" w:rsidRDefault="006F587A">
            <w:pPr>
              <w:rPr>
                <w:rFonts w:ascii="Times New Roman" w:hAnsi="Times New Roman"/>
                <w:sz w:val="20"/>
                <w:szCs w:val="20"/>
              </w:rPr>
            </w:pPr>
          </w:p>
        </w:tc>
        <w:tc>
          <w:tcPr>
            <w:tcW w:w="1600" w:type="pct"/>
            <w:shd w:val="clear" w:color="auto" w:fill="auto"/>
            <w:vAlign w:val="center"/>
          </w:tcPr>
          <w:p w14:paraId="4ACE6629" w14:textId="77777777" w:rsidR="006F587A" w:rsidRDefault="006F587A">
            <w:pPr>
              <w:rPr>
                <w:rFonts w:ascii="Times New Roman" w:hAnsi="Times New Roman"/>
                <w:sz w:val="20"/>
                <w:szCs w:val="20"/>
              </w:rPr>
            </w:pPr>
          </w:p>
        </w:tc>
        <w:tc>
          <w:tcPr>
            <w:tcW w:w="2100" w:type="pct"/>
            <w:shd w:val="clear" w:color="auto" w:fill="auto"/>
            <w:vAlign w:val="center"/>
          </w:tcPr>
          <w:p w14:paraId="4ACE662A" w14:textId="77777777" w:rsidR="006F587A" w:rsidRDefault="006F587A">
            <w:pPr>
              <w:rPr>
                <w:rFonts w:ascii="Times New Roman" w:hAnsi="Times New Roman"/>
                <w:sz w:val="20"/>
                <w:szCs w:val="20"/>
              </w:rPr>
            </w:pPr>
          </w:p>
        </w:tc>
      </w:tr>
      <w:tr w:rsidR="006F587A" w14:paraId="4ACE662F"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662C" w14:textId="77777777" w:rsidR="006F587A" w:rsidRDefault="007B2B61">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E3E" wp14:editId="4ACE6E3F">
                  <wp:extent cx="304800" cy="304800"/>
                  <wp:effectExtent l="0" t="0" r="0" b="0"/>
                  <wp:docPr id="81" name="图片 366"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366"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SUPPLEMENTAL DETAILS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662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662E"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114</w:t>
            </w:r>
          </w:p>
        </w:tc>
      </w:tr>
    </w:tbl>
    <w:p w14:paraId="4ACE6630" w14:textId="77777777" w:rsidR="006F587A" w:rsidRDefault="007B2B61">
      <w:r>
        <w:pict w14:anchorId="4ACE6E40">
          <v:rect id="_x0000_i1140" style="width:415.3pt;height:1.5pt" o:hralign="center" o:hrstd="t" o:hr="t" fillcolor="#a0a0a0" stroked="f"/>
        </w:pict>
      </w:r>
    </w:p>
    <w:p w14:paraId="4ACE6631" w14:textId="77777777" w:rsidR="006F587A" w:rsidRDefault="007B2B61">
      <w:pPr>
        <w:spacing w:line="288" w:lineRule="auto"/>
        <w:jc w:val="right"/>
        <w:rPr>
          <w:rFonts w:ascii="Times New Roman" w:hAnsi="Times New Roman"/>
          <w:sz w:val="16"/>
          <w:szCs w:val="16"/>
        </w:rPr>
      </w:pPr>
      <w:hyperlink r:id="rId195" w:anchor="s9DB683E2CF52561EB8A73BE37F5BF9BE" w:history="1">
        <w:r>
          <w:rPr>
            <w:rStyle w:val="a5"/>
            <w:rFonts w:ascii="Arial" w:eastAsia="宋体" w:hAnsi="Arial" w:cs="Arial"/>
            <w:b/>
            <w:bCs/>
            <w:sz w:val="16"/>
            <w:szCs w:val="16"/>
          </w:rPr>
          <w:t>Table of Contents</w:t>
        </w:r>
      </w:hyperlink>
    </w:p>
    <w:p w14:paraId="4ACE6632" w14:textId="77777777" w:rsidR="006F587A" w:rsidRDefault="006F587A">
      <w:pPr>
        <w:spacing w:line="288" w:lineRule="auto"/>
        <w:jc w:val="right"/>
        <w:rPr>
          <w:rFonts w:ascii="Times New Roman" w:hAnsi="Times New Roman"/>
          <w:sz w:val="16"/>
          <w:szCs w:val="16"/>
        </w:rPr>
      </w:pPr>
    </w:p>
    <w:p w14:paraId="4ACE6633" w14:textId="77777777" w:rsidR="006F587A" w:rsidRDefault="006F587A">
      <w:pPr>
        <w:rPr>
          <w:rFonts w:ascii="Times New Roman" w:hAnsi="Times New Roman"/>
          <w:sz w:val="20"/>
          <w:szCs w:val="20"/>
        </w:rPr>
      </w:pPr>
    </w:p>
    <w:tbl>
      <w:tblPr>
        <w:tblW w:w="4991" w:type="pct"/>
        <w:tblCellMar>
          <w:left w:w="0" w:type="dxa"/>
          <w:right w:w="0" w:type="dxa"/>
        </w:tblCellMar>
        <w:tblLook w:val="04A0" w:firstRow="1" w:lastRow="0" w:firstColumn="1" w:lastColumn="0" w:noHBand="0" w:noVBand="1"/>
      </w:tblPr>
      <w:tblGrid>
        <w:gridCol w:w="695"/>
        <w:gridCol w:w="123"/>
        <w:gridCol w:w="3142"/>
        <w:gridCol w:w="123"/>
        <w:gridCol w:w="468"/>
        <w:gridCol w:w="123"/>
        <w:gridCol w:w="977"/>
        <w:gridCol w:w="123"/>
        <w:gridCol w:w="514"/>
        <w:gridCol w:w="84"/>
        <w:gridCol w:w="123"/>
        <w:gridCol w:w="857"/>
        <w:gridCol w:w="123"/>
        <w:gridCol w:w="831"/>
      </w:tblGrid>
      <w:tr w:rsidR="006F587A" w14:paraId="4ACE6635" w14:textId="77777777">
        <w:tc>
          <w:tcPr>
            <w:tcW w:w="0" w:type="auto"/>
            <w:gridSpan w:val="14"/>
            <w:shd w:val="clear" w:color="auto" w:fill="auto"/>
            <w:vAlign w:val="center"/>
          </w:tcPr>
          <w:p w14:paraId="4ACE6634" w14:textId="77777777" w:rsidR="006F587A" w:rsidRDefault="006F587A">
            <w:pPr>
              <w:rPr>
                <w:rFonts w:ascii="Times New Roman" w:hAnsi="Times New Roman"/>
                <w:sz w:val="20"/>
                <w:szCs w:val="20"/>
              </w:rPr>
            </w:pPr>
          </w:p>
        </w:tc>
      </w:tr>
      <w:tr w:rsidR="006F587A" w14:paraId="4ACE6644" w14:textId="77777777">
        <w:tc>
          <w:tcPr>
            <w:tcW w:w="350" w:type="pct"/>
            <w:shd w:val="clear" w:color="auto" w:fill="auto"/>
            <w:vAlign w:val="center"/>
          </w:tcPr>
          <w:p w14:paraId="4ACE6636" w14:textId="77777777" w:rsidR="006F587A" w:rsidRDefault="006F587A">
            <w:pPr>
              <w:rPr>
                <w:rFonts w:ascii="Times New Roman" w:hAnsi="Times New Roman"/>
                <w:sz w:val="20"/>
                <w:szCs w:val="20"/>
              </w:rPr>
            </w:pPr>
          </w:p>
        </w:tc>
        <w:tc>
          <w:tcPr>
            <w:tcW w:w="50" w:type="pct"/>
            <w:shd w:val="clear" w:color="auto" w:fill="auto"/>
            <w:vAlign w:val="center"/>
          </w:tcPr>
          <w:p w14:paraId="4ACE6637" w14:textId="77777777" w:rsidR="006F587A" w:rsidRDefault="006F587A">
            <w:pPr>
              <w:rPr>
                <w:rFonts w:ascii="Times New Roman" w:hAnsi="Times New Roman"/>
                <w:sz w:val="20"/>
                <w:szCs w:val="20"/>
              </w:rPr>
            </w:pPr>
          </w:p>
        </w:tc>
        <w:tc>
          <w:tcPr>
            <w:tcW w:w="1950" w:type="pct"/>
            <w:shd w:val="clear" w:color="auto" w:fill="auto"/>
            <w:vAlign w:val="center"/>
          </w:tcPr>
          <w:p w14:paraId="4ACE6638" w14:textId="77777777" w:rsidR="006F587A" w:rsidRDefault="006F587A">
            <w:pPr>
              <w:rPr>
                <w:rFonts w:ascii="Times New Roman" w:hAnsi="Times New Roman"/>
                <w:sz w:val="20"/>
                <w:szCs w:val="20"/>
              </w:rPr>
            </w:pPr>
          </w:p>
        </w:tc>
        <w:tc>
          <w:tcPr>
            <w:tcW w:w="50" w:type="pct"/>
            <w:shd w:val="clear" w:color="auto" w:fill="auto"/>
            <w:vAlign w:val="center"/>
          </w:tcPr>
          <w:p w14:paraId="4ACE6639" w14:textId="77777777" w:rsidR="006F587A" w:rsidRDefault="006F587A">
            <w:pPr>
              <w:rPr>
                <w:rFonts w:ascii="Times New Roman" w:hAnsi="Times New Roman"/>
                <w:sz w:val="20"/>
                <w:szCs w:val="20"/>
              </w:rPr>
            </w:pPr>
          </w:p>
        </w:tc>
        <w:tc>
          <w:tcPr>
            <w:tcW w:w="350" w:type="pct"/>
            <w:shd w:val="clear" w:color="auto" w:fill="auto"/>
            <w:vAlign w:val="center"/>
          </w:tcPr>
          <w:p w14:paraId="4ACE663A" w14:textId="77777777" w:rsidR="006F587A" w:rsidRDefault="006F587A">
            <w:pPr>
              <w:rPr>
                <w:rFonts w:ascii="Times New Roman" w:hAnsi="Times New Roman"/>
                <w:sz w:val="20"/>
                <w:szCs w:val="20"/>
              </w:rPr>
            </w:pPr>
          </w:p>
        </w:tc>
        <w:tc>
          <w:tcPr>
            <w:tcW w:w="50" w:type="pct"/>
            <w:shd w:val="clear" w:color="auto" w:fill="auto"/>
            <w:vAlign w:val="center"/>
          </w:tcPr>
          <w:p w14:paraId="4ACE663B" w14:textId="77777777" w:rsidR="006F587A" w:rsidRDefault="006F587A">
            <w:pPr>
              <w:rPr>
                <w:rFonts w:ascii="Times New Roman" w:hAnsi="Times New Roman"/>
                <w:sz w:val="20"/>
                <w:szCs w:val="20"/>
              </w:rPr>
            </w:pPr>
          </w:p>
        </w:tc>
        <w:tc>
          <w:tcPr>
            <w:tcW w:w="650" w:type="pct"/>
            <w:shd w:val="clear" w:color="auto" w:fill="auto"/>
            <w:vAlign w:val="center"/>
          </w:tcPr>
          <w:p w14:paraId="4ACE663C" w14:textId="77777777" w:rsidR="006F587A" w:rsidRDefault="006F587A">
            <w:pPr>
              <w:rPr>
                <w:rFonts w:ascii="Times New Roman" w:hAnsi="Times New Roman"/>
                <w:sz w:val="20"/>
                <w:szCs w:val="20"/>
              </w:rPr>
            </w:pPr>
          </w:p>
        </w:tc>
        <w:tc>
          <w:tcPr>
            <w:tcW w:w="50" w:type="pct"/>
            <w:shd w:val="clear" w:color="auto" w:fill="auto"/>
            <w:vAlign w:val="center"/>
          </w:tcPr>
          <w:p w14:paraId="4ACE663D" w14:textId="77777777" w:rsidR="006F587A" w:rsidRDefault="006F587A">
            <w:pPr>
              <w:rPr>
                <w:rFonts w:ascii="Times New Roman" w:hAnsi="Times New Roman"/>
                <w:sz w:val="20"/>
                <w:szCs w:val="20"/>
              </w:rPr>
            </w:pPr>
          </w:p>
        </w:tc>
        <w:tc>
          <w:tcPr>
            <w:tcW w:w="300" w:type="pct"/>
            <w:shd w:val="clear" w:color="auto" w:fill="auto"/>
            <w:vAlign w:val="center"/>
          </w:tcPr>
          <w:p w14:paraId="4ACE663E" w14:textId="77777777" w:rsidR="006F587A" w:rsidRDefault="006F587A">
            <w:pPr>
              <w:rPr>
                <w:rFonts w:ascii="Times New Roman" w:hAnsi="Times New Roman"/>
                <w:sz w:val="20"/>
                <w:szCs w:val="20"/>
              </w:rPr>
            </w:pPr>
          </w:p>
        </w:tc>
        <w:tc>
          <w:tcPr>
            <w:tcW w:w="50" w:type="pct"/>
            <w:shd w:val="clear" w:color="auto" w:fill="auto"/>
            <w:vAlign w:val="center"/>
          </w:tcPr>
          <w:p w14:paraId="4ACE663F" w14:textId="77777777" w:rsidR="006F587A" w:rsidRDefault="006F587A">
            <w:pPr>
              <w:rPr>
                <w:rFonts w:ascii="Times New Roman" w:hAnsi="Times New Roman"/>
                <w:sz w:val="20"/>
                <w:szCs w:val="20"/>
              </w:rPr>
            </w:pPr>
          </w:p>
        </w:tc>
        <w:tc>
          <w:tcPr>
            <w:tcW w:w="50" w:type="pct"/>
            <w:shd w:val="clear" w:color="auto" w:fill="auto"/>
            <w:vAlign w:val="center"/>
          </w:tcPr>
          <w:p w14:paraId="4ACE6640" w14:textId="77777777" w:rsidR="006F587A" w:rsidRDefault="006F587A">
            <w:pPr>
              <w:rPr>
                <w:rFonts w:ascii="Times New Roman" w:hAnsi="Times New Roman"/>
                <w:sz w:val="20"/>
                <w:szCs w:val="20"/>
              </w:rPr>
            </w:pPr>
          </w:p>
        </w:tc>
        <w:tc>
          <w:tcPr>
            <w:tcW w:w="500" w:type="pct"/>
            <w:shd w:val="clear" w:color="auto" w:fill="auto"/>
            <w:vAlign w:val="center"/>
          </w:tcPr>
          <w:p w14:paraId="4ACE6641" w14:textId="77777777" w:rsidR="006F587A" w:rsidRDefault="006F587A">
            <w:pPr>
              <w:rPr>
                <w:rFonts w:ascii="Times New Roman" w:hAnsi="Times New Roman"/>
                <w:sz w:val="20"/>
                <w:szCs w:val="20"/>
              </w:rPr>
            </w:pPr>
          </w:p>
        </w:tc>
        <w:tc>
          <w:tcPr>
            <w:tcW w:w="50" w:type="pct"/>
            <w:shd w:val="clear" w:color="auto" w:fill="auto"/>
            <w:vAlign w:val="center"/>
          </w:tcPr>
          <w:p w14:paraId="4ACE6642" w14:textId="77777777" w:rsidR="006F587A" w:rsidRDefault="006F587A">
            <w:pPr>
              <w:rPr>
                <w:rFonts w:ascii="Times New Roman" w:hAnsi="Times New Roman"/>
                <w:sz w:val="20"/>
                <w:szCs w:val="20"/>
              </w:rPr>
            </w:pPr>
          </w:p>
        </w:tc>
        <w:tc>
          <w:tcPr>
            <w:tcW w:w="550" w:type="pct"/>
            <w:shd w:val="clear" w:color="auto" w:fill="auto"/>
            <w:vAlign w:val="center"/>
          </w:tcPr>
          <w:p w14:paraId="4ACE6643" w14:textId="77777777" w:rsidR="006F587A" w:rsidRDefault="006F587A">
            <w:pPr>
              <w:rPr>
                <w:rFonts w:ascii="Times New Roman" w:hAnsi="Times New Roman"/>
                <w:sz w:val="20"/>
                <w:szCs w:val="20"/>
              </w:rPr>
            </w:pPr>
          </w:p>
        </w:tc>
      </w:tr>
      <w:tr w:rsidR="006F587A" w14:paraId="4ACE664F" w14:textId="77777777">
        <w:tc>
          <w:tcPr>
            <w:tcW w:w="0" w:type="auto"/>
            <w:vMerge w:val="restart"/>
            <w:tcBorders>
              <w:bottom w:val="single" w:sz="8" w:space="0" w:color="0071C5"/>
            </w:tcBorders>
            <w:shd w:val="clear" w:color="auto" w:fill="auto"/>
            <w:tcMar>
              <w:top w:w="40" w:type="dxa"/>
              <w:left w:w="40" w:type="dxa"/>
              <w:bottom w:w="40" w:type="dxa"/>
              <w:right w:w="40" w:type="dxa"/>
            </w:tcMar>
            <w:vAlign w:val="bottom"/>
          </w:tcPr>
          <w:p w14:paraId="4ACE6645"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Exhibit</w:t>
            </w:r>
          </w:p>
          <w:p w14:paraId="4ACE6646"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Number</w:t>
            </w:r>
          </w:p>
        </w:tc>
        <w:tc>
          <w:tcPr>
            <w:tcW w:w="0" w:type="auto"/>
            <w:vMerge w:val="restart"/>
            <w:shd w:val="clear" w:color="auto" w:fill="auto"/>
            <w:tcMar>
              <w:top w:w="40" w:type="dxa"/>
              <w:left w:w="40" w:type="dxa"/>
              <w:bottom w:w="40" w:type="dxa"/>
              <w:right w:w="40" w:type="dxa"/>
            </w:tcMar>
            <w:vAlign w:val="bottom"/>
          </w:tcPr>
          <w:p w14:paraId="4ACE664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64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64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8"/>
            <w:tcBorders>
              <w:bottom w:val="single" w:sz="8" w:space="0" w:color="0071C5"/>
            </w:tcBorders>
            <w:shd w:val="clear" w:color="auto" w:fill="auto"/>
            <w:tcMar>
              <w:top w:w="40" w:type="dxa"/>
              <w:left w:w="40" w:type="dxa"/>
              <w:bottom w:w="40" w:type="dxa"/>
              <w:right w:w="40" w:type="dxa"/>
            </w:tcMar>
            <w:vAlign w:val="bottom"/>
          </w:tcPr>
          <w:p w14:paraId="4ACE664A"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Incorporated by Reference</w:t>
            </w:r>
          </w:p>
        </w:tc>
        <w:tc>
          <w:tcPr>
            <w:tcW w:w="0" w:type="auto"/>
            <w:shd w:val="clear" w:color="auto" w:fill="auto"/>
            <w:tcMar>
              <w:top w:w="40" w:type="dxa"/>
              <w:left w:w="40" w:type="dxa"/>
              <w:bottom w:w="40" w:type="dxa"/>
              <w:right w:w="40" w:type="dxa"/>
            </w:tcMar>
            <w:vAlign w:val="bottom"/>
          </w:tcPr>
          <w:p w14:paraId="4ACE664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tcBorders>
              <w:bottom w:val="single" w:sz="8" w:space="0" w:color="0071C5"/>
            </w:tcBorders>
            <w:shd w:val="clear" w:color="auto" w:fill="auto"/>
            <w:tcMar>
              <w:top w:w="40" w:type="dxa"/>
              <w:left w:w="40" w:type="dxa"/>
              <w:bottom w:w="40" w:type="dxa"/>
              <w:right w:w="40" w:type="dxa"/>
            </w:tcMar>
            <w:vAlign w:val="bottom"/>
          </w:tcPr>
          <w:p w14:paraId="4ACE664C"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Filed or</w:t>
            </w:r>
          </w:p>
          <w:p w14:paraId="4ACE664D"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Furnished</w:t>
            </w:r>
          </w:p>
          <w:p w14:paraId="4ACE664E"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Herewith</w:t>
            </w:r>
          </w:p>
        </w:tc>
      </w:tr>
      <w:tr w:rsidR="006F587A" w14:paraId="4ACE665E" w14:textId="77777777">
        <w:tc>
          <w:tcPr>
            <w:tcW w:w="0" w:type="auto"/>
            <w:vMerge/>
            <w:tcBorders>
              <w:bottom w:val="single" w:sz="8" w:space="0" w:color="0071C5"/>
            </w:tcBorders>
            <w:shd w:val="clear" w:color="auto" w:fill="auto"/>
            <w:tcMar>
              <w:top w:w="40" w:type="dxa"/>
              <w:left w:w="40" w:type="dxa"/>
              <w:bottom w:w="40" w:type="dxa"/>
              <w:right w:w="40" w:type="dxa"/>
            </w:tcMar>
            <w:vAlign w:val="bottom"/>
          </w:tcPr>
          <w:p w14:paraId="4ACE6650" w14:textId="77777777" w:rsidR="006F587A" w:rsidRDefault="006F587A">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4ACE6651" w14:textId="77777777" w:rsidR="006F587A" w:rsidRDefault="006F587A">
            <w:pPr>
              <w:rPr>
                <w:rFonts w:ascii="Times New Roman" w:hAnsi="Times New Roman"/>
                <w:sz w:val="20"/>
                <w:szCs w:val="20"/>
              </w:rPr>
            </w:pPr>
          </w:p>
        </w:tc>
        <w:tc>
          <w:tcPr>
            <w:tcW w:w="0" w:type="auto"/>
            <w:tcBorders>
              <w:bottom w:val="single" w:sz="8" w:space="0" w:color="0071C5"/>
            </w:tcBorders>
            <w:shd w:val="clear" w:color="auto" w:fill="auto"/>
            <w:tcMar>
              <w:top w:w="40" w:type="dxa"/>
              <w:left w:w="40" w:type="dxa"/>
              <w:bottom w:w="40" w:type="dxa"/>
              <w:right w:w="40" w:type="dxa"/>
            </w:tcMar>
            <w:vAlign w:val="bottom"/>
          </w:tcPr>
          <w:p w14:paraId="4ACE6652"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Exhibit Description</w:t>
            </w:r>
          </w:p>
        </w:tc>
        <w:tc>
          <w:tcPr>
            <w:tcW w:w="0" w:type="auto"/>
            <w:shd w:val="clear" w:color="auto" w:fill="auto"/>
            <w:tcMar>
              <w:top w:w="40" w:type="dxa"/>
              <w:left w:w="40" w:type="dxa"/>
              <w:bottom w:w="40" w:type="dxa"/>
              <w:right w:w="40" w:type="dxa"/>
            </w:tcMar>
            <w:vAlign w:val="bottom"/>
          </w:tcPr>
          <w:p w14:paraId="4ACE665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71C5"/>
            </w:tcBorders>
            <w:shd w:val="clear" w:color="auto" w:fill="auto"/>
            <w:tcMar>
              <w:top w:w="40" w:type="dxa"/>
              <w:left w:w="40" w:type="dxa"/>
              <w:bottom w:w="40" w:type="dxa"/>
              <w:right w:w="40" w:type="dxa"/>
            </w:tcMar>
            <w:vAlign w:val="bottom"/>
          </w:tcPr>
          <w:p w14:paraId="4ACE6654"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Form</w:t>
            </w:r>
          </w:p>
        </w:tc>
        <w:tc>
          <w:tcPr>
            <w:tcW w:w="0" w:type="auto"/>
            <w:shd w:val="clear" w:color="auto" w:fill="auto"/>
            <w:tcMar>
              <w:top w:w="40" w:type="dxa"/>
              <w:left w:w="40" w:type="dxa"/>
              <w:bottom w:w="40" w:type="dxa"/>
              <w:right w:w="40" w:type="dxa"/>
            </w:tcMar>
            <w:vAlign w:val="bottom"/>
          </w:tcPr>
          <w:p w14:paraId="4ACE665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71C5"/>
            </w:tcBorders>
            <w:shd w:val="clear" w:color="auto" w:fill="auto"/>
            <w:tcMar>
              <w:top w:w="40" w:type="dxa"/>
              <w:left w:w="40" w:type="dxa"/>
              <w:bottom w:w="40" w:type="dxa"/>
              <w:right w:w="40" w:type="dxa"/>
            </w:tcMar>
            <w:vAlign w:val="bottom"/>
          </w:tcPr>
          <w:p w14:paraId="4ACE6656"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File Number</w:t>
            </w:r>
          </w:p>
        </w:tc>
        <w:tc>
          <w:tcPr>
            <w:tcW w:w="0" w:type="auto"/>
            <w:shd w:val="clear" w:color="auto" w:fill="auto"/>
            <w:tcMar>
              <w:top w:w="40" w:type="dxa"/>
              <w:left w:w="40" w:type="dxa"/>
              <w:bottom w:w="40" w:type="dxa"/>
              <w:right w:w="40" w:type="dxa"/>
            </w:tcMar>
            <w:vAlign w:val="bottom"/>
          </w:tcPr>
          <w:p w14:paraId="4ACE665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71C5"/>
            </w:tcBorders>
            <w:shd w:val="clear" w:color="auto" w:fill="auto"/>
            <w:tcMar>
              <w:top w:w="40" w:type="dxa"/>
              <w:left w:w="40" w:type="dxa"/>
              <w:bottom w:w="40" w:type="dxa"/>
              <w:right w:w="40" w:type="dxa"/>
            </w:tcMar>
            <w:vAlign w:val="bottom"/>
          </w:tcPr>
          <w:p w14:paraId="4ACE6658"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Exhibit</w:t>
            </w:r>
          </w:p>
        </w:tc>
        <w:tc>
          <w:tcPr>
            <w:tcW w:w="0" w:type="auto"/>
            <w:shd w:val="clear" w:color="auto" w:fill="auto"/>
            <w:tcMar>
              <w:top w:w="40" w:type="dxa"/>
              <w:left w:w="40" w:type="dxa"/>
              <w:bottom w:w="40" w:type="dxa"/>
              <w:right w:w="40" w:type="dxa"/>
            </w:tcMar>
            <w:vAlign w:val="bottom"/>
          </w:tcPr>
          <w:p w14:paraId="4ACE665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71C5"/>
            </w:tcBorders>
            <w:shd w:val="clear" w:color="auto" w:fill="auto"/>
            <w:tcMar>
              <w:top w:w="40" w:type="dxa"/>
              <w:left w:w="40" w:type="dxa"/>
              <w:bottom w:w="40" w:type="dxa"/>
              <w:right w:w="40" w:type="dxa"/>
            </w:tcMar>
            <w:vAlign w:val="bottom"/>
          </w:tcPr>
          <w:p w14:paraId="4ACE665A"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Filing</w:t>
            </w:r>
          </w:p>
          <w:p w14:paraId="4ACE665B"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Date</w:t>
            </w:r>
          </w:p>
        </w:tc>
        <w:tc>
          <w:tcPr>
            <w:tcW w:w="0" w:type="auto"/>
            <w:shd w:val="clear" w:color="auto" w:fill="auto"/>
            <w:tcMar>
              <w:top w:w="40" w:type="dxa"/>
              <w:left w:w="40" w:type="dxa"/>
              <w:bottom w:w="40" w:type="dxa"/>
              <w:right w:w="40" w:type="dxa"/>
            </w:tcMar>
            <w:vAlign w:val="bottom"/>
          </w:tcPr>
          <w:p w14:paraId="4ACE665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tcBorders>
              <w:bottom w:val="single" w:sz="8" w:space="0" w:color="0071C5"/>
            </w:tcBorders>
            <w:shd w:val="clear" w:color="auto" w:fill="auto"/>
            <w:tcMar>
              <w:top w:w="40" w:type="dxa"/>
              <w:left w:w="40" w:type="dxa"/>
              <w:bottom w:w="40" w:type="dxa"/>
              <w:right w:w="40" w:type="dxa"/>
            </w:tcMar>
            <w:vAlign w:val="bottom"/>
          </w:tcPr>
          <w:p w14:paraId="4ACE665D" w14:textId="77777777" w:rsidR="006F587A" w:rsidRDefault="006F587A">
            <w:pPr>
              <w:rPr>
                <w:rFonts w:ascii="Times New Roman" w:hAnsi="Times New Roman"/>
                <w:sz w:val="20"/>
                <w:szCs w:val="20"/>
              </w:rPr>
            </w:pPr>
          </w:p>
        </w:tc>
      </w:tr>
      <w:tr w:rsidR="006F587A" w14:paraId="4ACE666D" w14:textId="77777777">
        <w:tc>
          <w:tcPr>
            <w:tcW w:w="0" w:type="auto"/>
            <w:shd w:val="clear" w:color="auto" w:fill="auto"/>
            <w:tcMar>
              <w:top w:w="40" w:type="dxa"/>
              <w:left w:w="240" w:type="dxa"/>
              <w:bottom w:w="40" w:type="dxa"/>
              <w:right w:w="40" w:type="dxa"/>
            </w:tcMar>
          </w:tcPr>
          <w:p w14:paraId="4ACE665F"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4.14</w:t>
            </w:r>
          </w:p>
        </w:tc>
        <w:tc>
          <w:tcPr>
            <w:tcW w:w="0" w:type="auto"/>
            <w:shd w:val="clear" w:color="auto" w:fill="auto"/>
            <w:tcMar>
              <w:top w:w="40" w:type="dxa"/>
              <w:left w:w="40" w:type="dxa"/>
              <w:bottom w:w="40" w:type="dxa"/>
              <w:right w:w="40" w:type="dxa"/>
            </w:tcMar>
            <w:vAlign w:val="bottom"/>
          </w:tcPr>
          <w:p w14:paraId="4ACE666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661" w14:textId="77777777" w:rsidR="006F587A" w:rsidRDefault="007B2B61">
            <w:pPr>
              <w:textAlignment w:val="bottom"/>
              <w:rPr>
                <w:rFonts w:ascii="Times New Roman" w:hAnsi="Times New Roman"/>
                <w:sz w:val="18"/>
                <w:szCs w:val="18"/>
              </w:rPr>
            </w:pPr>
            <w:hyperlink r:id="rId196" w:history="1">
              <w:r>
                <w:rPr>
                  <w:rStyle w:val="a5"/>
                  <w:rFonts w:ascii="Arial" w:eastAsia="宋体" w:hAnsi="Arial" w:cs="Arial"/>
                  <w:sz w:val="18"/>
                  <w:szCs w:val="18"/>
                </w:rPr>
                <w:t>Supplemental Indenture No. 1, dated as of August 27, 2019, to the Indenture for the Registrant’s 3.25% Junior Subordinated Convertible Debentures due 2039 betwee</w:t>
              </w:r>
              <w:r>
                <w:rPr>
                  <w:rStyle w:val="a5"/>
                  <w:rFonts w:ascii="Arial" w:eastAsia="宋体" w:hAnsi="Arial" w:cs="Arial"/>
                  <w:sz w:val="18"/>
                  <w:szCs w:val="18"/>
                </w:rPr>
                <w:t>n Intel Corporation and Wells Fargo Bank, National Association, dated as of July 27, 2009</w:t>
              </w:r>
            </w:hyperlink>
          </w:p>
        </w:tc>
        <w:tc>
          <w:tcPr>
            <w:tcW w:w="0" w:type="auto"/>
            <w:shd w:val="clear" w:color="auto" w:fill="auto"/>
            <w:tcMar>
              <w:top w:w="40" w:type="dxa"/>
              <w:left w:w="40" w:type="dxa"/>
              <w:bottom w:w="40" w:type="dxa"/>
              <w:right w:w="40" w:type="dxa"/>
            </w:tcMar>
            <w:vAlign w:val="bottom"/>
          </w:tcPr>
          <w:p w14:paraId="4ACE666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663"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10-Q</w:t>
            </w:r>
          </w:p>
        </w:tc>
        <w:tc>
          <w:tcPr>
            <w:tcW w:w="0" w:type="auto"/>
            <w:shd w:val="clear" w:color="auto" w:fill="auto"/>
            <w:tcMar>
              <w:top w:w="40" w:type="dxa"/>
              <w:left w:w="40" w:type="dxa"/>
              <w:bottom w:w="40" w:type="dxa"/>
              <w:right w:w="40" w:type="dxa"/>
            </w:tcMar>
            <w:vAlign w:val="bottom"/>
          </w:tcPr>
          <w:p w14:paraId="4ACE666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665"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4ACE666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ACE6667"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4.1</w:t>
            </w:r>
          </w:p>
        </w:tc>
        <w:tc>
          <w:tcPr>
            <w:tcW w:w="0" w:type="auto"/>
            <w:shd w:val="clear" w:color="auto" w:fill="auto"/>
            <w:vAlign w:val="bottom"/>
          </w:tcPr>
          <w:p w14:paraId="4ACE666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66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66A"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10/24/2019</w:t>
            </w:r>
          </w:p>
        </w:tc>
        <w:tc>
          <w:tcPr>
            <w:tcW w:w="0" w:type="auto"/>
            <w:shd w:val="clear" w:color="auto" w:fill="auto"/>
            <w:tcMar>
              <w:top w:w="40" w:type="dxa"/>
              <w:left w:w="40" w:type="dxa"/>
              <w:bottom w:w="40" w:type="dxa"/>
              <w:right w:w="40" w:type="dxa"/>
            </w:tcMar>
            <w:vAlign w:val="bottom"/>
          </w:tcPr>
          <w:p w14:paraId="4ACE666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66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67C" w14:textId="77777777">
        <w:tc>
          <w:tcPr>
            <w:tcW w:w="0" w:type="auto"/>
            <w:shd w:val="clear" w:color="auto" w:fill="auto"/>
            <w:tcMar>
              <w:top w:w="40" w:type="dxa"/>
              <w:left w:w="240" w:type="dxa"/>
              <w:bottom w:w="40" w:type="dxa"/>
              <w:right w:w="40" w:type="dxa"/>
            </w:tcMar>
          </w:tcPr>
          <w:p w14:paraId="4ACE666E"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4.15</w:t>
            </w:r>
          </w:p>
        </w:tc>
        <w:tc>
          <w:tcPr>
            <w:tcW w:w="0" w:type="auto"/>
            <w:shd w:val="clear" w:color="auto" w:fill="auto"/>
            <w:tcMar>
              <w:top w:w="40" w:type="dxa"/>
              <w:left w:w="40" w:type="dxa"/>
              <w:bottom w:w="40" w:type="dxa"/>
              <w:right w:w="40" w:type="dxa"/>
            </w:tcMar>
            <w:vAlign w:val="bottom"/>
          </w:tcPr>
          <w:p w14:paraId="4ACE666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670" w14:textId="77777777" w:rsidR="006F587A" w:rsidRDefault="007B2B61">
            <w:pPr>
              <w:textAlignment w:val="top"/>
              <w:rPr>
                <w:rFonts w:ascii="Times New Roman" w:hAnsi="Times New Roman"/>
                <w:sz w:val="18"/>
                <w:szCs w:val="18"/>
              </w:rPr>
            </w:pPr>
            <w:hyperlink r:id="rId197" w:history="1">
              <w:r>
                <w:rPr>
                  <w:rStyle w:val="a5"/>
                  <w:rFonts w:ascii="Arial" w:eastAsia="宋体" w:hAnsi="Arial" w:cs="Arial"/>
                  <w:sz w:val="18"/>
                  <w:szCs w:val="18"/>
                </w:rPr>
                <w:t>Guarantee dated December 28, 2015 by Intel Corporation in favor of U.S. Bank, National Association, as Trustee for the holders of Altera’s 1.750% Senior Notes du</w:t>
              </w:r>
              <w:r>
                <w:rPr>
                  <w:rStyle w:val="a5"/>
                  <w:rFonts w:ascii="Arial" w:eastAsia="宋体" w:hAnsi="Arial" w:cs="Arial"/>
                  <w:sz w:val="18"/>
                  <w:szCs w:val="18"/>
                </w:rPr>
                <w:t>e 2017, 2.500% Senior Notes due 2018 and 4.100% Senior Notes due 2023</w:t>
              </w:r>
            </w:hyperlink>
            <w:r>
              <w:rPr>
                <w:rFonts w:ascii="Arial" w:eastAsia="宋体" w:hAnsi="Arial" w:cs="Arial"/>
                <w:color w:val="333333"/>
                <w:sz w:val="18"/>
                <w:szCs w:val="18"/>
              </w:rPr>
              <w:t>                                                               </w:t>
            </w:r>
          </w:p>
        </w:tc>
        <w:tc>
          <w:tcPr>
            <w:tcW w:w="0" w:type="auto"/>
            <w:shd w:val="clear" w:color="auto" w:fill="auto"/>
            <w:tcMar>
              <w:top w:w="40" w:type="dxa"/>
              <w:left w:w="40" w:type="dxa"/>
              <w:bottom w:w="40" w:type="dxa"/>
              <w:right w:w="40" w:type="dxa"/>
            </w:tcMar>
            <w:vAlign w:val="bottom"/>
          </w:tcPr>
          <w:p w14:paraId="4ACE667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672"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8-K</w:t>
            </w:r>
          </w:p>
        </w:tc>
        <w:tc>
          <w:tcPr>
            <w:tcW w:w="0" w:type="auto"/>
            <w:shd w:val="clear" w:color="auto" w:fill="auto"/>
            <w:tcMar>
              <w:top w:w="40" w:type="dxa"/>
              <w:left w:w="40" w:type="dxa"/>
              <w:bottom w:w="40" w:type="dxa"/>
              <w:right w:w="40" w:type="dxa"/>
            </w:tcMar>
            <w:vAlign w:val="bottom"/>
          </w:tcPr>
          <w:p w14:paraId="4ACE667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674"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4ACE667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ACE6676"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99.2</w:t>
            </w:r>
          </w:p>
        </w:tc>
        <w:tc>
          <w:tcPr>
            <w:tcW w:w="0" w:type="auto"/>
            <w:shd w:val="clear" w:color="auto" w:fill="auto"/>
            <w:vAlign w:val="bottom"/>
          </w:tcPr>
          <w:p w14:paraId="4ACE667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67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679"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12/28/2015</w:t>
            </w:r>
          </w:p>
        </w:tc>
        <w:tc>
          <w:tcPr>
            <w:tcW w:w="0" w:type="auto"/>
            <w:shd w:val="clear" w:color="auto" w:fill="auto"/>
            <w:tcMar>
              <w:top w:w="40" w:type="dxa"/>
              <w:left w:w="40" w:type="dxa"/>
              <w:bottom w:w="40" w:type="dxa"/>
              <w:right w:w="40" w:type="dxa"/>
            </w:tcMar>
            <w:vAlign w:val="bottom"/>
          </w:tcPr>
          <w:p w14:paraId="4ACE667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67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68A" w14:textId="77777777">
        <w:tc>
          <w:tcPr>
            <w:tcW w:w="0" w:type="auto"/>
            <w:shd w:val="clear" w:color="auto" w:fill="auto"/>
            <w:tcMar>
              <w:top w:w="40" w:type="dxa"/>
              <w:left w:w="40" w:type="dxa"/>
              <w:bottom w:w="40" w:type="dxa"/>
              <w:right w:w="40" w:type="dxa"/>
            </w:tcMar>
            <w:vAlign w:val="bottom"/>
          </w:tcPr>
          <w:p w14:paraId="4ACE667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67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67F"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 xml:space="preserve">Certain instruments defining the rights of holders of long-term debt </w:t>
            </w:r>
            <w:r>
              <w:rPr>
                <w:rFonts w:ascii="Arial" w:eastAsia="宋体" w:hAnsi="Arial" w:cs="Arial"/>
                <w:color w:val="333333"/>
                <w:sz w:val="18"/>
                <w:szCs w:val="18"/>
              </w:rPr>
              <w:t>of Intel Corporation are omitted pursuant to Item 601(b)(4)(iii) of Regulation S-K. Intel Corporation hereby agrees to furnish to the Securities and Exchange Commission, upon request, copies of such instruments.</w:t>
            </w:r>
          </w:p>
        </w:tc>
        <w:tc>
          <w:tcPr>
            <w:tcW w:w="0" w:type="auto"/>
            <w:shd w:val="clear" w:color="auto" w:fill="auto"/>
            <w:tcMar>
              <w:top w:w="40" w:type="dxa"/>
              <w:left w:w="40" w:type="dxa"/>
              <w:bottom w:w="40" w:type="dxa"/>
              <w:right w:w="40" w:type="dxa"/>
            </w:tcMar>
            <w:vAlign w:val="bottom"/>
          </w:tcPr>
          <w:p w14:paraId="4ACE668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68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68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68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68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ACE668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68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68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68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68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698" w14:textId="77777777">
        <w:tc>
          <w:tcPr>
            <w:tcW w:w="0" w:type="auto"/>
            <w:shd w:val="clear" w:color="auto" w:fill="auto"/>
            <w:tcMar>
              <w:top w:w="40" w:type="dxa"/>
              <w:left w:w="240" w:type="dxa"/>
              <w:bottom w:w="40" w:type="dxa"/>
              <w:right w:w="40" w:type="dxa"/>
            </w:tcMar>
          </w:tcPr>
          <w:p w14:paraId="4ACE668B"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4.16</w:t>
            </w:r>
          </w:p>
        </w:tc>
        <w:tc>
          <w:tcPr>
            <w:tcW w:w="0" w:type="auto"/>
            <w:shd w:val="clear" w:color="auto" w:fill="auto"/>
            <w:tcMar>
              <w:top w:w="40" w:type="dxa"/>
              <w:left w:w="40" w:type="dxa"/>
              <w:bottom w:w="40" w:type="dxa"/>
              <w:right w:w="40" w:type="dxa"/>
            </w:tcMar>
            <w:vAlign w:val="bottom"/>
          </w:tcPr>
          <w:p w14:paraId="4ACE668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68D" w14:textId="77777777" w:rsidR="006F587A" w:rsidRDefault="007B2B61">
            <w:pPr>
              <w:textAlignment w:val="top"/>
              <w:rPr>
                <w:rFonts w:ascii="Times New Roman" w:hAnsi="Times New Roman"/>
                <w:sz w:val="18"/>
                <w:szCs w:val="18"/>
              </w:rPr>
            </w:pPr>
            <w:hyperlink r:id="rId198" w:history="1">
              <w:r>
                <w:rPr>
                  <w:rStyle w:val="a5"/>
                  <w:rFonts w:ascii="Arial" w:eastAsia="宋体" w:hAnsi="Arial" w:cs="Arial"/>
                  <w:sz w:val="18"/>
                  <w:szCs w:val="18"/>
                </w:rPr>
                <w:t>Description of Intel Securities Registered under Section 12 of the Exchange Act</w:t>
              </w:r>
            </w:hyperlink>
          </w:p>
        </w:tc>
        <w:tc>
          <w:tcPr>
            <w:tcW w:w="0" w:type="auto"/>
            <w:shd w:val="clear" w:color="auto" w:fill="auto"/>
            <w:tcMar>
              <w:top w:w="40" w:type="dxa"/>
              <w:left w:w="40" w:type="dxa"/>
              <w:bottom w:w="40" w:type="dxa"/>
              <w:right w:w="40" w:type="dxa"/>
            </w:tcMar>
            <w:vAlign w:val="bottom"/>
          </w:tcPr>
          <w:p w14:paraId="4ACE668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68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69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69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69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ACE669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69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69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69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697" w14:textId="77777777" w:rsidR="006F587A" w:rsidRDefault="007B2B61">
            <w:pPr>
              <w:jc w:val="center"/>
              <w:textAlignment w:val="top"/>
              <w:rPr>
                <w:rFonts w:ascii="Times New Roman" w:hAnsi="Times New Roman"/>
                <w:sz w:val="18"/>
                <w:szCs w:val="18"/>
              </w:rPr>
            </w:pPr>
            <w:r>
              <w:rPr>
                <w:rFonts w:ascii="Arial" w:eastAsia="宋体" w:hAnsi="Arial" w:cs="Arial"/>
                <w:color w:val="333333"/>
                <w:sz w:val="18"/>
                <w:szCs w:val="18"/>
              </w:rPr>
              <w:t>X</w:t>
            </w:r>
          </w:p>
        </w:tc>
      </w:tr>
      <w:tr w:rsidR="006F587A" w14:paraId="4ACE66A7" w14:textId="77777777">
        <w:tc>
          <w:tcPr>
            <w:tcW w:w="0" w:type="auto"/>
            <w:shd w:val="clear" w:color="auto" w:fill="auto"/>
            <w:tcMar>
              <w:top w:w="40" w:type="dxa"/>
              <w:left w:w="40" w:type="dxa"/>
              <w:bottom w:w="40" w:type="dxa"/>
              <w:right w:w="40" w:type="dxa"/>
            </w:tcMar>
          </w:tcPr>
          <w:p w14:paraId="4ACE6699"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10.1</w:t>
            </w:r>
            <w:r>
              <w:rPr>
                <w:rFonts w:ascii="Arial" w:eastAsia="宋体" w:hAnsi="Arial" w:cs="Arial"/>
                <w:color w:val="000000"/>
                <w:sz w:val="12"/>
                <w:szCs w:val="12"/>
              </w:rPr>
              <w:t>†</w:t>
            </w:r>
          </w:p>
        </w:tc>
        <w:tc>
          <w:tcPr>
            <w:tcW w:w="0" w:type="auto"/>
            <w:shd w:val="clear" w:color="auto" w:fill="auto"/>
            <w:tcMar>
              <w:top w:w="40" w:type="dxa"/>
              <w:left w:w="40" w:type="dxa"/>
              <w:bottom w:w="40" w:type="dxa"/>
              <w:right w:w="40" w:type="dxa"/>
            </w:tcMar>
            <w:vAlign w:val="bottom"/>
          </w:tcPr>
          <w:p w14:paraId="4ACE669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69B" w14:textId="77777777" w:rsidR="006F587A" w:rsidRDefault="007B2B61">
            <w:pPr>
              <w:textAlignment w:val="top"/>
              <w:rPr>
                <w:rFonts w:ascii="Times New Roman" w:hAnsi="Times New Roman"/>
                <w:sz w:val="18"/>
                <w:szCs w:val="18"/>
              </w:rPr>
            </w:pPr>
            <w:hyperlink r:id="rId199" w:history="1">
              <w:r>
                <w:rPr>
                  <w:rStyle w:val="a5"/>
                  <w:rFonts w:ascii="Arial" w:eastAsia="宋体" w:hAnsi="Arial" w:cs="Arial"/>
                  <w:sz w:val="18"/>
                  <w:szCs w:val="18"/>
                </w:rPr>
                <w:t>Intel Corporation 2006 Equity Incentive Plan, as amended and restated, effective May 16, 2019</w:t>
              </w:r>
            </w:hyperlink>
          </w:p>
        </w:tc>
        <w:tc>
          <w:tcPr>
            <w:tcW w:w="0" w:type="auto"/>
            <w:shd w:val="clear" w:color="auto" w:fill="auto"/>
            <w:tcMar>
              <w:top w:w="40" w:type="dxa"/>
              <w:left w:w="40" w:type="dxa"/>
              <w:bottom w:w="40" w:type="dxa"/>
              <w:right w:w="40" w:type="dxa"/>
            </w:tcMar>
            <w:vAlign w:val="bottom"/>
          </w:tcPr>
          <w:p w14:paraId="4ACE669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69D"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10-Q</w:t>
            </w:r>
          </w:p>
        </w:tc>
        <w:tc>
          <w:tcPr>
            <w:tcW w:w="0" w:type="auto"/>
            <w:shd w:val="clear" w:color="auto" w:fill="auto"/>
            <w:tcMar>
              <w:top w:w="40" w:type="dxa"/>
              <w:left w:w="40" w:type="dxa"/>
              <w:bottom w:w="40" w:type="dxa"/>
              <w:right w:w="40" w:type="dxa"/>
            </w:tcMar>
            <w:vAlign w:val="bottom"/>
          </w:tcPr>
          <w:p w14:paraId="4ACE669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69F"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4ACE66A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ACE66A1"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10.1</w:t>
            </w:r>
          </w:p>
        </w:tc>
        <w:tc>
          <w:tcPr>
            <w:tcW w:w="0" w:type="auto"/>
            <w:shd w:val="clear" w:color="auto" w:fill="auto"/>
            <w:vAlign w:val="bottom"/>
          </w:tcPr>
          <w:p w14:paraId="4ACE66A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6A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6A4"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7/26/2019</w:t>
            </w:r>
          </w:p>
        </w:tc>
        <w:tc>
          <w:tcPr>
            <w:tcW w:w="0" w:type="auto"/>
            <w:shd w:val="clear" w:color="auto" w:fill="auto"/>
            <w:tcMar>
              <w:top w:w="40" w:type="dxa"/>
              <w:left w:w="40" w:type="dxa"/>
              <w:bottom w:w="40" w:type="dxa"/>
              <w:right w:w="40" w:type="dxa"/>
            </w:tcMar>
            <w:vAlign w:val="bottom"/>
          </w:tcPr>
          <w:p w14:paraId="4ACE66A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6A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6B7" w14:textId="77777777">
        <w:tc>
          <w:tcPr>
            <w:tcW w:w="0" w:type="auto"/>
            <w:shd w:val="clear" w:color="auto" w:fill="auto"/>
            <w:tcMar>
              <w:top w:w="40" w:type="dxa"/>
              <w:left w:w="40" w:type="dxa"/>
              <w:bottom w:w="40" w:type="dxa"/>
              <w:right w:w="40" w:type="dxa"/>
            </w:tcMar>
          </w:tcPr>
          <w:p w14:paraId="4ACE66A8"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10.1.2</w:t>
            </w:r>
            <w:r>
              <w:rPr>
                <w:rFonts w:ascii="Arial" w:eastAsia="宋体" w:hAnsi="Arial" w:cs="Arial"/>
                <w:color w:val="333333"/>
                <w:sz w:val="12"/>
                <w:szCs w:val="12"/>
              </w:rPr>
              <w:t>†</w:t>
            </w:r>
          </w:p>
          <w:p w14:paraId="4ACE66A9" w14:textId="77777777" w:rsidR="006F587A" w:rsidRDefault="006F587A">
            <w:pPr>
              <w:textAlignment w:val="top"/>
              <w:rPr>
                <w:rFonts w:ascii="Times New Roman" w:hAnsi="Times New Roman"/>
                <w:sz w:val="18"/>
                <w:szCs w:val="18"/>
              </w:rPr>
            </w:pPr>
          </w:p>
        </w:tc>
        <w:tc>
          <w:tcPr>
            <w:tcW w:w="0" w:type="auto"/>
            <w:shd w:val="clear" w:color="auto" w:fill="auto"/>
            <w:tcMar>
              <w:top w:w="40" w:type="dxa"/>
              <w:left w:w="40" w:type="dxa"/>
              <w:bottom w:w="40" w:type="dxa"/>
              <w:right w:w="40" w:type="dxa"/>
            </w:tcMar>
            <w:vAlign w:val="bottom"/>
          </w:tcPr>
          <w:p w14:paraId="4ACE66A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6AB" w14:textId="77777777" w:rsidR="006F587A" w:rsidRDefault="007B2B61">
            <w:pPr>
              <w:textAlignment w:val="top"/>
              <w:rPr>
                <w:rFonts w:ascii="Times New Roman" w:hAnsi="Times New Roman"/>
                <w:sz w:val="18"/>
                <w:szCs w:val="18"/>
              </w:rPr>
            </w:pPr>
            <w:hyperlink r:id="rId200" w:history="1">
              <w:r>
                <w:rPr>
                  <w:rStyle w:val="a5"/>
                  <w:rFonts w:ascii="Arial" w:eastAsia="宋体" w:hAnsi="Arial" w:cs="Arial"/>
                  <w:sz w:val="18"/>
                  <w:szCs w:val="18"/>
                </w:rPr>
                <w:t>Form of Notice of Grant - Restricted Stock Units</w:t>
              </w:r>
            </w:hyperlink>
          </w:p>
        </w:tc>
        <w:tc>
          <w:tcPr>
            <w:tcW w:w="0" w:type="auto"/>
            <w:shd w:val="clear" w:color="auto" w:fill="auto"/>
            <w:tcMar>
              <w:top w:w="40" w:type="dxa"/>
              <w:left w:w="40" w:type="dxa"/>
              <w:bottom w:w="40" w:type="dxa"/>
              <w:right w:w="40" w:type="dxa"/>
            </w:tcMar>
            <w:vAlign w:val="bottom"/>
          </w:tcPr>
          <w:p w14:paraId="4ACE66A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6AD"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10-Q</w:t>
            </w:r>
          </w:p>
        </w:tc>
        <w:tc>
          <w:tcPr>
            <w:tcW w:w="0" w:type="auto"/>
            <w:shd w:val="clear" w:color="auto" w:fill="auto"/>
            <w:tcMar>
              <w:top w:w="40" w:type="dxa"/>
              <w:left w:w="40" w:type="dxa"/>
              <w:bottom w:w="40" w:type="dxa"/>
              <w:right w:w="40" w:type="dxa"/>
            </w:tcMar>
            <w:vAlign w:val="bottom"/>
          </w:tcPr>
          <w:p w14:paraId="4ACE66A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6AF"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4ACE66B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ACE66B1"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10.3</w:t>
            </w:r>
          </w:p>
        </w:tc>
        <w:tc>
          <w:tcPr>
            <w:tcW w:w="0" w:type="auto"/>
            <w:shd w:val="clear" w:color="auto" w:fill="auto"/>
            <w:vAlign w:val="bottom"/>
          </w:tcPr>
          <w:p w14:paraId="4ACE66B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6B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6B4"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8/3/2009</w:t>
            </w:r>
          </w:p>
        </w:tc>
        <w:tc>
          <w:tcPr>
            <w:tcW w:w="0" w:type="auto"/>
            <w:shd w:val="clear" w:color="auto" w:fill="auto"/>
            <w:tcMar>
              <w:top w:w="40" w:type="dxa"/>
              <w:left w:w="40" w:type="dxa"/>
              <w:bottom w:w="40" w:type="dxa"/>
              <w:right w:w="40" w:type="dxa"/>
            </w:tcMar>
            <w:vAlign w:val="bottom"/>
          </w:tcPr>
          <w:p w14:paraId="4ACE66B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6B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6C7" w14:textId="77777777">
        <w:tc>
          <w:tcPr>
            <w:tcW w:w="0" w:type="auto"/>
            <w:shd w:val="clear" w:color="auto" w:fill="auto"/>
            <w:tcMar>
              <w:top w:w="40" w:type="dxa"/>
              <w:left w:w="40" w:type="dxa"/>
              <w:bottom w:w="40" w:type="dxa"/>
              <w:right w:w="40" w:type="dxa"/>
            </w:tcMar>
          </w:tcPr>
          <w:p w14:paraId="4ACE66B8"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10.1.3</w:t>
            </w:r>
            <w:r>
              <w:rPr>
                <w:rFonts w:ascii="Arial" w:eastAsia="宋体" w:hAnsi="Arial" w:cs="Arial"/>
                <w:color w:val="333333"/>
                <w:sz w:val="12"/>
                <w:szCs w:val="12"/>
              </w:rPr>
              <w:t>†</w:t>
            </w:r>
          </w:p>
          <w:p w14:paraId="4ACE66B9" w14:textId="77777777" w:rsidR="006F587A" w:rsidRDefault="006F587A">
            <w:pPr>
              <w:textAlignment w:val="top"/>
              <w:rPr>
                <w:rFonts w:ascii="Times New Roman" w:hAnsi="Times New Roman"/>
                <w:sz w:val="18"/>
                <w:szCs w:val="18"/>
              </w:rPr>
            </w:pPr>
          </w:p>
        </w:tc>
        <w:tc>
          <w:tcPr>
            <w:tcW w:w="0" w:type="auto"/>
            <w:shd w:val="clear" w:color="auto" w:fill="auto"/>
            <w:tcMar>
              <w:top w:w="40" w:type="dxa"/>
              <w:left w:w="40" w:type="dxa"/>
              <w:bottom w:w="40" w:type="dxa"/>
              <w:right w:w="40" w:type="dxa"/>
            </w:tcMar>
            <w:vAlign w:val="bottom"/>
          </w:tcPr>
          <w:p w14:paraId="4ACE66B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6BB" w14:textId="77777777" w:rsidR="006F587A" w:rsidRDefault="007B2B61">
            <w:pPr>
              <w:textAlignment w:val="top"/>
              <w:rPr>
                <w:rFonts w:ascii="Times New Roman" w:hAnsi="Times New Roman"/>
                <w:sz w:val="18"/>
                <w:szCs w:val="18"/>
              </w:rPr>
            </w:pPr>
            <w:hyperlink r:id="rId201" w:history="1">
              <w:r>
                <w:rPr>
                  <w:rStyle w:val="a5"/>
                  <w:rFonts w:ascii="Arial" w:eastAsia="宋体" w:hAnsi="Arial" w:cs="Arial"/>
                  <w:sz w:val="18"/>
                  <w:szCs w:val="18"/>
                </w:rPr>
                <w:t>Intel Corporation Form of Notice of Grant - Restricted Stock Units</w:t>
              </w:r>
            </w:hyperlink>
          </w:p>
        </w:tc>
        <w:tc>
          <w:tcPr>
            <w:tcW w:w="0" w:type="auto"/>
            <w:shd w:val="clear" w:color="auto" w:fill="auto"/>
            <w:tcMar>
              <w:top w:w="40" w:type="dxa"/>
              <w:left w:w="40" w:type="dxa"/>
              <w:bottom w:w="40" w:type="dxa"/>
              <w:right w:w="40" w:type="dxa"/>
            </w:tcMar>
            <w:vAlign w:val="bottom"/>
          </w:tcPr>
          <w:p w14:paraId="4ACE66B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6BD"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10-Q</w:t>
            </w:r>
          </w:p>
        </w:tc>
        <w:tc>
          <w:tcPr>
            <w:tcW w:w="0" w:type="auto"/>
            <w:shd w:val="clear" w:color="auto" w:fill="auto"/>
            <w:tcMar>
              <w:top w:w="40" w:type="dxa"/>
              <w:left w:w="40" w:type="dxa"/>
              <w:bottom w:w="40" w:type="dxa"/>
              <w:right w:w="40" w:type="dxa"/>
            </w:tcMar>
            <w:vAlign w:val="bottom"/>
          </w:tcPr>
          <w:p w14:paraId="4ACE66B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6BF"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4ACE66C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ACE66C1"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10.1</w:t>
            </w:r>
          </w:p>
        </w:tc>
        <w:tc>
          <w:tcPr>
            <w:tcW w:w="0" w:type="auto"/>
            <w:shd w:val="clear" w:color="auto" w:fill="auto"/>
            <w:vAlign w:val="bottom"/>
          </w:tcPr>
          <w:p w14:paraId="4ACE66C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6C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6C4"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10/25/2018</w:t>
            </w:r>
          </w:p>
        </w:tc>
        <w:tc>
          <w:tcPr>
            <w:tcW w:w="0" w:type="auto"/>
            <w:shd w:val="clear" w:color="auto" w:fill="auto"/>
            <w:tcMar>
              <w:top w:w="40" w:type="dxa"/>
              <w:left w:w="40" w:type="dxa"/>
              <w:bottom w:w="40" w:type="dxa"/>
              <w:right w:w="40" w:type="dxa"/>
            </w:tcMar>
            <w:vAlign w:val="bottom"/>
          </w:tcPr>
          <w:p w14:paraId="4ACE66C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6C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6D8" w14:textId="77777777">
        <w:tc>
          <w:tcPr>
            <w:tcW w:w="0" w:type="auto"/>
            <w:shd w:val="clear" w:color="auto" w:fill="auto"/>
            <w:tcMar>
              <w:top w:w="40" w:type="dxa"/>
              <w:left w:w="40" w:type="dxa"/>
              <w:bottom w:w="40" w:type="dxa"/>
              <w:right w:w="40" w:type="dxa"/>
            </w:tcMar>
          </w:tcPr>
          <w:p w14:paraId="4ACE66C8"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10.1.4</w:t>
            </w:r>
            <w:r>
              <w:rPr>
                <w:rFonts w:ascii="Arial" w:eastAsia="宋体" w:hAnsi="Arial" w:cs="Arial"/>
                <w:color w:val="333333"/>
                <w:sz w:val="12"/>
                <w:szCs w:val="12"/>
              </w:rPr>
              <w:t>†</w:t>
            </w:r>
          </w:p>
          <w:p w14:paraId="4ACE66C9" w14:textId="77777777" w:rsidR="006F587A" w:rsidRDefault="006F587A">
            <w:pPr>
              <w:textAlignment w:val="top"/>
              <w:rPr>
                <w:rFonts w:ascii="Times New Roman" w:hAnsi="Times New Roman"/>
                <w:sz w:val="18"/>
                <w:szCs w:val="18"/>
              </w:rPr>
            </w:pPr>
          </w:p>
        </w:tc>
        <w:tc>
          <w:tcPr>
            <w:tcW w:w="0" w:type="auto"/>
            <w:shd w:val="clear" w:color="auto" w:fill="auto"/>
            <w:tcMar>
              <w:top w:w="40" w:type="dxa"/>
              <w:left w:w="40" w:type="dxa"/>
              <w:bottom w:w="40" w:type="dxa"/>
              <w:right w:w="40" w:type="dxa"/>
            </w:tcMar>
            <w:vAlign w:val="bottom"/>
          </w:tcPr>
          <w:p w14:paraId="4ACE66C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6CB" w14:textId="77777777" w:rsidR="006F587A" w:rsidRDefault="007B2B61">
            <w:pPr>
              <w:textAlignment w:val="top"/>
              <w:rPr>
                <w:rFonts w:ascii="Times New Roman" w:hAnsi="Times New Roman"/>
                <w:sz w:val="18"/>
                <w:szCs w:val="18"/>
              </w:rPr>
            </w:pPr>
            <w:hyperlink r:id="rId202" w:history="1">
              <w:r>
                <w:rPr>
                  <w:rStyle w:val="a5"/>
                  <w:rFonts w:ascii="Arial" w:eastAsia="宋体" w:hAnsi="Arial" w:cs="Arial"/>
                  <w:sz w:val="18"/>
                  <w:szCs w:val="18"/>
                </w:rPr>
                <w:t>Intel Corporation Restricted Stock Unit Agreement under the 2006 Equity Incentive Plan (for RSUs granted on or after January 23, 2015 under the Executive R</w:t>
              </w:r>
              <w:r>
                <w:rPr>
                  <w:rStyle w:val="a5"/>
                  <w:rFonts w:ascii="Arial" w:eastAsia="宋体" w:hAnsi="Arial" w:cs="Arial"/>
                  <w:sz w:val="18"/>
                  <w:szCs w:val="18"/>
                </w:rPr>
                <w:t>SU program)</w:t>
              </w:r>
            </w:hyperlink>
          </w:p>
        </w:tc>
        <w:tc>
          <w:tcPr>
            <w:tcW w:w="0" w:type="auto"/>
            <w:shd w:val="clear" w:color="auto" w:fill="auto"/>
            <w:tcMar>
              <w:top w:w="40" w:type="dxa"/>
              <w:left w:w="40" w:type="dxa"/>
              <w:bottom w:w="40" w:type="dxa"/>
              <w:right w:w="40" w:type="dxa"/>
            </w:tcMar>
            <w:vAlign w:val="bottom"/>
          </w:tcPr>
          <w:p w14:paraId="4ACE66C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6CD"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10-Q</w:t>
            </w:r>
          </w:p>
        </w:tc>
        <w:tc>
          <w:tcPr>
            <w:tcW w:w="0" w:type="auto"/>
            <w:shd w:val="clear" w:color="auto" w:fill="auto"/>
            <w:tcMar>
              <w:top w:w="40" w:type="dxa"/>
              <w:left w:w="40" w:type="dxa"/>
              <w:bottom w:w="40" w:type="dxa"/>
              <w:right w:w="40" w:type="dxa"/>
            </w:tcMar>
            <w:vAlign w:val="bottom"/>
          </w:tcPr>
          <w:p w14:paraId="4ACE66C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6CF"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4ACE66D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ACE66D1"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10.3</w:t>
            </w:r>
          </w:p>
        </w:tc>
        <w:tc>
          <w:tcPr>
            <w:tcW w:w="0" w:type="auto"/>
            <w:shd w:val="clear" w:color="auto" w:fill="auto"/>
            <w:vAlign w:val="bottom"/>
          </w:tcPr>
          <w:p w14:paraId="4ACE66D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6D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6D4"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4/27/2015</w:t>
            </w:r>
          </w:p>
          <w:p w14:paraId="4ACE66D5" w14:textId="77777777" w:rsidR="006F587A" w:rsidRDefault="006F587A">
            <w:pPr>
              <w:jc w:val="right"/>
              <w:textAlignment w:val="top"/>
              <w:rPr>
                <w:rFonts w:ascii="Times New Roman" w:hAnsi="Times New Roman"/>
                <w:sz w:val="18"/>
                <w:szCs w:val="18"/>
              </w:rPr>
            </w:pPr>
          </w:p>
        </w:tc>
        <w:tc>
          <w:tcPr>
            <w:tcW w:w="0" w:type="auto"/>
            <w:shd w:val="clear" w:color="auto" w:fill="auto"/>
            <w:tcMar>
              <w:top w:w="40" w:type="dxa"/>
              <w:left w:w="40" w:type="dxa"/>
              <w:bottom w:w="40" w:type="dxa"/>
              <w:right w:w="40" w:type="dxa"/>
            </w:tcMar>
            <w:vAlign w:val="bottom"/>
          </w:tcPr>
          <w:p w14:paraId="4ACE66D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6D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6E8" w14:textId="77777777">
        <w:tc>
          <w:tcPr>
            <w:tcW w:w="0" w:type="auto"/>
            <w:shd w:val="clear" w:color="auto" w:fill="auto"/>
            <w:tcMar>
              <w:top w:w="40" w:type="dxa"/>
              <w:left w:w="40" w:type="dxa"/>
              <w:bottom w:w="40" w:type="dxa"/>
              <w:right w:w="40" w:type="dxa"/>
            </w:tcMar>
          </w:tcPr>
          <w:p w14:paraId="4ACE66D9"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10.1.5</w:t>
            </w:r>
            <w:r>
              <w:rPr>
                <w:rFonts w:ascii="Arial" w:eastAsia="宋体" w:hAnsi="Arial" w:cs="Arial"/>
                <w:color w:val="333333"/>
                <w:sz w:val="12"/>
                <w:szCs w:val="12"/>
              </w:rPr>
              <w:t>†</w:t>
            </w:r>
          </w:p>
          <w:p w14:paraId="4ACE66DA" w14:textId="77777777" w:rsidR="006F587A" w:rsidRDefault="006F587A">
            <w:pPr>
              <w:textAlignment w:val="top"/>
              <w:rPr>
                <w:rFonts w:ascii="Times New Roman" w:hAnsi="Times New Roman"/>
                <w:sz w:val="18"/>
                <w:szCs w:val="18"/>
              </w:rPr>
            </w:pPr>
          </w:p>
        </w:tc>
        <w:tc>
          <w:tcPr>
            <w:tcW w:w="0" w:type="auto"/>
            <w:shd w:val="clear" w:color="auto" w:fill="auto"/>
            <w:tcMar>
              <w:top w:w="40" w:type="dxa"/>
              <w:left w:w="40" w:type="dxa"/>
              <w:bottom w:w="40" w:type="dxa"/>
              <w:right w:w="40" w:type="dxa"/>
            </w:tcMar>
            <w:vAlign w:val="bottom"/>
          </w:tcPr>
          <w:p w14:paraId="4ACE66D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6DC" w14:textId="77777777" w:rsidR="006F587A" w:rsidRDefault="007B2B61">
            <w:pPr>
              <w:textAlignment w:val="bottom"/>
              <w:rPr>
                <w:rFonts w:ascii="Times New Roman" w:hAnsi="Times New Roman"/>
                <w:sz w:val="18"/>
                <w:szCs w:val="18"/>
              </w:rPr>
            </w:pPr>
            <w:hyperlink r:id="rId203" w:history="1">
              <w:r>
                <w:rPr>
                  <w:rStyle w:val="a5"/>
                  <w:rFonts w:ascii="Arial" w:eastAsia="宋体" w:hAnsi="Arial" w:cs="Arial"/>
                  <w:sz w:val="18"/>
                  <w:szCs w:val="18"/>
                </w:rPr>
                <w:t xml:space="preserve">Intel Corporation Form of Restricted Stock Unit Grant Agreement under the 2006 Equity Incentive Plan (for RSUs with retirement vesting terms granted </w:t>
              </w:r>
              <w:r>
                <w:rPr>
                  <w:rStyle w:val="a5"/>
                  <w:rFonts w:ascii="Arial" w:eastAsia="宋体" w:hAnsi="Arial" w:cs="Arial"/>
                  <w:sz w:val="18"/>
                  <w:szCs w:val="18"/>
                </w:rPr>
                <w:lastRenderedPageBreak/>
                <w:t>to executiv</w:t>
              </w:r>
              <w:r>
                <w:rPr>
                  <w:rStyle w:val="a5"/>
                  <w:rFonts w:ascii="Arial" w:eastAsia="宋体" w:hAnsi="Arial" w:cs="Arial"/>
                  <w:sz w:val="18"/>
                  <w:szCs w:val="18"/>
                </w:rPr>
                <w:t>es on or after January 30, 2019)</w:t>
              </w:r>
            </w:hyperlink>
          </w:p>
        </w:tc>
        <w:tc>
          <w:tcPr>
            <w:tcW w:w="0" w:type="auto"/>
            <w:shd w:val="clear" w:color="auto" w:fill="auto"/>
            <w:tcMar>
              <w:top w:w="40" w:type="dxa"/>
              <w:left w:w="40" w:type="dxa"/>
              <w:bottom w:w="40" w:type="dxa"/>
              <w:right w:w="40" w:type="dxa"/>
            </w:tcMar>
            <w:vAlign w:val="bottom"/>
          </w:tcPr>
          <w:p w14:paraId="4ACE66D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lastRenderedPageBreak/>
              <w:t> </w:t>
            </w:r>
          </w:p>
        </w:tc>
        <w:tc>
          <w:tcPr>
            <w:tcW w:w="0" w:type="auto"/>
            <w:shd w:val="clear" w:color="auto" w:fill="auto"/>
            <w:tcMar>
              <w:top w:w="40" w:type="dxa"/>
              <w:left w:w="40" w:type="dxa"/>
              <w:bottom w:w="40" w:type="dxa"/>
              <w:right w:w="40" w:type="dxa"/>
            </w:tcMar>
          </w:tcPr>
          <w:p w14:paraId="4ACE66DE"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10-Q</w:t>
            </w:r>
          </w:p>
        </w:tc>
        <w:tc>
          <w:tcPr>
            <w:tcW w:w="0" w:type="auto"/>
            <w:shd w:val="clear" w:color="auto" w:fill="auto"/>
            <w:tcMar>
              <w:top w:w="40" w:type="dxa"/>
              <w:left w:w="40" w:type="dxa"/>
              <w:bottom w:w="40" w:type="dxa"/>
              <w:right w:w="40" w:type="dxa"/>
            </w:tcMar>
            <w:vAlign w:val="bottom"/>
          </w:tcPr>
          <w:p w14:paraId="4ACE66D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6E0"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4ACE66E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ACE66E2"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10.3</w:t>
            </w:r>
          </w:p>
        </w:tc>
        <w:tc>
          <w:tcPr>
            <w:tcW w:w="0" w:type="auto"/>
            <w:shd w:val="clear" w:color="auto" w:fill="auto"/>
            <w:vAlign w:val="bottom"/>
          </w:tcPr>
          <w:p w14:paraId="4ACE66E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6E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6E5"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4/26/2019</w:t>
            </w:r>
          </w:p>
        </w:tc>
        <w:tc>
          <w:tcPr>
            <w:tcW w:w="0" w:type="auto"/>
            <w:shd w:val="clear" w:color="auto" w:fill="auto"/>
            <w:tcMar>
              <w:top w:w="40" w:type="dxa"/>
              <w:left w:w="40" w:type="dxa"/>
              <w:bottom w:w="40" w:type="dxa"/>
              <w:right w:w="40" w:type="dxa"/>
            </w:tcMar>
            <w:vAlign w:val="bottom"/>
          </w:tcPr>
          <w:p w14:paraId="4ACE66E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6E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6F8" w14:textId="77777777">
        <w:tc>
          <w:tcPr>
            <w:tcW w:w="0" w:type="auto"/>
            <w:shd w:val="clear" w:color="auto" w:fill="auto"/>
            <w:tcMar>
              <w:top w:w="40" w:type="dxa"/>
              <w:left w:w="40" w:type="dxa"/>
              <w:bottom w:w="40" w:type="dxa"/>
              <w:right w:w="40" w:type="dxa"/>
            </w:tcMar>
          </w:tcPr>
          <w:p w14:paraId="4ACE66E9"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10.1.6</w:t>
            </w:r>
            <w:r>
              <w:rPr>
                <w:rFonts w:ascii="Arial" w:eastAsia="宋体" w:hAnsi="Arial" w:cs="Arial"/>
                <w:color w:val="333333"/>
                <w:sz w:val="12"/>
                <w:szCs w:val="12"/>
              </w:rPr>
              <w:t>†</w:t>
            </w:r>
          </w:p>
          <w:p w14:paraId="4ACE66EA" w14:textId="77777777" w:rsidR="006F587A" w:rsidRDefault="006F587A">
            <w:pPr>
              <w:textAlignment w:val="top"/>
              <w:rPr>
                <w:rFonts w:ascii="Times New Roman" w:hAnsi="Times New Roman"/>
                <w:sz w:val="18"/>
                <w:szCs w:val="18"/>
              </w:rPr>
            </w:pPr>
          </w:p>
        </w:tc>
        <w:tc>
          <w:tcPr>
            <w:tcW w:w="0" w:type="auto"/>
            <w:shd w:val="clear" w:color="auto" w:fill="auto"/>
            <w:tcMar>
              <w:top w:w="40" w:type="dxa"/>
              <w:left w:w="40" w:type="dxa"/>
              <w:bottom w:w="40" w:type="dxa"/>
              <w:right w:w="40" w:type="dxa"/>
            </w:tcMar>
            <w:vAlign w:val="bottom"/>
          </w:tcPr>
          <w:p w14:paraId="4ACE66E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6EC" w14:textId="77777777" w:rsidR="006F587A" w:rsidRDefault="007B2B61">
            <w:pPr>
              <w:textAlignment w:val="bottom"/>
              <w:rPr>
                <w:rFonts w:ascii="Times New Roman" w:hAnsi="Times New Roman"/>
                <w:sz w:val="18"/>
                <w:szCs w:val="18"/>
              </w:rPr>
            </w:pPr>
            <w:hyperlink r:id="rId204" w:history="1">
              <w:r>
                <w:rPr>
                  <w:rStyle w:val="a5"/>
                  <w:rFonts w:ascii="Arial" w:eastAsia="宋体" w:hAnsi="Arial" w:cs="Arial"/>
                  <w:sz w:val="18"/>
                  <w:szCs w:val="18"/>
                </w:rPr>
                <w:t>Intel Corporation Form of Restricted Stock Unit Grant Agreement under the 2006 Equity Incentive Plan (for RSUs without retirement vesting terms granted to execu</w:t>
              </w:r>
              <w:r>
                <w:rPr>
                  <w:rStyle w:val="a5"/>
                  <w:rFonts w:ascii="Arial" w:eastAsia="宋体" w:hAnsi="Arial" w:cs="Arial"/>
                  <w:sz w:val="18"/>
                  <w:szCs w:val="18"/>
                </w:rPr>
                <w:t>tives on or after January 30, 2019)</w:t>
              </w:r>
            </w:hyperlink>
          </w:p>
        </w:tc>
        <w:tc>
          <w:tcPr>
            <w:tcW w:w="0" w:type="auto"/>
            <w:shd w:val="clear" w:color="auto" w:fill="auto"/>
            <w:tcMar>
              <w:top w:w="40" w:type="dxa"/>
              <w:left w:w="40" w:type="dxa"/>
              <w:bottom w:w="40" w:type="dxa"/>
              <w:right w:w="40" w:type="dxa"/>
            </w:tcMar>
            <w:vAlign w:val="bottom"/>
          </w:tcPr>
          <w:p w14:paraId="4ACE66E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6EE"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10-Q</w:t>
            </w:r>
          </w:p>
        </w:tc>
        <w:tc>
          <w:tcPr>
            <w:tcW w:w="0" w:type="auto"/>
            <w:shd w:val="clear" w:color="auto" w:fill="auto"/>
            <w:tcMar>
              <w:top w:w="40" w:type="dxa"/>
              <w:left w:w="40" w:type="dxa"/>
              <w:bottom w:w="40" w:type="dxa"/>
              <w:right w:w="40" w:type="dxa"/>
            </w:tcMar>
            <w:vAlign w:val="bottom"/>
          </w:tcPr>
          <w:p w14:paraId="4ACE66E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6F0"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4ACE66F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ACE66F2"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10.4</w:t>
            </w:r>
          </w:p>
        </w:tc>
        <w:tc>
          <w:tcPr>
            <w:tcW w:w="0" w:type="auto"/>
            <w:shd w:val="clear" w:color="auto" w:fill="auto"/>
            <w:vAlign w:val="bottom"/>
          </w:tcPr>
          <w:p w14:paraId="4ACE66F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6F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6F5"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4/26/2019</w:t>
            </w:r>
          </w:p>
        </w:tc>
        <w:tc>
          <w:tcPr>
            <w:tcW w:w="0" w:type="auto"/>
            <w:shd w:val="clear" w:color="auto" w:fill="auto"/>
            <w:tcMar>
              <w:top w:w="40" w:type="dxa"/>
              <w:left w:w="40" w:type="dxa"/>
              <w:bottom w:w="40" w:type="dxa"/>
              <w:right w:w="40" w:type="dxa"/>
            </w:tcMar>
            <w:vAlign w:val="bottom"/>
          </w:tcPr>
          <w:p w14:paraId="4ACE66F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6F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708" w14:textId="77777777">
        <w:tc>
          <w:tcPr>
            <w:tcW w:w="0" w:type="auto"/>
            <w:shd w:val="clear" w:color="auto" w:fill="auto"/>
            <w:tcMar>
              <w:top w:w="40" w:type="dxa"/>
              <w:left w:w="40" w:type="dxa"/>
              <w:bottom w:w="40" w:type="dxa"/>
              <w:right w:w="40" w:type="dxa"/>
            </w:tcMar>
          </w:tcPr>
          <w:p w14:paraId="4ACE66F9"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10.1.7</w:t>
            </w:r>
            <w:r>
              <w:rPr>
                <w:rFonts w:ascii="Arial" w:eastAsia="宋体" w:hAnsi="Arial" w:cs="Arial"/>
                <w:color w:val="333333"/>
                <w:sz w:val="12"/>
                <w:szCs w:val="12"/>
              </w:rPr>
              <w:t>†</w:t>
            </w:r>
          </w:p>
          <w:p w14:paraId="4ACE66FA" w14:textId="77777777" w:rsidR="006F587A" w:rsidRDefault="006F587A">
            <w:pPr>
              <w:textAlignment w:val="top"/>
              <w:rPr>
                <w:rFonts w:ascii="Times New Roman" w:hAnsi="Times New Roman"/>
                <w:sz w:val="18"/>
                <w:szCs w:val="18"/>
              </w:rPr>
            </w:pPr>
          </w:p>
        </w:tc>
        <w:tc>
          <w:tcPr>
            <w:tcW w:w="0" w:type="auto"/>
            <w:shd w:val="clear" w:color="auto" w:fill="auto"/>
            <w:tcMar>
              <w:top w:w="40" w:type="dxa"/>
              <w:left w:w="40" w:type="dxa"/>
              <w:bottom w:w="40" w:type="dxa"/>
              <w:right w:w="40" w:type="dxa"/>
            </w:tcMar>
            <w:vAlign w:val="bottom"/>
          </w:tcPr>
          <w:p w14:paraId="4ACE66F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6FC" w14:textId="77777777" w:rsidR="006F587A" w:rsidRDefault="007B2B61">
            <w:pPr>
              <w:textAlignment w:val="top"/>
              <w:rPr>
                <w:rFonts w:ascii="Times New Roman" w:hAnsi="Times New Roman"/>
                <w:sz w:val="18"/>
                <w:szCs w:val="18"/>
              </w:rPr>
            </w:pPr>
            <w:hyperlink r:id="rId205" w:history="1">
              <w:r>
                <w:rPr>
                  <w:rStyle w:val="a5"/>
                  <w:rFonts w:ascii="Arial" w:eastAsia="宋体" w:hAnsi="Arial" w:cs="Arial"/>
                  <w:sz w:val="18"/>
                  <w:szCs w:val="18"/>
                </w:rPr>
                <w:t>Intel Corporation Restricted Stock Unit Agreement under the 2006 Equity Incentive Plan (for RSUs granted to executives with quarterly vesting over 2 years)</w:t>
              </w:r>
            </w:hyperlink>
          </w:p>
        </w:tc>
        <w:tc>
          <w:tcPr>
            <w:tcW w:w="0" w:type="auto"/>
            <w:shd w:val="clear" w:color="auto" w:fill="auto"/>
            <w:tcMar>
              <w:top w:w="40" w:type="dxa"/>
              <w:left w:w="40" w:type="dxa"/>
              <w:bottom w:w="40" w:type="dxa"/>
              <w:right w:w="40" w:type="dxa"/>
            </w:tcMar>
            <w:vAlign w:val="bottom"/>
          </w:tcPr>
          <w:p w14:paraId="4ACE66F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6FE"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10-K</w:t>
            </w:r>
          </w:p>
        </w:tc>
        <w:tc>
          <w:tcPr>
            <w:tcW w:w="0" w:type="auto"/>
            <w:shd w:val="clear" w:color="auto" w:fill="auto"/>
            <w:tcMar>
              <w:top w:w="40" w:type="dxa"/>
              <w:left w:w="40" w:type="dxa"/>
              <w:bottom w:w="40" w:type="dxa"/>
              <w:right w:w="40" w:type="dxa"/>
            </w:tcMar>
            <w:vAlign w:val="bottom"/>
          </w:tcPr>
          <w:p w14:paraId="4ACE66F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700"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4ACE670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ACE6702"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10.1.6</w:t>
            </w:r>
          </w:p>
        </w:tc>
        <w:tc>
          <w:tcPr>
            <w:tcW w:w="0" w:type="auto"/>
            <w:shd w:val="clear" w:color="auto" w:fill="auto"/>
            <w:vAlign w:val="bottom"/>
          </w:tcPr>
          <w:p w14:paraId="4ACE670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70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705"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2/16/2018</w:t>
            </w:r>
          </w:p>
        </w:tc>
        <w:tc>
          <w:tcPr>
            <w:tcW w:w="0" w:type="auto"/>
            <w:shd w:val="clear" w:color="auto" w:fill="auto"/>
            <w:tcMar>
              <w:top w:w="40" w:type="dxa"/>
              <w:left w:w="40" w:type="dxa"/>
              <w:bottom w:w="40" w:type="dxa"/>
              <w:right w:w="40" w:type="dxa"/>
            </w:tcMar>
            <w:vAlign w:val="bottom"/>
          </w:tcPr>
          <w:p w14:paraId="4ACE670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70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719" w14:textId="77777777">
        <w:tc>
          <w:tcPr>
            <w:tcW w:w="0" w:type="auto"/>
            <w:shd w:val="clear" w:color="auto" w:fill="auto"/>
            <w:tcMar>
              <w:top w:w="40" w:type="dxa"/>
              <w:left w:w="40" w:type="dxa"/>
              <w:bottom w:w="40" w:type="dxa"/>
              <w:right w:w="40" w:type="dxa"/>
            </w:tcMar>
          </w:tcPr>
          <w:p w14:paraId="4ACE6709"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10.1.8</w:t>
            </w:r>
            <w:r>
              <w:rPr>
                <w:rFonts w:ascii="Arial" w:eastAsia="宋体" w:hAnsi="Arial" w:cs="Arial"/>
                <w:color w:val="333333"/>
                <w:sz w:val="12"/>
                <w:szCs w:val="12"/>
              </w:rPr>
              <w:t>†</w:t>
            </w:r>
          </w:p>
          <w:p w14:paraId="4ACE670A" w14:textId="77777777" w:rsidR="006F587A" w:rsidRDefault="006F587A">
            <w:pPr>
              <w:textAlignment w:val="top"/>
              <w:rPr>
                <w:rFonts w:ascii="Times New Roman" w:hAnsi="Times New Roman"/>
                <w:sz w:val="18"/>
                <w:szCs w:val="18"/>
              </w:rPr>
            </w:pPr>
          </w:p>
        </w:tc>
        <w:tc>
          <w:tcPr>
            <w:tcW w:w="0" w:type="auto"/>
            <w:shd w:val="clear" w:color="auto" w:fill="auto"/>
            <w:tcMar>
              <w:top w:w="40" w:type="dxa"/>
              <w:left w:w="40" w:type="dxa"/>
              <w:bottom w:w="40" w:type="dxa"/>
              <w:right w:w="40" w:type="dxa"/>
            </w:tcMar>
            <w:vAlign w:val="bottom"/>
          </w:tcPr>
          <w:p w14:paraId="4ACE670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70C" w14:textId="77777777" w:rsidR="006F587A" w:rsidRDefault="007B2B61">
            <w:pPr>
              <w:textAlignment w:val="top"/>
              <w:rPr>
                <w:rFonts w:ascii="Times New Roman" w:hAnsi="Times New Roman"/>
                <w:sz w:val="18"/>
                <w:szCs w:val="18"/>
              </w:rPr>
            </w:pPr>
            <w:hyperlink r:id="rId206" w:history="1">
              <w:r>
                <w:rPr>
                  <w:rStyle w:val="a5"/>
                  <w:rFonts w:ascii="Arial" w:eastAsia="宋体" w:hAnsi="Arial" w:cs="Arial"/>
                  <w:sz w:val="18"/>
                  <w:szCs w:val="18"/>
                </w:rPr>
                <w:t xml:space="preserve">Intel Corporation Restricted Stock Unit Agreement under the 2006 Equity Incentive Plan (for </w:t>
              </w:r>
              <w:r>
                <w:rPr>
                  <w:rStyle w:val="a5"/>
                  <w:rFonts w:ascii="Arial" w:eastAsia="宋体" w:hAnsi="Arial" w:cs="Arial"/>
                  <w:sz w:val="18"/>
                  <w:szCs w:val="18"/>
                </w:rPr>
                <w:t>time-based RSUs granted to Robert Swan as interim CEO on August 15, 2018)</w:t>
              </w:r>
            </w:hyperlink>
          </w:p>
          <w:p w14:paraId="4ACE670D" w14:textId="77777777" w:rsidR="006F587A" w:rsidRDefault="006F587A">
            <w:pPr>
              <w:textAlignment w:val="top"/>
              <w:rPr>
                <w:rFonts w:ascii="Times New Roman" w:hAnsi="Times New Roman"/>
                <w:sz w:val="18"/>
                <w:szCs w:val="18"/>
              </w:rPr>
            </w:pPr>
          </w:p>
        </w:tc>
        <w:tc>
          <w:tcPr>
            <w:tcW w:w="0" w:type="auto"/>
            <w:shd w:val="clear" w:color="auto" w:fill="auto"/>
            <w:tcMar>
              <w:top w:w="40" w:type="dxa"/>
              <w:left w:w="40" w:type="dxa"/>
              <w:bottom w:w="40" w:type="dxa"/>
              <w:right w:w="40" w:type="dxa"/>
            </w:tcMar>
            <w:vAlign w:val="bottom"/>
          </w:tcPr>
          <w:p w14:paraId="4ACE670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70F"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10-Q</w:t>
            </w:r>
          </w:p>
        </w:tc>
        <w:tc>
          <w:tcPr>
            <w:tcW w:w="0" w:type="auto"/>
            <w:shd w:val="clear" w:color="auto" w:fill="auto"/>
            <w:tcMar>
              <w:top w:w="40" w:type="dxa"/>
              <w:left w:w="40" w:type="dxa"/>
              <w:bottom w:w="40" w:type="dxa"/>
              <w:right w:w="40" w:type="dxa"/>
            </w:tcMar>
            <w:vAlign w:val="bottom"/>
          </w:tcPr>
          <w:p w14:paraId="4ACE671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711"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4ACE671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ACE6713"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10.2</w:t>
            </w:r>
          </w:p>
        </w:tc>
        <w:tc>
          <w:tcPr>
            <w:tcW w:w="0" w:type="auto"/>
            <w:shd w:val="clear" w:color="auto" w:fill="auto"/>
            <w:vAlign w:val="bottom"/>
          </w:tcPr>
          <w:p w14:paraId="4ACE671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71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716"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10/25/2018</w:t>
            </w:r>
          </w:p>
        </w:tc>
        <w:tc>
          <w:tcPr>
            <w:tcW w:w="0" w:type="auto"/>
            <w:shd w:val="clear" w:color="auto" w:fill="auto"/>
            <w:tcMar>
              <w:top w:w="40" w:type="dxa"/>
              <w:left w:w="40" w:type="dxa"/>
              <w:bottom w:w="40" w:type="dxa"/>
              <w:right w:w="40" w:type="dxa"/>
            </w:tcMar>
            <w:vAlign w:val="bottom"/>
          </w:tcPr>
          <w:p w14:paraId="4ACE671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71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72A" w14:textId="77777777">
        <w:tc>
          <w:tcPr>
            <w:tcW w:w="0" w:type="auto"/>
            <w:shd w:val="clear" w:color="auto" w:fill="auto"/>
            <w:tcMar>
              <w:top w:w="40" w:type="dxa"/>
              <w:left w:w="40" w:type="dxa"/>
              <w:bottom w:w="40" w:type="dxa"/>
              <w:right w:w="40" w:type="dxa"/>
            </w:tcMar>
          </w:tcPr>
          <w:p w14:paraId="4ACE671A"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10.1.9</w:t>
            </w:r>
            <w:r>
              <w:rPr>
                <w:rFonts w:ascii="Arial" w:eastAsia="宋体" w:hAnsi="Arial" w:cs="Arial"/>
                <w:color w:val="333333"/>
                <w:sz w:val="12"/>
                <w:szCs w:val="12"/>
              </w:rPr>
              <w:t>†</w:t>
            </w:r>
          </w:p>
          <w:p w14:paraId="4ACE671B" w14:textId="77777777" w:rsidR="006F587A" w:rsidRDefault="006F587A">
            <w:pPr>
              <w:textAlignment w:val="top"/>
              <w:rPr>
                <w:rFonts w:ascii="Times New Roman" w:hAnsi="Times New Roman"/>
                <w:sz w:val="18"/>
                <w:szCs w:val="18"/>
              </w:rPr>
            </w:pPr>
          </w:p>
        </w:tc>
        <w:tc>
          <w:tcPr>
            <w:tcW w:w="0" w:type="auto"/>
            <w:shd w:val="clear" w:color="auto" w:fill="auto"/>
            <w:tcMar>
              <w:top w:w="40" w:type="dxa"/>
              <w:left w:w="40" w:type="dxa"/>
              <w:bottom w:w="40" w:type="dxa"/>
              <w:right w:w="40" w:type="dxa"/>
            </w:tcMar>
            <w:vAlign w:val="bottom"/>
          </w:tcPr>
          <w:p w14:paraId="4ACE671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71D" w14:textId="77777777" w:rsidR="006F587A" w:rsidRDefault="007B2B61">
            <w:pPr>
              <w:textAlignment w:val="top"/>
              <w:rPr>
                <w:rFonts w:ascii="Times New Roman" w:hAnsi="Times New Roman"/>
                <w:sz w:val="18"/>
                <w:szCs w:val="18"/>
              </w:rPr>
            </w:pPr>
            <w:hyperlink r:id="rId207" w:history="1">
              <w:r>
                <w:rPr>
                  <w:rStyle w:val="a5"/>
                  <w:rFonts w:ascii="Arial" w:eastAsia="宋体" w:hAnsi="Arial" w:cs="Arial"/>
                  <w:sz w:val="18"/>
                  <w:szCs w:val="18"/>
                </w:rPr>
                <w:t>Intel Corporation Restricted Stock Unit Grant Agreement under the 2006 Equity Incentive Plan (for RSUs granted to Robert Swan for interim CEO service on January</w:t>
              </w:r>
              <w:r>
                <w:rPr>
                  <w:rStyle w:val="a5"/>
                  <w:rFonts w:ascii="Arial" w:eastAsia="宋体" w:hAnsi="Arial" w:cs="Arial"/>
                  <w:sz w:val="18"/>
                  <w:szCs w:val="18"/>
                </w:rPr>
                <w:t xml:space="preserve"> 30, 2019)</w:t>
              </w:r>
            </w:hyperlink>
          </w:p>
          <w:p w14:paraId="4ACE671E" w14:textId="77777777" w:rsidR="006F587A" w:rsidRDefault="006F587A">
            <w:pPr>
              <w:textAlignment w:val="top"/>
              <w:rPr>
                <w:rFonts w:ascii="Times New Roman" w:hAnsi="Times New Roman"/>
                <w:sz w:val="18"/>
                <w:szCs w:val="18"/>
              </w:rPr>
            </w:pPr>
          </w:p>
        </w:tc>
        <w:tc>
          <w:tcPr>
            <w:tcW w:w="0" w:type="auto"/>
            <w:shd w:val="clear" w:color="auto" w:fill="auto"/>
            <w:tcMar>
              <w:top w:w="40" w:type="dxa"/>
              <w:left w:w="40" w:type="dxa"/>
              <w:bottom w:w="40" w:type="dxa"/>
              <w:right w:w="40" w:type="dxa"/>
            </w:tcMar>
            <w:vAlign w:val="bottom"/>
          </w:tcPr>
          <w:p w14:paraId="4ACE671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720"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10-Q</w:t>
            </w:r>
          </w:p>
        </w:tc>
        <w:tc>
          <w:tcPr>
            <w:tcW w:w="0" w:type="auto"/>
            <w:shd w:val="clear" w:color="auto" w:fill="auto"/>
            <w:tcMar>
              <w:top w:w="40" w:type="dxa"/>
              <w:left w:w="40" w:type="dxa"/>
              <w:bottom w:w="40" w:type="dxa"/>
              <w:right w:w="40" w:type="dxa"/>
            </w:tcMar>
            <w:vAlign w:val="bottom"/>
          </w:tcPr>
          <w:p w14:paraId="4ACE672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722"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4ACE672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ACE6724"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10.8</w:t>
            </w:r>
          </w:p>
        </w:tc>
        <w:tc>
          <w:tcPr>
            <w:tcW w:w="0" w:type="auto"/>
            <w:shd w:val="clear" w:color="auto" w:fill="auto"/>
            <w:vAlign w:val="bottom"/>
          </w:tcPr>
          <w:p w14:paraId="4ACE672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72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727"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4/26/2019</w:t>
            </w:r>
          </w:p>
        </w:tc>
        <w:tc>
          <w:tcPr>
            <w:tcW w:w="0" w:type="auto"/>
            <w:shd w:val="clear" w:color="auto" w:fill="auto"/>
            <w:tcMar>
              <w:top w:w="40" w:type="dxa"/>
              <w:left w:w="40" w:type="dxa"/>
              <w:bottom w:w="40" w:type="dxa"/>
              <w:right w:w="40" w:type="dxa"/>
            </w:tcMar>
            <w:vAlign w:val="bottom"/>
          </w:tcPr>
          <w:p w14:paraId="4ACE672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72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73A" w14:textId="77777777">
        <w:tc>
          <w:tcPr>
            <w:tcW w:w="0" w:type="auto"/>
            <w:shd w:val="clear" w:color="auto" w:fill="auto"/>
            <w:tcMar>
              <w:top w:w="40" w:type="dxa"/>
              <w:left w:w="40" w:type="dxa"/>
              <w:bottom w:w="40" w:type="dxa"/>
              <w:right w:w="40" w:type="dxa"/>
            </w:tcMar>
          </w:tcPr>
          <w:p w14:paraId="4ACE672B"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10.1.10</w:t>
            </w:r>
            <w:r>
              <w:rPr>
                <w:rFonts w:ascii="Arial" w:eastAsia="宋体" w:hAnsi="Arial" w:cs="Arial"/>
                <w:color w:val="333333"/>
                <w:sz w:val="12"/>
                <w:szCs w:val="12"/>
              </w:rPr>
              <w:t>†</w:t>
            </w:r>
          </w:p>
          <w:p w14:paraId="4ACE672C" w14:textId="77777777" w:rsidR="006F587A" w:rsidRDefault="006F587A">
            <w:pPr>
              <w:textAlignment w:val="top"/>
              <w:rPr>
                <w:rFonts w:ascii="Times New Roman" w:hAnsi="Times New Roman"/>
                <w:sz w:val="18"/>
                <w:szCs w:val="18"/>
              </w:rPr>
            </w:pPr>
          </w:p>
        </w:tc>
        <w:tc>
          <w:tcPr>
            <w:tcW w:w="0" w:type="auto"/>
            <w:shd w:val="clear" w:color="auto" w:fill="auto"/>
            <w:tcMar>
              <w:top w:w="40" w:type="dxa"/>
              <w:left w:w="40" w:type="dxa"/>
              <w:bottom w:w="40" w:type="dxa"/>
              <w:right w:w="40" w:type="dxa"/>
            </w:tcMar>
            <w:vAlign w:val="bottom"/>
          </w:tcPr>
          <w:p w14:paraId="4ACE672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72E" w14:textId="77777777" w:rsidR="006F587A" w:rsidRDefault="007B2B61">
            <w:pPr>
              <w:textAlignment w:val="top"/>
              <w:rPr>
                <w:rFonts w:ascii="Times New Roman" w:hAnsi="Times New Roman"/>
                <w:sz w:val="18"/>
                <w:szCs w:val="18"/>
              </w:rPr>
            </w:pPr>
            <w:hyperlink r:id="rId208" w:history="1">
              <w:r>
                <w:rPr>
                  <w:rStyle w:val="a5"/>
                  <w:rFonts w:ascii="Arial" w:eastAsia="宋体" w:hAnsi="Arial" w:cs="Arial"/>
                  <w:sz w:val="18"/>
                  <w:szCs w:val="18"/>
                </w:rPr>
                <w:t xml:space="preserve">Intel Corporation Restricted Stock Unit Agreement under the 2006 Equity Incentive Plan (for RSUs granted on or after February 1, 2017 under the Executive </w:t>
              </w:r>
              <w:r>
                <w:rPr>
                  <w:rStyle w:val="a5"/>
                  <w:rFonts w:ascii="Arial" w:eastAsia="宋体" w:hAnsi="Arial" w:cs="Arial"/>
                  <w:sz w:val="18"/>
                  <w:szCs w:val="18"/>
                </w:rPr>
                <w:t>OSU program)</w:t>
              </w:r>
            </w:hyperlink>
          </w:p>
        </w:tc>
        <w:tc>
          <w:tcPr>
            <w:tcW w:w="0" w:type="auto"/>
            <w:shd w:val="clear" w:color="auto" w:fill="auto"/>
            <w:tcMar>
              <w:top w:w="40" w:type="dxa"/>
              <w:left w:w="40" w:type="dxa"/>
              <w:bottom w:w="40" w:type="dxa"/>
              <w:right w:w="40" w:type="dxa"/>
            </w:tcMar>
            <w:vAlign w:val="bottom"/>
          </w:tcPr>
          <w:p w14:paraId="4ACE672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730"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10-Q</w:t>
            </w:r>
          </w:p>
        </w:tc>
        <w:tc>
          <w:tcPr>
            <w:tcW w:w="0" w:type="auto"/>
            <w:shd w:val="clear" w:color="auto" w:fill="auto"/>
            <w:tcMar>
              <w:top w:w="40" w:type="dxa"/>
              <w:left w:w="40" w:type="dxa"/>
              <w:bottom w:w="40" w:type="dxa"/>
              <w:right w:w="40" w:type="dxa"/>
            </w:tcMar>
            <w:vAlign w:val="bottom"/>
          </w:tcPr>
          <w:p w14:paraId="4ACE673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732"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4ACE673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ACE6734"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10.1</w:t>
            </w:r>
          </w:p>
        </w:tc>
        <w:tc>
          <w:tcPr>
            <w:tcW w:w="0" w:type="auto"/>
            <w:shd w:val="clear" w:color="auto" w:fill="auto"/>
            <w:vAlign w:val="bottom"/>
          </w:tcPr>
          <w:p w14:paraId="4ACE673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73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737"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4/27/2017</w:t>
            </w:r>
          </w:p>
        </w:tc>
        <w:tc>
          <w:tcPr>
            <w:tcW w:w="0" w:type="auto"/>
            <w:shd w:val="clear" w:color="auto" w:fill="auto"/>
            <w:tcMar>
              <w:top w:w="40" w:type="dxa"/>
              <w:left w:w="40" w:type="dxa"/>
              <w:bottom w:w="40" w:type="dxa"/>
              <w:right w:w="40" w:type="dxa"/>
            </w:tcMar>
            <w:vAlign w:val="bottom"/>
          </w:tcPr>
          <w:p w14:paraId="4ACE673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73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74A" w14:textId="77777777">
        <w:tc>
          <w:tcPr>
            <w:tcW w:w="0" w:type="auto"/>
            <w:shd w:val="clear" w:color="auto" w:fill="auto"/>
            <w:tcMar>
              <w:top w:w="40" w:type="dxa"/>
              <w:left w:w="40" w:type="dxa"/>
              <w:bottom w:w="40" w:type="dxa"/>
              <w:right w:w="40" w:type="dxa"/>
            </w:tcMar>
          </w:tcPr>
          <w:p w14:paraId="4ACE673B"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10.1.11</w:t>
            </w:r>
            <w:r>
              <w:rPr>
                <w:rFonts w:ascii="Arial" w:eastAsia="宋体" w:hAnsi="Arial" w:cs="Arial"/>
                <w:color w:val="333333"/>
                <w:sz w:val="12"/>
                <w:szCs w:val="12"/>
              </w:rPr>
              <w:t>†</w:t>
            </w:r>
          </w:p>
          <w:p w14:paraId="4ACE673C" w14:textId="77777777" w:rsidR="006F587A" w:rsidRDefault="006F587A">
            <w:pPr>
              <w:textAlignment w:val="top"/>
              <w:rPr>
                <w:rFonts w:ascii="Times New Roman" w:hAnsi="Times New Roman"/>
                <w:sz w:val="18"/>
                <w:szCs w:val="18"/>
              </w:rPr>
            </w:pPr>
          </w:p>
        </w:tc>
        <w:tc>
          <w:tcPr>
            <w:tcW w:w="0" w:type="auto"/>
            <w:shd w:val="clear" w:color="auto" w:fill="auto"/>
            <w:tcMar>
              <w:top w:w="40" w:type="dxa"/>
              <w:left w:w="40" w:type="dxa"/>
              <w:bottom w:w="40" w:type="dxa"/>
              <w:right w:w="40" w:type="dxa"/>
            </w:tcMar>
            <w:vAlign w:val="bottom"/>
          </w:tcPr>
          <w:p w14:paraId="4ACE673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73E" w14:textId="77777777" w:rsidR="006F587A" w:rsidRDefault="007B2B61">
            <w:pPr>
              <w:textAlignment w:val="top"/>
              <w:rPr>
                <w:rFonts w:ascii="Times New Roman" w:hAnsi="Times New Roman"/>
                <w:sz w:val="18"/>
                <w:szCs w:val="18"/>
              </w:rPr>
            </w:pPr>
            <w:hyperlink r:id="rId209" w:history="1">
              <w:r>
                <w:rPr>
                  <w:rStyle w:val="a5"/>
                  <w:rFonts w:ascii="Arial" w:eastAsia="宋体" w:hAnsi="Arial" w:cs="Arial"/>
                  <w:sz w:val="18"/>
                  <w:szCs w:val="18"/>
                </w:rPr>
                <w:t>Intel Corporation Restricted Stock Unit Agreement under the 2006 Equity Incentive Plan (for performance-based RSUs granted to Robert Swan as interim CEO on Augu</w:t>
              </w:r>
              <w:r>
                <w:rPr>
                  <w:rStyle w:val="a5"/>
                  <w:rFonts w:ascii="Arial" w:eastAsia="宋体" w:hAnsi="Arial" w:cs="Arial"/>
                  <w:sz w:val="18"/>
                  <w:szCs w:val="18"/>
                </w:rPr>
                <w:t>st 15, 2018)</w:t>
              </w:r>
            </w:hyperlink>
          </w:p>
        </w:tc>
        <w:tc>
          <w:tcPr>
            <w:tcW w:w="0" w:type="auto"/>
            <w:shd w:val="clear" w:color="auto" w:fill="auto"/>
            <w:tcMar>
              <w:top w:w="40" w:type="dxa"/>
              <w:left w:w="40" w:type="dxa"/>
              <w:bottom w:w="40" w:type="dxa"/>
              <w:right w:w="40" w:type="dxa"/>
            </w:tcMar>
            <w:vAlign w:val="bottom"/>
          </w:tcPr>
          <w:p w14:paraId="4ACE673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740"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10-Q</w:t>
            </w:r>
          </w:p>
        </w:tc>
        <w:tc>
          <w:tcPr>
            <w:tcW w:w="0" w:type="auto"/>
            <w:shd w:val="clear" w:color="auto" w:fill="auto"/>
            <w:tcMar>
              <w:top w:w="40" w:type="dxa"/>
              <w:left w:w="40" w:type="dxa"/>
              <w:bottom w:w="40" w:type="dxa"/>
              <w:right w:w="40" w:type="dxa"/>
            </w:tcMar>
            <w:vAlign w:val="bottom"/>
          </w:tcPr>
          <w:p w14:paraId="4ACE674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742"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4ACE674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ACE6744"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10.3</w:t>
            </w:r>
          </w:p>
        </w:tc>
        <w:tc>
          <w:tcPr>
            <w:tcW w:w="0" w:type="auto"/>
            <w:shd w:val="clear" w:color="auto" w:fill="auto"/>
            <w:vAlign w:val="bottom"/>
          </w:tcPr>
          <w:p w14:paraId="4ACE674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74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747"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10/25/2018</w:t>
            </w:r>
          </w:p>
        </w:tc>
        <w:tc>
          <w:tcPr>
            <w:tcW w:w="0" w:type="auto"/>
            <w:shd w:val="clear" w:color="auto" w:fill="auto"/>
            <w:tcMar>
              <w:top w:w="40" w:type="dxa"/>
              <w:left w:w="40" w:type="dxa"/>
              <w:bottom w:w="40" w:type="dxa"/>
              <w:right w:w="40" w:type="dxa"/>
            </w:tcMar>
            <w:vAlign w:val="bottom"/>
          </w:tcPr>
          <w:p w14:paraId="4ACE674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74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75A" w14:textId="77777777">
        <w:tc>
          <w:tcPr>
            <w:tcW w:w="0" w:type="auto"/>
            <w:shd w:val="clear" w:color="auto" w:fill="auto"/>
            <w:tcMar>
              <w:top w:w="40" w:type="dxa"/>
              <w:left w:w="40" w:type="dxa"/>
              <w:bottom w:w="40" w:type="dxa"/>
              <w:right w:w="40" w:type="dxa"/>
            </w:tcMar>
          </w:tcPr>
          <w:p w14:paraId="4ACE674B"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10.1.12</w:t>
            </w:r>
            <w:r>
              <w:rPr>
                <w:rFonts w:ascii="Arial" w:eastAsia="宋体" w:hAnsi="Arial" w:cs="Arial"/>
                <w:color w:val="333333"/>
                <w:sz w:val="12"/>
                <w:szCs w:val="12"/>
              </w:rPr>
              <w:t>†</w:t>
            </w:r>
          </w:p>
          <w:p w14:paraId="4ACE674C" w14:textId="77777777" w:rsidR="006F587A" w:rsidRDefault="006F587A">
            <w:pPr>
              <w:textAlignment w:val="top"/>
              <w:rPr>
                <w:rFonts w:ascii="Times New Roman" w:hAnsi="Times New Roman"/>
                <w:sz w:val="18"/>
                <w:szCs w:val="18"/>
              </w:rPr>
            </w:pPr>
          </w:p>
        </w:tc>
        <w:tc>
          <w:tcPr>
            <w:tcW w:w="0" w:type="auto"/>
            <w:shd w:val="clear" w:color="auto" w:fill="auto"/>
            <w:tcMar>
              <w:top w:w="40" w:type="dxa"/>
              <w:left w:w="40" w:type="dxa"/>
              <w:bottom w:w="40" w:type="dxa"/>
              <w:right w:w="40" w:type="dxa"/>
            </w:tcMar>
            <w:vAlign w:val="bottom"/>
          </w:tcPr>
          <w:p w14:paraId="4ACE674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74E" w14:textId="77777777" w:rsidR="006F587A" w:rsidRDefault="007B2B61">
            <w:pPr>
              <w:textAlignment w:val="bottom"/>
              <w:rPr>
                <w:rFonts w:ascii="Times New Roman" w:hAnsi="Times New Roman"/>
                <w:sz w:val="18"/>
                <w:szCs w:val="18"/>
              </w:rPr>
            </w:pPr>
            <w:hyperlink r:id="rId210" w:history="1">
              <w:r>
                <w:rPr>
                  <w:rStyle w:val="a5"/>
                  <w:rFonts w:ascii="Arial" w:eastAsia="宋体" w:hAnsi="Arial" w:cs="Arial"/>
                  <w:sz w:val="18"/>
                  <w:szCs w:val="18"/>
                </w:rPr>
                <w:t>Intel Corporation Form of Restricted Stock Unit Grant Agreement under the 2006 Equity Incentive Plan (for performance-based RSUs granted to grandfathered execut</w:t>
              </w:r>
              <w:r>
                <w:rPr>
                  <w:rStyle w:val="a5"/>
                  <w:rFonts w:ascii="Arial" w:eastAsia="宋体" w:hAnsi="Arial" w:cs="Arial"/>
                  <w:sz w:val="18"/>
                  <w:szCs w:val="18"/>
                </w:rPr>
                <w:t>ives on or after January 30, 2019)</w:t>
              </w:r>
            </w:hyperlink>
          </w:p>
        </w:tc>
        <w:tc>
          <w:tcPr>
            <w:tcW w:w="0" w:type="auto"/>
            <w:shd w:val="clear" w:color="auto" w:fill="auto"/>
            <w:tcMar>
              <w:top w:w="40" w:type="dxa"/>
              <w:left w:w="40" w:type="dxa"/>
              <w:bottom w:w="40" w:type="dxa"/>
              <w:right w:w="40" w:type="dxa"/>
            </w:tcMar>
            <w:vAlign w:val="bottom"/>
          </w:tcPr>
          <w:p w14:paraId="4ACE674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750"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10-Q</w:t>
            </w:r>
          </w:p>
        </w:tc>
        <w:tc>
          <w:tcPr>
            <w:tcW w:w="0" w:type="auto"/>
            <w:shd w:val="clear" w:color="auto" w:fill="auto"/>
            <w:tcMar>
              <w:top w:w="40" w:type="dxa"/>
              <w:left w:w="40" w:type="dxa"/>
              <w:bottom w:w="40" w:type="dxa"/>
              <w:right w:w="40" w:type="dxa"/>
            </w:tcMar>
            <w:vAlign w:val="bottom"/>
          </w:tcPr>
          <w:p w14:paraId="4ACE675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752"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4ACE675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ACE6754"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10.5</w:t>
            </w:r>
          </w:p>
        </w:tc>
        <w:tc>
          <w:tcPr>
            <w:tcW w:w="0" w:type="auto"/>
            <w:shd w:val="clear" w:color="auto" w:fill="auto"/>
            <w:vAlign w:val="bottom"/>
          </w:tcPr>
          <w:p w14:paraId="4ACE675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75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757"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4/26/2019</w:t>
            </w:r>
          </w:p>
        </w:tc>
        <w:tc>
          <w:tcPr>
            <w:tcW w:w="0" w:type="auto"/>
            <w:shd w:val="clear" w:color="auto" w:fill="auto"/>
            <w:tcMar>
              <w:top w:w="40" w:type="dxa"/>
              <w:left w:w="40" w:type="dxa"/>
              <w:bottom w:w="40" w:type="dxa"/>
              <w:right w:w="40" w:type="dxa"/>
            </w:tcMar>
            <w:vAlign w:val="bottom"/>
          </w:tcPr>
          <w:p w14:paraId="4ACE675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75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76A" w14:textId="77777777">
        <w:tc>
          <w:tcPr>
            <w:tcW w:w="0" w:type="auto"/>
            <w:shd w:val="clear" w:color="auto" w:fill="auto"/>
            <w:tcMar>
              <w:top w:w="40" w:type="dxa"/>
              <w:left w:w="40" w:type="dxa"/>
              <w:bottom w:w="40" w:type="dxa"/>
              <w:right w:w="40" w:type="dxa"/>
            </w:tcMar>
          </w:tcPr>
          <w:p w14:paraId="4ACE675B"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10.1.13</w:t>
            </w:r>
            <w:r>
              <w:rPr>
                <w:rFonts w:ascii="Arial" w:eastAsia="宋体" w:hAnsi="Arial" w:cs="Arial"/>
                <w:color w:val="333333"/>
                <w:sz w:val="12"/>
                <w:szCs w:val="12"/>
              </w:rPr>
              <w:t>†</w:t>
            </w:r>
          </w:p>
          <w:p w14:paraId="4ACE675C" w14:textId="77777777" w:rsidR="006F587A" w:rsidRDefault="006F587A">
            <w:pPr>
              <w:textAlignment w:val="top"/>
              <w:rPr>
                <w:rFonts w:ascii="Times New Roman" w:hAnsi="Times New Roman"/>
                <w:sz w:val="18"/>
                <w:szCs w:val="18"/>
              </w:rPr>
            </w:pPr>
          </w:p>
        </w:tc>
        <w:tc>
          <w:tcPr>
            <w:tcW w:w="0" w:type="auto"/>
            <w:shd w:val="clear" w:color="auto" w:fill="auto"/>
            <w:tcMar>
              <w:top w:w="40" w:type="dxa"/>
              <w:left w:w="40" w:type="dxa"/>
              <w:bottom w:w="40" w:type="dxa"/>
              <w:right w:w="40" w:type="dxa"/>
            </w:tcMar>
            <w:vAlign w:val="bottom"/>
          </w:tcPr>
          <w:p w14:paraId="4ACE675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75E" w14:textId="77777777" w:rsidR="006F587A" w:rsidRDefault="007B2B61">
            <w:pPr>
              <w:textAlignment w:val="bottom"/>
              <w:rPr>
                <w:rFonts w:ascii="Times New Roman" w:hAnsi="Times New Roman"/>
                <w:sz w:val="18"/>
                <w:szCs w:val="18"/>
              </w:rPr>
            </w:pPr>
            <w:hyperlink r:id="rId211" w:history="1">
              <w:r>
                <w:rPr>
                  <w:rStyle w:val="a5"/>
                  <w:rFonts w:ascii="Arial" w:eastAsia="宋体" w:hAnsi="Arial" w:cs="Arial"/>
                  <w:sz w:val="18"/>
                  <w:szCs w:val="18"/>
                </w:rPr>
                <w:t>Intel Corporation Form of Restricted Stock Unit Grant Agreement under the 2006 Equity Incentive Plan (for strategic growth performance-based RSUs granted to exe</w:t>
              </w:r>
              <w:r>
                <w:rPr>
                  <w:rStyle w:val="a5"/>
                  <w:rFonts w:ascii="Arial" w:eastAsia="宋体" w:hAnsi="Arial" w:cs="Arial"/>
                  <w:sz w:val="18"/>
                  <w:szCs w:val="18"/>
                </w:rPr>
                <w:t>cutives on or after February 1, 2019)</w:t>
              </w:r>
            </w:hyperlink>
          </w:p>
        </w:tc>
        <w:tc>
          <w:tcPr>
            <w:tcW w:w="0" w:type="auto"/>
            <w:shd w:val="clear" w:color="auto" w:fill="auto"/>
            <w:tcMar>
              <w:top w:w="40" w:type="dxa"/>
              <w:left w:w="40" w:type="dxa"/>
              <w:bottom w:w="40" w:type="dxa"/>
              <w:right w:w="40" w:type="dxa"/>
            </w:tcMar>
            <w:vAlign w:val="bottom"/>
          </w:tcPr>
          <w:p w14:paraId="4ACE675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760"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10-Q</w:t>
            </w:r>
          </w:p>
        </w:tc>
        <w:tc>
          <w:tcPr>
            <w:tcW w:w="0" w:type="auto"/>
            <w:shd w:val="clear" w:color="auto" w:fill="auto"/>
            <w:tcMar>
              <w:top w:w="40" w:type="dxa"/>
              <w:left w:w="40" w:type="dxa"/>
              <w:bottom w:w="40" w:type="dxa"/>
              <w:right w:w="40" w:type="dxa"/>
            </w:tcMar>
            <w:vAlign w:val="bottom"/>
          </w:tcPr>
          <w:p w14:paraId="4ACE676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762"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4ACE676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ACE6764"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10.6</w:t>
            </w:r>
          </w:p>
        </w:tc>
        <w:tc>
          <w:tcPr>
            <w:tcW w:w="0" w:type="auto"/>
            <w:shd w:val="clear" w:color="auto" w:fill="auto"/>
            <w:vAlign w:val="bottom"/>
          </w:tcPr>
          <w:p w14:paraId="4ACE676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76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767"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4/26/2019</w:t>
            </w:r>
          </w:p>
        </w:tc>
        <w:tc>
          <w:tcPr>
            <w:tcW w:w="0" w:type="auto"/>
            <w:shd w:val="clear" w:color="auto" w:fill="auto"/>
            <w:tcMar>
              <w:top w:w="40" w:type="dxa"/>
              <w:left w:w="40" w:type="dxa"/>
              <w:bottom w:w="40" w:type="dxa"/>
              <w:right w:w="40" w:type="dxa"/>
            </w:tcMar>
            <w:vAlign w:val="bottom"/>
          </w:tcPr>
          <w:p w14:paraId="4ACE676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76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bl>
    <w:p w14:paraId="4ACE676B"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676D" w14:textId="77777777">
        <w:tc>
          <w:tcPr>
            <w:tcW w:w="0" w:type="auto"/>
            <w:gridSpan w:val="3"/>
            <w:shd w:val="clear" w:color="auto" w:fill="auto"/>
            <w:vAlign w:val="center"/>
          </w:tcPr>
          <w:p w14:paraId="4ACE676C" w14:textId="77777777" w:rsidR="006F587A" w:rsidRDefault="006F587A">
            <w:pPr>
              <w:rPr>
                <w:rFonts w:ascii="Times New Roman" w:hAnsi="Times New Roman"/>
                <w:sz w:val="20"/>
                <w:szCs w:val="20"/>
              </w:rPr>
            </w:pPr>
          </w:p>
        </w:tc>
      </w:tr>
      <w:tr w:rsidR="006F587A" w14:paraId="4ACE6771" w14:textId="77777777">
        <w:tc>
          <w:tcPr>
            <w:tcW w:w="1300" w:type="pct"/>
            <w:shd w:val="clear" w:color="auto" w:fill="auto"/>
            <w:vAlign w:val="center"/>
          </w:tcPr>
          <w:p w14:paraId="4ACE676E" w14:textId="77777777" w:rsidR="006F587A" w:rsidRDefault="006F587A">
            <w:pPr>
              <w:rPr>
                <w:rFonts w:ascii="Times New Roman" w:hAnsi="Times New Roman"/>
                <w:sz w:val="20"/>
                <w:szCs w:val="20"/>
              </w:rPr>
            </w:pPr>
          </w:p>
        </w:tc>
        <w:tc>
          <w:tcPr>
            <w:tcW w:w="1600" w:type="pct"/>
            <w:shd w:val="clear" w:color="auto" w:fill="auto"/>
            <w:vAlign w:val="center"/>
          </w:tcPr>
          <w:p w14:paraId="4ACE676F" w14:textId="77777777" w:rsidR="006F587A" w:rsidRDefault="006F587A">
            <w:pPr>
              <w:rPr>
                <w:rFonts w:ascii="Times New Roman" w:hAnsi="Times New Roman"/>
                <w:sz w:val="20"/>
                <w:szCs w:val="20"/>
              </w:rPr>
            </w:pPr>
          </w:p>
        </w:tc>
        <w:tc>
          <w:tcPr>
            <w:tcW w:w="2100" w:type="pct"/>
            <w:shd w:val="clear" w:color="auto" w:fill="auto"/>
            <w:vAlign w:val="center"/>
          </w:tcPr>
          <w:p w14:paraId="4ACE6770" w14:textId="77777777" w:rsidR="006F587A" w:rsidRDefault="006F587A">
            <w:pPr>
              <w:rPr>
                <w:rFonts w:ascii="Times New Roman" w:hAnsi="Times New Roman"/>
                <w:sz w:val="20"/>
                <w:szCs w:val="20"/>
              </w:rPr>
            </w:pPr>
          </w:p>
        </w:tc>
      </w:tr>
      <w:tr w:rsidR="006F587A" w14:paraId="4ACE6775"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6772" w14:textId="77777777" w:rsidR="006F587A" w:rsidRDefault="007B2B61">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E41" wp14:editId="4ACE6E42">
                  <wp:extent cx="304800" cy="304800"/>
                  <wp:effectExtent l="0" t="0" r="0" b="0"/>
                  <wp:docPr id="103" name="图片 368"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368"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SUPPLEMENTAL DETAILS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677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6774"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115</w:t>
            </w:r>
          </w:p>
        </w:tc>
      </w:tr>
    </w:tbl>
    <w:p w14:paraId="4ACE6776" w14:textId="77777777" w:rsidR="006F587A" w:rsidRDefault="007B2B61">
      <w:r>
        <w:pict w14:anchorId="4ACE6E43">
          <v:rect id="_x0000_i1141" style="width:415.3pt;height:1.5pt" o:hralign="center" o:hrstd="t" o:hr="t" fillcolor="#a0a0a0" stroked="f"/>
        </w:pict>
      </w:r>
    </w:p>
    <w:p w14:paraId="4ACE6777" w14:textId="77777777" w:rsidR="006F587A" w:rsidRDefault="007B2B61">
      <w:pPr>
        <w:spacing w:line="288" w:lineRule="auto"/>
        <w:jc w:val="right"/>
        <w:rPr>
          <w:rFonts w:ascii="Times New Roman" w:hAnsi="Times New Roman"/>
          <w:sz w:val="16"/>
          <w:szCs w:val="16"/>
        </w:rPr>
      </w:pPr>
      <w:hyperlink r:id="rId212" w:anchor="s9DB683E2CF52561EB8A73BE37F5BF9BE" w:history="1">
        <w:r>
          <w:rPr>
            <w:rStyle w:val="a5"/>
            <w:rFonts w:ascii="Arial" w:eastAsia="宋体" w:hAnsi="Arial" w:cs="Arial"/>
            <w:b/>
            <w:bCs/>
            <w:sz w:val="16"/>
            <w:szCs w:val="16"/>
          </w:rPr>
          <w:t>Table of Contents</w:t>
        </w:r>
      </w:hyperlink>
    </w:p>
    <w:p w14:paraId="4ACE6778" w14:textId="77777777" w:rsidR="006F587A" w:rsidRDefault="006F587A">
      <w:pPr>
        <w:spacing w:line="288" w:lineRule="auto"/>
        <w:jc w:val="right"/>
        <w:rPr>
          <w:rFonts w:ascii="Times New Roman" w:hAnsi="Times New Roman"/>
          <w:sz w:val="16"/>
          <w:szCs w:val="16"/>
        </w:rPr>
      </w:pPr>
    </w:p>
    <w:p w14:paraId="4ACE6779" w14:textId="77777777" w:rsidR="006F587A" w:rsidRDefault="006F587A">
      <w:pPr>
        <w:rPr>
          <w:rFonts w:ascii="Times New Roman" w:hAnsi="Times New Roman"/>
          <w:sz w:val="20"/>
          <w:szCs w:val="20"/>
        </w:rPr>
      </w:pPr>
    </w:p>
    <w:tbl>
      <w:tblPr>
        <w:tblW w:w="4991" w:type="pct"/>
        <w:tblCellMar>
          <w:left w:w="0" w:type="dxa"/>
          <w:right w:w="0" w:type="dxa"/>
        </w:tblCellMar>
        <w:tblLook w:val="04A0" w:firstRow="1" w:lastRow="0" w:firstColumn="1" w:lastColumn="0" w:noHBand="0" w:noVBand="1"/>
      </w:tblPr>
      <w:tblGrid>
        <w:gridCol w:w="761"/>
        <w:gridCol w:w="130"/>
        <w:gridCol w:w="2486"/>
        <w:gridCol w:w="130"/>
        <w:gridCol w:w="530"/>
        <w:gridCol w:w="130"/>
        <w:gridCol w:w="1121"/>
        <w:gridCol w:w="130"/>
        <w:gridCol w:w="584"/>
        <w:gridCol w:w="97"/>
        <w:gridCol w:w="130"/>
        <w:gridCol w:w="981"/>
        <w:gridCol w:w="130"/>
        <w:gridCol w:w="951"/>
      </w:tblGrid>
      <w:tr w:rsidR="006F587A" w14:paraId="4ACE677B" w14:textId="77777777">
        <w:tc>
          <w:tcPr>
            <w:tcW w:w="0" w:type="auto"/>
            <w:gridSpan w:val="14"/>
            <w:shd w:val="clear" w:color="auto" w:fill="auto"/>
            <w:vAlign w:val="center"/>
          </w:tcPr>
          <w:p w14:paraId="4ACE677A" w14:textId="77777777" w:rsidR="006F587A" w:rsidRDefault="006F587A">
            <w:pPr>
              <w:rPr>
                <w:rFonts w:ascii="Times New Roman" w:hAnsi="Times New Roman"/>
                <w:sz w:val="20"/>
                <w:szCs w:val="20"/>
              </w:rPr>
            </w:pPr>
          </w:p>
        </w:tc>
      </w:tr>
      <w:tr w:rsidR="006F587A" w14:paraId="4ACE678A" w14:textId="77777777">
        <w:tc>
          <w:tcPr>
            <w:tcW w:w="350" w:type="pct"/>
            <w:shd w:val="clear" w:color="auto" w:fill="auto"/>
            <w:vAlign w:val="center"/>
          </w:tcPr>
          <w:p w14:paraId="4ACE677C" w14:textId="77777777" w:rsidR="006F587A" w:rsidRDefault="006F587A">
            <w:pPr>
              <w:rPr>
                <w:rFonts w:ascii="Times New Roman" w:hAnsi="Times New Roman"/>
                <w:sz w:val="20"/>
                <w:szCs w:val="20"/>
              </w:rPr>
            </w:pPr>
          </w:p>
        </w:tc>
        <w:tc>
          <w:tcPr>
            <w:tcW w:w="50" w:type="pct"/>
            <w:shd w:val="clear" w:color="auto" w:fill="auto"/>
            <w:vAlign w:val="center"/>
          </w:tcPr>
          <w:p w14:paraId="4ACE677D" w14:textId="77777777" w:rsidR="006F587A" w:rsidRDefault="006F587A">
            <w:pPr>
              <w:rPr>
                <w:rFonts w:ascii="Times New Roman" w:hAnsi="Times New Roman"/>
                <w:sz w:val="20"/>
                <w:szCs w:val="20"/>
              </w:rPr>
            </w:pPr>
          </w:p>
        </w:tc>
        <w:tc>
          <w:tcPr>
            <w:tcW w:w="1950" w:type="pct"/>
            <w:shd w:val="clear" w:color="auto" w:fill="auto"/>
            <w:vAlign w:val="center"/>
          </w:tcPr>
          <w:p w14:paraId="4ACE677E" w14:textId="77777777" w:rsidR="006F587A" w:rsidRDefault="006F587A">
            <w:pPr>
              <w:rPr>
                <w:rFonts w:ascii="Times New Roman" w:hAnsi="Times New Roman"/>
                <w:sz w:val="20"/>
                <w:szCs w:val="20"/>
              </w:rPr>
            </w:pPr>
          </w:p>
        </w:tc>
        <w:tc>
          <w:tcPr>
            <w:tcW w:w="50" w:type="pct"/>
            <w:shd w:val="clear" w:color="auto" w:fill="auto"/>
            <w:vAlign w:val="center"/>
          </w:tcPr>
          <w:p w14:paraId="4ACE677F" w14:textId="77777777" w:rsidR="006F587A" w:rsidRDefault="006F587A">
            <w:pPr>
              <w:rPr>
                <w:rFonts w:ascii="Times New Roman" w:hAnsi="Times New Roman"/>
                <w:sz w:val="20"/>
                <w:szCs w:val="20"/>
              </w:rPr>
            </w:pPr>
          </w:p>
        </w:tc>
        <w:tc>
          <w:tcPr>
            <w:tcW w:w="350" w:type="pct"/>
            <w:shd w:val="clear" w:color="auto" w:fill="auto"/>
            <w:vAlign w:val="center"/>
          </w:tcPr>
          <w:p w14:paraId="4ACE6780" w14:textId="77777777" w:rsidR="006F587A" w:rsidRDefault="006F587A">
            <w:pPr>
              <w:rPr>
                <w:rFonts w:ascii="Times New Roman" w:hAnsi="Times New Roman"/>
                <w:sz w:val="20"/>
                <w:szCs w:val="20"/>
              </w:rPr>
            </w:pPr>
          </w:p>
        </w:tc>
        <w:tc>
          <w:tcPr>
            <w:tcW w:w="50" w:type="pct"/>
            <w:shd w:val="clear" w:color="auto" w:fill="auto"/>
            <w:vAlign w:val="center"/>
          </w:tcPr>
          <w:p w14:paraId="4ACE6781" w14:textId="77777777" w:rsidR="006F587A" w:rsidRDefault="006F587A">
            <w:pPr>
              <w:rPr>
                <w:rFonts w:ascii="Times New Roman" w:hAnsi="Times New Roman"/>
                <w:sz w:val="20"/>
                <w:szCs w:val="20"/>
              </w:rPr>
            </w:pPr>
          </w:p>
        </w:tc>
        <w:tc>
          <w:tcPr>
            <w:tcW w:w="650" w:type="pct"/>
            <w:shd w:val="clear" w:color="auto" w:fill="auto"/>
            <w:vAlign w:val="center"/>
          </w:tcPr>
          <w:p w14:paraId="4ACE6782" w14:textId="77777777" w:rsidR="006F587A" w:rsidRDefault="006F587A">
            <w:pPr>
              <w:rPr>
                <w:rFonts w:ascii="Times New Roman" w:hAnsi="Times New Roman"/>
                <w:sz w:val="20"/>
                <w:szCs w:val="20"/>
              </w:rPr>
            </w:pPr>
          </w:p>
        </w:tc>
        <w:tc>
          <w:tcPr>
            <w:tcW w:w="50" w:type="pct"/>
            <w:shd w:val="clear" w:color="auto" w:fill="auto"/>
            <w:vAlign w:val="center"/>
          </w:tcPr>
          <w:p w14:paraId="4ACE6783" w14:textId="77777777" w:rsidR="006F587A" w:rsidRDefault="006F587A">
            <w:pPr>
              <w:rPr>
                <w:rFonts w:ascii="Times New Roman" w:hAnsi="Times New Roman"/>
                <w:sz w:val="20"/>
                <w:szCs w:val="20"/>
              </w:rPr>
            </w:pPr>
          </w:p>
        </w:tc>
        <w:tc>
          <w:tcPr>
            <w:tcW w:w="300" w:type="pct"/>
            <w:shd w:val="clear" w:color="auto" w:fill="auto"/>
            <w:vAlign w:val="center"/>
          </w:tcPr>
          <w:p w14:paraId="4ACE6784" w14:textId="77777777" w:rsidR="006F587A" w:rsidRDefault="006F587A">
            <w:pPr>
              <w:rPr>
                <w:rFonts w:ascii="Times New Roman" w:hAnsi="Times New Roman"/>
                <w:sz w:val="20"/>
                <w:szCs w:val="20"/>
              </w:rPr>
            </w:pPr>
          </w:p>
        </w:tc>
        <w:tc>
          <w:tcPr>
            <w:tcW w:w="50" w:type="pct"/>
            <w:shd w:val="clear" w:color="auto" w:fill="auto"/>
            <w:vAlign w:val="center"/>
          </w:tcPr>
          <w:p w14:paraId="4ACE6785" w14:textId="77777777" w:rsidR="006F587A" w:rsidRDefault="006F587A">
            <w:pPr>
              <w:rPr>
                <w:rFonts w:ascii="Times New Roman" w:hAnsi="Times New Roman"/>
                <w:sz w:val="20"/>
                <w:szCs w:val="20"/>
              </w:rPr>
            </w:pPr>
          </w:p>
        </w:tc>
        <w:tc>
          <w:tcPr>
            <w:tcW w:w="50" w:type="pct"/>
            <w:shd w:val="clear" w:color="auto" w:fill="auto"/>
            <w:vAlign w:val="center"/>
          </w:tcPr>
          <w:p w14:paraId="4ACE6786" w14:textId="77777777" w:rsidR="006F587A" w:rsidRDefault="006F587A">
            <w:pPr>
              <w:rPr>
                <w:rFonts w:ascii="Times New Roman" w:hAnsi="Times New Roman"/>
                <w:sz w:val="20"/>
                <w:szCs w:val="20"/>
              </w:rPr>
            </w:pPr>
          </w:p>
        </w:tc>
        <w:tc>
          <w:tcPr>
            <w:tcW w:w="500" w:type="pct"/>
            <w:shd w:val="clear" w:color="auto" w:fill="auto"/>
            <w:vAlign w:val="center"/>
          </w:tcPr>
          <w:p w14:paraId="4ACE6787" w14:textId="77777777" w:rsidR="006F587A" w:rsidRDefault="006F587A">
            <w:pPr>
              <w:rPr>
                <w:rFonts w:ascii="Times New Roman" w:hAnsi="Times New Roman"/>
                <w:sz w:val="20"/>
                <w:szCs w:val="20"/>
              </w:rPr>
            </w:pPr>
          </w:p>
        </w:tc>
        <w:tc>
          <w:tcPr>
            <w:tcW w:w="50" w:type="pct"/>
            <w:shd w:val="clear" w:color="auto" w:fill="auto"/>
            <w:vAlign w:val="center"/>
          </w:tcPr>
          <w:p w14:paraId="4ACE6788" w14:textId="77777777" w:rsidR="006F587A" w:rsidRDefault="006F587A">
            <w:pPr>
              <w:rPr>
                <w:rFonts w:ascii="Times New Roman" w:hAnsi="Times New Roman"/>
                <w:sz w:val="20"/>
                <w:szCs w:val="20"/>
              </w:rPr>
            </w:pPr>
          </w:p>
        </w:tc>
        <w:tc>
          <w:tcPr>
            <w:tcW w:w="550" w:type="pct"/>
            <w:shd w:val="clear" w:color="auto" w:fill="auto"/>
            <w:vAlign w:val="center"/>
          </w:tcPr>
          <w:p w14:paraId="4ACE6789" w14:textId="77777777" w:rsidR="006F587A" w:rsidRDefault="006F587A">
            <w:pPr>
              <w:rPr>
                <w:rFonts w:ascii="Times New Roman" w:hAnsi="Times New Roman"/>
                <w:sz w:val="20"/>
                <w:szCs w:val="20"/>
              </w:rPr>
            </w:pPr>
          </w:p>
        </w:tc>
      </w:tr>
      <w:tr w:rsidR="006F587A" w14:paraId="4ACE6795" w14:textId="77777777">
        <w:tc>
          <w:tcPr>
            <w:tcW w:w="0" w:type="auto"/>
            <w:vMerge w:val="restart"/>
            <w:tcBorders>
              <w:bottom w:val="single" w:sz="8" w:space="0" w:color="0071C5"/>
            </w:tcBorders>
            <w:shd w:val="clear" w:color="auto" w:fill="auto"/>
            <w:tcMar>
              <w:top w:w="40" w:type="dxa"/>
              <w:left w:w="40" w:type="dxa"/>
              <w:bottom w:w="40" w:type="dxa"/>
              <w:right w:w="40" w:type="dxa"/>
            </w:tcMar>
            <w:vAlign w:val="bottom"/>
          </w:tcPr>
          <w:p w14:paraId="4ACE678B"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Exhibit</w:t>
            </w:r>
          </w:p>
          <w:p w14:paraId="4ACE678C"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lastRenderedPageBreak/>
              <w:t>Number</w:t>
            </w:r>
          </w:p>
        </w:tc>
        <w:tc>
          <w:tcPr>
            <w:tcW w:w="0" w:type="auto"/>
            <w:vMerge w:val="restart"/>
            <w:shd w:val="clear" w:color="auto" w:fill="auto"/>
            <w:tcMar>
              <w:top w:w="40" w:type="dxa"/>
              <w:left w:w="40" w:type="dxa"/>
              <w:bottom w:w="40" w:type="dxa"/>
              <w:right w:w="40" w:type="dxa"/>
            </w:tcMar>
            <w:vAlign w:val="bottom"/>
          </w:tcPr>
          <w:p w14:paraId="4ACE678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lastRenderedPageBreak/>
              <w:t> </w:t>
            </w:r>
          </w:p>
        </w:tc>
        <w:tc>
          <w:tcPr>
            <w:tcW w:w="0" w:type="auto"/>
            <w:shd w:val="clear" w:color="auto" w:fill="auto"/>
            <w:tcMar>
              <w:top w:w="40" w:type="dxa"/>
              <w:left w:w="40" w:type="dxa"/>
              <w:bottom w:w="40" w:type="dxa"/>
              <w:right w:w="40" w:type="dxa"/>
            </w:tcMar>
            <w:vAlign w:val="bottom"/>
          </w:tcPr>
          <w:p w14:paraId="4ACE678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78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8"/>
            <w:tcBorders>
              <w:bottom w:val="single" w:sz="8" w:space="0" w:color="0071C5"/>
            </w:tcBorders>
            <w:shd w:val="clear" w:color="auto" w:fill="auto"/>
            <w:tcMar>
              <w:top w:w="40" w:type="dxa"/>
              <w:left w:w="40" w:type="dxa"/>
              <w:bottom w:w="40" w:type="dxa"/>
              <w:right w:w="40" w:type="dxa"/>
            </w:tcMar>
            <w:vAlign w:val="bottom"/>
          </w:tcPr>
          <w:p w14:paraId="4ACE6790"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Incorporated by Reference</w:t>
            </w:r>
          </w:p>
        </w:tc>
        <w:tc>
          <w:tcPr>
            <w:tcW w:w="0" w:type="auto"/>
            <w:shd w:val="clear" w:color="auto" w:fill="auto"/>
            <w:tcMar>
              <w:top w:w="40" w:type="dxa"/>
              <w:left w:w="40" w:type="dxa"/>
              <w:bottom w:w="40" w:type="dxa"/>
              <w:right w:w="40" w:type="dxa"/>
            </w:tcMar>
            <w:vAlign w:val="bottom"/>
          </w:tcPr>
          <w:p w14:paraId="4ACE679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tcBorders>
              <w:bottom w:val="single" w:sz="8" w:space="0" w:color="0071C5"/>
            </w:tcBorders>
            <w:shd w:val="clear" w:color="auto" w:fill="auto"/>
            <w:tcMar>
              <w:top w:w="40" w:type="dxa"/>
              <w:left w:w="40" w:type="dxa"/>
              <w:bottom w:w="40" w:type="dxa"/>
              <w:right w:w="40" w:type="dxa"/>
            </w:tcMar>
            <w:vAlign w:val="bottom"/>
          </w:tcPr>
          <w:p w14:paraId="4ACE6792"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Filed or</w:t>
            </w:r>
          </w:p>
          <w:p w14:paraId="4ACE6793"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lastRenderedPageBreak/>
              <w:t>Furnished</w:t>
            </w:r>
          </w:p>
          <w:p w14:paraId="4ACE6794"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Herewith</w:t>
            </w:r>
          </w:p>
        </w:tc>
      </w:tr>
      <w:tr w:rsidR="006F587A" w14:paraId="4ACE67A4" w14:textId="77777777">
        <w:tc>
          <w:tcPr>
            <w:tcW w:w="0" w:type="auto"/>
            <w:vMerge/>
            <w:tcBorders>
              <w:bottom w:val="single" w:sz="8" w:space="0" w:color="0071C5"/>
            </w:tcBorders>
            <w:shd w:val="clear" w:color="auto" w:fill="auto"/>
            <w:tcMar>
              <w:top w:w="40" w:type="dxa"/>
              <w:left w:w="40" w:type="dxa"/>
              <w:bottom w:w="40" w:type="dxa"/>
              <w:right w:w="40" w:type="dxa"/>
            </w:tcMar>
            <w:vAlign w:val="bottom"/>
          </w:tcPr>
          <w:p w14:paraId="4ACE6796" w14:textId="77777777" w:rsidR="006F587A" w:rsidRDefault="006F587A">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4ACE6797" w14:textId="77777777" w:rsidR="006F587A" w:rsidRDefault="006F587A">
            <w:pPr>
              <w:rPr>
                <w:rFonts w:ascii="Times New Roman" w:hAnsi="Times New Roman"/>
                <w:sz w:val="20"/>
                <w:szCs w:val="20"/>
              </w:rPr>
            </w:pPr>
          </w:p>
        </w:tc>
        <w:tc>
          <w:tcPr>
            <w:tcW w:w="0" w:type="auto"/>
            <w:tcBorders>
              <w:bottom w:val="single" w:sz="8" w:space="0" w:color="0071C5"/>
            </w:tcBorders>
            <w:shd w:val="clear" w:color="auto" w:fill="auto"/>
            <w:tcMar>
              <w:top w:w="40" w:type="dxa"/>
              <w:left w:w="40" w:type="dxa"/>
              <w:bottom w:w="40" w:type="dxa"/>
              <w:right w:w="40" w:type="dxa"/>
            </w:tcMar>
            <w:vAlign w:val="bottom"/>
          </w:tcPr>
          <w:p w14:paraId="4ACE6798"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Exhibit Description</w:t>
            </w:r>
          </w:p>
        </w:tc>
        <w:tc>
          <w:tcPr>
            <w:tcW w:w="0" w:type="auto"/>
            <w:shd w:val="clear" w:color="auto" w:fill="auto"/>
            <w:tcMar>
              <w:top w:w="40" w:type="dxa"/>
              <w:left w:w="40" w:type="dxa"/>
              <w:bottom w:w="40" w:type="dxa"/>
              <w:right w:w="40" w:type="dxa"/>
            </w:tcMar>
            <w:vAlign w:val="bottom"/>
          </w:tcPr>
          <w:p w14:paraId="4ACE679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71C5"/>
            </w:tcBorders>
            <w:shd w:val="clear" w:color="auto" w:fill="auto"/>
            <w:tcMar>
              <w:top w:w="40" w:type="dxa"/>
              <w:left w:w="40" w:type="dxa"/>
              <w:bottom w:w="40" w:type="dxa"/>
              <w:right w:w="40" w:type="dxa"/>
            </w:tcMar>
            <w:vAlign w:val="bottom"/>
          </w:tcPr>
          <w:p w14:paraId="4ACE679A"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Form</w:t>
            </w:r>
          </w:p>
        </w:tc>
        <w:tc>
          <w:tcPr>
            <w:tcW w:w="0" w:type="auto"/>
            <w:shd w:val="clear" w:color="auto" w:fill="auto"/>
            <w:tcMar>
              <w:top w:w="40" w:type="dxa"/>
              <w:left w:w="40" w:type="dxa"/>
              <w:bottom w:w="40" w:type="dxa"/>
              <w:right w:w="40" w:type="dxa"/>
            </w:tcMar>
            <w:vAlign w:val="bottom"/>
          </w:tcPr>
          <w:p w14:paraId="4ACE679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71C5"/>
            </w:tcBorders>
            <w:shd w:val="clear" w:color="auto" w:fill="auto"/>
            <w:tcMar>
              <w:top w:w="40" w:type="dxa"/>
              <w:left w:w="40" w:type="dxa"/>
              <w:bottom w:w="40" w:type="dxa"/>
              <w:right w:w="40" w:type="dxa"/>
            </w:tcMar>
            <w:vAlign w:val="bottom"/>
          </w:tcPr>
          <w:p w14:paraId="4ACE679C"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File Number</w:t>
            </w:r>
          </w:p>
        </w:tc>
        <w:tc>
          <w:tcPr>
            <w:tcW w:w="0" w:type="auto"/>
            <w:shd w:val="clear" w:color="auto" w:fill="auto"/>
            <w:tcMar>
              <w:top w:w="40" w:type="dxa"/>
              <w:left w:w="40" w:type="dxa"/>
              <w:bottom w:w="40" w:type="dxa"/>
              <w:right w:w="40" w:type="dxa"/>
            </w:tcMar>
            <w:vAlign w:val="bottom"/>
          </w:tcPr>
          <w:p w14:paraId="4ACE679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71C5"/>
            </w:tcBorders>
            <w:shd w:val="clear" w:color="auto" w:fill="auto"/>
            <w:tcMar>
              <w:top w:w="40" w:type="dxa"/>
              <w:left w:w="40" w:type="dxa"/>
              <w:bottom w:w="40" w:type="dxa"/>
              <w:right w:w="40" w:type="dxa"/>
            </w:tcMar>
            <w:vAlign w:val="bottom"/>
          </w:tcPr>
          <w:p w14:paraId="4ACE679E"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Exhibit</w:t>
            </w:r>
          </w:p>
        </w:tc>
        <w:tc>
          <w:tcPr>
            <w:tcW w:w="0" w:type="auto"/>
            <w:shd w:val="clear" w:color="auto" w:fill="auto"/>
            <w:tcMar>
              <w:top w:w="40" w:type="dxa"/>
              <w:left w:w="40" w:type="dxa"/>
              <w:bottom w:w="40" w:type="dxa"/>
              <w:right w:w="40" w:type="dxa"/>
            </w:tcMar>
            <w:vAlign w:val="bottom"/>
          </w:tcPr>
          <w:p w14:paraId="4ACE679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71C5"/>
            </w:tcBorders>
            <w:shd w:val="clear" w:color="auto" w:fill="auto"/>
            <w:tcMar>
              <w:top w:w="40" w:type="dxa"/>
              <w:left w:w="40" w:type="dxa"/>
              <w:bottom w:w="40" w:type="dxa"/>
              <w:right w:w="40" w:type="dxa"/>
            </w:tcMar>
            <w:vAlign w:val="bottom"/>
          </w:tcPr>
          <w:p w14:paraId="4ACE67A0"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Filing</w:t>
            </w:r>
          </w:p>
          <w:p w14:paraId="4ACE67A1"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Date</w:t>
            </w:r>
          </w:p>
        </w:tc>
        <w:tc>
          <w:tcPr>
            <w:tcW w:w="0" w:type="auto"/>
            <w:shd w:val="clear" w:color="auto" w:fill="auto"/>
            <w:tcMar>
              <w:top w:w="40" w:type="dxa"/>
              <w:left w:w="40" w:type="dxa"/>
              <w:bottom w:w="40" w:type="dxa"/>
              <w:right w:w="40" w:type="dxa"/>
            </w:tcMar>
            <w:vAlign w:val="bottom"/>
          </w:tcPr>
          <w:p w14:paraId="4ACE67A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tcBorders>
              <w:bottom w:val="single" w:sz="8" w:space="0" w:color="0071C5"/>
            </w:tcBorders>
            <w:shd w:val="clear" w:color="auto" w:fill="auto"/>
            <w:tcMar>
              <w:top w:w="40" w:type="dxa"/>
              <w:left w:w="40" w:type="dxa"/>
              <w:bottom w:w="40" w:type="dxa"/>
              <w:right w:w="40" w:type="dxa"/>
            </w:tcMar>
            <w:vAlign w:val="bottom"/>
          </w:tcPr>
          <w:p w14:paraId="4ACE67A3" w14:textId="77777777" w:rsidR="006F587A" w:rsidRDefault="006F587A">
            <w:pPr>
              <w:rPr>
                <w:rFonts w:ascii="Times New Roman" w:hAnsi="Times New Roman"/>
                <w:sz w:val="20"/>
                <w:szCs w:val="20"/>
              </w:rPr>
            </w:pPr>
          </w:p>
        </w:tc>
      </w:tr>
      <w:tr w:rsidR="006F587A" w14:paraId="4ACE67B4" w14:textId="77777777">
        <w:tc>
          <w:tcPr>
            <w:tcW w:w="0" w:type="auto"/>
            <w:shd w:val="clear" w:color="auto" w:fill="auto"/>
            <w:tcMar>
              <w:top w:w="40" w:type="dxa"/>
              <w:left w:w="40" w:type="dxa"/>
              <w:bottom w:w="40" w:type="dxa"/>
              <w:right w:w="40" w:type="dxa"/>
            </w:tcMar>
          </w:tcPr>
          <w:p w14:paraId="4ACE67A5"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10.1.14</w:t>
            </w:r>
            <w:r>
              <w:rPr>
                <w:rFonts w:ascii="Arial" w:eastAsia="宋体" w:hAnsi="Arial" w:cs="Arial"/>
                <w:color w:val="333333"/>
                <w:sz w:val="12"/>
                <w:szCs w:val="12"/>
              </w:rPr>
              <w:t>†</w:t>
            </w:r>
          </w:p>
          <w:p w14:paraId="4ACE67A6" w14:textId="77777777" w:rsidR="006F587A" w:rsidRDefault="006F587A">
            <w:pPr>
              <w:textAlignment w:val="top"/>
              <w:rPr>
                <w:rFonts w:ascii="Times New Roman" w:hAnsi="Times New Roman"/>
                <w:sz w:val="18"/>
                <w:szCs w:val="18"/>
              </w:rPr>
            </w:pPr>
          </w:p>
        </w:tc>
        <w:tc>
          <w:tcPr>
            <w:tcW w:w="0" w:type="auto"/>
            <w:shd w:val="clear" w:color="auto" w:fill="auto"/>
            <w:tcMar>
              <w:top w:w="40" w:type="dxa"/>
              <w:left w:w="40" w:type="dxa"/>
              <w:bottom w:w="40" w:type="dxa"/>
              <w:right w:w="40" w:type="dxa"/>
            </w:tcMar>
            <w:vAlign w:val="bottom"/>
          </w:tcPr>
          <w:p w14:paraId="4ACE67A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7A8" w14:textId="77777777" w:rsidR="006F587A" w:rsidRDefault="007B2B61">
            <w:pPr>
              <w:textAlignment w:val="bottom"/>
              <w:rPr>
                <w:rFonts w:ascii="Times New Roman" w:hAnsi="Times New Roman"/>
                <w:sz w:val="18"/>
                <w:szCs w:val="18"/>
              </w:rPr>
            </w:pPr>
            <w:hyperlink r:id="rId213" w:history="1">
              <w:r>
                <w:rPr>
                  <w:rStyle w:val="a5"/>
                  <w:rFonts w:ascii="Arial" w:eastAsia="宋体" w:hAnsi="Arial" w:cs="Arial"/>
                  <w:sz w:val="18"/>
                  <w:szCs w:val="18"/>
                </w:rPr>
                <w:t xml:space="preserve">Intel Corporation Restricted Stock Unit Grant Agreement under the 2006 Equity Incentive Plan (for performance-based RSUs granted to Robert Swan for interim CEO </w:t>
              </w:r>
              <w:r>
                <w:rPr>
                  <w:rStyle w:val="a5"/>
                  <w:rFonts w:ascii="Arial" w:eastAsia="宋体" w:hAnsi="Arial" w:cs="Arial"/>
                  <w:sz w:val="18"/>
                  <w:szCs w:val="18"/>
                </w:rPr>
                <w:t>service on January 30, 2019)</w:t>
              </w:r>
            </w:hyperlink>
          </w:p>
        </w:tc>
        <w:tc>
          <w:tcPr>
            <w:tcW w:w="0" w:type="auto"/>
            <w:shd w:val="clear" w:color="auto" w:fill="auto"/>
            <w:tcMar>
              <w:top w:w="40" w:type="dxa"/>
              <w:left w:w="40" w:type="dxa"/>
              <w:bottom w:w="40" w:type="dxa"/>
              <w:right w:w="40" w:type="dxa"/>
            </w:tcMar>
            <w:vAlign w:val="bottom"/>
          </w:tcPr>
          <w:p w14:paraId="4ACE67A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7AA"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10-Q</w:t>
            </w:r>
          </w:p>
        </w:tc>
        <w:tc>
          <w:tcPr>
            <w:tcW w:w="0" w:type="auto"/>
            <w:shd w:val="clear" w:color="auto" w:fill="auto"/>
            <w:tcMar>
              <w:top w:w="40" w:type="dxa"/>
              <w:left w:w="40" w:type="dxa"/>
              <w:bottom w:w="40" w:type="dxa"/>
              <w:right w:w="40" w:type="dxa"/>
            </w:tcMar>
            <w:vAlign w:val="bottom"/>
          </w:tcPr>
          <w:p w14:paraId="4ACE67A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7AC"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4ACE67A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ACE67AE"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10.9</w:t>
            </w:r>
          </w:p>
        </w:tc>
        <w:tc>
          <w:tcPr>
            <w:tcW w:w="0" w:type="auto"/>
            <w:shd w:val="clear" w:color="auto" w:fill="auto"/>
            <w:vAlign w:val="bottom"/>
          </w:tcPr>
          <w:p w14:paraId="4ACE67A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7B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7B1"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4/26/2019</w:t>
            </w:r>
          </w:p>
        </w:tc>
        <w:tc>
          <w:tcPr>
            <w:tcW w:w="0" w:type="auto"/>
            <w:shd w:val="clear" w:color="auto" w:fill="auto"/>
            <w:tcMar>
              <w:top w:w="40" w:type="dxa"/>
              <w:left w:w="40" w:type="dxa"/>
              <w:bottom w:w="40" w:type="dxa"/>
              <w:right w:w="40" w:type="dxa"/>
            </w:tcMar>
            <w:vAlign w:val="bottom"/>
          </w:tcPr>
          <w:p w14:paraId="4ACE67B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7B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7C4" w14:textId="77777777">
        <w:tc>
          <w:tcPr>
            <w:tcW w:w="0" w:type="auto"/>
            <w:shd w:val="clear" w:color="auto" w:fill="auto"/>
            <w:tcMar>
              <w:top w:w="40" w:type="dxa"/>
              <w:left w:w="40" w:type="dxa"/>
              <w:bottom w:w="40" w:type="dxa"/>
              <w:right w:w="40" w:type="dxa"/>
            </w:tcMar>
          </w:tcPr>
          <w:p w14:paraId="4ACE67B5"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10.1.15</w:t>
            </w:r>
            <w:r>
              <w:rPr>
                <w:rFonts w:ascii="Arial" w:eastAsia="宋体" w:hAnsi="Arial" w:cs="Arial"/>
                <w:color w:val="333333"/>
                <w:sz w:val="12"/>
                <w:szCs w:val="12"/>
              </w:rPr>
              <w:t>†</w:t>
            </w:r>
          </w:p>
          <w:p w14:paraId="4ACE67B6" w14:textId="77777777" w:rsidR="006F587A" w:rsidRDefault="006F587A">
            <w:pPr>
              <w:textAlignment w:val="top"/>
              <w:rPr>
                <w:rFonts w:ascii="Times New Roman" w:hAnsi="Times New Roman"/>
                <w:sz w:val="18"/>
                <w:szCs w:val="18"/>
              </w:rPr>
            </w:pPr>
          </w:p>
        </w:tc>
        <w:tc>
          <w:tcPr>
            <w:tcW w:w="0" w:type="auto"/>
            <w:shd w:val="clear" w:color="auto" w:fill="auto"/>
            <w:tcMar>
              <w:top w:w="40" w:type="dxa"/>
              <w:left w:w="40" w:type="dxa"/>
              <w:bottom w:w="40" w:type="dxa"/>
              <w:right w:w="40" w:type="dxa"/>
            </w:tcMar>
            <w:vAlign w:val="bottom"/>
          </w:tcPr>
          <w:p w14:paraId="4ACE67B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7B8" w14:textId="77777777" w:rsidR="006F587A" w:rsidRDefault="007B2B61">
            <w:pPr>
              <w:textAlignment w:val="bottom"/>
              <w:rPr>
                <w:rFonts w:ascii="Times New Roman" w:hAnsi="Times New Roman"/>
                <w:sz w:val="18"/>
                <w:szCs w:val="18"/>
              </w:rPr>
            </w:pPr>
            <w:hyperlink r:id="rId214" w:history="1">
              <w:r>
                <w:rPr>
                  <w:rStyle w:val="a5"/>
                  <w:rFonts w:ascii="Arial" w:eastAsia="宋体" w:hAnsi="Arial" w:cs="Arial"/>
                  <w:sz w:val="18"/>
                  <w:szCs w:val="18"/>
                </w:rPr>
                <w:t>Intel Corporation Form of Restricted Stock Unit Grant Agreement under the 2006 Equity Incentive Plan (for Annual Performance Bonus Plan-related performance-bas</w:t>
              </w:r>
              <w:r>
                <w:rPr>
                  <w:rStyle w:val="a5"/>
                  <w:rFonts w:ascii="Arial" w:eastAsia="宋体" w:hAnsi="Arial" w:cs="Arial"/>
                  <w:sz w:val="18"/>
                  <w:szCs w:val="18"/>
                </w:rPr>
                <w:t>ed RSUs granted to Robert Swan on February 1, 2019)</w:t>
              </w:r>
            </w:hyperlink>
          </w:p>
        </w:tc>
        <w:tc>
          <w:tcPr>
            <w:tcW w:w="0" w:type="auto"/>
            <w:shd w:val="clear" w:color="auto" w:fill="auto"/>
            <w:tcMar>
              <w:top w:w="40" w:type="dxa"/>
              <w:left w:w="40" w:type="dxa"/>
              <w:bottom w:w="40" w:type="dxa"/>
              <w:right w:w="40" w:type="dxa"/>
            </w:tcMar>
            <w:vAlign w:val="bottom"/>
          </w:tcPr>
          <w:p w14:paraId="4ACE67B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7BA"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10-Q</w:t>
            </w:r>
          </w:p>
        </w:tc>
        <w:tc>
          <w:tcPr>
            <w:tcW w:w="0" w:type="auto"/>
            <w:shd w:val="clear" w:color="auto" w:fill="auto"/>
            <w:tcMar>
              <w:top w:w="40" w:type="dxa"/>
              <w:left w:w="40" w:type="dxa"/>
              <w:bottom w:w="40" w:type="dxa"/>
              <w:right w:w="40" w:type="dxa"/>
            </w:tcMar>
            <w:vAlign w:val="bottom"/>
          </w:tcPr>
          <w:p w14:paraId="4ACE67B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7BC"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4ACE67B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ACE67BE"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10.10</w:t>
            </w:r>
          </w:p>
        </w:tc>
        <w:tc>
          <w:tcPr>
            <w:tcW w:w="0" w:type="auto"/>
            <w:shd w:val="clear" w:color="auto" w:fill="auto"/>
            <w:vAlign w:val="bottom"/>
          </w:tcPr>
          <w:p w14:paraId="4ACE67B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7C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7C1"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4/26/2019</w:t>
            </w:r>
          </w:p>
        </w:tc>
        <w:tc>
          <w:tcPr>
            <w:tcW w:w="0" w:type="auto"/>
            <w:shd w:val="clear" w:color="auto" w:fill="auto"/>
            <w:tcMar>
              <w:top w:w="40" w:type="dxa"/>
              <w:left w:w="40" w:type="dxa"/>
              <w:bottom w:w="40" w:type="dxa"/>
              <w:right w:w="40" w:type="dxa"/>
            </w:tcMar>
            <w:vAlign w:val="bottom"/>
          </w:tcPr>
          <w:p w14:paraId="4ACE67C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7C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7D4" w14:textId="77777777">
        <w:tc>
          <w:tcPr>
            <w:tcW w:w="0" w:type="auto"/>
            <w:shd w:val="clear" w:color="auto" w:fill="auto"/>
            <w:tcMar>
              <w:top w:w="40" w:type="dxa"/>
              <w:left w:w="40" w:type="dxa"/>
              <w:bottom w:w="40" w:type="dxa"/>
              <w:right w:w="40" w:type="dxa"/>
            </w:tcMar>
          </w:tcPr>
          <w:p w14:paraId="4ACE67C5"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10.1.16</w:t>
            </w:r>
            <w:r>
              <w:rPr>
                <w:rFonts w:ascii="Arial" w:eastAsia="宋体" w:hAnsi="Arial" w:cs="Arial"/>
                <w:color w:val="333333"/>
                <w:sz w:val="12"/>
                <w:szCs w:val="12"/>
              </w:rPr>
              <w:t>†</w:t>
            </w:r>
          </w:p>
          <w:p w14:paraId="4ACE67C6" w14:textId="77777777" w:rsidR="006F587A" w:rsidRDefault="006F587A">
            <w:pPr>
              <w:textAlignment w:val="top"/>
              <w:rPr>
                <w:rFonts w:ascii="Times New Roman" w:hAnsi="Times New Roman"/>
                <w:sz w:val="18"/>
                <w:szCs w:val="18"/>
              </w:rPr>
            </w:pPr>
          </w:p>
        </w:tc>
        <w:tc>
          <w:tcPr>
            <w:tcW w:w="0" w:type="auto"/>
            <w:shd w:val="clear" w:color="auto" w:fill="auto"/>
            <w:tcMar>
              <w:top w:w="40" w:type="dxa"/>
              <w:left w:w="40" w:type="dxa"/>
              <w:bottom w:w="40" w:type="dxa"/>
              <w:right w:w="40" w:type="dxa"/>
            </w:tcMar>
            <w:vAlign w:val="bottom"/>
          </w:tcPr>
          <w:p w14:paraId="4ACE67C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7C8" w14:textId="77777777" w:rsidR="006F587A" w:rsidRDefault="007B2B61">
            <w:pPr>
              <w:textAlignment w:val="bottom"/>
              <w:rPr>
                <w:rFonts w:ascii="Times New Roman" w:hAnsi="Times New Roman"/>
                <w:sz w:val="18"/>
                <w:szCs w:val="18"/>
              </w:rPr>
            </w:pPr>
            <w:hyperlink r:id="rId215" w:history="1">
              <w:r>
                <w:rPr>
                  <w:rStyle w:val="a5"/>
                  <w:rFonts w:ascii="Arial" w:eastAsia="宋体" w:hAnsi="Arial" w:cs="Arial"/>
                  <w:sz w:val="18"/>
                  <w:szCs w:val="18"/>
                </w:rPr>
                <w:t>Intel Corporation Form of Stock Option Grant Agreement under the 2006 Equity Incentive Plan (for strategic growth performance-based stock options granted to exe</w:t>
              </w:r>
              <w:r>
                <w:rPr>
                  <w:rStyle w:val="a5"/>
                  <w:rFonts w:ascii="Arial" w:eastAsia="宋体" w:hAnsi="Arial" w:cs="Arial"/>
                  <w:sz w:val="18"/>
                  <w:szCs w:val="18"/>
                </w:rPr>
                <w:t>cutives on or after February 1, 2019)</w:t>
              </w:r>
            </w:hyperlink>
          </w:p>
        </w:tc>
        <w:tc>
          <w:tcPr>
            <w:tcW w:w="0" w:type="auto"/>
            <w:shd w:val="clear" w:color="auto" w:fill="auto"/>
            <w:tcMar>
              <w:top w:w="40" w:type="dxa"/>
              <w:left w:w="40" w:type="dxa"/>
              <w:bottom w:w="40" w:type="dxa"/>
              <w:right w:w="40" w:type="dxa"/>
            </w:tcMar>
            <w:vAlign w:val="bottom"/>
          </w:tcPr>
          <w:p w14:paraId="4ACE67C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7CA"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10-Q</w:t>
            </w:r>
          </w:p>
        </w:tc>
        <w:tc>
          <w:tcPr>
            <w:tcW w:w="0" w:type="auto"/>
            <w:shd w:val="clear" w:color="auto" w:fill="auto"/>
            <w:tcMar>
              <w:top w:w="40" w:type="dxa"/>
              <w:left w:w="40" w:type="dxa"/>
              <w:bottom w:w="40" w:type="dxa"/>
              <w:right w:w="40" w:type="dxa"/>
            </w:tcMar>
            <w:vAlign w:val="bottom"/>
          </w:tcPr>
          <w:p w14:paraId="4ACE67C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7CC"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4ACE67C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ACE67CE"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10.7</w:t>
            </w:r>
          </w:p>
        </w:tc>
        <w:tc>
          <w:tcPr>
            <w:tcW w:w="0" w:type="auto"/>
            <w:shd w:val="clear" w:color="auto" w:fill="auto"/>
            <w:vAlign w:val="bottom"/>
          </w:tcPr>
          <w:p w14:paraId="4ACE67C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7D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7D1"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4/26/2019</w:t>
            </w:r>
          </w:p>
        </w:tc>
        <w:tc>
          <w:tcPr>
            <w:tcW w:w="0" w:type="auto"/>
            <w:shd w:val="clear" w:color="auto" w:fill="auto"/>
            <w:tcMar>
              <w:top w:w="40" w:type="dxa"/>
              <w:left w:w="40" w:type="dxa"/>
              <w:bottom w:w="40" w:type="dxa"/>
              <w:right w:w="40" w:type="dxa"/>
            </w:tcMar>
            <w:vAlign w:val="bottom"/>
          </w:tcPr>
          <w:p w14:paraId="4ACE67D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7D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7E4" w14:textId="77777777">
        <w:tc>
          <w:tcPr>
            <w:tcW w:w="0" w:type="auto"/>
            <w:shd w:val="clear" w:color="auto" w:fill="auto"/>
            <w:tcMar>
              <w:top w:w="40" w:type="dxa"/>
              <w:left w:w="40" w:type="dxa"/>
              <w:bottom w:w="40" w:type="dxa"/>
              <w:right w:w="40" w:type="dxa"/>
            </w:tcMar>
          </w:tcPr>
          <w:p w14:paraId="4ACE67D5"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10.1.17</w:t>
            </w:r>
            <w:r>
              <w:rPr>
                <w:rFonts w:ascii="Arial" w:eastAsia="宋体" w:hAnsi="Arial" w:cs="Arial"/>
                <w:color w:val="333333"/>
                <w:sz w:val="12"/>
                <w:szCs w:val="12"/>
              </w:rPr>
              <w:t>†</w:t>
            </w:r>
          </w:p>
          <w:p w14:paraId="4ACE67D6" w14:textId="77777777" w:rsidR="006F587A" w:rsidRDefault="006F587A">
            <w:pPr>
              <w:textAlignment w:val="top"/>
              <w:rPr>
                <w:rFonts w:ascii="Times New Roman" w:hAnsi="Times New Roman"/>
                <w:sz w:val="18"/>
                <w:szCs w:val="18"/>
              </w:rPr>
            </w:pPr>
          </w:p>
        </w:tc>
        <w:tc>
          <w:tcPr>
            <w:tcW w:w="0" w:type="auto"/>
            <w:shd w:val="clear" w:color="auto" w:fill="auto"/>
            <w:tcMar>
              <w:top w:w="40" w:type="dxa"/>
              <w:left w:w="40" w:type="dxa"/>
              <w:bottom w:w="40" w:type="dxa"/>
              <w:right w:w="40" w:type="dxa"/>
            </w:tcMar>
            <w:vAlign w:val="bottom"/>
          </w:tcPr>
          <w:p w14:paraId="4ACE67D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7D8" w14:textId="77777777" w:rsidR="006F587A" w:rsidRDefault="007B2B61">
            <w:pPr>
              <w:textAlignment w:val="top"/>
              <w:rPr>
                <w:rFonts w:ascii="Times New Roman" w:hAnsi="Times New Roman"/>
                <w:sz w:val="18"/>
                <w:szCs w:val="18"/>
              </w:rPr>
            </w:pPr>
            <w:hyperlink r:id="rId216" w:history="1">
              <w:r>
                <w:rPr>
                  <w:rStyle w:val="a5"/>
                  <w:rFonts w:ascii="Arial" w:eastAsia="宋体" w:hAnsi="Arial" w:cs="Arial"/>
                  <w:sz w:val="18"/>
                  <w:szCs w:val="18"/>
                </w:rPr>
                <w:t>Intel Corporation Non-Employee Director Restricted Stock Unit Agreement under the 2006 Equity Incentive Plan (for RSUs granted on or after January 23, 2015</w:t>
              </w:r>
              <w:r>
                <w:rPr>
                  <w:rStyle w:val="a5"/>
                  <w:rFonts w:ascii="Arial" w:eastAsia="宋体" w:hAnsi="Arial" w:cs="Arial"/>
                  <w:sz w:val="18"/>
                  <w:szCs w:val="18"/>
                </w:rPr>
                <w:t xml:space="preserve"> under the Director RSU program)</w:t>
              </w:r>
            </w:hyperlink>
          </w:p>
        </w:tc>
        <w:tc>
          <w:tcPr>
            <w:tcW w:w="0" w:type="auto"/>
            <w:shd w:val="clear" w:color="auto" w:fill="auto"/>
            <w:tcMar>
              <w:top w:w="40" w:type="dxa"/>
              <w:left w:w="40" w:type="dxa"/>
              <w:bottom w:w="40" w:type="dxa"/>
              <w:right w:w="40" w:type="dxa"/>
            </w:tcMar>
            <w:vAlign w:val="bottom"/>
          </w:tcPr>
          <w:p w14:paraId="4ACE67D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7DA"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10-Q</w:t>
            </w:r>
          </w:p>
        </w:tc>
        <w:tc>
          <w:tcPr>
            <w:tcW w:w="0" w:type="auto"/>
            <w:shd w:val="clear" w:color="auto" w:fill="auto"/>
            <w:tcMar>
              <w:top w:w="40" w:type="dxa"/>
              <w:left w:w="40" w:type="dxa"/>
              <w:bottom w:w="40" w:type="dxa"/>
              <w:right w:w="40" w:type="dxa"/>
            </w:tcMar>
            <w:vAlign w:val="bottom"/>
          </w:tcPr>
          <w:p w14:paraId="4ACE67D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7DC"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4ACE67D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ACE67DE"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10.1</w:t>
            </w:r>
          </w:p>
        </w:tc>
        <w:tc>
          <w:tcPr>
            <w:tcW w:w="0" w:type="auto"/>
            <w:shd w:val="clear" w:color="auto" w:fill="auto"/>
            <w:vAlign w:val="bottom"/>
          </w:tcPr>
          <w:p w14:paraId="4ACE67D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7E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7E1"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4/27/2015</w:t>
            </w:r>
          </w:p>
        </w:tc>
        <w:tc>
          <w:tcPr>
            <w:tcW w:w="0" w:type="auto"/>
            <w:shd w:val="clear" w:color="auto" w:fill="auto"/>
            <w:tcMar>
              <w:top w:w="40" w:type="dxa"/>
              <w:left w:w="40" w:type="dxa"/>
              <w:bottom w:w="40" w:type="dxa"/>
              <w:right w:w="40" w:type="dxa"/>
            </w:tcMar>
            <w:vAlign w:val="bottom"/>
          </w:tcPr>
          <w:p w14:paraId="4ACE67E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7E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7F4" w14:textId="77777777">
        <w:tc>
          <w:tcPr>
            <w:tcW w:w="0" w:type="auto"/>
            <w:shd w:val="clear" w:color="auto" w:fill="auto"/>
            <w:tcMar>
              <w:top w:w="40" w:type="dxa"/>
              <w:left w:w="40" w:type="dxa"/>
              <w:bottom w:w="40" w:type="dxa"/>
              <w:right w:w="40" w:type="dxa"/>
            </w:tcMar>
          </w:tcPr>
          <w:p w14:paraId="4ACE67E5"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10.1.18</w:t>
            </w:r>
            <w:r>
              <w:rPr>
                <w:rFonts w:ascii="Arial" w:eastAsia="宋体" w:hAnsi="Arial" w:cs="Arial"/>
                <w:color w:val="333333"/>
                <w:sz w:val="12"/>
                <w:szCs w:val="12"/>
              </w:rPr>
              <w:t>†</w:t>
            </w:r>
          </w:p>
          <w:p w14:paraId="4ACE67E6" w14:textId="77777777" w:rsidR="006F587A" w:rsidRDefault="006F587A">
            <w:pPr>
              <w:textAlignment w:val="top"/>
              <w:rPr>
                <w:rFonts w:ascii="Times New Roman" w:hAnsi="Times New Roman"/>
                <w:sz w:val="18"/>
                <w:szCs w:val="18"/>
              </w:rPr>
            </w:pPr>
          </w:p>
        </w:tc>
        <w:tc>
          <w:tcPr>
            <w:tcW w:w="0" w:type="auto"/>
            <w:shd w:val="clear" w:color="auto" w:fill="auto"/>
            <w:tcMar>
              <w:top w:w="40" w:type="dxa"/>
              <w:left w:w="40" w:type="dxa"/>
              <w:bottom w:w="40" w:type="dxa"/>
              <w:right w:w="40" w:type="dxa"/>
            </w:tcMar>
            <w:vAlign w:val="bottom"/>
          </w:tcPr>
          <w:p w14:paraId="4ACE67E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7E8" w14:textId="77777777" w:rsidR="006F587A" w:rsidRDefault="007B2B61">
            <w:pPr>
              <w:textAlignment w:val="top"/>
              <w:rPr>
                <w:rFonts w:ascii="Times New Roman" w:hAnsi="Times New Roman"/>
                <w:sz w:val="18"/>
                <w:szCs w:val="18"/>
              </w:rPr>
            </w:pPr>
            <w:hyperlink r:id="rId217" w:history="1">
              <w:r>
                <w:rPr>
                  <w:rStyle w:val="a5"/>
                  <w:rFonts w:ascii="Arial" w:eastAsia="宋体" w:hAnsi="Arial" w:cs="Arial"/>
                  <w:sz w:val="18"/>
                  <w:szCs w:val="18"/>
                </w:rPr>
                <w:t>Intel Corporation Form of Non-Employee Director Restricted Stock Unit Grant Agreement under the 2006 Equity Incentive Plan (for RSUs granted to non-employee di</w:t>
              </w:r>
              <w:r>
                <w:rPr>
                  <w:rStyle w:val="a5"/>
                  <w:rFonts w:ascii="Arial" w:eastAsia="宋体" w:hAnsi="Arial" w:cs="Arial"/>
                  <w:sz w:val="18"/>
                  <w:szCs w:val="18"/>
                </w:rPr>
                <w:t>rectors on or after January 30, 2019)</w:t>
              </w:r>
            </w:hyperlink>
          </w:p>
        </w:tc>
        <w:tc>
          <w:tcPr>
            <w:tcW w:w="0" w:type="auto"/>
            <w:shd w:val="clear" w:color="auto" w:fill="auto"/>
            <w:tcMar>
              <w:top w:w="40" w:type="dxa"/>
              <w:left w:w="40" w:type="dxa"/>
              <w:bottom w:w="40" w:type="dxa"/>
              <w:right w:w="40" w:type="dxa"/>
            </w:tcMar>
            <w:vAlign w:val="bottom"/>
          </w:tcPr>
          <w:p w14:paraId="4ACE67E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7EA"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10-Q</w:t>
            </w:r>
          </w:p>
        </w:tc>
        <w:tc>
          <w:tcPr>
            <w:tcW w:w="0" w:type="auto"/>
            <w:shd w:val="clear" w:color="auto" w:fill="auto"/>
            <w:tcMar>
              <w:top w:w="40" w:type="dxa"/>
              <w:left w:w="40" w:type="dxa"/>
              <w:bottom w:w="40" w:type="dxa"/>
              <w:right w:w="40" w:type="dxa"/>
            </w:tcMar>
            <w:vAlign w:val="bottom"/>
          </w:tcPr>
          <w:p w14:paraId="4ACE67E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7EC"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4ACE67E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ACE67EE"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10.11</w:t>
            </w:r>
          </w:p>
        </w:tc>
        <w:tc>
          <w:tcPr>
            <w:tcW w:w="0" w:type="auto"/>
            <w:shd w:val="clear" w:color="auto" w:fill="auto"/>
            <w:vAlign w:val="bottom"/>
          </w:tcPr>
          <w:p w14:paraId="4ACE67E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7F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7F1"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4/26/2019</w:t>
            </w:r>
          </w:p>
        </w:tc>
        <w:tc>
          <w:tcPr>
            <w:tcW w:w="0" w:type="auto"/>
            <w:shd w:val="clear" w:color="auto" w:fill="auto"/>
            <w:tcMar>
              <w:top w:w="40" w:type="dxa"/>
              <w:left w:w="40" w:type="dxa"/>
              <w:bottom w:w="40" w:type="dxa"/>
              <w:right w:w="40" w:type="dxa"/>
            </w:tcMar>
            <w:vAlign w:val="bottom"/>
          </w:tcPr>
          <w:p w14:paraId="4ACE67F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7F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804" w14:textId="77777777">
        <w:tc>
          <w:tcPr>
            <w:tcW w:w="0" w:type="auto"/>
            <w:shd w:val="clear" w:color="auto" w:fill="auto"/>
            <w:tcMar>
              <w:top w:w="40" w:type="dxa"/>
              <w:left w:w="40" w:type="dxa"/>
              <w:bottom w:w="40" w:type="dxa"/>
              <w:right w:w="40" w:type="dxa"/>
            </w:tcMar>
          </w:tcPr>
          <w:p w14:paraId="4ACE67F5"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10.1.19</w:t>
            </w:r>
            <w:r>
              <w:rPr>
                <w:rFonts w:ascii="Arial" w:eastAsia="宋体" w:hAnsi="Arial" w:cs="Arial"/>
                <w:color w:val="333333"/>
                <w:sz w:val="12"/>
                <w:szCs w:val="12"/>
              </w:rPr>
              <w:t>†</w:t>
            </w:r>
          </w:p>
          <w:p w14:paraId="4ACE67F6" w14:textId="77777777" w:rsidR="006F587A" w:rsidRDefault="006F587A">
            <w:pPr>
              <w:textAlignment w:val="top"/>
              <w:rPr>
                <w:rFonts w:ascii="Times New Roman" w:hAnsi="Times New Roman"/>
                <w:sz w:val="18"/>
                <w:szCs w:val="18"/>
              </w:rPr>
            </w:pPr>
          </w:p>
        </w:tc>
        <w:tc>
          <w:tcPr>
            <w:tcW w:w="0" w:type="auto"/>
            <w:shd w:val="clear" w:color="auto" w:fill="auto"/>
            <w:tcMar>
              <w:top w:w="40" w:type="dxa"/>
              <w:left w:w="40" w:type="dxa"/>
              <w:bottom w:w="40" w:type="dxa"/>
              <w:right w:w="40" w:type="dxa"/>
            </w:tcMar>
            <w:vAlign w:val="bottom"/>
          </w:tcPr>
          <w:p w14:paraId="4ACE67F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7F8" w14:textId="77777777" w:rsidR="006F587A" w:rsidRDefault="007B2B61">
            <w:pPr>
              <w:textAlignment w:val="top"/>
              <w:rPr>
                <w:rFonts w:ascii="Times New Roman" w:hAnsi="Times New Roman"/>
                <w:sz w:val="18"/>
                <w:szCs w:val="18"/>
              </w:rPr>
            </w:pPr>
            <w:hyperlink r:id="rId218" w:history="1">
              <w:r>
                <w:rPr>
                  <w:rStyle w:val="a5"/>
                  <w:rFonts w:ascii="Arial" w:eastAsia="宋体" w:hAnsi="Arial" w:cs="Arial"/>
                  <w:sz w:val="18"/>
                  <w:szCs w:val="18"/>
                </w:rPr>
                <w:t>Intel Corporation Non-Employee Director Restricted Stock Unit Agreement under the 2006 Equity Incentive Plan (for RSUs granted on or after February 1, 201</w:t>
              </w:r>
              <w:r>
                <w:rPr>
                  <w:rStyle w:val="a5"/>
                  <w:rFonts w:ascii="Arial" w:eastAsia="宋体" w:hAnsi="Arial" w:cs="Arial"/>
                  <w:sz w:val="18"/>
                  <w:szCs w:val="18"/>
                </w:rPr>
                <w:t>7 under the Director OSU program)</w:t>
              </w:r>
            </w:hyperlink>
          </w:p>
        </w:tc>
        <w:tc>
          <w:tcPr>
            <w:tcW w:w="0" w:type="auto"/>
            <w:shd w:val="clear" w:color="auto" w:fill="auto"/>
            <w:tcMar>
              <w:top w:w="40" w:type="dxa"/>
              <w:left w:w="40" w:type="dxa"/>
              <w:bottom w:w="40" w:type="dxa"/>
              <w:right w:w="40" w:type="dxa"/>
            </w:tcMar>
            <w:vAlign w:val="bottom"/>
          </w:tcPr>
          <w:p w14:paraId="4ACE67F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7FA"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10-Q</w:t>
            </w:r>
          </w:p>
        </w:tc>
        <w:tc>
          <w:tcPr>
            <w:tcW w:w="0" w:type="auto"/>
            <w:shd w:val="clear" w:color="auto" w:fill="auto"/>
            <w:tcMar>
              <w:top w:w="40" w:type="dxa"/>
              <w:left w:w="40" w:type="dxa"/>
              <w:bottom w:w="40" w:type="dxa"/>
              <w:right w:w="40" w:type="dxa"/>
            </w:tcMar>
            <w:vAlign w:val="bottom"/>
          </w:tcPr>
          <w:p w14:paraId="4ACE67F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7FC"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4ACE67F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ACE67FE"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10.2</w:t>
            </w:r>
          </w:p>
        </w:tc>
        <w:tc>
          <w:tcPr>
            <w:tcW w:w="0" w:type="auto"/>
            <w:shd w:val="clear" w:color="auto" w:fill="auto"/>
            <w:vAlign w:val="bottom"/>
          </w:tcPr>
          <w:p w14:paraId="4ACE67FF"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80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801"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4/27/2017</w:t>
            </w:r>
          </w:p>
        </w:tc>
        <w:tc>
          <w:tcPr>
            <w:tcW w:w="0" w:type="auto"/>
            <w:shd w:val="clear" w:color="auto" w:fill="auto"/>
            <w:tcMar>
              <w:top w:w="40" w:type="dxa"/>
              <w:left w:w="40" w:type="dxa"/>
              <w:bottom w:w="40" w:type="dxa"/>
              <w:right w:w="40" w:type="dxa"/>
            </w:tcMar>
            <w:vAlign w:val="bottom"/>
          </w:tcPr>
          <w:p w14:paraId="4ACE680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80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813" w14:textId="77777777">
        <w:tc>
          <w:tcPr>
            <w:tcW w:w="0" w:type="auto"/>
            <w:shd w:val="clear" w:color="auto" w:fill="auto"/>
            <w:tcMar>
              <w:top w:w="40" w:type="dxa"/>
              <w:left w:w="40" w:type="dxa"/>
              <w:bottom w:w="40" w:type="dxa"/>
              <w:right w:w="40" w:type="dxa"/>
            </w:tcMar>
          </w:tcPr>
          <w:p w14:paraId="4ACE6805"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10.2</w:t>
            </w:r>
            <w:r>
              <w:rPr>
                <w:rFonts w:ascii="Arial" w:eastAsia="宋体" w:hAnsi="Arial" w:cs="Arial"/>
                <w:color w:val="333333"/>
                <w:sz w:val="12"/>
                <w:szCs w:val="12"/>
              </w:rPr>
              <w:t>†</w:t>
            </w:r>
          </w:p>
        </w:tc>
        <w:tc>
          <w:tcPr>
            <w:tcW w:w="0" w:type="auto"/>
            <w:shd w:val="clear" w:color="auto" w:fill="auto"/>
            <w:tcMar>
              <w:top w:w="40" w:type="dxa"/>
              <w:left w:w="40" w:type="dxa"/>
              <w:bottom w:w="40" w:type="dxa"/>
              <w:right w:w="40" w:type="dxa"/>
            </w:tcMar>
            <w:vAlign w:val="bottom"/>
          </w:tcPr>
          <w:p w14:paraId="4ACE680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807" w14:textId="77777777" w:rsidR="006F587A" w:rsidRDefault="007B2B61">
            <w:pPr>
              <w:textAlignment w:val="top"/>
              <w:rPr>
                <w:rFonts w:ascii="Times New Roman" w:hAnsi="Times New Roman"/>
                <w:sz w:val="18"/>
                <w:szCs w:val="18"/>
              </w:rPr>
            </w:pPr>
            <w:hyperlink r:id="rId219" w:history="1">
              <w:r>
                <w:rPr>
                  <w:rStyle w:val="a5"/>
                  <w:rFonts w:ascii="Arial" w:eastAsia="宋体" w:hAnsi="Arial" w:cs="Arial"/>
                  <w:sz w:val="18"/>
                  <w:szCs w:val="18"/>
                </w:rPr>
                <w:t>Intel Corporation 2006 Employee Stock Purchase Plan, as amended and restated, effective January 1, 2019</w:t>
              </w:r>
            </w:hyperlink>
          </w:p>
        </w:tc>
        <w:tc>
          <w:tcPr>
            <w:tcW w:w="0" w:type="auto"/>
            <w:shd w:val="clear" w:color="auto" w:fill="auto"/>
            <w:tcMar>
              <w:top w:w="40" w:type="dxa"/>
              <w:left w:w="40" w:type="dxa"/>
              <w:bottom w:w="40" w:type="dxa"/>
              <w:right w:w="40" w:type="dxa"/>
            </w:tcMar>
            <w:vAlign w:val="bottom"/>
          </w:tcPr>
          <w:p w14:paraId="4ACE680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809"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10-K</w:t>
            </w:r>
          </w:p>
        </w:tc>
        <w:tc>
          <w:tcPr>
            <w:tcW w:w="0" w:type="auto"/>
            <w:shd w:val="clear" w:color="auto" w:fill="auto"/>
            <w:tcMar>
              <w:top w:w="40" w:type="dxa"/>
              <w:left w:w="40" w:type="dxa"/>
              <w:bottom w:w="40" w:type="dxa"/>
              <w:right w:w="40" w:type="dxa"/>
            </w:tcMar>
            <w:vAlign w:val="bottom"/>
          </w:tcPr>
          <w:p w14:paraId="4ACE680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80B"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4ACE680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ACE680D" w14:textId="77777777" w:rsidR="006F587A" w:rsidRDefault="007B2B61">
            <w:pPr>
              <w:jc w:val="right"/>
              <w:textAlignment w:val="top"/>
              <w:rPr>
                <w:rFonts w:ascii="Times New Roman" w:hAnsi="Times New Roman"/>
                <w:sz w:val="20"/>
                <w:szCs w:val="20"/>
              </w:rPr>
            </w:pPr>
            <w:r>
              <w:rPr>
                <w:rFonts w:ascii="Arial" w:eastAsia="宋体" w:hAnsi="Arial" w:cs="Arial"/>
                <w:color w:val="333333"/>
                <w:sz w:val="20"/>
                <w:szCs w:val="20"/>
              </w:rPr>
              <w:t>10.2</w:t>
            </w:r>
          </w:p>
        </w:tc>
        <w:tc>
          <w:tcPr>
            <w:tcW w:w="0" w:type="auto"/>
            <w:shd w:val="clear" w:color="auto" w:fill="auto"/>
            <w:vAlign w:val="bottom"/>
          </w:tcPr>
          <w:p w14:paraId="4ACE680E"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80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810"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2/1/2019</w:t>
            </w:r>
          </w:p>
        </w:tc>
        <w:tc>
          <w:tcPr>
            <w:tcW w:w="0" w:type="auto"/>
            <w:shd w:val="clear" w:color="auto" w:fill="auto"/>
            <w:tcMar>
              <w:top w:w="40" w:type="dxa"/>
              <w:left w:w="40" w:type="dxa"/>
              <w:bottom w:w="40" w:type="dxa"/>
              <w:right w:w="40" w:type="dxa"/>
            </w:tcMar>
            <w:vAlign w:val="bottom"/>
          </w:tcPr>
          <w:p w14:paraId="4ACE681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81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822" w14:textId="77777777">
        <w:tc>
          <w:tcPr>
            <w:tcW w:w="0" w:type="auto"/>
            <w:shd w:val="clear" w:color="auto" w:fill="auto"/>
            <w:tcMar>
              <w:top w:w="40" w:type="dxa"/>
              <w:left w:w="40" w:type="dxa"/>
              <w:bottom w:w="40" w:type="dxa"/>
              <w:right w:w="40" w:type="dxa"/>
            </w:tcMar>
          </w:tcPr>
          <w:p w14:paraId="4ACE6814"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10.3</w:t>
            </w:r>
            <w:r>
              <w:rPr>
                <w:rFonts w:ascii="Arial" w:eastAsia="宋体" w:hAnsi="Arial" w:cs="Arial"/>
                <w:color w:val="333333"/>
                <w:sz w:val="12"/>
                <w:szCs w:val="12"/>
              </w:rPr>
              <w:t>†</w:t>
            </w:r>
          </w:p>
        </w:tc>
        <w:tc>
          <w:tcPr>
            <w:tcW w:w="0" w:type="auto"/>
            <w:shd w:val="clear" w:color="auto" w:fill="auto"/>
            <w:tcMar>
              <w:top w:w="40" w:type="dxa"/>
              <w:left w:w="40" w:type="dxa"/>
              <w:bottom w:w="40" w:type="dxa"/>
              <w:right w:w="40" w:type="dxa"/>
            </w:tcMar>
            <w:vAlign w:val="bottom"/>
          </w:tcPr>
          <w:p w14:paraId="4ACE681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816" w14:textId="77777777" w:rsidR="006F587A" w:rsidRDefault="007B2B61">
            <w:pPr>
              <w:textAlignment w:val="top"/>
              <w:rPr>
                <w:rFonts w:ascii="Times New Roman" w:hAnsi="Times New Roman"/>
                <w:sz w:val="18"/>
                <w:szCs w:val="18"/>
              </w:rPr>
            </w:pPr>
            <w:hyperlink r:id="rId220" w:history="1">
              <w:r>
                <w:rPr>
                  <w:rStyle w:val="a5"/>
                  <w:rFonts w:ascii="Arial" w:eastAsia="宋体" w:hAnsi="Arial" w:cs="Arial"/>
                  <w:sz w:val="18"/>
                  <w:szCs w:val="18"/>
                </w:rPr>
                <w:t>Intel Corporation 2014 Annual Performance Bonus Plan (amended and restated, effective January 1, 2014)</w:t>
              </w:r>
            </w:hyperlink>
          </w:p>
        </w:tc>
        <w:tc>
          <w:tcPr>
            <w:tcW w:w="0" w:type="auto"/>
            <w:shd w:val="clear" w:color="auto" w:fill="auto"/>
            <w:tcMar>
              <w:top w:w="40" w:type="dxa"/>
              <w:left w:w="40" w:type="dxa"/>
              <w:bottom w:w="40" w:type="dxa"/>
              <w:right w:w="40" w:type="dxa"/>
            </w:tcMar>
            <w:vAlign w:val="bottom"/>
          </w:tcPr>
          <w:p w14:paraId="4ACE681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818"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10-K</w:t>
            </w:r>
          </w:p>
        </w:tc>
        <w:tc>
          <w:tcPr>
            <w:tcW w:w="0" w:type="auto"/>
            <w:shd w:val="clear" w:color="auto" w:fill="auto"/>
            <w:tcMar>
              <w:top w:w="40" w:type="dxa"/>
              <w:left w:w="40" w:type="dxa"/>
              <w:bottom w:w="40" w:type="dxa"/>
              <w:right w:w="40" w:type="dxa"/>
            </w:tcMar>
            <w:vAlign w:val="bottom"/>
          </w:tcPr>
          <w:p w14:paraId="4ACE681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81A"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4ACE681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ACE681C"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10.9.2</w:t>
            </w:r>
          </w:p>
        </w:tc>
        <w:tc>
          <w:tcPr>
            <w:tcW w:w="0" w:type="auto"/>
            <w:shd w:val="clear" w:color="auto" w:fill="auto"/>
            <w:vAlign w:val="bottom"/>
          </w:tcPr>
          <w:p w14:paraId="4ACE681D"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81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81F"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2/14/2014</w:t>
            </w:r>
          </w:p>
        </w:tc>
        <w:tc>
          <w:tcPr>
            <w:tcW w:w="0" w:type="auto"/>
            <w:shd w:val="clear" w:color="auto" w:fill="auto"/>
            <w:tcMar>
              <w:top w:w="40" w:type="dxa"/>
              <w:left w:w="40" w:type="dxa"/>
              <w:bottom w:w="40" w:type="dxa"/>
              <w:right w:w="40" w:type="dxa"/>
            </w:tcMar>
            <w:vAlign w:val="bottom"/>
          </w:tcPr>
          <w:p w14:paraId="4ACE682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82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831" w14:textId="77777777">
        <w:tc>
          <w:tcPr>
            <w:tcW w:w="0" w:type="auto"/>
            <w:shd w:val="clear" w:color="auto" w:fill="auto"/>
            <w:tcMar>
              <w:top w:w="40" w:type="dxa"/>
              <w:left w:w="40" w:type="dxa"/>
              <w:bottom w:w="40" w:type="dxa"/>
              <w:right w:w="40" w:type="dxa"/>
            </w:tcMar>
          </w:tcPr>
          <w:p w14:paraId="4ACE6823"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10.4</w:t>
            </w:r>
            <w:r>
              <w:rPr>
                <w:rFonts w:ascii="Arial" w:eastAsia="宋体" w:hAnsi="Arial" w:cs="Arial"/>
                <w:color w:val="333333"/>
                <w:sz w:val="12"/>
                <w:szCs w:val="12"/>
              </w:rPr>
              <w:t>†</w:t>
            </w:r>
          </w:p>
        </w:tc>
        <w:tc>
          <w:tcPr>
            <w:tcW w:w="0" w:type="auto"/>
            <w:shd w:val="clear" w:color="auto" w:fill="auto"/>
            <w:tcMar>
              <w:top w:w="40" w:type="dxa"/>
              <w:left w:w="40" w:type="dxa"/>
              <w:bottom w:w="40" w:type="dxa"/>
              <w:right w:w="40" w:type="dxa"/>
            </w:tcMar>
            <w:vAlign w:val="bottom"/>
          </w:tcPr>
          <w:p w14:paraId="4ACE682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825" w14:textId="77777777" w:rsidR="006F587A" w:rsidRDefault="007B2B61">
            <w:pPr>
              <w:textAlignment w:val="top"/>
              <w:rPr>
                <w:rFonts w:ascii="Times New Roman" w:hAnsi="Times New Roman"/>
                <w:sz w:val="18"/>
                <w:szCs w:val="18"/>
              </w:rPr>
            </w:pPr>
            <w:hyperlink r:id="rId221" w:history="1">
              <w:r>
                <w:rPr>
                  <w:rStyle w:val="a5"/>
                  <w:rFonts w:ascii="Arial" w:eastAsia="宋体" w:hAnsi="Arial" w:cs="Arial"/>
                  <w:sz w:val="18"/>
                  <w:szCs w:val="18"/>
                </w:rPr>
                <w:t>Form of Indemnification Agreement with Directors and Executive Officers</w:t>
              </w:r>
            </w:hyperlink>
          </w:p>
        </w:tc>
        <w:tc>
          <w:tcPr>
            <w:tcW w:w="0" w:type="auto"/>
            <w:shd w:val="clear" w:color="auto" w:fill="auto"/>
            <w:tcMar>
              <w:top w:w="40" w:type="dxa"/>
              <w:left w:w="40" w:type="dxa"/>
              <w:bottom w:w="40" w:type="dxa"/>
              <w:right w:w="40" w:type="dxa"/>
            </w:tcMar>
            <w:vAlign w:val="bottom"/>
          </w:tcPr>
          <w:p w14:paraId="4ACE682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827"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10-K</w:t>
            </w:r>
          </w:p>
        </w:tc>
        <w:tc>
          <w:tcPr>
            <w:tcW w:w="0" w:type="auto"/>
            <w:shd w:val="clear" w:color="auto" w:fill="auto"/>
            <w:tcMar>
              <w:top w:w="40" w:type="dxa"/>
              <w:left w:w="40" w:type="dxa"/>
              <w:bottom w:w="40" w:type="dxa"/>
              <w:right w:w="40" w:type="dxa"/>
            </w:tcMar>
            <w:vAlign w:val="bottom"/>
          </w:tcPr>
          <w:p w14:paraId="4ACE682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829"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4ACE682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ACE682B"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10.15</w:t>
            </w:r>
          </w:p>
        </w:tc>
        <w:tc>
          <w:tcPr>
            <w:tcW w:w="0" w:type="auto"/>
            <w:shd w:val="clear" w:color="auto" w:fill="auto"/>
            <w:vAlign w:val="bottom"/>
          </w:tcPr>
          <w:p w14:paraId="4ACE682C"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82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82E"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2/22/2005</w:t>
            </w:r>
          </w:p>
        </w:tc>
        <w:tc>
          <w:tcPr>
            <w:tcW w:w="0" w:type="auto"/>
            <w:shd w:val="clear" w:color="auto" w:fill="auto"/>
            <w:tcMar>
              <w:top w:w="40" w:type="dxa"/>
              <w:left w:w="40" w:type="dxa"/>
              <w:bottom w:w="40" w:type="dxa"/>
              <w:right w:w="40" w:type="dxa"/>
            </w:tcMar>
            <w:vAlign w:val="bottom"/>
          </w:tcPr>
          <w:p w14:paraId="4ACE682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83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840" w14:textId="77777777">
        <w:tc>
          <w:tcPr>
            <w:tcW w:w="0" w:type="auto"/>
            <w:shd w:val="clear" w:color="auto" w:fill="auto"/>
            <w:tcMar>
              <w:top w:w="40" w:type="dxa"/>
              <w:left w:w="40" w:type="dxa"/>
              <w:bottom w:w="40" w:type="dxa"/>
              <w:right w:w="40" w:type="dxa"/>
            </w:tcMar>
          </w:tcPr>
          <w:p w14:paraId="4ACE6832"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lastRenderedPageBreak/>
              <w:t>10.5</w:t>
            </w:r>
            <w:r>
              <w:rPr>
                <w:rFonts w:ascii="Arial" w:eastAsia="宋体" w:hAnsi="Arial" w:cs="Arial"/>
                <w:color w:val="333333"/>
                <w:sz w:val="12"/>
                <w:szCs w:val="12"/>
              </w:rPr>
              <w:t>†</w:t>
            </w:r>
          </w:p>
        </w:tc>
        <w:tc>
          <w:tcPr>
            <w:tcW w:w="0" w:type="auto"/>
            <w:shd w:val="clear" w:color="auto" w:fill="auto"/>
            <w:tcMar>
              <w:top w:w="40" w:type="dxa"/>
              <w:left w:w="40" w:type="dxa"/>
              <w:bottom w:w="40" w:type="dxa"/>
              <w:right w:w="40" w:type="dxa"/>
            </w:tcMar>
            <w:vAlign w:val="bottom"/>
          </w:tcPr>
          <w:p w14:paraId="4ACE683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834" w14:textId="77777777" w:rsidR="006F587A" w:rsidRDefault="007B2B61">
            <w:pPr>
              <w:textAlignment w:val="top"/>
              <w:rPr>
                <w:rFonts w:ascii="Times New Roman" w:hAnsi="Times New Roman"/>
                <w:sz w:val="18"/>
                <w:szCs w:val="18"/>
              </w:rPr>
            </w:pPr>
            <w:hyperlink r:id="rId222" w:history="1">
              <w:r>
                <w:rPr>
                  <w:rStyle w:val="a5"/>
                  <w:rFonts w:ascii="Arial" w:eastAsia="宋体" w:hAnsi="Arial" w:cs="Arial"/>
                  <w:sz w:val="18"/>
                  <w:szCs w:val="18"/>
                </w:rPr>
                <w:t>Form of Indemnification Agreement with Directors and Executive Officers (for Directors and Executive Officers who joined Intel after July 1, 2016)</w:t>
              </w:r>
            </w:hyperlink>
          </w:p>
        </w:tc>
        <w:tc>
          <w:tcPr>
            <w:tcW w:w="0" w:type="auto"/>
            <w:shd w:val="clear" w:color="auto" w:fill="auto"/>
            <w:tcMar>
              <w:top w:w="40" w:type="dxa"/>
              <w:left w:w="40" w:type="dxa"/>
              <w:bottom w:w="40" w:type="dxa"/>
              <w:right w:w="40" w:type="dxa"/>
            </w:tcMar>
            <w:vAlign w:val="bottom"/>
          </w:tcPr>
          <w:p w14:paraId="4ACE683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836"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10-Q</w:t>
            </w:r>
          </w:p>
        </w:tc>
        <w:tc>
          <w:tcPr>
            <w:tcW w:w="0" w:type="auto"/>
            <w:shd w:val="clear" w:color="auto" w:fill="auto"/>
            <w:tcMar>
              <w:top w:w="40" w:type="dxa"/>
              <w:left w:w="40" w:type="dxa"/>
              <w:bottom w:w="40" w:type="dxa"/>
              <w:right w:w="40" w:type="dxa"/>
            </w:tcMar>
            <w:vAlign w:val="bottom"/>
          </w:tcPr>
          <w:p w14:paraId="4ACE683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838"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4ACE683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ACE683A"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10.2</w:t>
            </w:r>
          </w:p>
        </w:tc>
        <w:tc>
          <w:tcPr>
            <w:tcW w:w="0" w:type="auto"/>
            <w:shd w:val="clear" w:color="auto" w:fill="auto"/>
            <w:vAlign w:val="bottom"/>
          </w:tcPr>
          <w:p w14:paraId="4ACE683B"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83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83D"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10/31/2016</w:t>
            </w:r>
          </w:p>
        </w:tc>
        <w:tc>
          <w:tcPr>
            <w:tcW w:w="0" w:type="auto"/>
            <w:shd w:val="clear" w:color="auto" w:fill="auto"/>
            <w:tcMar>
              <w:top w:w="40" w:type="dxa"/>
              <w:left w:w="40" w:type="dxa"/>
              <w:bottom w:w="40" w:type="dxa"/>
              <w:right w:w="40" w:type="dxa"/>
            </w:tcMar>
            <w:vAlign w:val="bottom"/>
          </w:tcPr>
          <w:p w14:paraId="4ACE683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83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84F" w14:textId="77777777">
        <w:tc>
          <w:tcPr>
            <w:tcW w:w="0" w:type="auto"/>
            <w:shd w:val="clear" w:color="auto" w:fill="auto"/>
            <w:tcMar>
              <w:top w:w="40" w:type="dxa"/>
              <w:left w:w="40" w:type="dxa"/>
              <w:bottom w:w="40" w:type="dxa"/>
              <w:right w:w="40" w:type="dxa"/>
            </w:tcMar>
          </w:tcPr>
          <w:p w14:paraId="4ACE6841"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10.6</w:t>
            </w:r>
            <w:r>
              <w:rPr>
                <w:rFonts w:ascii="Arial" w:eastAsia="宋体" w:hAnsi="Arial" w:cs="Arial"/>
                <w:color w:val="333333"/>
                <w:sz w:val="12"/>
                <w:szCs w:val="12"/>
              </w:rPr>
              <w:t>†</w:t>
            </w:r>
          </w:p>
        </w:tc>
        <w:tc>
          <w:tcPr>
            <w:tcW w:w="0" w:type="auto"/>
            <w:shd w:val="clear" w:color="auto" w:fill="auto"/>
            <w:tcMar>
              <w:top w:w="40" w:type="dxa"/>
              <w:left w:w="40" w:type="dxa"/>
              <w:bottom w:w="40" w:type="dxa"/>
              <w:right w:w="40" w:type="dxa"/>
            </w:tcMar>
            <w:vAlign w:val="bottom"/>
          </w:tcPr>
          <w:p w14:paraId="4ACE684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843" w14:textId="77777777" w:rsidR="006F587A" w:rsidRDefault="007B2B61">
            <w:pPr>
              <w:textAlignment w:val="top"/>
              <w:rPr>
                <w:rFonts w:ascii="Times New Roman" w:hAnsi="Times New Roman"/>
                <w:sz w:val="18"/>
                <w:szCs w:val="18"/>
              </w:rPr>
            </w:pPr>
            <w:hyperlink r:id="rId223" w:history="1">
              <w:r>
                <w:rPr>
                  <w:rStyle w:val="a5"/>
                  <w:rFonts w:ascii="Arial" w:eastAsia="宋体" w:hAnsi="Arial" w:cs="Arial"/>
                  <w:sz w:val="18"/>
                  <w:szCs w:val="18"/>
                </w:rPr>
                <w:t xml:space="preserve">Intel Corporation Sheltered Employee Retirement Plan Plus, as amended and restated, effective January 1, </w:t>
              </w:r>
              <w:r>
                <w:rPr>
                  <w:rStyle w:val="a5"/>
                  <w:rFonts w:ascii="Arial" w:eastAsia="宋体" w:hAnsi="Arial" w:cs="Arial"/>
                  <w:sz w:val="18"/>
                  <w:szCs w:val="18"/>
                </w:rPr>
                <w:t>2009</w:t>
              </w:r>
            </w:hyperlink>
          </w:p>
        </w:tc>
        <w:tc>
          <w:tcPr>
            <w:tcW w:w="0" w:type="auto"/>
            <w:shd w:val="clear" w:color="auto" w:fill="auto"/>
            <w:tcMar>
              <w:top w:w="40" w:type="dxa"/>
              <w:left w:w="40" w:type="dxa"/>
              <w:bottom w:w="40" w:type="dxa"/>
              <w:right w:w="40" w:type="dxa"/>
            </w:tcMar>
            <w:vAlign w:val="bottom"/>
          </w:tcPr>
          <w:p w14:paraId="4ACE684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845"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S-8</w:t>
            </w:r>
          </w:p>
        </w:tc>
        <w:tc>
          <w:tcPr>
            <w:tcW w:w="0" w:type="auto"/>
            <w:shd w:val="clear" w:color="auto" w:fill="auto"/>
            <w:tcMar>
              <w:top w:w="40" w:type="dxa"/>
              <w:left w:w="40" w:type="dxa"/>
              <w:bottom w:w="40" w:type="dxa"/>
              <w:right w:w="40" w:type="dxa"/>
            </w:tcMar>
            <w:vAlign w:val="bottom"/>
          </w:tcPr>
          <w:p w14:paraId="4ACE684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847"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333-172024</w:t>
            </w:r>
          </w:p>
        </w:tc>
        <w:tc>
          <w:tcPr>
            <w:tcW w:w="0" w:type="auto"/>
            <w:shd w:val="clear" w:color="auto" w:fill="auto"/>
            <w:tcMar>
              <w:top w:w="40" w:type="dxa"/>
              <w:left w:w="40" w:type="dxa"/>
              <w:bottom w:w="40" w:type="dxa"/>
              <w:right w:w="40" w:type="dxa"/>
            </w:tcMar>
            <w:vAlign w:val="bottom"/>
          </w:tcPr>
          <w:p w14:paraId="4ACE684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ACE6849"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99.1</w:t>
            </w:r>
          </w:p>
        </w:tc>
        <w:tc>
          <w:tcPr>
            <w:tcW w:w="0" w:type="auto"/>
            <w:shd w:val="clear" w:color="auto" w:fill="auto"/>
            <w:vAlign w:val="bottom"/>
          </w:tcPr>
          <w:p w14:paraId="4ACE684A"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84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84C"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2/2/2011</w:t>
            </w:r>
          </w:p>
        </w:tc>
        <w:tc>
          <w:tcPr>
            <w:tcW w:w="0" w:type="auto"/>
            <w:shd w:val="clear" w:color="auto" w:fill="auto"/>
            <w:tcMar>
              <w:top w:w="40" w:type="dxa"/>
              <w:left w:w="40" w:type="dxa"/>
              <w:bottom w:w="40" w:type="dxa"/>
              <w:right w:w="40" w:type="dxa"/>
            </w:tcMar>
            <w:vAlign w:val="bottom"/>
          </w:tcPr>
          <w:p w14:paraId="4ACE684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84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85E" w14:textId="77777777">
        <w:tc>
          <w:tcPr>
            <w:tcW w:w="0" w:type="auto"/>
            <w:shd w:val="clear" w:color="auto" w:fill="auto"/>
            <w:tcMar>
              <w:top w:w="40" w:type="dxa"/>
              <w:left w:w="40" w:type="dxa"/>
              <w:bottom w:w="40" w:type="dxa"/>
              <w:right w:w="40" w:type="dxa"/>
            </w:tcMar>
          </w:tcPr>
          <w:p w14:paraId="4ACE6850"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10.7</w:t>
            </w:r>
            <w:r>
              <w:rPr>
                <w:rFonts w:ascii="Arial" w:eastAsia="宋体" w:hAnsi="Arial" w:cs="Arial"/>
                <w:color w:val="333333"/>
                <w:sz w:val="12"/>
                <w:szCs w:val="12"/>
              </w:rPr>
              <w:t>†</w:t>
            </w:r>
          </w:p>
        </w:tc>
        <w:tc>
          <w:tcPr>
            <w:tcW w:w="0" w:type="auto"/>
            <w:shd w:val="clear" w:color="auto" w:fill="auto"/>
            <w:tcMar>
              <w:top w:w="40" w:type="dxa"/>
              <w:left w:w="40" w:type="dxa"/>
              <w:bottom w:w="40" w:type="dxa"/>
              <w:right w:w="40" w:type="dxa"/>
            </w:tcMar>
            <w:vAlign w:val="bottom"/>
          </w:tcPr>
          <w:p w14:paraId="4ACE685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852" w14:textId="77777777" w:rsidR="006F587A" w:rsidRDefault="007B2B61">
            <w:pPr>
              <w:textAlignment w:val="top"/>
              <w:rPr>
                <w:rFonts w:ascii="Times New Roman" w:hAnsi="Times New Roman"/>
                <w:sz w:val="18"/>
                <w:szCs w:val="18"/>
              </w:rPr>
            </w:pPr>
            <w:hyperlink r:id="rId224" w:history="1">
              <w:r>
                <w:rPr>
                  <w:rStyle w:val="a5"/>
                  <w:rFonts w:ascii="Arial" w:eastAsia="宋体" w:hAnsi="Arial" w:cs="Arial"/>
                  <w:sz w:val="18"/>
                  <w:szCs w:val="18"/>
                </w:rPr>
                <w:t>Intel Corporation 2006 Deferral Plan for Outside Directors, effective November 15, 2006</w:t>
              </w:r>
            </w:hyperlink>
          </w:p>
        </w:tc>
        <w:tc>
          <w:tcPr>
            <w:tcW w:w="0" w:type="auto"/>
            <w:shd w:val="clear" w:color="auto" w:fill="auto"/>
            <w:tcMar>
              <w:top w:w="40" w:type="dxa"/>
              <w:left w:w="40" w:type="dxa"/>
              <w:bottom w:w="40" w:type="dxa"/>
              <w:right w:w="40" w:type="dxa"/>
            </w:tcMar>
            <w:vAlign w:val="bottom"/>
          </w:tcPr>
          <w:p w14:paraId="4ACE685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854"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10-K</w:t>
            </w:r>
          </w:p>
        </w:tc>
        <w:tc>
          <w:tcPr>
            <w:tcW w:w="0" w:type="auto"/>
            <w:shd w:val="clear" w:color="auto" w:fill="auto"/>
            <w:tcMar>
              <w:top w:w="40" w:type="dxa"/>
              <w:left w:w="40" w:type="dxa"/>
              <w:bottom w:w="40" w:type="dxa"/>
              <w:right w:w="40" w:type="dxa"/>
            </w:tcMar>
            <w:vAlign w:val="bottom"/>
          </w:tcPr>
          <w:p w14:paraId="4ACE685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856"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4ACE685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ACE6858"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10.41</w:t>
            </w:r>
          </w:p>
        </w:tc>
        <w:tc>
          <w:tcPr>
            <w:tcW w:w="0" w:type="auto"/>
            <w:shd w:val="clear" w:color="auto" w:fill="auto"/>
            <w:vAlign w:val="bottom"/>
          </w:tcPr>
          <w:p w14:paraId="4ACE6859"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85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85B"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2/26/2007</w:t>
            </w:r>
          </w:p>
        </w:tc>
        <w:tc>
          <w:tcPr>
            <w:tcW w:w="0" w:type="auto"/>
            <w:shd w:val="clear" w:color="auto" w:fill="auto"/>
            <w:tcMar>
              <w:top w:w="40" w:type="dxa"/>
              <w:left w:w="40" w:type="dxa"/>
              <w:bottom w:w="40" w:type="dxa"/>
              <w:right w:w="40" w:type="dxa"/>
            </w:tcMar>
            <w:vAlign w:val="bottom"/>
          </w:tcPr>
          <w:p w14:paraId="4ACE685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85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86D" w14:textId="77777777">
        <w:tc>
          <w:tcPr>
            <w:tcW w:w="0" w:type="auto"/>
            <w:shd w:val="clear" w:color="auto" w:fill="auto"/>
            <w:tcMar>
              <w:top w:w="40" w:type="dxa"/>
              <w:left w:w="40" w:type="dxa"/>
              <w:bottom w:w="40" w:type="dxa"/>
              <w:right w:w="40" w:type="dxa"/>
            </w:tcMar>
          </w:tcPr>
          <w:p w14:paraId="4ACE685F"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10.8</w:t>
            </w:r>
          </w:p>
        </w:tc>
        <w:tc>
          <w:tcPr>
            <w:tcW w:w="0" w:type="auto"/>
            <w:shd w:val="clear" w:color="auto" w:fill="auto"/>
            <w:tcMar>
              <w:top w:w="40" w:type="dxa"/>
              <w:left w:w="40" w:type="dxa"/>
              <w:bottom w:w="40" w:type="dxa"/>
              <w:right w:w="40" w:type="dxa"/>
            </w:tcMar>
            <w:vAlign w:val="bottom"/>
          </w:tcPr>
          <w:p w14:paraId="4ACE686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861" w14:textId="77777777" w:rsidR="006F587A" w:rsidRDefault="007B2B61">
            <w:pPr>
              <w:textAlignment w:val="top"/>
              <w:rPr>
                <w:rFonts w:ascii="Times New Roman" w:hAnsi="Times New Roman"/>
                <w:sz w:val="18"/>
                <w:szCs w:val="18"/>
              </w:rPr>
            </w:pPr>
            <w:hyperlink r:id="rId225" w:history="1">
              <w:r>
                <w:rPr>
                  <w:rStyle w:val="a5"/>
                  <w:rFonts w:ascii="Arial" w:eastAsia="宋体" w:hAnsi="Arial" w:cs="Arial"/>
                  <w:sz w:val="18"/>
                  <w:szCs w:val="18"/>
                </w:rPr>
                <w:t>Settlement Agreement Between Advanced Micro Devices, Inc. and Intel Corporation, dated November 11, 2009</w:t>
              </w:r>
            </w:hyperlink>
          </w:p>
        </w:tc>
        <w:tc>
          <w:tcPr>
            <w:tcW w:w="0" w:type="auto"/>
            <w:shd w:val="clear" w:color="auto" w:fill="auto"/>
            <w:tcMar>
              <w:top w:w="40" w:type="dxa"/>
              <w:left w:w="40" w:type="dxa"/>
              <w:bottom w:w="40" w:type="dxa"/>
              <w:right w:w="40" w:type="dxa"/>
            </w:tcMar>
            <w:vAlign w:val="bottom"/>
          </w:tcPr>
          <w:p w14:paraId="4ACE686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863"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8-K</w:t>
            </w:r>
          </w:p>
        </w:tc>
        <w:tc>
          <w:tcPr>
            <w:tcW w:w="0" w:type="auto"/>
            <w:shd w:val="clear" w:color="auto" w:fill="auto"/>
            <w:tcMar>
              <w:top w:w="40" w:type="dxa"/>
              <w:left w:w="40" w:type="dxa"/>
              <w:bottom w:w="40" w:type="dxa"/>
              <w:right w:w="40" w:type="dxa"/>
            </w:tcMar>
            <w:vAlign w:val="bottom"/>
          </w:tcPr>
          <w:p w14:paraId="4ACE686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865"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4ACE686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ACE6867"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10.1</w:t>
            </w:r>
          </w:p>
        </w:tc>
        <w:tc>
          <w:tcPr>
            <w:tcW w:w="0" w:type="auto"/>
            <w:shd w:val="clear" w:color="auto" w:fill="auto"/>
            <w:vAlign w:val="bottom"/>
          </w:tcPr>
          <w:p w14:paraId="4ACE6868"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86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86A"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11/12/2009</w:t>
            </w:r>
          </w:p>
        </w:tc>
        <w:tc>
          <w:tcPr>
            <w:tcW w:w="0" w:type="auto"/>
            <w:shd w:val="clear" w:color="auto" w:fill="auto"/>
            <w:tcMar>
              <w:top w:w="40" w:type="dxa"/>
              <w:left w:w="40" w:type="dxa"/>
              <w:bottom w:w="40" w:type="dxa"/>
              <w:right w:w="40" w:type="dxa"/>
            </w:tcMar>
            <w:vAlign w:val="bottom"/>
          </w:tcPr>
          <w:p w14:paraId="4ACE686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86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87C" w14:textId="77777777">
        <w:tc>
          <w:tcPr>
            <w:tcW w:w="0" w:type="auto"/>
            <w:shd w:val="clear" w:color="auto" w:fill="auto"/>
            <w:tcMar>
              <w:top w:w="40" w:type="dxa"/>
              <w:left w:w="40" w:type="dxa"/>
              <w:bottom w:w="40" w:type="dxa"/>
              <w:right w:w="40" w:type="dxa"/>
            </w:tcMar>
          </w:tcPr>
          <w:p w14:paraId="4ACE686E"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10.9</w:t>
            </w:r>
            <w:r>
              <w:rPr>
                <w:rFonts w:ascii="Arial" w:eastAsia="宋体" w:hAnsi="Arial" w:cs="Arial"/>
                <w:color w:val="333333"/>
                <w:sz w:val="12"/>
                <w:szCs w:val="12"/>
              </w:rPr>
              <w:t>††</w:t>
            </w:r>
          </w:p>
        </w:tc>
        <w:tc>
          <w:tcPr>
            <w:tcW w:w="0" w:type="auto"/>
            <w:shd w:val="clear" w:color="auto" w:fill="auto"/>
            <w:tcMar>
              <w:top w:w="40" w:type="dxa"/>
              <w:left w:w="40" w:type="dxa"/>
              <w:bottom w:w="40" w:type="dxa"/>
              <w:right w:w="40" w:type="dxa"/>
            </w:tcMar>
            <w:vAlign w:val="bottom"/>
          </w:tcPr>
          <w:p w14:paraId="4ACE686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870" w14:textId="77777777" w:rsidR="006F587A" w:rsidRDefault="007B2B61">
            <w:pPr>
              <w:textAlignment w:val="top"/>
              <w:rPr>
                <w:rFonts w:ascii="Times New Roman" w:hAnsi="Times New Roman"/>
                <w:sz w:val="18"/>
                <w:szCs w:val="18"/>
              </w:rPr>
            </w:pPr>
            <w:hyperlink r:id="rId226" w:history="1">
              <w:r>
                <w:rPr>
                  <w:rStyle w:val="a5"/>
                  <w:rFonts w:ascii="Arial" w:eastAsia="宋体" w:hAnsi="Arial" w:cs="Arial"/>
                  <w:sz w:val="18"/>
                  <w:szCs w:val="18"/>
                </w:rPr>
                <w:t>Patent Cross License Agreement between NVIDIA Corporation and Intel Corporation, dated January 10, 2011</w:t>
              </w:r>
            </w:hyperlink>
          </w:p>
        </w:tc>
        <w:tc>
          <w:tcPr>
            <w:tcW w:w="0" w:type="auto"/>
            <w:shd w:val="clear" w:color="auto" w:fill="auto"/>
            <w:tcMar>
              <w:top w:w="40" w:type="dxa"/>
              <w:left w:w="40" w:type="dxa"/>
              <w:bottom w:w="40" w:type="dxa"/>
              <w:right w:w="40" w:type="dxa"/>
            </w:tcMar>
            <w:vAlign w:val="bottom"/>
          </w:tcPr>
          <w:p w14:paraId="4ACE687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872"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8-K</w:t>
            </w:r>
          </w:p>
        </w:tc>
        <w:tc>
          <w:tcPr>
            <w:tcW w:w="0" w:type="auto"/>
            <w:shd w:val="clear" w:color="auto" w:fill="auto"/>
            <w:tcMar>
              <w:top w:w="40" w:type="dxa"/>
              <w:left w:w="40" w:type="dxa"/>
              <w:bottom w:w="40" w:type="dxa"/>
              <w:right w:w="40" w:type="dxa"/>
            </w:tcMar>
            <w:vAlign w:val="bottom"/>
          </w:tcPr>
          <w:p w14:paraId="4ACE687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874"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4ACE687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ACE6876"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10.1</w:t>
            </w:r>
          </w:p>
        </w:tc>
        <w:tc>
          <w:tcPr>
            <w:tcW w:w="0" w:type="auto"/>
            <w:shd w:val="clear" w:color="auto" w:fill="auto"/>
            <w:vAlign w:val="bottom"/>
          </w:tcPr>
          <w:p w14:paraId="4ACE6877"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87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879"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1/10/2011</w:t>
            </w:r>
          </w:p>
        </w:tc>
        <w:tc>
          <w:tcPr>
            <w:tcW w:w="0" w:type="auto"/>
            <w:shd w:val="clear" w:color="auto" w:fill="auto"/>
            <w:tcMar>
              <w:top w:w="40" w:type="dxa"/>
              <w:left w:w="40" w:type="dxa"/>
              <w:bottom w:w="40" w:type="dxa"/>
              <w:right w:w="40" w:type="dxa"/>
            </w:tcMar>
            <w:vAlign w:val="bottom"/>
          </w:tcPr>
          <w:p w14:paraId="4ACE687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87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88B" w14:textId="77777777">
        <w:tc>
          <w:tcPr>
            <w:tcW w:w="0" w:type="auto"/>
            <w:shd w:val="clear" w:color="auto" w:fill="auto"/>
            <w:tcMar>
              <w:top w:w="40" w:type="dxa"/>
              <w:left w:w="40" w:type="dxa"/>
              <w:bottom w:w="40" w:type="dxa"/>
              <w:right w:w="40" w:type="dxa"/>
            </w:tcMar>
          </w:tcPr>
          <w:p w14:paraId="4ACE687D"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10.10</w:t>
            </w:r>
            <w:r>
              <w:rPr>
                <w:rFonts w:ascii="Arial" w:eastAsia="宋体" w:hAnsi="Arial" w:cs="Arial"/>
                <w:color w:val="333333"/>
                <w:sz w:val="12"/>
                <w:szCs w:val="12"/>
              </w:rPr>
              <w:t>†</w:t>
            </w:r>
          </w:p>
        </w:tc>
        <w:tc>
          <w:tcPr>
            <w:tcW w:w="0" w:type="auto"/>
            <w:shd w:val="clear" w:color="auto" w:fill="auto"/>
            <w:tcMar>
              <w:top w:w="40" w:type="dxa"/>
              <w:left w:w="40" w:type="dxa"/>
              <w:bottom w:w="40" w:type="dxa"/>
              <w:right w:w="40" w:type="dxa"/>
            </w:tcMar>
            <w:vAlign w:val="bottom"/>
          </w:tcPr>
          <w:p w14:paraId="4ACE687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87F" w14:textId="77777777" w:rsidR="006F587A" w:rsidRDefault="007B2B61">
            <w:pPr>
              <w:textAlignment w:val="top"/>
              <w:rPr>
                <w:rFonts w:ascii="Times New Roman" w:hAnsi="Times New Roman"/>
                <w:sz w:val="18"/>
                <w:szCs w:val="18"/>
              </w:rPr>
            </w:pPr>
            <w:hyperlink r:id="rId227" w:history="1">
              <w:r>
                <w:rPr>
                  <w:rStyle w:val="a5"/>
                  <w:rFonts w:ascii="Arial" w:eastAsia="宋体" w:hAnsi="Arial" w:cs="Arial"/>
                  <w:sz w:val="18"/>
                  <w:szCs w:val="18"/>
                </w:rPr>
                <w:t xml:space="preserve">Offer Letter by and between Intel Corporation and Dr. Venkata S.M. "Murthy" Renduchintala dated November 17, </w:t>
              </w:r>
              <w:r>
                <w:rPr>
                  <w:rStyle w:val="a5"/>
                  <w:rFonts w:ascii="Arial" w:eastAsia="宋体" w:hAnsi="Arial" w:cs="Arial"/>
                  <w:sz w:val="18"/>
                  <w:szCs w:val="18"/>
                </w:rPr>
                <w:t>2015</w:t>
              </w:r>
            </w:hyperlink>
          </w:p>
        </w:tc>
        <w:tc>
          <w:tcPr>
            <w:tcW w:w="0" w:type="auto"/>
            <w:shd w:val="clear" w:color="auto" w:fill="auto"/>
            <w:tcMar>
              <w:top w:w="40" w:type="dxa"/>
              <w:left w:w="40" w:type="dxa"/>
              <w:bottom w:w="40" w:type="dxa"/>
              <w:right w:w="40" w:type="dxa"/>
            </w:tcMar>
            <w:vAlign w:val="bottom"/>
          </w:tcPr>
          <w:p w14:paraId="4ACE688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881"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10-K</w:t>
            </w:r>
          </w:p>
        </w:tc>
        <w:tc>
          <w:tcPr>
            <w:tcW w:w="0" w:type="auto"/>
            <w:shd w:val="clear" w:color="auto" w:fill="auto"/>
            <w:tcMar>
              <w:top w:w="40" w:type="dxa"/>
              <w:left w:w="40" w:type="dxa"/>
              <w:bottom w:w="40" w:type="dxa"/>
              <w:right w:w="40" w:type="dxa"/>
            </w:tcMar>
            <w:vAlign w:val="bottom"/>
          </w:tcPr>
          <w:p w14:paraId="4ACE688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883"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4ACE688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ACE6885"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10.14</w:t>
            </w:r>
          </w:p>
        </w:tc>
        <w:tc>
          <w:tcPr>
            <w:tcW w:w="0" w:type="auto"/>
            <w:shd w:val="clear" w:color="auto" w:fill="auto"/>
            <w:vAlign w:val="bottom"/>
          </w:tcPr>
          <w:p w14:paraId="4ACE6886"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88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888"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2/12/2016</w:t>
            </w:r>
          </w:p>
        </w:tc>
        <w:tc>
          <w:tcPr>
            <w:tcW w:w="0" w:type="auto"/>
            <w:shd w:val="clear" w:color="auto" w:fill="auto"/>
            <w:tcMar>
              <w:top w:w="40" w:type="dxa"/>
              <w:left w:w="40" w:type="dxa"/>
              <w:bottom w:w="40" w:type="dxa"/>
              <w:right w:w="40" w:type="dxa"/>
            </w:tcMar>
            <w:vAlign w:val="bottom"/>
          </w:tcPr>
          <w:p w14:paraId="4ACE688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88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89A" w14:textId="77777777">
        <w:tc>
          <w:tcPr>
            <w:tcW w:w="0" w:type="auto"/>
            <w:shd w:val="clear" w:color="auto" w:fill="auto"/>
            <w:tcMar>
              <w:top w:w="40" w:type="dxa"/>
              <w:left w:w="40" w:type="dxa"/>
              <w:bottom w:w="40" w:type="dxa"/>
              <w:right w:w="40" w:type="dxa"/>
            </w:tcMar>
          </w:tcPr>
          <w:p w14:paraId="4ACE688C"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10.11</w:t>
            </w:r>
            <w:r>
              <w:rPr>
                <w:rFonts w:ascii="Arial" w:eastAsia="宋体" w:hAnsi="Arial" w:cs="Arial"/>
                <w:color w:val="333333"/>
                <w:sz w:val="12"/>
                <w:szCs w:val="12"/>
              </w:rPr>
              <w:t>†</w:t>
            </w:r>
          </w:p>
        </w:tc>
        <w:tc>
          <w:tcPr>
            <w:tcW w:w="0" w:type="auto"/>
            <w:shd w:val="clear" w:color="auto" w:fill="auto"/>
            <w:tcMar>
              <w:top w:w="40" w:type="dxa"/>
              <w:left w:w="40" w:type="dxa"/>
              <w:bottom w:w="40" w:type="dxa"/>
              <w:right w:w="40" w:type="dxa"/>
            </w:tcMar>
            <w:vAlign w:val="bottom"/>
          </w:tcPr>
          <w:p w14:paraId="4ACE688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88E" w14:textId="77777777" w:rsidR="006F587A" w:rsidRDefault="007B2B61">
            <w:pPr>
              <w:textAlignment w:val="top"/>
              <w:rPr>
                <w:rFonts w:ascii="Times New Roman" w:hAnsi="Times New Roman"/>
                <w:sz w:val="18"/>
                <w:szCs w:val="18"/>
              </w:rPr>
            </w:pPr>
            <w:hyperlink r:id="rId228" w:history="1">
              <w:r>
                <w:rPr>
                  <w:rStyle w:val="a5"/>
                  <w:rFonts w:ascii="Arial" w:eastAsia="宋体" w:hAnsi="Arial" w:cs="Arial"/>
                  <w:sz w:val="18"/>
                  <w:szCs w:val="18"/>
                </w:rPr>
                <w:t>Offer Letter between Intel Corporation and Robert H. Swan, dated January 30, 2019</w:t>
              </w:r>
            </w:hyperlink>
          </w:p>
        </w:tc>
        <w:tc>
          <w:tcPr>
            <w:tcW w:w="0" w:type="auto"/>
            <w:shd w:val="clear" w:color="auto" w:fill="auto"/>
            <w:tcMar>
              <w:top w:w="40" w:type="dxa"/>
              <w:left w:w="40" w:type="dxa"/>
              <w:bottom w:w="40" w:type="dxa"/>
              <w:right w:w="40" w:type="dxa"/>
            </w:tcMar>
            <w:vAlign w:val="bottom"/>
          </w:tcPr>
          <w:p w14:paraId="4ACE688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890"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8-K</w:t>
            </w:r>
          </w:p>
        </w:tc>
        <w:tc>
          <w:tcPr>
            <w:tcW w:w="0" w:type="auto"/>
            <w:shd w:val="clear" w:color="auto" w:fill="auto"/>
            <w:tcMar>
              <w:top w:w="40" w:type="dxa"/>
              <w:left w:w="40" w:type="dxa"/>
              <w:bottom w:w="40" w:type="dxa"/>
              <w:right w:w="40" w:type="dxa"/>
            </w:tcMar>
            <w:vAlign w:val="bottom"/>
          </w:tcPr>
          <w:p w14:paraId="4ACE689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892"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4ACE689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ACE6894"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10.1</w:t>
            </w:r>
          </w:p>
        </w:tc>
        <w:tc>
          <w:tcPr>
            <w:tcW w:w="0" w:type="auto"/>
            <w:shd w:val="clear" w:color="auto" w:fill="auto"/>
            <w:vAlign w:val="bottom"/>
          </w:tcPr>
          <w:p w14:paraId="4ACE6895"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89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897"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1/31/2019</w:t>
            </w:r>
          </w:p>
        </w:tc>
        <w:tc>
          <w:tcPr>
            <w:tcW w:w="0" w:type="auto"/>
            <w:shd w:val="clear" w:color="auto" w:fill="auto"/>
            <w:tcMar>
              <w:top w:w="40" w:type="dxa"/>
              <w:left w:w="40" w:type="dxa"/>
              <w:bottom w:w="40" w:type="dxa"/>
              <w:right w:w="40" w:type="dxa"/>
            </w:tcMar>
            <w:vAlign w:val="bottom"/>
          </w:tcPr>
          <w:p w14:paraId="4ACE689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89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8A9" w14:textId="77777777">
        <w:tc>
          <w:tcPr>
            <w:tcW w:w="0" w:type="auto"/>
            <w:shd w:val="clear" w:color="auto" w:fill="auto"/>
            <w:tcMar>
              <w:top w:w="40" w:type="dxa"/>
              <w:left w:w="40" w:type="dxa"/>
              <w:bottom w:w="40" w:type="dxa"/>
              <w:right w:w="40" w:type="dxa"/>
            </w:tcMar>
          </w:tcPr>
          <w:p w14:paraId="4ACE689B"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10.12</w:t>
            </w:r>
            <w:r>
              <w:rPr>
                <w:rFonts w:ascii="Arial" w:eastAsia="宋体" w:hAnsi="Arial" w:cs="Arial"/>
                <w:color w:val="333333"/>
                <w:sz w:val="12"/>
                <w:szCs w:val="12"/>
              </w:rPr>
              <w:t>†</w:t>
            </w:r>
          </w:p>
        </w:tc>
        <w:tc>
          <w:tcPr>
            <w:tcW w:w="0" w:type="auto"/>
            <w:shd w:val="clear" w:color="auto" w:fill="auto"/>
            <w:tcMar>
              <w:top w:w="40" w:type="dxa"/>
              <w:left w:w="40" w:type="dxa"/>
              <w:bottom w:w="40" w:type="dxa"/>
              <w:right w:w="40" w:type="dxa"/>
            </w:tcMar>
            <w:vAlign w:val="bottom"/>
          </w:tcPr>
          <w:p w14:paraId="4ACE689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89D" w14:textId="77777777" w:rsidR="006F587A" w:rsidRDefault="007B2B61">
            <w:pPr>
              <w:textAlignment w:val="bottom"/>
              <w:rPr>
                <w:rFonts w:ascii="Times New Roman" w:hAnsi="Times New Roman"/>
                <w:sz w:val="18"/>
                <w:szCs w:val="18"/>
              </w:rPr>
            </w:pPr>
            <w:hyperlink r:id="rId229" w:history="1">
              <w:r>
                <w:rPr>
                  <w:rStyle w:val="a5"/>
                  <w:rFonts w:ascii="Arial" w:eastAsia="宋体" w:hAnsi="Arial" w:cs="Arial"/>
                  <w:sz w:val="18"/>
                  <w:szCs w:val="18"/>
                </w:rPr>
                <w:t>Offer Letter between Intel Corporation and George S. Davis, dated April 2, 2019</w:t>
              </w:r>
            </w:hyperlink>
          </w:p>
        </w:tc>
        <w:tc>
          <w:tcPr>
            <w:tcW w:w="0" w:type="auto"/>
            <w:shd w:val="clear" w:color="auto" w:fill="auto"/>
            <w:tcMar>
              <w:top w:w="40" w:type="dxa"/>
              <w:left w:w="40" w:type="dxa"/>
              <w:bottom w:w="40" w:type="dxa"/>
              <w:right w:w="40" w:type="dxa"/>
            </w:tcMar>
            <w:vAlign w:val="bottom"/>
          </w:tcPr>
          <w:p w14:paraId="4ACE689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89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8-K</w:t>
            </w:r>
          </w:p>
        </w:tc>
        <w:tc>
          <w:tcPr>
            <w:tcW w:w="0" w:type="auto"/>
            <w:shd w:val="clear" w:color="auto" w:fill="auto"/>
            <w:tcMar>
              <w:top w:w="40" w:type="dxa"/>
              <w:left w:w="40" w:type="dxa"/>
              <w:bottom w:w="40" w:type="dxa"/>
              <w:right w:w="40" w:type="dxa"/>
            </w:tcMar>
            <w:vAlign w:val="bottom"/>
          </w:tcPr>
          <w:p w14:paraId="4ACE68A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8A1"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4ACE68A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8A3"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10.1</w:t>
            </w:r>
          </w:p>
        </w:tc>
        <w:tc>
          <w:tcPr>
            <w:tcW w:w="0" w:type="auto"/>
            <w:shd w:val="clear" w:color="auto" w:fill="auto"/>
            <w:vAlign w:val="bottom"/>
          </w:tcPr>
          <w:p w14:paraId="4ACE68A4"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8A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8A6"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4/3/2019</w:t>
            </w:r>
          </w:p>
        </w:tc>
        <w:tc>
          <w:tcPr>
            <w:tcW w:w="0" w:type="auto"/>
            <w:shd w:val="clear" w:color="auto" w:fill="auto"/>
            <w:tcMar>
              <w:top w:w="40" w:type="dxa"/>
              <w:left w:w="40" w:type="dxa"/>
              <w:bottom w:w="40" w:type="dxa"/>
              <w:right w:w="40" w:type="dxa"/>
            </w:tcMar>
            <w:vAlign w:val="bottom"/>
          </w:tcPr>
          <w:p w14:paraId="4ACE68A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8A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8B8" w14:textId="77777777">
        <w:tc>
          <w:tcPr>
            <w:tcW w:w="0" w:type="auto"/>
            <w:shd w:val="clear" w:color="auto" w:fill="auto"/>
            <w:tcMar>
              <w:top w:w="40" w:type="dxa"/>
              <w:left w:w="40" w:type="dxa"/>
              <w:bottom w:w="40" w:type="dxa"/>
              <w:right w:w="40" w:type="dxa"/>
            </w:tcMar>
          </w:tcPr>
          <w:p w14:paraId="4ACE68AA"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10.13</w:t>
            </w:r>
            <w:r>
              <w:rPr>
                <w:rFonts w:ascii="Arial" w:eastAsia="宋体" w:hAnsi="Arial" w:cs="Arial"/>
                <w:color w:val="333333"/>
                <w:sz w:val="12"/>
                <w:szCs w:val="12"/>
              </w:rPr>
              <w:t>†</w:t>
            </w:r>
          </w:p>
        </w:tc>
        <w:tc>
          <w:tcPr>
            <w:tcW w:w="0" w:type="auto"/>
            <w:shd w:val="clear" w:color="auto" w:fill="auto"/>
            <w:tcMar>
              <w:top w:w="40" w:type="dxa"/>
              <w:left w:w="40" w:type="dxa"/>
              <w:bottom w:w="40" w:type="dxa"/>
              <w:right w:w="40" w:type="dxa"/>
            </w:tcMar>
            <w:vAlign w:val="bottom"/>
          </w:tcPr>
          <w:p w14:paraId="4ACE68A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8AC" w14:textId="77777777" w:rsidR="006F587A" w:rsidRDefault="007B2B61">
            <w:pPr>
              <w:textAlignment w:val="top"/>
              <w:rPr>
                <w:rFonts w:ascii="Times New Roman" w:hAnsi="Times New Roman"/>
                <w:sz w:val="18"/>
                <w:szCs w:val="18"/>
              </w:rPr>
            </w:pPr>
            <w:hyperlink r:id="rId230" w:history="1">
              <w:r>
                <w:rPr>
                  <w:rStyle w:val="a5"/>
                  <w:rFonts w:ascii="Arial" w:eastAsia="宋体" w:hAnsi="Arial" w:cs="Arial"/>
                  <w:sz w:val="18"/>
                  <w:szCs w:val="18"/>
                </w:rPr>
                <w:t>Retention Letter between Intel Corporation and Navin Shenoy dated December 12, 2017</w:t>
              </w:r>
            </w:hyperlink>
          </w:p>
        </w:tc>
        <w:tc>
          <w:tcPr>
            <w:tcW w:w="0" w:type="auto"/>
            <w:shd w:val="clear" w:color="auto" w:fill="auto"/>
            <w:tcMar>
              <w:top w:w="40" w:type="dxa"/>
              <w:left w:w="40" w:type="dxa"/>
              <w:bottom w:w="40" w:type="dxa"/>
              <w:right w:w="40" w:type="dxa"/>
            </w:tcMar>
            <w:vAlign w:val="bottom"/>
          </w:tcPr>
          <w:p w14:paraId="4ACE68A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8AE"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10-K</w:t>
            </w:r>
          </w:p>
        </w:tc>
        <w:tc>
          <w:tcPr>
            <w:tcW w:w="0" w:type="auto"/>
            <w:shd w:val="clear" w:color="auto" w:fill="auto"/>
            <w:tcMar>
              <w:top w:w="40" w:type="dxa"/>
              <w:left w:w="40" w:type="dxa"/>
              <w:bottom w:w="40" w:type="dxa"/>
              <w:right w:w="40" w:type="dxa"/>
            </w:tcMar>
            <w:vAlign w:val="bottom"/>
          </w:tcPr>
          <w:p w14:paraId="4ACE68A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8B0"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4ACE68B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ACE68B2"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10.13</w:t>
            </w:r>
          </w:p>
        </w:tc>
        <w:tc>
          <w:tcPr>
            <w:tcW w:w="0" w:type="auto"/>
            <w:shd w:val="clear" w:color="auto" w:fill="auto"/>
            <w:vAlign w:val="bottom"/>
          </w:tcPr>
          <w:p w14:paraId="4ACE68B3"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8B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8B5" w14:textId="77777777" w:rsidR="006F587A" w:rsidRDefault="007B2B61">
            <w:pPr>
              <w:jc w:val="right"/>
              <w:textAlignment w:val="top"/>
              <w:rPr>
                <w:rFonts w:ascii="Times New Roman" w:hAnsi="Times New Roman"/>
                <w:sz w:val="18"/>
                <w:szCs w:val="18"/>
              </w:rPr>
            </w:pPr>
            <w:r>
              <w:rPr>
                <w:rFonts w:ascii="Arial" w:eastAsia="宋体" w:hAnsi="Arial" w:cs="Arial"/>
                <w:color w:val="333333"/>
                <w:sz w:val="18"/>
                <w:szCs w:val="18"/>
              </w:rPr>
              <w:t>2/16/2018</w:t>
            </w:r>
          </w:p>
        </w:tc>
        <w:tc>
          <w:tcPr>
            <w:tcW w:w="0" w:type="auto"/>
            <w:shd w:val="clear" w:color="auto" w:fill="auto"/>
            <w:tcMar>
              <w:top w:w="40" w:type="dxa"/>
              <w:left w:w="40" w:type="dxa"/>
              <w:bottom w:w="40" w:type="dxa"/>
              <w:right w:w="40" w:type="dxa"/>
            </w:tcMar>
            <w:vAlign w:val="bottom"/>
          </w:tcPr>
          <w:p w14:paraId="4ACE68B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8B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8C7" w14:textId="77777777">
        <w:tc>
          <w:tcPr>
            <w:tcW w:w="0" w:type="auto"/>
            <w:shd w:val="clear" w:color="auto" w:fill="auto"/>
            <w:tcMar>
              <w:top w:w="40" w:type="dxa"/>
              <w:left w:w="40" w:type="dxa"/>
              <w:bottom w:w="40" w:type="dxa"/>
              <w:right w:w="40" w:type="dxa"/>
            </w:tcMar>
          </w:tcPr>
          <w:p w14:paraId="4ACE68B9"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10.14</w:t>
            </w:r>
            <w:r>
              <w:rPr>
                <w:rFonts w:ascii="Arial" w:eastAsia="宋体" w:hAnsi="Arial" w:cs="Arial"/>
                <w:color w:val="333333"/>
                <w:sz w:val="12"/>
                <w:szCs w:val="12"/>
              </w:rPr>
              <w:t>†</w:t>
            </w:r>
          </w:p>
        </w:tc>
        <w:tc>
          <w:tcPr>
            <w:tcW w:w="0" w:type="auto"/>
            <w:shd w:val="clear" w:color="auto" w:fill="auto"/>
            <w:tcMar>
              <w:top w:w="40" w:type="dxa"/>
              <w:left w:w="40" w:type="dxa"/>
              <w:bottom w:w="40" w:type="dxa"/>
              <w:right w:w="40" w:type="dxa"/>
            </w:tcMar>
            <w:vAlign w:val="bottom"/>
          </w:tcPr>
          <w:p w14:paraId="4ACE68B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8BB" w14:textId="77777777" w:rsidR="006F587A" w:rsidRDefault="007B2B61">
            <w:pPr>
              <w:textAlignment w:val="top"/>
              <w:rPr>
                <w:rFonts w:ascii="Times New Roman" w:hAnsi="Times New Roman"/>
                <w:sz w:val="18"/>
                <w:szCs w:val="18"/>
              </w:rPr>
            </w:pPr>
            <w:hyperlink r:id="rId231" w:history="1">
              <w:r>
                <w:rPr>
                  <w:rStyle w:val="a5"/>
                  <w:rFonts w:ascii="Arial" w:eastAsia="宋体" w:hAnsi="Arial" w:cs="Arial"/>
                  <w:sz w:val="18"/>
                  <w:szCs w:val="18"/>
                </w:rPr>
                <w:t>Lease Agreement between Intel Corporation and Steven R. Rodgers</w:t>
              </w:r>
            </w:hyperlink>
            <w:r>
              <w:rPr>
                <w:rFonts w:ascii="Arial" w:eastAsia="宋体" w:hAnsi="Arial" w:cs="Arial"/>
                <w:color w:val="0071C5"/>
                <w:sz w:val="12"/>
                <w:szCs w:val="12"/>
              </w:rPr>
              <w:t>††</w:t>
            </w:r>
          </w:p>
        </w:tc>
        <w:tc>
          <w:tcPr>
            <w:tcW w:w="0" w:type="auto"/>
            <w:shd w:val="clear" w:color="auto" w:fill="auto"/>
            <w:tcMar>
              <w:top w:w="40" w:type="dxa"/>
              <w:left w:w="40" w:type="dxa"/>
              <w:bottom w:w="40" w:type="dxa"/>
              <w:right w:w="40" w:type="dxa"/>
            </w:tcMar>
            <w:vAlign w:val="bottom"/>
          </w:tcPr>
          <w:p w14:paraId="4ACE68B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8BD"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10-Q</w:t>
            </w:r>
          </w:p>
        </w:tc>
        <w:tc>
          <w:tcPr>
            <w:tcW w:w="0" w:type="auto"/>
            <w:shd w:val="clear" w:color="auto" w:fill="auto"/>
            <w:tcMar>
              <w:top w:w="40" w:type="dxa"/>
              <w:left w:w="40" w:type="dxa"/>
              <w:bottom w:w="40" w:type="dxa"/>
              <w:right w:w="40" w:type="dxa"/>
            </w:tcMar>
            <w:vAlign w:val="bottom"/>
          </w:tcPr>
          <w:p w14:paraId="4ACE68B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8BF"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4ACE68C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ACE68C1"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10.12</w:t>
            </w:r>
          </w:p>
        </w:tc>
        <w:tc>
          <w:tcPr>
            <w:tcW w:w="0" w:type="auto"/>
            <w:shd w:val="clear" w:color="auto" w:fill="auto"/>
            <w:vAlign w:val="bottom"/>
          </w:tcPr>
          <w:p w14:paraId="4ACE68C2" w14:textId="77777777" w:rsidR="006F587A" w:rsidRDefault="006F587A">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ACE68C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8C4" w14:textId="77777777" w:rsidR="006F587A" w:rsidRDefault="007B2B61">
            <w:pPr>
              <w:jc w:val="right"/>
              <w:textAlignment w:val="bottom"/>
              <w:rPr>
                <w:rFonts w:ascii="Times New Roman" w:hAnsi="Times New Roman"/>
                <w:sz w:val="18"/>
                <w:szCs w:val="18"/>
              </w:rPr>
            </w:pPr>
            <w:r>
              <w:rPr>
                <w:rFonts w:ascii="Arial" w:eastAsia="宋体" w:hAnsi="Arial" w:cs="Arial"/>
                <w:color w:val="333333"/>
                <w:sz w:val="18"/>
                <w:szCs w:val="18"/>
              </w:rPr>
              <w:t>4/26/2019</w:t>
            </w:r>
          </w:p>
        </w:tc>
        <w:tc>
          <w:tcPr>
            <w:tcW w:w="0" w:type="auto"/>
            <w:shd w:val="clear" w:color="auto" w:fill="auto"/>
            <w:tcMar>
              <w:top w:w="40" w:type="dxa"/>
              <w:left w:w="40" w:type="dxa"/>
              <w:bottom w:w="40" w:type="dxa"/>
              <w:right w:w="40" w:type="dxa"/>
            </w:tcMar>
            <w:vAlign w:val="bottom"/>
          </w:tcPr>
          <w:p w14:paraId="4ACE68C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8C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8D5" w14:textId="77777777">
        <w:tc>
          <w:tcPr>
            <w:tcW w:w="0" w:type="auto"/>
            <w:shd w:val="clear" w:color="auto" w:fill="auto"/>
            <w:tcMar>
              <w:top w:w="40" w:type="dxa"/>
              <w:left w:w="40" w:type="dxa"/>
              <w:bottom w:w="40" w:type="dxa"/>
              <w:right w:w="40" w:type="dxa"/>
            </w:tcMar>
          </w:tcPr>
          <w:p w14:paraId="4ACE68C8"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21.1</w:t>
            </w:r>
          </w:p>
        </w:tc>
        <w:tc>
          <w:tcPr>
            <w:tcW w:w="0" w:type="auto"/>
            <w:shd w:val="clear" w:color="auto" w:fill="auto"/>
            <w:tcMar>
              <w:top w:w="40" w:type="dxa"/>
              <w:left w:w="40" w:type="dxa"/>
              <w:bottom w:w="40" w:type="dxa"/>
              <w:right w:w="40" w:type="dxa"/>
            </w:tcMar>
            <w:vAlign w:val="bottom"/>
          </w:tcPr>
          <w:p w14:paraId="4ACE68C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8CA" w14:textId="77777777" w:rsidR="006F587A" w:rsidRDefault="007B2B61">
            <w:pPr>
              <w:textAlignment w:val="top"/>
              <w:rPr>
                <w:rFonts w:ascii="Times New Roman" w:hAnsi="Times New Roman"/>
                <w:sz w:val="18"/>
                <w:szCs w:val="18"/>
              </w:rPr>
            </w:pPr>
            <w:hyperlink r:id="rId232" w:history="1">
              <w:r>
                <w:rPr>
                  <w:rStyle w:val="a5"/>
                  <w:rFonts w:ascii="Arial" w:eastAsia="宋体" w:hAnsi="Arial" w:cs="Arial"/>
                  <w:sz w:val="18"/>
                  <w:szCs w:val="18"/>
                </w:rPr>
                <w:t>Intel Corporation Subsidiaries</w:t>
              </w:r>
            </w:hyperlink>
          </w:p>
        </w:tc>
        <w:tc>
          <w:tcPr>
            <w:tcW w:w="0" w:type="auto"/>
            <w:shd w:val="clear" w:color="auto" w:fill="auto"/>
            <w:tcMar>
              <w:top w:w="40" w:type="dxa"/>
              <w:left w:w="40" w:type="dxa"/>
              <w:bottom w:w="40" w:type="dxa"/>
              <w:right w:w="40" w:type="dxa"/>
            </w:tcMar>
            <w:vAlign w:val="bottom"/>
          </w:tcPr>
          <w:p w14:paraId="4ACE68C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8C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8C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8C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8C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ACE68D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8D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8D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8D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8D4" w14:textId="77777777" w:rsidR="006F587A" w:rsidRDefault="007B2B61">
            <w:pPr>
              <w:jc w:val="center"/>
              <w:textAlignment w:val="top"/>
              <w:rPr>
                <w:rFonts w:ascii="Times New Roman" w:hAnsi="Times New Roman"/>
                <w:sz w:val="18"/>
                <w:szCs w:val="18"/>
              </w:rPr>
            </w:pPr>
            <w:r>
              <w:rPr>
                <w:rFonts w:ascii="Arial" w:eastAsia="宋体" w:hAnsi="Arial" w:cs="Arial"/>
                <w:color w:val="333333"/>
                <w:sz w:val="18"/>
                <w:szCs w:val="18"/>
              </w:rPr>
              <w:t>X</w:t>
            </w:r>
          </w:p>
        </w:tc>
      </w:tr>
      <w:tr w:rsidR="006F587A" w14:paraId="4ACE68E3" w14:textId="77777777">
        <w:tc>
          <w:tcPr>
            <w:tcW w:w="0" w:type="auto"/>
            <w:shd w:val="clear" w:color="auto" w:fill="auto"/>
            <w:tcMar>
              <w:top w:w="40" w:type="dxa"/>
              <w:left w:w="40" w:type="dxa"/>
              <w:bottom w:w="40" w:type="dxa"/>
              <w:right w:w="40" w:type="dxa"/>
            </w:tcMar>
          </w:tcPr>
          <w:p w14:paraId="4ACE68D6"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23.1</w:t>
            </w:r>
          </w:p>
        </w:tc>
        <w:tc>
          <w:tcPr>
            <w:tcW w:w="0" w:type="auto"/>
            <w:shd w:val="clear" w:color="auto" w:fill="auto"/>
            <w:tcMar>
              <w:top w:w="40" w:type="dxa"/>
              <w:left w:w="40" w:type="dxa"/>
              <w:bottom w:w="40" w:type="dxa"/>
              <w:right w:w="40" w:type="dxa"/>
            </w:tcMar>
            <w:vAlign w:val="bottom"/>
          </w:tcPr>
          <w:p w14:paraId="4ACE68D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8D8" w14:textId="77777777" w:rsidR="006F587A" w:rsidRDefault="007B2B61">
            <w:pPr>
              <w:textAlignment w:val="top"/>
              <w:rPr>
                <w:rFonts w:ascii="Times New Roman" w:hAnsi="Times New Roman"/>
                <w:sz w:val="18"/>
                <w:szCs w:val="18"/>
              </w:rPr>
            </w:pPr>
            <w:hyperlink r:id="rId233" w:history="1">
              <w:r>
                <w:rPr>
                  <w:rStyle w:val="a5"/>
                  <w:rFonts w:ascii="Arial" w:eastAsia="宋体" w:hAnsi="Arial" w:cs="Arial"/>
                  <w:sz w:val="18"/>
                  <w:szCs w:val="18"/>
                </w:rPr>
                <w:t>Consent of Ernst &amp; Young LLP, Independent Registered Public Accounting Firm</w:t>
              </w:r>
            </w:hyperlink>
          </w:p>
        </w:tc>
        <w:tc>
          <w:tcPr>
            <w:tcW w:w="0" w:type="auto"/>
            <w:shd w:val="clear" w:color="auto" w:fill="auto"/>
            <w:tcMar>
              <w:top w:w="40" w:type="dxa"/>
              <w:left w:w="40" w:type="dxa"/>
              <w:bottom w:w="40" w:type="dxa"/>
              <w:right w:w="40" w:type="dxa"/>
            </w:tcMar>
            <w:vAlign w:val="bottom"/>
          </w:tcPr>
          <w:p w14:paraId="4ACE68D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8D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8D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8D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8D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ACE68D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8D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8E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8E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8E2" w14:textId="77777777" w:rsidR="006F587A" w:rsidRDefault="007B2B61">
            <w:pPr>
              <w:jc w:val="center"/>
              <w:textAlignment w:val="top"/>
              <w:rPr>
                <w:rFonts w:ascii="Times New Roman" w:hAnsi="Times New Roman"/>
                <w:sz w:val="18"/>
                <w:szCs w:val="18"/>
              </w:rPr>
            </w:pPr>
            <w:r>
              <w:rPr>
                <w:rFonts w:ascii="Arial" w:eastAsia="宋体" w:hAnsi="Arial" w:cs="Arial"/>
                <w:color w:val="333333"/>
                <w:sz w:val="18"/>
                <w:szCs w:val="18"/>
              </w:rPr>
              <w:t>X</w:t>
            </w:r>
          </w:p>
        </w:tc>
      </w:tr>
    </w:tbl>
    <w:p w14:paraId="4ACE68E4"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68E6" w14:textId="77777777">
        <w:tc>
          <w:tcPr>
            <w:tcW w:w="0" w:type="auto"/>
            <w:gridSpan w:val="3"/>
            <w:shd w:val="clear" w:color="auto" w:fill="auto"/>
            <w:vAlign w:val="center"/>
          </w:tcPr>
          <w:p w14:paraId="4ACE68E5" w14:textId="77777777" w:rsidR="006F587A" w:rsidRDefault="006F587A">
            <w:pPr>
              <w:rPr>
                <w:rFonts w:ascii="Times New Roman" w:hAnsi="Times New Roman"/>
                <w:sz w:val="20"/>
                <w:szCs w:val="20"/>
              </w:rPr>
            </w:pPr>
          </w:p>
        </w:tc>
      </w:tr>
      <w:tr w:rsidR="006F587A" w14:paraId="4ACE68EA" w14:textId="77777777">
        <w:tc>
          <w:tcPr>
            <w:tcW w:w="1300" w:type="pct"/>
            <w:shd w:val="clear" w:color="auto" w:fill="auto"/>
            <w:vAlign w:val="center"/>
          </w:tcPr>
          <w:p w14:paraId="4ACE68E7" w14:textId="77777777" w:rsidR="006F587A" w:rsidRDefault="006F587A">
            <w:pPr>
              <w:rPr>
                <w:rFonts w:ascii="Times New Roman" w:hAnsi="Times New Roman"/>
                <w:sz w:val="20"/>
                <w:szCs w:val="20"/>
              </w:rPr>
            </w:pPr>
          </w:p>
        </w:tc>
        <w:tc>
          <w:tcPr>
            <w:tcW w:w="1600" w:type="pct"/>
            <w:shd w:val="clear" w:color="auto" w:fill="auto"/>
            <w:vAlign w:val="center"/>
          </w:tcPr>
          <w:p w14:paraId="4ACE68E8" w14:textId="77777777" w:rsidR="006F587A" w:rsidRDefault="006F587A">
            <w:pPr>
              <w:rPr>
                <w:rFonts w:ascii="Times New Roman" w:hAnsi="Times New Roman"/>
                <w:sz w:val="20"/>
                <w:szCs w:val="20"/>
              </w:rPr>
            </w:pPr>
          </w:p>
        </w:tc>
        <w:tc>
          <w:tcPr>
            <w:tcW w:w="2100" w:type="pct"/>
            <w:shd w:val="clear" w:color="auto" w:fill="auto"/>
            <w:vAlign w:val="center"/>
          </w:tcPr>
          <w:p w14:paraId="4ACE68E9" w14:textId="77777777" w:rsidR="006F587A" w:rsidRDefault="006F587A">
            <w:pPr>
              <w:rPr>
                <w:rFonts w:ascii="Times New Roman" w:hAnsi="Times New Roman"/>
                <w:sz w:val="20"/>
                <w:szCs w:val="20"/>
              </w:rPr>
            </w:pPr>
          </w:p>
        </w:tc>
      </w:tr>
      <w:tr w:rsidR="006F587A" w14:paraId="4ACE68EE"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68EB" w14:textId="77777777" w:rsidR="006F587A" w:rsidRDefault="007B2B61">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E44" wp14:editId="4ACE6E45">
                  <wp:extent cx="304800" cy="304800"/>
                  <wp:effectExtent l="0" t="0" r="0" b="0"/>
                  <wp:docPr id="130" name="图片 370"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370"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SUPPLEMENTAL DETAILS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68E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68ED"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116</w:t>
            </w:r>
          </w:p>
        </w:tc>
      </w:tr>
    </w:tbl>
    <w:p w14:paraId="4ACE68EF" w14:textId="77777777" w:rsidR="006F587A" w:rsidRDefault="007B2B61">
      <w:r>
        <w:pict w14:anchorId="4ACE6E46">
          <v:rect id="_x0000_i1142" style="width:415.3pt;height:1.5pt" o:hralign="center" o:hrstd="t" o:hr="t" fillcolor="#a0a0a0" stroked="f"/>
        </w:pict>
      </w:r>
    </w:p>
    <w:p w14:paraId="4ACE68F0" w14:textId="77777777" w:rsidR="006F587A" w:rsidRDefault="007B2B61">
      <w:pPr>
        <w:spacing w:line="288" w:lineRule="auto"/>
        <w:jc w:val="right"/>
        <w:rPr>
          <w:rFonts w:ascii="Times New Roman" w:hAnsi="Times New Roman"/>
          <w:sz w:val="16"/>
          <w:szCs w:val="16"/>
        </w:rPr>
      </w:pPr>
      <w:hyperlink r:id="rId234" w:anchor="s9DB683E2CF52561EB8A73BE37F5BF9BE" w:history="1">
        <w:r>
          <w:rPr>
            <w:rStyle w:val="a5"/>
            <w:rFonts w:ascii="Arial" w:eastAsia="宋体" w:hAnsi="Arial" w:cs="Arial"/>
            <w:b/>
            <w:bCs/>
            <w:sz w:val="16"/>
            <w:szCs w:val="16"/>
          </w:rPr>
          <w:t>Table of Contents</w:t>
        </w:r>
      </w:hyperlink>
    </w:p>
    <w:p w14:paraId="4ACE68F1" w14:textId="77777777" w:rsidR="006F587A" w:rsidRDefault="006F587A">
      <w:pPr>
        <w:spacing w:line="288" w:lineRule="auto"/>
        <w:jc w:val="right"/>
        <w:rPr>
          <w:rFonts w:ascii="Times New Roman" w:hAnsi="Times New Roman"/>
          <w:sz w:val="16"/>
          <w:szCs w:val="16"/>
        </w:rPr>
      </w:pPr>
    </w:p>
    <w:p w14:paraId="4ACE68F2" w14:textId="77777777" w:rsidR="006F587A" w:rsidRDefault="006F587A">
      <w:pPr>
        <w:rPr>
          <w:rFonts w:ascii="Times New Roman" w:hAnsi="Times New Roman"/>
          <w:sz w:val="20"/>
          <w:szCs w:val="20"/>
        </w:rPr>
      </w:pPr>
    </w:p>
    <w:tbl>
      <w:tblPr>
        <w:tblW w:w="4991" w:type="pct"/>
        <w:tblCellMar>
          <w:left w:w="0" w:type="dxa"/>
          <w:right w:w="0" w:type="dxa"/>
        </w:tblCellMar>
        <w:tblLook w:val="04A0" w:firstRow="1" w:lastRow="0" w:firstColumn="1" w:lastColumn="0" w:noHBand="0" w:noVBand="1"/>
      </w:tblPr>
      <w:tblGrid>
        <w:gridCol w:w="811"/>
        <w:gridCol w:w="130"/>
        <w:gridCol w:w="2857"/>
        <w:gridCol w:w="130"/>
        <w:gridCol w:w="530"/>
        <w:gridCol w:w="130"/>
        <w:gridCol w:w="1121"/>
        <w:gridCol w:w="130"/>
        <w:gridCol w:w="584"/>
        <w:gridCol w:w="97"/>
        <w:gridCol w:w="130"/>
        <w:gridCol w:w="560"/>
        <w:gridCol w:w="130"/>
        <w:gridCol w:w="951"/>
      </w:tblGrid>
      <w:tr w:rsidR="006F587A" w14:paraId="4ACE68F4" w14:textId="77777777">
        <w:tc>
          <w:tcPr>
            <w:tcW w:w="0" w:type="auto"/>
            <w:gridSpan w:val="14"/>
            <w:shd w:val="clear" w:color="auto" w:fill="auto"/>
            <w:vAlign w:val="center"/>
          </w:tcPr>
          <w:p w14:paraId="4ACE68F3" w14:textId="77777777" w:rsidR="006F587A" w:rsidRDefault="006F587A">
            <w:pPr>
              <w:rPr>
                <w:rFonts w:ascii="Times New Roman" w:hAnsi="Times New Roman"/>
                <w:sz w:val="20"/>
                <w:szCs w:val="20"/>
              </w:rPr>
            </w:pPr>
          </w:p>
        </w:tc>
      </w:tr>
      <w:tr w:rsidR="006F587A" w14:paraId="4ACE6903" w14:textId="77777777">
        <w:tc>
          <w:tcPr>
            <w:tcW w:w="350" w:type="pct"/>
            <w:shd w:val="clear" w:color="auto" w:fill="auto"/>
            <w:vAlign w:val="center"/>
          </w:tcPr>
          <w:p w14:paraId="4ACE68F5" w14:textId="77777777" w:rsidR="006F587A" w:rsidRDefault="006F587A">
            <w:pPr>
              <w:rPr>
                <w:rFonts w:ascii="Times New Roman" w:hAnsi="Times New Roman"/>
                <w:sz w:val="20"/>
                <w:szCs w:val="20"/>
              </w:rPr>
            </w:pPr>
          </w:p>
        </w:tc>
        <w:tc>
          <w:tcPr>
            <w:tcW w:w="50" w:type="pct"/>
            <w:shd w:val="clear" w:color="auto" w:fill="auto"/>
            <w:vAlign w:val="center"/>
          </w:tcPr>
          <w:p w14:paraId="4ACE68F6" w14:textId="77777777" w:rsidR="006F587A" w:rsidRDefault="006F587A">
            <w:pPr>
              <w:rPr>
                <w:rFonts w:ascii="Times New Roman" w:hAnsi="Times New Roman"/>
                <w:sz w:val="20"/>
                <w:szCs w:val="20"/>
              </w:rPr>
            </w:pPr>
          </w:p>
        </w:tc>
        <w:tc>
          <w:tcPr>
            <w:tcW w:w="1950" w:type="pct"/>
            <w:shd w:val="clear" w:color="auto" w:fill="auto"/>
            <w:vAlign w:val="center"/>
          </w:tcPr>
          <w:p w14:paraId="4ACE68F7" w14:textId="77777777" w:rsidR="006F587A" w:rsidRDefault="006F587A">
            <w:pPr>
              <w:rPr>
                <w:rFonts w:ascii="Times New Roman" w:hAnsi="Times New Roman"/>
                <w:sz w:val="20"/>
                <w:szCs w:val="20"/>
              </w:rPr>
            </w:pPr>
          </w:p>
        </w:tc>
        <w:tc>
          <w:tcPr>
            <w:tcW w:w="50" w:type="pct"/>
            <w:shd w:val="clear" w:color="auto" w:fill="auto"/>
            <w:vAlign w:val="center"/>
          </w:tcPr>
          <w:p w14:paraId="4ACE68F8" w14:textId="77777777" w:rsidR="006F587A" w:rsidRDefault="006F587A">
            <w:pPr>
              <w:rPr>
                <w:rFonts w:ascii="Times New Roman" w:hAnsi="Times New Roman"/>
                <w:sz w:val="20"/>
                <w:szCs w:val="20"/>
              </w:rPr>
            </w:pPr>
          </w:p>
        </w:tc>
        <w:tc>
          <w:tcPr>
            <w:tcW w:w="350" w:type="pct"/>
            <w:shd w:val="clear" w:color="auto" w:fill="auto"/>
            <w:vAlign w:val="center"/>
          </w:tcPr>
          <w:p w14:paraId="4ACE68F9" w14:textId="77777777" w:rsidR="006F587A" w:rsidRDefault="006F587A">
            <w:pPr>
              <w:rPr>
                <w:rFonts w:ascii="Times New Roman" w:hAnsi="Times New Roman"/>
                <w:sz w:val="20"/>
                <w:szCs w:val="20"/>
              </w:rPr>
            </w:pPr>
          </w:p>
        </w:tc>
        <w:tc>
          <w:tcPr>
            <w:tcW w:w="50" w:type="pct"/>
            <w:shd w:val="clear" w:color="auto" w:fill="auto"/>
            <w:vAlign w:val="center"/>
          </w:tcPr>
          <w:p w14:paraId="4ACE68FA" w14:textId="77777777" w:rsidR="006F587A" w:rsidRDefault="006F587A">
            <w:pPr>
              <w:rPr>
                <w:rFonts w:ascii="Times New Roman" w:hAnsi="Times New Roman"/>
                <w:sz w:val="20"/>
                <w:szCs w:val="20"/>
              </w:rPr>
            </w:pPr>
          </w:p>
        </w:tc>
        <w:tc>
          <w:tcPr>
            <w:tcW w:w="650" w:type="pct"/>
            <w:shd w:val="clear" w:color="auto" w:fill="auto"/>
            <w:vAlign w:val="center"/>
          </w:tcPr>
          <w:p w14:paraId="4ACE68FB" w14:textId="77777777" w:rsidR="006F587A" w:rsidRDefault="006F587A">
            <w:pPr>
              <w:rPr>
                <w:rFonts w:ascii="Times New Roman" w:hAnsi="Times New Roman"/>
                <w:sz w:val="20"/>
                <w:szCs w:val="20"/>
              </w:rPr>
            </w:pPr>
          </w:p>
        </w:tc>
        <w:tc>
          <w:tcPr>
            <w:tcW w:w="50" w:type="pct"/>
            <w:shd w:val="clear" w:color="auto" w:fill="auto"/>
            <w:vAlign w:val="center"/>
          </w:tcPr>
          <w:p w14:paraId="4ACE68FC" w14:textId="77777777" w:rsidR="006F587A" w:rsidRDefault="006F587A">
            <w:pPr>
              <w:rPr>
                <w:rFonts w:ascii="Times New Roman" w:hAnsi="Times New Roman"/>
                <w:sz w:val="20"/>
                <w:szCs w:val="20"/>
              </w:rPr>
            </w:pPr>
          </w:p>
        </w:tc>
        <w:tc>
          <w:tcPr>
            <w:tcW w:w="300" w:type="pct"/>
            <w:shd w:val="clear" w:color="auto" w:fill="auto"/>
            <w:vAlign w:val="center"/>
          </w:tcPr>
          <w:p w14:paraId="4ACE68FD" w14:textId="77777777" w:rsidR="006F587A" w:rsidRDefault="006F587A">
            <w:pPr>
              <w:rPr>
                <w:rFonts w:ascii="Times New Roman" w:hAnsi="Times New Roman"/>
                <w:sz w:val="20"/>
                <w:szCs w:val="20"/>
              </w:rPr>
            </w:pPr>
          </w:p>
        </w:tc>
        <w:tc>
          <w:tcPr>
            <w:tcW w:w="50" w:type="pct"/>
            <w:shd w:val="clear" w:color="auto" w:fill="auto"/>
            <w:vAlign w:val="center"/>
          </w:tcPr>
          <w:p w14:paraId="4ACE68FE" w14:textId="77777777" w:rsidR="006F587A" w:rsidRDefault="006F587A">
            <w:pPr>
              <w:rPr>
                <w:rFonts w:ascii="Times New Roman" w:hAnsi="Times New Roman"/>
                <w:sz w:val="20"/>
                <w:szCs w:val="20"/>
              </w:rPr>
            </w:pPr>
          </w:p>
        </w:tc>
        <w:tc>
          <w:tcPr>
            <w:tcW w:w="50" w:type="pct"/>
            <w:shd w:val="clear" w:color="auto" w:fill="auto"/>
            <w:vAlign w:val="center"/>
          </w:tcPr>
          <w:p w14:paraId="4ACE68FF" w14:textId="77777777" w:rsidR="006F587A" w:rsidRDefault="006F587A">
            <w:pPr>
              <w:rPr>
                <w:rFonts w:ascii="Times New Roman" w:hAnsi="Times New Roman"/>
                <w:sz w:val="20"/>
                <w:szCs w:val="20"/>
              </w:rPr>
            </w:pPr>
          </w:p>
        </w:tc>
        <w:tc>
          <w:tcPr>
            <w:tcW w:w="500" w:type="pct"/>
            <w:shd w:val="clear" w:color="auto" w:fill="auto"/>
            <w:vAlign w:val="center"/>
          </w:tcPr>
          <w:p w14:paraId="4ACE6900" w14:textId="77777777" w:rsidR="006F587A" w:rsidRDefault="006F587A">
            <w:pPr>
              <w:rPr>
                <w:rFonts w:ascii="Times New Roman" w:hAnsi="Times New Roman"/>
                <w:sz w:val="20"/>
                <w:szCs w:val="20"/>
              </w:rPr>
            </w:pPr>
          </w:p>
        </w:tc>
        <w:tc>
          <w:tcPr>
            <w:tcW w:w="50" w:type="pct"/>
            <w:shd w:val="clear" w:color="auto" w:fill="auto"/>
            <w:vAlign w:val="center"/>
          </w:tcPr>
          <w:p w14:paraId="4ACE6901" w14:textId="77777777" w:rsidR="006F587A" w:rsidRDefault="006F587A">
            <w:pPr>
              <w:rPr>
                <w:rFonts w:ascii="Times New Roman" w:hAnsi="Times New Roman"/>
                <w:sz w:val="20"/>
                <w:szCs w:val="20"/>
              </w:rPr>
            </w:pPr>
          </w:p>
        </w:tc>
        <w:tc>
          <w:tcPr>
            <w:tcW w:w="550" w:type="pct"/>
            <w:shd w:val="clear" w:color="auto" w:fill="auto"/>
            <w:vAlign w:val="center"/>
          </w:tcPr>
          <w:p w14:paraId="4ACE6902" w14:textId="77777777" w:rsidR="006F587A" w:rsidRDefault="006F587A">
            <w:pPr>
              <w:rPr>
                <w:rFonts w:ascii="Times New Roman" w:hAnsi="Times New Roman"/>
                <w:sz w:val="20"/>
                <w:szCs w:val="20"/>
              </w:rPr>
            </w:pPr>
          </w:p>
        </w:tc>
      </w:tr>
      <w:tr w:rsidR="006F587A" w14:paraId="4ACE690E" w14:textId="77777777">
        <w:tc>
          <w:tcPr>
            <w:tcW w:w="0" w:type="auto"/>
            <w:vMerge w:val="restart"/>
            <w:tcBorders>
              <w:bottom w:val="single" w:sz="8" w:space="0" w:color="0071C5"/>
            </w:tcBorders>
            <w:shd w:val="clear" w:color="auto" w:fill="auto"/>
            <w:tcMar>
              <w:top w:w="40" w:type="dxa"/>
              <w:left w:w="40" w:type="dxa"/>
              <w:bottom w:w="40" w:type="dxa"/>
              <w:right w:w="40" w:type="dxa"/>
            </w:tcMar>
            <w:vAlign w:val="bottom"/>
          </w:tcPr>
          <w:p w14:paraId="4ACE6904"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lastRenderedPageBreak/>
              <w:t>Exhibit</w:t>
            </w:r>
          </w:p>
          <w:p w14:paraId="4ACE6905"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Number</w:t>
            </w:r>
          </w:p>
        </w:tc>
        <w:tc>
          <w:tcPr>
            <w:tcW w:w="0" w:type="auto"/>
            <w:vMerge w:val="restart"/>
            <w:shd w:val="clear" w:color="auto" w:fill="auto"/>
            <w:tcMar>
              <w:top w:w="40" w:type="dxa"/>
              <w:left w:w="40" w:type="dxa"/>
              <w:bottom w:w="40" w:type="dxa"/>
              <w:right w:w="40" w:type="dxa"/>
            </w:tcMar>
            <w:vAlign w:val="bottom"/>
          </w:tcPr>
          <w:p w14:paraId="4ACE690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0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0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8"/>
            <w:tcBorders>
              <w:bottom w:val="single" w:sz="8" w:space="0" w:color="0071C5"/>
            </w:tcBorders>
            <w:shd w:val="clear" w:color="auto" w:fill="auto"/>
            <w:tcMar>
              <w:top w:w="40" w:type="dxa"/>
              <w:left w:w="40" w:type="dxa"/>
              <w:bottom w:w="40" w:type="dxa"/>
              <w:right w:w="40" w:type="dxa"/>
            </w:tcMar>
            <w:vAlign w:val="bottom"/>
          </w:tcPr>
          <w:p w14:paraId="4ACE6909"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Incorporated by Reference</w:t>
            </w:r>
          </w:p>
        </w:tc>
        <w:tc>
          <w:tcPr>
            <w:tcW w:w="0" w:type="auto"/>
            <w:shd w:val="clear" w:color="auto" w:fill="auto"/>
            <w:tcMar>
              <w:top w:w="40" w:type="dxa"/>
              <w:left w:w="40" w:type="dxa"/>
              <w:bottom w:w="40" w:type="dxa"/>
              <w:right w:w="40" w:type="dxa"/>
            </w:tcMar>
            <w:vAlign w:val="bottom"/>
          </w:tcPr>
          <w:p w14:paraId="4ACE690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tcBorders>
              <w:bottom w:val="single" w:sz="8" w:space="0" w:color="0071C5"/>
            </w:tcBorders>
            <w:shd w:val="clear" w:color="auto" w:fill="auto"/>
            <w:tcMar>
              <w:top w:w="40" w:type="dxa"/>
              <w:left w:w="40" w:type="dxa"/>
              <w:bottom w:w="40" w:type="dxa"/>
              <w:right w:w="40" w:type="dxa"/>
            </w:tcMar>
            <w:vAlign w:val="bottom"/>
          </w:tcPr>
          <w:p w14:paraId="4ACE690B"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Filed or</w:t>
            </w:r>
          </w:p>
          <w:p w14:paraId="4ACE690C"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Furnished</w:t>
            </w:r>
          </w:p>
          <w:p w14:paraId="4ACE690D"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Herewith</w:t>
            </w:r>
          </w:p>
        </w:tc>
      </w:tr>
      <w:tr w:rsidR="006F587A" w14:paraId="4ACE691D" w14:textId="77777777">
        <w:tc>
          <w:tcPr>
            <w:tcW w:w="0" w:type="auto"/>
            <w:vMerge/>
            <w:tcBorders>
              <w:bottom w:val="single" w:sz="8" w:space="0" w:color="0071C5"/>
            </w:tcBorders>
            <w:shd w:val="clear" w:color="auto" w:fill="auto"/>
            <w:tcMar>
              <w:top w:w="40" w:type="dxa"/>
              <w:left w:w="40" w:type="dxa"/>
              <w:bottom w:w="40" w:type="dxa"/>
              <w:right w:w="40" w:type="dxa"/>
            </w:tcMar>
            <w:vAlign w:val="bottom"/>
          </w:tcPr>
          <w:p w14:paraId="4ACE690F" w14:textId="77777777" w:rsidR="006F587A" w:rsidRDefault="006F587A">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4ACE6910" w14:textId="77777777" w:rsidR="006F587A" w:rsidRDefault="006F587A">
            <w:pPr>
              <w:rPr>
                <w:rFonts w:ascii="Times New Roman" w:hAnsi="Times New Roman"/>
                <w:sz w:val="20"/>
                <w:szCs w:val="20"/>
              </w:rPr>
            </w:pPr>
          </w:p>
        </w:tc>
        <w:tc>
          <w:tcPr>
            <w:tcW w:w="0" w:type="auto"/>
            <w:tcBorders>
              <w:bottom w:val="single" w:sz="8" w:space="0" w:color="0071C5"/>
            </w:tcBorders>
            <w:shd w:val="clear" w:color="auto" w:fill="auto"/>
            <w:tcMar>
              <w:top w:w="40" w:type="dxa"/>
              <w:left w:w="40" w:type="dxa"/>
              <w:bottom w:w="40" w:type="dxa"/>
              <w:right w:w="40" w:type="dxa"/>
            </w:tcMar>
            <w:vAlign w:val="bottom"/>
          </w:tcPr>
          <w:p w14:paraId="4ACE6911"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Exhibit Description</w:t>
            </w:r>
          </w:p>
        </w:tc>
        <w:tc>
          <w:tcPr>
            <w:tcW w:w="0" w:type="auto"/>
            <w:shd w:val="clear" w:color="auto" w:fill="auto"/>
            <w:tcMar>
              <w:top w:w="40" w:type="dxa"/>
              <w:left w:w="40" w:type="dxa"/>
              <w:bottom w:w="40" w:type="dxa"/>
              <w:right w:w="40" w:type="dxa"/>
            </w:tcMar>
            <w:vAlign w:val="bottom"/>
          </w:tcPr>
          <w:p w14:paraId="4ACE691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71C5"/>
            </w:tcBorders>
            <w:shd w:val="clear" w:color="auto" w:fill="auto"/>
            <w:tcMar>
              <w:top w:w="40" w:type="dxa"/>
              <w:left w:w="40" w:type="dxa"/>
              <w:bottom w:w="40" w:type="dxa"/>
              <w:right w:w="40" w:type="dxa"/>
            </w:tcMar>
            <w:vAlign w:val="bottom"/>
          </w:tcPr>
          <w:p w14:paraId="4ACE6913"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Form</w:t>
            </w:r>
          </w:p>
        </w:tc>
        <w:tc>
          <w:tcPr>
            <w:tcW w:w="0" w:type="auto"/>
            <w:shd w:val="clear" w:color="auto" w:fill="auto"/>
            <w:tcMar>
              <w:top w:w="40" w:type="dxa"/>
              <w:left w:w="40" w:type="dxa"/>
              <w:bottom w:w="40" w:type="dxa"/>
              <w:right w:w="40" w:type="dxa"/>
            </w:tcMar>
            <w:vAlign w:val="bottom"/>
          </w:tcPr>
          <w:p w14:paraId="4ACE691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71C5"/>
            </w:tcBorders>
            <w:shd w:val="clear" w:color="auto" w:fill="auto"/>
            <w:tcMar>
              <w:top w:w="40" w:type="dxa"/>
              <w:left w:w="40" w:type="dxa"/>
              <w:bottom w:w="40" w:type="dxa"/>
              <w:right w:w="40" w:type="dxa"/>
            </w:tcMar>
            <w:vAlign w:val="bottom"/>
          </w:tcPr>
          <w:p w14:paraId="4ACE6915"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File Number</w:t>
            </w:r>
          </w:p>
        </w:tc>
        <w:tc>
          <w:tcPr>
            <w:tcW w:w="0" w:type="auto"/>
            <w:shd w:val="clear" w:color="auto" w:fill="auto"/>
            <w:tcMar>
              <w:top w:w="40" w:type="dxa"/>
              <w:left w:w="40" w:type="dxa"/>
              <w:bottom w:w="40" w:type="dxa"/>
              <w:right w:w="40" w:type="dxa"/>
            </w:tcMar>
            <w:vAlign w:val="bottom"/>
          </w:tcPr>
          <w:p w14:paraId="4ACE691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71C5"/>
            </w:tcBorders>
            <w:shd w:val="clear" w:color="auto" w:fill="auto"/>
            <w:tcMar>
              <w:top w:w="40" w:type="dxa"/>
              <w:left w:w="40" w:type="dxa"/>
              <w:bottom w:w="40" w:type="dxa"/>
              <w:right w:w="40" w:type="dxa"/>
            </w:tcMar>
            <w:vAlign w:val="bottom"/>
          </w:tcPr>
          <w:p w14:paraId="4ACE6917"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Exhibit</w:t>
            </w:r>
          </w:p>
        </w:tc>
        <w:tc>
          <w:tcPr>
            <w:tcW w:w="0" w:type="auto"/>
            <w:shd w:val="clear" w:color="auto" w:fill="auto"/>
            <w:tcMar>
              <w:top w:w="40" w:type="dxa"/>
              <w:left w:w="40" w:type="dxa"/>
              <w:bottom w:w="40" w:type="dxa"/>
              <w:right w:w="40" w:type="dxa"/>
            </w:tcMar>
            <w:vAlign w:val="bottom"/>
          </w:tcPr>
          <w:p w14:paraId="4ACE691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71C5"/>
            </w:tcBorders>
            <w:shd w:val="clear" w:color="auto" w:fill="auto"/>
            <w:tcMar>
              <w:top w:w="40" w:type="dxa"/>
              <w:left w:w="40" w:type="dxa"/>
              <w:bottom w:w="40" w:type="dxa"/>
              <w:right w:w="40" w:type="dxa"/>
            </w:tcMar>
            <w:vAlign w:val="bottom"/>
          </w:tcPr>
          <w:p w14:paraId="4ACE6919"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Filing</w:t>
            </w:r>
          </w:p>
          <w:p w14:paraId="4ACE691A" w14:textId="77777777" w:rsidR="006F587A" w:rsidRDefault="007B2B61">
            <w:pPr>
              <w:jc w:val="center"/>
              <w:textAlignment w:val="bottom"/>
              <w:rPr>
                <w:rFonts w:ascii="Times New Roman" w:hAnsi="Times New Roman"/>
                <w:sz w:val="18"/>
                <w:szCs w:val="18"/>
              </w:rPr>
            </w:pPr>
            <w:r>
              <w:rPr>
                <w:rFonts w:ascii="Arial" w:eastAsia="宋体" w:hAnsi="Arial" w:cs="Arial"/>
                <w:b/>
                <w:bCs/>
                <w:color w:val="333333"/>
                <w:sz w:val="18"/>
                <w:szCs w:val="18"/>
              </w:rPr>
              <w:t>Date</w:t>
            </w:r>
          </w:p>
        </w:tc>
        <w:tc>
          <w:tcPr>
            <w:tcW w:w="0" w:type="auto"/>
            <w:shd w:val="clear" w:color="auto" w:fill="auto"/>
            <w:tcMar>
              <w:top w:w="40" w:type="dxa"/>
              <w:left w:w="40" w:type="dxa"/>
              <w:bottom w:w="40" w:type="dxa"/>
              <w:right w:w="40" w:type="dxa"/>
            </w:tcMar>
            <w:vAlign w:val="bottom"/>
          </w:tcPr>
          <w:p w14:paraId="4ACE691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tcBorders>
              <w:bottom w:val="single" w:sz="8" w:space="0" w:color="0071C5"/>
            </w:tcBorders>
            <w:shd w:val="clear" w:color="auto" w:fill="auto"/>
            <w:tcMar>
              <w:top w:w="40" w:type="dxa"/>
              <w:left w:w="40" w:type="dxa"/>
              <w:bottom w:w="40" w:type="dxa"/>
              <w:right w:w="40" w:type="dxa"/>
            </w:tcMar>
            <w:vAlign w:val="bottom"/>
          </w:tcPr>
          <w:p w14:paraId="4ACE691C" w14:textId="77777777" w:rsidR="006F587A" w:rsidRDefault="006F587A">
            <w:pPr>
              <w:rPr>
                <w:rFonts w:ascii="Times New Roman" w:hAnsi="Times New Roman"/>
                <w:sz w:val="20"/>
                <w:szCs w:val="20"/>
              </w:rPr>
            </w:pPr>
          </w:p>
        </w:tc>
      </w:tr>
      <w:tr w:rsidR="006F587A" w14:paraId="4ACE692B" w14:textId="77777777">
        <w:tc>
          <w:tcPr>
            <w:tcW w:w="0" w:type="auto"/>
            <w:shd w:val="clear" w:color="auto" w:fill="auto"/>
            <w:tcMar>
              <w:top w:w="40" w:type="dxa"/>
              <w:left w:w="40" w:type="dxa"/>
              <w:bottom w:w="40" w:type="dxa"/>
              <w:right w:w="40" w:type="dxa"/>
            </w:tcMar>
          </w:tcPr>
          <w:p w14:paraId="4ACE691E"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31.1</w:t>
            </w:r>
          </w:p>
        </w:tc>
        <w:tc>
          <w:tcPr>
            <w:tcW w:w="0" w:type="auto"/>
            <w:shd w:val="clear" w:color="auto" w:fill="auto"/>
            <w:tcMar>
              <w:top w:w="40" w:type="dxa"/>
              <w:left w:w="40" w:type="dxa"/>
              <w:bottom w:w="40" w:type="dxa"/>
              <w:right w:w="40" w:type="dxa"/>
            </w:tcMar>
            <w:vAlign w:val="bottom"/>
          </w:tcPr>
          <w:p w14:paraId="4ACE691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920" w14:textId="77777777" w:rsidR="006F587A" w:rsidRDefault="007B2B61">
            <w:pPr>
              <w:textAlignment w:val="top"/>
              <w:rPr>
                <w:rFonts w:ascii="Times New Roman" w:hAnsi="Times New Roman"/>
                <w:sz w:val="18"/>
                <w:szCs w:val="18"/>
              </w:rPr>
            </w:pPr>
            <w:hyperlink r:id="rId235" w:history="1">
              <w:r>
                <w:rPr>
                  <w:rStyle w:val="a5"/>
                  <w:rFonts w:ascii="Arial" w:eastAsia="宋体" w:hAnsi="Arial" w:cs="Arial"/>
                  <w:sz w:val="18"/>
                  <w:szCs w:val="18"/>
                </w:rPr>
                <w:t>Certification of the Chief Executive Officer pursuant to Rule 13a-14(a) of the Exchange Act</w:t>
              </w:r>
            </w:hyperlink>
          </w:p>
        </w:tc>
        <w:tc>
          <w:tcPr>
            <w:tcW w:w="0" w:type="auto"/>
            <w:shd w:val="clear" w:color="auto" w:fill="auto"/>
            <w:tcMar>
              <w:top w:w="40" w:type="dxa"/>
              <w:left w:w="40" w:type="dxa"/>
              <w:bottom w:w="40" w:type="dxa"/>
              <w:right w:w="40" w:type="dxa"/>
            </w:tcMar>
            <w:vAlign w:val="bottom"/>
          </w:tcPr>
          <w:p w14:paraId="4ACE692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2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2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2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2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ACE692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2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2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2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92A" w14:textId="77777777" w:rsidR="006F587A" w:rsidRDefault="007B2B61">
            <w:pPr>
              <w:jc w:val="center"/>
              <w:textAlignment w:val="top"/>
              <w:rPr>
                <w:rFonts w:ascii="Times New Roman" w:hAnsi="Times New Roman"/>
                <w:sz w:val="18"/>
                <w:szCs w:val="18"/>
              </w:rPr>
            </w:pPr>
            <w:r>
              <w:rPr>
                <w:rFonts w:ascii="Arial" w:eastAsia="宋体" w:hAnsi="Arial" w:cs="Arial"/>
                <w:color w:val="333333"/>
                <w:sz w:val="18"/>
                <w:szCs w:val="18"/>
              </w:rPr>
              <w:t>X</w:t>
            </w:r>
          </w:p>
        </w:tc>
      </w:tr>
      <w:tr w:rsidR="006F587A" w14:paraId="4ACE6939" w14:textId="77777777">
        <w:tc>
          <w:tcPr>
            <w:tcW w:w="0" w:type="auto"/>
            <w:shd w:val="clear" w:color="auto" w:fill="auto"/>
            <w:tcMar>
              <w:top w:w="40" w:type="dxa"/>
              <w:left w:w="40" w:type="dxa"/>
              <w:bottom w:w="40" w:type="dxa"/>
              <w:right w:w="40" w:type="dxa"/>
            </w:tcMar>
          </w:tcPr>
          <w:p w14:paraId="4ACE692C"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31.2</w:t>
            </w:r>
          </w:p>
        </w:tc>
        <w:tc>
          <w:tcPr>
            <w:tcW w:w="0" w:type="auto"/>
            <w:shd w:val="clear" w:color="auto" w:fill="auto"/>
            <w:tcMar>
              <w:top w:w="40" w:type="dxa"/>
              <w:left w:w="40" w:type="dxa"/>
              <w:bottom w:w="40" w:type="dxa"/>
              <w:right w:w="40" w:type="dxa"/>
            </w:tcMar>
            <w:vAlign w:val="bottom"/>
          </w:tcPr>
          <w:p w14:paraId="4ACE692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92E" w14:textId="77777777" w:rsidR="006F587A" w:rsidRDefault="007B2B61">
            <w:pPr>
              <w:textAlignment w:val="top"/>
              <w:rPr>
                <w:rFonts w:ascii="Times New Roman" w:hAnsi="Times New Roman"/>
                <w:sz w:val="18"/>
                <w:szCs w:val="18"/>
              </w:rPr>
            </w:pPr>
            <w:hyperlink r:id="rId236" w:history="1">
              <w:r>
                <w:rPr>
                  <w:rStyle w:val="a5"/>
                  <w:rFonts w:ascii="Arial" w:eastAsia="宋体" w:hAnsi="Arial" w:cs="Arial"/>
                  <w:sz w:val="18"/>
                  <w:szCs w:val="18"/>
                </w:rPr>
                <w:t>Certification of interim Chief Financial Officer pursuant to Rule 13a-14(a) of the Exchange Act</w:t>
              </w:r>
            </w:hyperlink>
          </w:p>
        </w:tc>
        <w:tc>
          <w:tcPr>
            <w:tcW w:w="0" w:type="auto"/>
            <w:shd w:val="clear" w:color="auto" w:fill="auto"/>
            <w:tcMar>
              <w:top w:w="40" w:type="dxa"/>
              <w:left w:w="40" w:type="dxa"/>
              <w:bottom w:w="40" w:type="dxa"/>
              <w:right w:w="40" w:type="dxa"/>
            </w:tcMar>
            <w:vAlign w:val="bottom"/>
          </w:tcPr>
          <w:p w14:paraId="4ACE692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3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3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3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3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ACE693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3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3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3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938" w14:textId="77777777" w:rsidR="006F587A" w:rsidRDefault="007B2B61">
            <w:pPr>
              <w:jc w:val="center"/>
              <w:textAlignment w:val="top"/>
              <w:rPr>
                <w:rFonts w:ascii="Times New Roman" w:hAnsi="Times New Roman"/>
                <w:sz w:val="18"/>
                <w:szCs w:val="18"/>
              </w:rPr>
            </w:pPr>
            <w:r>
              <w:rPr>
                <w:rFonts w:ascii="Arial" w:eastAsia="宋体" w:hAnsi="Arial" w:cs="Arial"/>
                <w:color w:val="333333"/>
                <w:sz w:val="18"/>
                <w:szCs w:val="18"/>
              </w:rPr>
              <w:t>X</w:t>
            </w:r>
          </w:p>
        </w:tc>
      </w:tr>
      <w:tr w:rsidR="006F587A" w14:paraId="4ACE6947" w14:textId="77777777">
        <w:tc>
          <w:tcPr>
            <w:tcW w:w="0" w:type="auto"/>
            <w:shd w:val="clear" w:color="auto" w:fill="auto"/>
            <w:tcMar>
              <w:top w:w="40" w:type="dxa"/>
              <w:left w:w="40" w:type="dxa"/>
              <w:bottom w:w="40" w:type="dxa"/>
              <w:right w:w="40" w:type="dxa"/>
            </w:tcMar>
          </w:tcPr>
          <w:p w14:paraId="4ACE693A"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32.1</w:t>
            </w:r>
          </w:p>
        </w:tc>
        <w:tc>
          <w:tcPr>
            <w:tcW w:w="0" w:type="auto"/>
            <w:shd w:val="clear" w:color="auto" w:fill="auto"/>
            <w:tcMar>
              <w:top w:w="40" w:type="dxa"/>
              <w:left w:w="40" w:type="dxa"/>
              <w:bottom w:w="40" w:type="dxa"/>
              <w:right w:w="40" w:type="dxa"/>
            </w:tcMar>
            <w:vAlign w:val="bottom"/>
          </w:tcPr>
          <w:p w14:paraId="4ACE693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93C" w14:textId="77777777" w:rsidR="006F587A" w:rsidRDefault="007B2B61">
            <w:pPr>
              <w:textAlignment w:val="top"/>
              <w:rPr>
                <w:rFonts w:ascii="Times New Roman" w:hAnsi="Times New Roman"/>
                <w:sz w:val="18"/>
                <w:szCs w:val="18"/>
              </w:rPr>
            </w:pPr>
            <w:hyperlink r:id="rId237" w:history="1">
              <w:r>
                <w:rPr>
                  <w:rStyle w:val="a5"/>
                  <w:rFonts w:ascii="Arial" w:eastAsia="宋体" w:hAnsi="Arial" w:cs="Arial"/>
                  <w:sz w:val="18"/>
                  <w:szCs w:val="18"/>
                </w:rPr>
                <w:t>Certification of the Chief Executive Officer and interim Chief Financial Officer pursuant to Rule13a-14(b) of the Exchange Act and 18 U.S.C. Section 13</w:t>
              </w:r>
              <w:r>
                <w:rPr>
                  <w:rStyle w:val="a5"/>
                  <w:rFonts w:ascii="Arial" w:eastAsia="宋体" w:hAnsi="Arial" w:cs="Arial"/>
                  <w:sz w:val="18"/>
                  <w:szCs w:val="18"/>
                </w:rPr>
                <w:t>50</w:t>
              </w:r>
            </w:hyperlink>
          </w:p>
        </w:tc>
        <w:tc>
          <w:tcPr>
            <w:tcW w:w="0" w:type="auto"/>
            <w:shd w:val="clear" w:color="auto" w:fill="auto"/>
            <w:tcMar>
              <w:top w:w="40" w:type="dxa"/>
              <w:left w:w="40" w:type="dxa"/>
              <w:bottom w:w="40" w:type="dxa"/>
              <w:right w:w="40" w:type="dxa"/>
            </w:tcMar>
            <w:vAlign w:val="bottom"/>
          </w:tcPr>
          <w:p w14:paraId="4ACE693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3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3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4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4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ACE694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4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4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4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946" w14:textId="77777777" w:rsidR="006F587A" w:rsidRDefault="007B2B61">
            <w:pPr>
              <w:jc w:val="center"/>
              <w:textAlignment w:val="top"/>
              <w:rPr>
                <w:rFonts w:ascii="Times New Roman" w:hAnsi="Times New Roman"/>
                <w:sz w:val="18"/>
                <w:szCs w:val="18"/>
              </w:rPr>
            </w:pPr>
            <w:r>
              <w:rPr>
                <w:rFonts w:ascii="Arial" w:eastAsia="宋体" w:hAnsi="Arial" w:cs="Arial"/>
                <w:color w:val="333333"/>
                <w:sz w:val="18"/>
                <w:szCs w:val="18"/>
              </w:rPr>
              <w:t>X</w:t>
            </w:r>
          </w:p>
        </w:tc>
      </w:tr>
      <w:tr w:rsidR="006F587A" w14:paraId="4ACE6955" w14:textId="77777777">
        <w:tc>
          <w:tcPr>
            <w:tcW w:w="0" w:type="auto"/>
            <w:shd w:val="clear" w:color="auto" w:fill="auto"/>
            <w:tcMar>
              <w:top w:w="40" w:type="dxa"/>
              <w:left w:w="40" w:type="dxa"/>
              <w:bottom w:w="40" w:type="dxa"/>
              <w:right w:w="40" w:type="dxa"/>
            </w:tcMar>
          </w:tcPr>
          <w:p w14:paraId="4ACE6948"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99.1</w:t>
            </w:r>
          </w:p>
        </w:tc>
        <w:tc>
          <w:tcPr>
            <w:tcW w:w="0" w:type="auto"/>
            <w:shd w:val="clear" w:color="auto" w:fill="auto"/>
            <w:tcMar>
              <w:top w:w="40" w:type="dxa"/>
              <w:left w:w="40" w:type="dxa"/>
              <w:bottom w:w="40" w:type="dxa"/>
              <w:right w:w="40" w:type="dxa"/>
            </w:tcMar>
            <w:vAlign w:val="bottom"/>
          </w:tcPr>
          <w:p w14:paraId="4ACE694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94A" w14:textId="77777777" w:rsidR="006F587A" w:rsidRDefault="007B2B61">
            <w:pPr>
              <w:textAlignment w:val="top"/>
              <w:rPr>
                <w:rFonts w:ascii="Times New Roman" w:hAnsi="Times New Roman"/>
                <w:sz w:val="18"/>
                <w:szCs w:val="18"/>
              </w:rPr>
            </w:pPr>
            <w:hyperlink r:id="rId238" w:history="1">
              <w:r>
                <w:rPr>
                  <w:rStyle w:val="a5"/>
                  <w:rFonts w:ascii="Arial" w:eastAsia="宋体" w:hAnsi="Arial" w:cs="Arial"/>
                  <w:sz w:val="18"/>
                  <w:szCs w:val="18"/>
                </w:rPr>
                <w:t>Supplement to Present Required Information in Searchable Format</w:t>
              </w:r>
            </w:hyperlink>
          </w:p>
        </w:tc>
        <w:tc>
          <w:tcPr>
            <w:tcW w:w="0" w:type="auto"/>
            <w:shd w:val="clear" w:color="auto" w:fill="auto"/>
            <w:tcMar>
              <w:top w:w="40" w:type="dxa"/>
              <w:left w:w="40" w:type="dxa"/>
              <w:bottom w:w="40" w:type="dxa"/>
              <w:right w:w="40" w:type="dxa"/>
            </w:tcMar>
            <w:vAlign w:val="bottom"/>
          </w:tcPr>
          <w:p w14:paraId="4ACE694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4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4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4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4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ACE695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5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5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5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954" w14:textId="77777777" w:rsidR="006F587A" w:rsidRDefault="007B2B61">
            <w:pPr>
              <w:jc w:val="center"/>
              <w:textAlignment w:val="top"/>
              <w:rPr>
                <w:rFonts w:ascii="Times New Roman" w:hAnsi="Times New Roman"/>
                <w:sz w:val="18"/>
                <w:szCs w:val="18"/>
              </w:rPr>
            </w:pPr>
            <w:r>
              <w:rPr>
                <w:rFonts w:ascii="Arial" w:eastAsia="宋体" w:hAnsi="Arial" w:cs="Arial"/>
                <w:color w:val="333333"/>
                <w:sz w:val="18"/>
                <w:szCs w:val="18"/>
              </w:rPr>
              <w:t>X</w:t>
            </w:r>
          </w:p>
        </w:tc>
      </w:tr>
      <w:tr w:rsidR="006F587A" w14:paraId="4ACE6963" w14:textId="77777777">
        <w:tc>
          <w:tcPr>
            <w:tcW w:w="0" w:type="auto"/>
            <w:shd w:val="clear" w:color="auto" w:fill="auto"/>
            <w:tcMar>
              <w:top w:w="40" w:type="dxa"/>
              <w:left w:w="40" w:type="dxa"/>
              <w:bottom w:w="40" w:type="dxa"/>
              <w:right w:w="40" w:type="dxa"/>
            </w:tcMar>
          </w:tcPr>
          <w:p w14:paraId="4ACE6956"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101.INS</w:t>
            </w:r>
          </w:p>
        </w:tc>
        <w:tc>
          <w:tcPr>
            <w:tcW w:w="0" w:type="auto"/>
            <w:shd w:val="clear" w:color="auto" w:fill="auto"/>
            <w:tcMar>
              <w:top w:w="40" w:type="dxa"/>
              <w:left w:w="40" w:type="dxa"/>
              <w:bottom w:w="40" w:type="dxa"/>
              <w:right w:w="40" w:type="dxa"/>
            </w:tcMar>
            <w:vAlign w:val="bottom"/>
          </w:tcPr>
          <w:p w14:paraId="4ACE695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958"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 xml:space="preserve">XBRL </w:t>
            </w:r>
            <w:r>
              <w:rPr>
                <w:rFonts w:ascii="Arial" w:eastAsia="宋体" w:hAnsi="Arial" w:cs="Arial"/>
                <w:color w:val="333333"/>
                <w:sz w:val="18"/>
                <w:szCs w:val="18"/>
              </w:rPr>
              <w:t>Instance Document - the instance document does not appear in the Interactive Data File because its XBRL tags are embedded within the Inline XBRL document</w:t>
            </w:r>
          </w:p>
        </w:tc>
        <w:tc>
          <w:tcPr>
            <w:tcW w:w="0" w:type="auto"/>
            <w:shd w:val="clear" w:color="auto" w:fill="auto"/>
            <w:tcMar>
              <w:top w:w="40" w:type="dxa"/>
              <w:left w:w="40" w:type="dxa"/>
              <w:bottom w:w="40" w:type="dxa"/>
              <w:right w:w="40" w:type="dxa"/>
            </w:tcMar>
            <w:vAlign w:val="bottom"/>
          </w:tcPr>
          <w:p w14:paraId="4ACE695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5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5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5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5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ACE695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5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6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6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962" w14:textId="77777777" w:rsidR="006F587A" w:rsidRDefault="007B2B61">
            <w:pPr>
              <w:jc w:val="center"/>
              <w:textAlignment w:val="top"/>
              <w:rPr>
                <w:rFonts w:ascii="Times New Roman" w:hAnsi="Times New Roman"/>
                <w:sz w:val="18"/>
                <w:szCs w:val="18"/>
              </w:rPr>
            </w:pPr>
            <w:r>
              <w:rPr>
                <w:rFonts w:ascii="Arial" w:eastAsia="宋体" w:hAnsi="Arial" w:cs="Arial"/>
                <w:color w:val="333333"/>
                <w:sz w:val="18"/>
                <w:szCs w:val="18"/>
              </w:rPr>
              <w:t>X</w:t>
            </w:r>
          </w:p>
        </w:tc>
      </w:tr>
      <w:tr w:rsidR="006F587A" w14:paraId="4ACE6971" w14:textId="77777777">
        <w:tc>
          <w:tcPr>
            <w:tcW w:w="0" w:type="auto"/>
            <w:shd w:val="clear" w:color="auto" w:fill="auto"/>
            <w:tcMar>
              <w:top w:w="40" w:type="dxa"/>
              <w:left w:w="40" w:type="dxa"/>
              <w:bottom w:w="40" w:type="dxa"/>
              <w:right w:w="40" w:type="dxa"/>
            </w:tcMar>
          </w:tcPr>
          <w:p w14:paraId="4ACE6964"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101.SCH</w:t>
            </w:r>
          </w:p>
        </w:tc>
        <w:tc>
          <w:tcPr>
            <w:tcW w:w="0" w:type="auto"/>
            <w:shd w:val="clear" w:color="auto" w:fill="auto"/>
            <w:tcMar>
              <w:top w:w="40" w:type="dxa"/>
              <w:left w:w="40" w:type="dxa"/>
              <w:bottom w:w="40" w:type="dxa"/>
              <w:right w:w="40" w:type="dxa"/>
            </w:tcMar>
            <w:vAlign w:val="bottom"/>
          </w:tcPr>
          <w:p w14:paraId="4ACE696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966"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XBRL Taxonomy Extension Schema Document</w:t>
            </w:r>
          </w:p>
        </w:tc>
        <w:tc>
          <w:tcPr>
            <w:tcW w:w="0" w:type="auto"/>
            <w:shd w:val="clear" w:color="auto" w:fill="auto"/>
            <w:tcMar>
              <w:top w:w="40" w:type="dxa"/>
              <w:left w:w="40" w:type="dxa"/>
              <w:bottom w:w="40" w:type="dxa"/>
              <w:right w:w="40" w:type="dxa"/>
            </w:tcMar>
            <w:vAlign w:val="bottom"/>
          </w:tcPr>
          <w:p w14:paraId="4ACE696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6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6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6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6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ACE696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6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6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6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970" w14:textId="77777777" w:rsidR="006F587A" w:rsidRDefault="007B2B61">
            <w:pPr>
              <w:jc w:val="center"/>
              <w:textAlignment w:val="top"/>
              <w:rPr>
                <w:rFonts w:ascii="Times New Roman" w:hAnsi="Times New Roman"/>
                <w:sz w:val="18"/>
                <w:szCs w:val="18"/>
              </w:rPr>
            </w:pPr>
            <w:r>
              <w:rPr>
                <w:rFonts w:ascii="Arial" w:eastAsia="宋体" w:hAnsi="Arial" w:cs="Arial"/>
                <w:color w:val="333333"/>
                <w:sz w:val="18"/>
                <w:szCs w:val="18"/>
              </w:rPr>
              <w:t>X</w:t>
            </w:r>
          </w:p>
        </w:tc>
      </w:tr>
      <w:tr w:rsidR="006F587A" w14:paraId="4ACE697F" w14:textId="77777777">
        <w:tc>
          <w:tcPr>
            <w:tcW w:w="0" w:type="auto"/>
            <w:shd w:val="clear" w:color="auto" w:fill="auto"/>
            <w:tcMar>
              <w:top w:w="40" w:type="dxa"/>
              <w:left w:w="40" w:type="dxa"/>
              <w:bottom w:w="40" w:type="dxa"/>
              <w:right w:w="40" w:type="dxa"/>
            </w:tcMar>
          </w:tcPr>
          <w:p w14:paraId="4ACE6972"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101.CAL</w:t>
            </w:r>
          </w:p>
        </w:tc>
        <w:tc>
          <w:tcPr>
            <w:tcW w:w="0" w:type="auto"/>
            <w:shd w:val="clear" w:color="auto" w:fill="auto"/>
            <w:tcMar>
              <w:top w:w="40" w:type="dxa"/>
              <w:left w:w="40" w:type="dxa"/>
              <w:bottom w:w="40" w:type="dxa"/>
              <w:right w:w="40" w:type="dxa"/>
            </w:tcMar>
            <w:vAlign w:val="bottom"/>
          </w:tcPr>
          <w:p w14:paraId="4ACE697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974"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XBRL Taxonomy Extension Calculation Linkbase Document</w:t>
            </w:r>
          </w:p>
        </w:tc>
        <w:tc>
          <w:tcPr>
            <w:tcW w:w="0" w:type="auto"/>
            <w:shd w:val="clear" w:color="auto" w:fill="auto"/>
            <w:tcMar>
              <w:top w:w="40" w:type="dxa"/>
              <w:left w:w="40" w:type="dxa"/>
              <w:bottom w:w="40" w:type="dxa"/>
              <w:right w:w="40" w:type="dxa"/>
            </w:tcMar>
            <w:vAlign w:val="bottom"/>
          </w:tcPr>
          <w:p w14:paraId="4ACE697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7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7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7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7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ACE697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7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7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7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97E" w14:textId="77777777" w:rsidR="006F587A" w:rsidRDefault="007B2B61">
            <w:pPr>
              <w:jc w:val="center"/>
              <w:textAlignment w:val="top"/>
              <w:rPr>
                <w:rFonts w:ascii="Times New Roman" w:hAnsi="Times New Roman"/>
                <w:sz w:val="18"/>
                <w:szCs w:val="18"/>
              </w:rPr>
            </w:pPr>
            <w:r>
              <w:rPr>
                <w:rFonts w:ascii="Arial" w:eastAsia="宋体" w:hAnsi="Arial" w:cs="Arial"/>
                <w:color w:val="333333"/>
                <w:sz w:val="18"/>
                <w:szCs w:val="18"/>
              </w:rPr>
              <w:t>X</w:t>
            </w:r>
          </w:p>
        </w:tc>
      </w:tr>
      <w:tr w:rsidR="006F587A" w14:paraId="4ACE698D" w14:textId="77777777">
        <w:tc>
          <w:tcPr>
            <w:tcW w:w="0" w:type="auto"/>
            <w:shd w:val="clear" w:color="auto" w:fill="auto"/>
            <w:tcMar>
              <w:top w:w="40" w:type="dxa"/>
              <w:left w:w="40" w:type="dxa"/>
              <w:bottom w:w="40" w:type="dxa"/>
              <w:right w:w="40" w:type="dxa"/>
            </w:tcMar>
          </w:tcPr>
          <w:p w14:paraId="4ACE6980"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101.DEF</w:t>
            </w:r>
          </w:p>
        </w:tc>
        <w:tc>
          <w:tcPr>
            <w:tcW w:w="0" w:type="auto"/>
            <w:shd w:val="clear" w:color="auto" w:fill="auto"/>
            <w:tcMar>
              <w:top w:w="40" w:type="dxa"/>
              <w:left w:w="40" w:type="dxa"/>
              <w:bottom w:w="40" w:type="dxa"/>
              <w:right w:w="40" w:type="dxa"/>
            </w:tcMar>
            <w:vAlign w:val="bottom"/>
          </w:tcPr>
          <w:p w14:paraId="4ACE698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982"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XBRL Taxonomy Extension Definition Linkbase Document</w:t>
            </w:r>
          </w:p>
        </w:tc>
        <w:tc>
          <w:tcPr>
            <w:tcW w:w="0" w:type="auto"/>
            <w:shd w:val="clear" w:color="auto" w:fill="auto"/>
            <w:tcMar>
              <w:top w:w="40" w:type="dxa"/>
              <w:left w:w="40" w:type="dxa"/>
              <w:bottom w:w="40" w:type="dxa"/>
              <w:right w:w="40" w:type="dxa"/>
            </w:tcMar>
            <w:vAlign w:val="bottom"/>
          </w:tcPr>
          <w:p w14:paraId="4ACE698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8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8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8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8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ACE698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8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8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8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98C" w14:textId="77777777" w:rsidR="006F587A" w:rsidRDefault="007B2B61">
            <w:pPr>
              <w:jc w:val="center"/>
              <w:textAlignment w:val="top"/>
              <w:rPr>
                <w:rFonts w:ascii="Times New Roman" w:hAnsi="Times New Roman"/>
                <w:sz w:val="18"/>
                <w:szCs w:val="18"/>
              </w:rPr>
            </w:pPr>
            <w:r>
              <w:rPr>
                <w:rFonts w:ascii="Arial" w:eastAsia="宋体" w:hAnsi="Arial" w:cs="Arial"/>
                <w:color w:val="333333"/>
                <w:sz w:val="18"/>
                <w:szCs w:val="18"/>
              </w:rPr>
              <w:t>X</w:t>
            </w:r>
          </w:p>
        </w:tc>
      </w:tr>
      <w:tr w:rsidR="006F587A" w14:paraId="4ACE699B" w14:textId="77777777">
        <w:tc>
          <w:tcPr>
            <w:tcW w:w="0" w:type="auto"/>
            <w:shd w:val="clear" w:color="auto" w:fill="auto"/>
            <w:tcMar>
              <w:top w:w="40" w:type="dxa"/>
              <w:left w:w="40" w:type="dxa"/>
              <w:bottom w:w="40" w:type="dxa"/>
              <w:right w:w="40" w:type="dxa"/>
            </w:tcMar>
          </w:tcPr>
          <w:p w14:paraId="4ACE698E"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101.LAB</w:t>
            </w:r>
          </w:p>
        </w:tc>
        <w:tc>
          <w:tcPr>
            <w:tcW w:w="0" w:type="auto"/>
            <w:shd w:val="clear" w:color="auto" w:fill="auto"/>
            <w:tcMar>
              <w:top w:w="40" w:type="dxa"/>
              <w:left w:w="40" w:type="dxa"/>
              <w:bottom w:w="40" w:type="dxa"/>
              <w:right w:w="40" w:type="dxa"/>
            </w:tcMar>
            <w:vAlign w:val="bottom"/>
          </w:tcPr>
          <w:p w14:paraId="4ACE698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990"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XBRL Taxonomy Extension Label Linkbase Document</w:t>
            </w:r>
          </w:p>
        </w:tc>
        <w:tc>
          <w:tcPr>
            <w:tcW w:w="0" w:type="auto"/>
            <w:shd w:val="clear" w:color="auto" w:fill="auto"/>
            <w:tcMar>
              <w:top w:w="40" w:type="dxa"/>
              <w:left w:w="40" w:type="dxa"/>
              <w:bottom w:w="40" w:type="dxa"/>
              <w:right w:w="40" w:type="dxa"/>
            </w:tcMar>
            <w:vAlign w:val="bottom"/>
          </w:tcPr>
          <w:p w14:paraId="4ACE699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9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9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9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9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ACE699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9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9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9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99A" w14:textId="77777777" w:rsidR="006F587A" w:rsidRDefault="007B2B61">
            <w:pPr>
              <w:jc w:val="center"/>
              <w:textAlignment w:val="top"/>
              <w:rPr>
                <w:rFonts w:ascii="Times New Roman" w:hAnsi="Times New Roman"/>
                <w:sz w:val="18"/>
                <w:szCs w:val="18"/>
              </w:rPr>
            </w:pPr>
            <w:r>
              <w:rPr>
                <w:rFonts w:ascii="Arial" w:eastAsia="宋体" w:hAnsi="Arial" w:cs="Arial"/>
                <w:color w:val="333333"/>
                <w:sz w:val="18"/>
                <w:szCs w:val="18"/>
              </w:rPr>
              <w:t>X</w:t>
            </w:r>
          </w:p>
        </w:tc>
      </w:tr>
      <w:tr w:rsidR="006F587A" w14:paraId="4ACE69A9" w14:textId="77777777">
        <w:tc>
          <w:tcPr>
            <w:tcW w:w="0" w:type="auto"/>
            <w:shd w:val="clear" w:color="auto" w:fill="auto"/>
            <w:tcMar>
              <w:top w:w="40" w:type="dxa"/>
              <w:left w:w="40" w:type="dxa"/>
              <w:bottom w:w="40" w:type="dxa"/>
              <w:right w:w="40" w:type="dxa"/>
            </w:tcMar>
          </w:tcPr>
          <w:p w14:paraId="4ACE699C"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101.PRE</w:t>
            </w:r>
          </w:p>
        </w:tc>
        <w:tc>
          <w:tcPr>
            <w:tcW w:w="0" w:type="auto"/>
            <w:shd w:val="clear" w:color="auto" w:fill="auto"/>
            <w:tcMar>
              <w:top w:w="40" w:type="dxa"/>
              <w:left w:w="40" w:type="dxa"/>
              <w:bottom w:w="40" w:type="dxa"/>
              <w:right w:w="40" w:type="dxa"/>
            </w:tcMar>
            <w:vAlign w:val="bottom"/>
          </w:tcPr>
          <w:p w14:paraId="4ACE699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99E"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XBRL Taxonomy Extension Presentation Linkbase Document</w:t>
            </w:r>
          </w:p>
        </w:tc>
        <w:tc>
          <w:tcPr>
            <w:tcW w:w="0" w:type="auto"/>
            <w:shd w:val="clear" w:color="auto" w:fill="auto"/>
            <w:tcMar>
              <w:top w:w="40" w:type="dxa"/>
              <w:left w:w="40" w:type="dxa"/>
              <w:bottom w:w="40" w:type="dxa"/>
              <w:right w:w="40" w:type="dxa"/>
            </w:tcMar>
            <w:vAlign w:val="bottom"/>
          </w:tcPr>
          <w:p w14:paraId="4ACE699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A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A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A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A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ACE69A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A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A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A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9A8" w14:textId="77777777" w:rsidR="006F587A" w:rsidRDefault="007B2B61">
            <w:pPr>
              <w:jc w:val="center"/>
              <w:textAlignment w:val="top"/>
              <w:rPr>
                <w:rFonts w:ascii="Times New Roman" w:hAnsi="Times New Roman"/>
                <w:sz w:val="18"/>
                <w:szCs w:val="18"/>
              </w:rPr>
            </w:pPr>
            <w:r>
              <w:rPr>
                <w:rFonts w:ascii="Arial" w:eastAsia="宋体" w:hAnsi="Arial" w:cs="Arial"/>
                <w:color w:val="333333"/>
                <w:sz w:val="18"/>
                <w:szCs w:val="18"/>
              </w:rPr>
              <w:t>X</w:t>
            </w:r>
          </w:p>
        </w:tc>
      </w:tr>
      <w:tr w:rsidR="006F587A" w14:paraId="4ACE69B8" w14:textId="77777777">
        <w:tc>
          <w:tcPr>
            <w:tcW w:w="0" w:type="auto"/>
            <w:shd w:val="clear" w:color="auto" w:fill="auto"/>
            <w:tcMar>
              <w:top w:w="40" w:type="dxa"/>
              <w:left w:w="40" w:type="dxa"/>
              <w:bottom w:w="40" w:type="dxa"/>
              <w:right w:w="40" w:type="dxa"/>
            </w:tcMar>
          </w:tcPr>
          <w:p w14:paraId="4ACE69AA"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104</w:t>
            </w:r>
          </w:p>
        </w:tc>
        <w:tc>
          <w:tcPr>
            <w:tcW w:w="0" w:type="auto"/>
            <w:shd w:val="clear" w:color="auto" w:fill="auto"/>
            <w:tcMar>
              <w:top w:w="40" w:type="dxa"/>
              <w:left w:w="40" w:type="dxa"/>
              <w:bottom w:w="40" w:type="dxa"/>
              <w:right w:w="40" w:type="dxa"/>
            </w:tcMar>
            <w:vAlign w:val="bottom"/>
          </w:tcPr>
          <w:p w14:paraId="4ACE69A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9AC"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Cover Page Interactive Data File - formatted in Inline XBRL and included as Exhibit 101</w:t>
            </w:r>
          </w:p>
          <w:p w14:paraId="4ACE69AD" w14:textId="77777777" w:rsidR="006F587A" w:rsidRDefault="006F587A">
            <w:pPr>
              <w:textAlignment w:val="top"/>
              <w:rPr>
                <w:rFonts w:ascii="Times New Roman" w:hAnsi="Times New Roman"/>
                <w:sz w:val="18"/>
                <w:szCs w:val="18"/>
              </w:rPr>
            </w:pPr>
          </w:p>
        </w:tc>
        <w:tc>
          <w:tcPr>
            <w:tcW w:w="0" w:type="auto"/>
            <w:shd w:val="clear" w:color="auto" w:fill="auto"/>
            <w:tcMar>
              <w:top w:w="40" w:type="dxa"/>
              <w:left w:w="40" w:type="dxa"/>
              <w:bottom w:w="40" w:type="dxa"/>
              <w:right w:w="40" w:type="dxa"/>
            </w:tcMar>
            <w:vAlign w:val="bottom"/>
          </w:tcPr>
          <w:p w14:paraId="4ACE69A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A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B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B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B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ACE69B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B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B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B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9B7" w14:textId="77777777" w:rsidR="006F587A" w:rsidRDefault="007B2B61">
            <w:pPr>
              <w:jc w:val="center"/>
              <w:textAlignment w:val="top"/>
              <w:rPr>
                <w:rFonts w:ascii="Times New Roman" w:hAnsi="Times New Roman"/>
                <w:sz w:val="18"/>
                <w:szCs w:val="18"/>
              </w:rPr>
            </w:pPr>
            <w:r>
              <w:rPr>
                <w:rFonts w:ascii="Arial" w:eastAsia="宋体" w:hAnsi="Arial" w:cs="Arial"/>
                <w:color w:val="333333"/>
                <w:sz w:val="18"/>
                <w:szCs w:val="18"/>
              </w:rPr>
              <w:t>X</w:t>
            </w:r>
          </w:p>
        </w:tc>
      </w:tr>
    </w:tbl>
    <w:p w14:paraId="4ACE69B9"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6F587A" w14:paraId="4ACE69BC" w14:textId="77777777">
        <w:trPr>
          <w:tblCellSpacing w:w="0" w:type="dxa"/>
        </w:trPr>
        <w:tc>
          <w:tcPr>
            <w:tcW w:w="720" w:type="dxa"/>
            <w:shd w:val="clear" w:color="auto" w:fill="auto"/>
            <w:vAlign w:val="center"/>
          </w:tcPr>
          <w:p w14:paraId="4ACE69BA" w14:textId="77777777" w:rsidR="006F587A" w:rsidRDefault="006F587A">
            <w:pPr>
              <w:rPr>
                <w:rFonts w:ascii="Times New Roman" w:hAnsi="Times New Roman"/>
                <w:sz w:val="20"/>
                <w:szCs w:val="20"/>
              </w:rPr>
            </w:pPr>
          </w:p>
        </w:tc>
        <w:tc>
          <w:tcPr>
            <w:tcW w:w="0" w:type="auto"/>
            <w:shd w:val="clear" w:color="auto" w:fill="auto"/>
            <w:vAlign w:val="center"/>
          </w:tcPr>
          <w:p w14:paraId="4ACE69BB" w14:textId="77777777" w:rsidR="006F587A" w:rsidRDefault="006F587A">
            <w:pPr>
              <w:rPr>
                <w:rFonts w:ascii="Times New Roman" w:hAnsi="Times New Roman"/>
                <w:sz w:val="20"/>
                <w:szCs w:val="20"/>
              </w:rPr>
            </w:pPr>
          </w:p>
        </w:tc>
      </w:tr>
      <w:tr w:rsidR="006F587A" w14:paraId="4ACE69BF" w14:textId="77777777">
        <w:trPr>
          <w:tblCellSpacing w:w="0" w:type="dxa"/>
        </w:trPr>
        <w:tc>
          <w:tcPr>
            <w:tcW w:w="0" w:type="auto"/>
            <w:shd w:val="clear" w:color="auto" w:fill="auto"/>
          </w:tcPr>
          <w:p w14:paraId="4ACE69BD"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0"/>
                <w:szCs w:val="10"/>
              </w:rPr>
              <w:t>†</w:t>
            </w:r>
            <w:r>
              <w:rPr>
                <w:rFonts w:ascii="Arial" w:eastAsia="宋体" w:hAnsi="Arial" w:cs="Arial"/>
                <w:i/>
                <w:iCs/>
                <w:color w:val="333333"/>
                <w:sz w:val="16"/>
                <w:szCs w:val="16"/>
              </w:rPr>
              <w:t> </w:t>
            </w:r>
          </w:p>
        </w:tc>
        <w:tc>
          <w:tcPr>
            <w:tcW w:w="0" w:type="auto"/>
            <w:shd w:val="clear" w:color="auto" w:fill="auto"/>
          </w:tcPr>
          <w:p w14:paraId="4ACE69BE"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6"/>
                <w:szCs w:val="16"/>
              </w:rPr>
              <w:t xml:space="preserve">Management contracts or </w:t>
            </w:r>
            <w:r>
              <w:rPr>
                <w:rFonts w:ascii="Arial" w:eastAsia="宋体" w:hAnsi="Arial" w:cs="Arial"/>
                <w:i/>
                <w:iCs/>
                <w:color w:val="333333"/>
                <w:sz w:val="16"/>
                <w:szCs w:val="16"/>
              </w:rPr>
              <w:t>compensation plans or arrangements in which directors or executive officers are eligible to participate.</w:t>
            </w:r>
          </w:p>
        </w:tc>
      </w:tr>
    </w:tbl>
    <w:p w14:paraId="4ACE69C0" w14:textId="77777777" w:rsidR="006F587A" w:rsidRDefault="007B2B61">
      <w:pPr>
        <w:spacing w:line="288" w:lineRule="auto"/>
        <w:ind w:hanging="240"/>
        <w:rPr>
          <w:rFonts w:ascii="Times New Roman" w:hAnsi="Times New Roman"/>
          <w:sz w:val="16"/>
          <w:szCs w:val="16"/>
        </w:rPr>
      </w:pPr>
      <w:r>
        <w:rPr>
          <w:rFonts w:ascii="Arial" w:eastAsia="宋体" w:hAnsi="Arial" w:cs="Arial"/>
          <w:i/>
          <w:iCs/>
          <w:color w:val="333333"/>
          <w:sz w:val="10"/>
          <w:szCs w:val="10"/>
        </w:rPr>
        <w:t>††</w:t>
      </w:r>
      <w:r>
        <w:rPr>
          <w:rFonts w:ascii="Arial" w:eastAsia="宋体" w:hAnsi="Arial" w:cs="Arial"/>
          <w:i/>
          <w:iCs/>
          <w:color w:val="333333"/>
          <w:sz w:val="16"/>
          <w:szCs w:val="16"/>
        </w:rPr>
        <w:t xml:space="preserve"> Portions of this exhibit have been omitted pursuant to an order granting confidential treatment.</w:t>
      </w:r>
    </w:p>
    <w:p w14:paraId="4ACE69C1" w14:textId="77777777" w:rsidR="006F587A" w:rsidRDefault="006F587A">
      <w:pPr>
        <w:spacing w:line="288" w:lineRule="auto"/>
        <w:ind w:hanging="240"/>
        <w:rPr>
          <w:rFonts w:ascii="Times New Roman" w:hAnsi="Times New Roman"/>
          <w:sz w:val="16"/>
          <w:szCs w:val="16"/>
        </w:rPr>
      </w:pPr>
    </w:p>
    <w:p w14:paraId="4ACE69C2" w14:textId="77777777" w:rsidR="006F587A" w:rsidRDefault="006F587A">
      <w:pPr>
        <w:spacing w:line="288" w:lineRule="auto"/>
        <w:rPr>
          <w:rFonts w:ascii="Times New Roman" w:hAnsi="Times New Roman"/>
          <w:sz w:val="18"/>
          <w:szCs w:val="18"/>
        </w:rPr>
      </w:pPr>
    </w:p>
    <w:p w14:paraId="4ACE69C3"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69C5" w14:textId="77777777">
        <w:tc>
          <w:tcPr>
            <w:tcW w:w="0" w:type="auto"/>
            <w:gridSpan w:val="3"/>
            <w:shd w:val="clear" w:color="auto" w:fill="auto"/>
            <w:vAlign w:val="center"/>
          </w:tcPr>
          <w:p w14:paraId="4ACE69C4" w14:textId="77777777" w:rsidR="006F587A" w:rsidRDefault="006F587A">
            <w:pPr>
              <w:rPr>
                <w:rFonts w:ascii="Times New Roman" w:hAnsi="Times New Roman"/>
                <w:sz w:val="20"/>
                <w:szCs w:val="20"/>
              </w:rPr>
            </w:pPr>
          </w:p>
        </w:tc>
      </w:tr>
      <w:tr w:rsidR="006F587A" w14:paraId="4ACE69C9" w14:textId="77777777">
        <w:tc>
          <w:tcPr>
            <w:tcW w:w="1300" w:type="pct"/>
            <w:shd w:val="clear" w:color="auto" w:fill="auto"/>
            <w:vAlign w:val="center"/>
          </w:tcPr>
          <w:p w14:paraId="4ACE69C6" w14:textId="77777777" w:rsidR="006F587A" w:rsidRDefault="006F587A">
            <w:pPr>
              <w:rPr>
                <w:rFonts w:ascii="Times New Roman" w:hAnsi="Times New Roman"/>
                <w:sz w:val="20"/>
                <w:szCs w:val="20"/>
              </w:rPr>
            </w:pPr>
          </w:p>
        </w:tc>
        <w:tc>
          <w:tcPr>
            <w:tcW w:w="1600" w:type="pct"/>
            <w:shd w:val="clear" w:color="auto" w:fill="auto"/>
            <w:vAlign w:val="center"/>
          </w:tcPr>
          <w:p w14:paraId="4ACE69C7" w14:textId="77777777" w:rsidR="006F587A" w:rsidRDefault="006F587A">
            <w:pPr>
              <w:rPr>
                <w:rFonts w:ascii="Times New Roman" w:hAnsi="Times New Roman"/>
                <w:sz w:val="20"/>
                <w:szCs w:val="20"/>
              </w:rPr>
            </w:pPr>
          </w:p>
        </w:tc>
        <w:tc>
          <w:tcPr>
            <w:tcW w:w="2100" w:type="pct"/>
            <w:shd w:val="clear" w:color="auto" w:fill="auto"/>
            <w:vAlign w:val="center"/>
          </w:tcPr>
          <w:p w14:paraId="4ACE69C8" w14:textId="77777777" w:rsidR="006F587A" w:rsidRDefault="006F587A">
            <w:pPr>
              <w:rPr>
                <w:rFonts w:ascii="Times New Roman" w:hAnsi="Times New Roman"/>
                <w:sz w:val="20"/>
                <w:szCs w:val="20"/>
              </w:rPr>
            </w:pPr>
          </w:p>
        </w:tc>
      </w:tr>
      <w:tr w:rsidR="006F587A" w14:paraId="4ACE69CD"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69CA" w14:textId="77777777" w:rsidR="006F587A" w:rsidRDefault="007B2B61">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E47" wp14:editId="4ACE6E48">
                  <wp:extent cx="304800" cy="304800"/>
                  <wp:effectExtent l="0" t="0" r="0" b="0"/>
                  <wp:docPr id="67" name="图片 372"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372"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SUPPLEMENTAL DETAILS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69C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69CC"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117</w:t>
            </w:r>
          </w:p>
        </w:tc>
      </w:tr>
    </w:tbl>
    <w:p w14:paraId="4ACE69CE" w14:textId="77777777" w:rsidR="006F587A" w:rsidRDefault="007B2B61">
      <w:r>
        <w:pict w14:anchorId="4ACE6E49">
          <v:rect id="_x0000_i1143" style="width:415.3pt;height:1.5pt" o:hralign="center" o:hrstd="t" o:hr="t" fillcolor="#a0a0a0" stroked="f"/>
        </w:pict>
      </w:r>
    </w:p>
    <w:p w14:paraId="4ACE69CF" w14:textId="77777777" w:rsidR="006F587A" w:rsidRDefault="007B2B61">
      <w:pPr>
        <w:spacing w:line="288" w:lineRule="auto"/>
        <w:jc w:val="right"/>
        <w:rPr>
          <w:rFonts w:ascii="Times New Roman" w:hAnsi="Times New Roman"/>
          <w:sz w:val="16"/>
          <w:szCs w:val="16"/>
        </w:rPr>
      </w:pPr>
      <w:hyperlink r:id="rId239" w:anchor="s9DB683E2CF52561EB8A73BE37F5BF9BE" w:history="1">
        <w:r>
          <w:rPr>
            <w:rStyle w:val="a5"/>
            <w:rFonts w:ascii="Arial" w:eastAsia="宋体" w:hAnsi="Arial" w:cs="Arial"/>
            <w:b/>
            <w:bCs/>
            <w:sz w:val="16"/>
            <w:szCs w:val="16"/>
          </w:rPr>
          <w:t>Table of Contents</w:t>
        </w:r>
      </w:hyperlink>
    </w:p>
    <w:p w14:paraId="4ACE69D0" w14:textId="77777777" w:rsidR="006F587A" w:rsidRDefault="006F587A">
      <w:pPr>
        <w:spacing w:line="288" w:lineRule="auto"/>
        <w:jc w:val="right"/>
        <w:rPr>
          <w:rFonts w:ascii="Times New Roman" w:hAnsi="Times New Roman"/>
          <w:sz w:val="16"/>
          <w:szCs w:val="16"/>
        </w:rPr>
      </w:pPr>
    </w:p>
    <w:p w14:paraId="4ACE69D1"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6F587A" w14:paraId="4ACE69D3" w14:textId="77777777">
        <w:tc>
          <w:tcPr>
            <w:tcW w:w="0" w:type="auto"/>
            <w:shd w:val="clear" w:color="auto" w:fill="auto"/>
            <w:vAlign w:val="center"/>
          </w:tcPr>
          <w:p w14:paraId="4ACE69D2" w14:textId="77777777" w:rsidR="006F587A" w:rsidRDefault="006F587A">
            <w:pPr>
              <w:rPr>
                <w:rFonts w:ascii="Times New Roman" w:hAnsi="Times New Roman"/>
                <w:sz w:val="20"/>
                <w:szCs w:val="20"/>
              </w:rPr>
            </w:pPr>
          </w:p>
        </w:tc>
      </w:tr>
      <w:tr w:rsidR="006F587A" w14:paraId="4ACE69D5" w14:textId="77777777">
        <w:tc>
          <w:tcPr>
            <w:tcW w:w="5000" w:type="pct"/>
            <w:shd w:val="clear" w:color="auto" w:fill="auto"/>
            <w:vAlign w:val="center"/>
          </w:tcPr>
          <w:p w14:paraId="4ACE69D4" w14:textId="77777777" w:rsidR="006F587A" w:rsidRDefault="006F587A">
            <w:pPr>
              <w:rPr>
                <w:rFonts w:ascii="Times New Roman" w:hAnsi="Times New Roman"/>
                <w:sz w:val="20"/>
                <w:szCs w:val="20"/>
              </w:rPr>
            </w:pPr>
          </w:p>
        </w:tc>
      </w:tr>
      <w:tr w:rsidR="006F587A" w14:paraId="4ACE69D7" w14:textId="77777777">
        <w:tc>
          <w:tcPr>
            <w:tcW w:w="0" w:type="auto"/>
            <w:shd w:val="clear" w:color="auto" w:fill="0071C5"/>
            <w:tcMar>
              <w:top w:w="40" w:type="dxa"/>
              <w:left w:w="880" w:type="dxa"/>
              <w:bottom w:w="40" w:type="dxa"/>
              <w:right w:w="40" w:type="dxa"/>
            </w:tcMar>
            <w:vAlign w:val="bottom"/>
          </w:tcPr>
          <w:p w14:paraId="4ACE69D6" w14:textId="77777777" w:rsidR="006F587A" w:rsidRDefault="007B2B61">
            <w:pPr>
              <w:textAlignment w:val="bottom"/>
              <w:rPr>
                <w:rFonts w:ascii="Times New Roman" w:hAnsi="Times New Roman"/>
                <w:sz w:val="36"/>
                <w:szCs w:val="36"/>
              </w:rPr>
            </w:pPr>
            <w:r>
              <w:rPr>
                <w:rFonts w:ascii="Arial" w:eastAsia="宋体" w:hAnsi="Arial" w:cs="Arial"/>
                <w:b/>
                <w:bCs/>
                <w:color w:val="FFFFFF"/>
                <w:sz w:val="36"/>
                <w:szCs w:val="36"/>
              </w:rPr>
              <w:t xml:space="preserve">FORM 10-K CROSS-REFERENCE INDEX </w:t>
            </w:r>
          </w:p>
        </w:tc>
      </w:tr>
    </w:tbl>
    <w:p w14:paraId="4ACE69D8" w14:textId="77777777" w:rsidR="006F587A" w:rsidRDefault="006F587A">
      <w:pPr>
        <w:rPr>
          <w:vanish/>
        </w:rPr>
      </w:pPr>
    </w:p>
    <w:tbl>
      <w:tblPr>
        <w:tblW w:w="5000" w:type="pct"/>
        <w:tblCellMar>
          <w:left w:w="0" w:type="dxa"/>
          <w:right w:w="0" w:type="dxa"/>
        </w:tblCellMar>
        <w:tblLook w:val="04A0" w:firstRow="1" w:lastRow="0" w:firstColumn="1" w:lastColumn="0" w:noHBand="0" w:noVBand="1"/>
      </w:tblPr>
      <w:tblGrid>
        <w:gridCol w:w="1011"/>
        <w:gridCol w:w="4976"/>
        <w:gridCol w:w="2319"/>
      </w:tblGrid>
      <w:tr w:rsidR="006F587A" w14:paraId="4ACE69DA" w14:textId="77777777">
        <w:tc>
          <w:tcPr>
            <w:tcW w:w="0" w:type="auto"/>
            <w:gridSpan w:val="3"/>
            <w:shd w:val="clear" w:color="auto" w:fill="auto"/>
            <w:vAlign w:val="center"/>
          </w:tcPr>
          <w:p w14:paraId="4ACE69D9" w14:textId="77777777" w:rsidR="006F587A" w:rsidRDefault="006F587A">
            <w:pPr>
              <w:rPr>
                <w:rFonts w:ascii="Times New Roman" w:hAnsi="Times New Roman"/>
                <w:sz w:val="20"/>
                <w:szCs w:val="20"/>
              </w:rPr>
            </w:pPr>
          </w:p>
        </w:tc>
      </w:tr>
      <w:tr w:rsidR="006F587A" w14:paraId="4ACE69DE" w14:textId="77777777">
        <w:tc>
          <w:tcPr>
            <w:tcW w:w="600" w:type="pct"/>
            <w:shd w:val="clear" w:color="auto" w:fill="auto"/>
            <w:vAlign w:val="center"/>
          </w:tcPr>
          <w:p w14:paraId="4ACE69DB" w14:textId="77777777" w:rsidR="006F587A" w:rsidRDefault="006F587A">
            <w:pPr>
              <w:rPr>
                <w:rFonts w:ascii="Times New Roman" w:hAnsi="Times New Roman"/>
                <w:sz w:val="20"/>
                <w:szCs w:val="20"/>
              </w:rPr>
            </w:pPr>
          </w:p>
        </w:tc>
        <w:tc>
          <w:tcPr>
            <w:tcW w:w="3000" w:type="pct"/>
            <w:shd w:val="clear" w:color="auto" w:fill="auto"/>
            <w:vAlign w:val="center"/>
          </w:tcPr>
          <w:p w14:paraId="4ACE69DC" w14:textId="77777777" w:rsidR="006F587A" w:rsidRDefault="006F587A">
            <w:pPr>
              <w:rPr>
                <w:rFonts w:ascii="Times New Roman" w:hAnsi="Times New Roman"/>
                <w:sz w:val="20"/>
                <w:szCs w:val="20"/>
              </w:rPr>
            </w:pPr>
          </w:p>
        </w:tc>
        <w:tc>
          <w:tcPr>
            <w:tcW w:w="1400" w:type="pct"/>
            <w:shd w:val="clear" w:color="auto" w:fill="auto"/>
            <w:vAlign w:val="center"/>
          </w:tcPr>
          <w:p w14:paraId="4ACE69DD" w14:textId="77777777" w:rsidR="006F587A" w:rsidRDefault="006F587A">
            <w:pPr>
              <w:rPr>
                <w:rFonts w:ascii="Times New Roman" w:hAnsi="Times New Roman"/>
                <w:sz w:val="20"/>
                <w:szCs w:val="20"/>
              </w:rPr>
            </w:pPr>
          </w:p>
        </w:tc>
      </w:tr>
      <w:tr w:rsidR="006F587A" w14:paraId="4ACE69E2"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4ACE69DF"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lastRenderedPageBreak/>
              <w:t>Item Number</w:t>
            </w:r>
          </w:p>
        </w:tc>
        <w:tc>
          <w:tcPr>
            <w:tcW w:w="0" w:type="auto"/>
            <w:tcBorders>
              <w:bottom w:val="single" w:sz="8" w:space="0" w:color="0071C5"/>
            </w:tcBorders>
            <w:shd w:val="clear" w:color="auto" w:fill="auto"/>
            <w:tcMar>
              <w:top w:w="40" w:type="dxa"/>
              <w:left w:w="40" w:type="dxa"/>
              <w:bottom w:w="40" w:type="dxa"/>
              <w:right w:w="40" w:type="dxa"/>
            </w:tcMar>
            <w:vAlign w:val="bottom"/>
          </w:tcPr>
          <w:p w14:paraId="4ACE69E0" w14:textId="77777777" w:rsidR="006F587A" w:rsidRDefault="007B2B61">
            <w:pPr>
              <w:textAlignment w:val="bottom"/>
              <w:rPr>
                <w:rFonts w:ascii="Times New Roman" w:hAnsi="Times New Roman"/>
                <w:sz w:val="18"/>
                <w:szCs w:val="18"/>
              </w:rPr>
            </w:pPr>
            <w:r>
              <w:rPr>
                <w:rFonts w:ascii="Arial" w:eastAsia="宋体" w:hAnsi="Arial" w:cs="Arial"/>
                <w:b/>
                <w:bCs/>
                <w:color w:val="333333"/>
                <w:sz w:val="18"/>
                <w:szCs w:val="18"/>
              </w:rPr>
              <w:t>Item</w:t>
            </w:r>
          </w:p>
        </w:tc>
        <w:tc>
          <w:tcPr>
            <w:tcW w:w="0" w:type="auto"/>
            <w:tcBorders>
              <w:bottom w:val="single" w:sz="8" w:space="0" w:color="0071C5"/>
            </w:tcBorders>
            <w:shd w:val="clear" w:color="auto" w:fill="auto"/>
            <w:tcMar>
              <w:top w:w="40" w:type="dxa"/>
              <w:left w:w="40" w:type="dxa"/>
              <w:bottom w:w="40" w:type="dxa"/>
              <w:right w:w="40" w:type="dxa"/>
            </w:tcMar>
            <w:vAlign w:val="center"/>
          </w:tcPr>
          <w:p w14:paraId="4ACE69E1" w14:textId="77777777" w:rsidR="006F587A" w:rsidRDefault="007B2B61">
            <w:pPr>
              <w:jc w:val="center"/>
              <w:textAlignment w:val="center"/>
              <w:rPr>
                <w:rFonts w:ascii="Times New Roman" w:hAnsi="Times New Roman"/>
                <w:sz w:val="18"/>
                <w:szCs w:val="18"/>
              </w:rPr>
            </w:pPr>
            <w:r>
              <w:rPr>
                <w:rFonts w:ascii="Arial" w:eastAsia="宋体" w:hAnsi="Arial" w:cs="Arial"/>
                <w:b/>
                <w:bCs/>
                <w:color w:val="333333"/>
                <w:sz w:val="18"/>
                <w:szCs w:val="18"/>
              </w:rPr>
              <w:t> </w:t>
            </w:r>
          </w:p>
        </w:tc>
      </w:tr>
      <w:tr w:rsidR="006F587A" w14:paraId="4ACE69E6" w14:textId="77777777">
        <w:tc>
          <w:tcPr>
            <w:tcW w:w="0" w:type="auto"/>
            <w:shd w:val="clear" w:color="auto" w:fill="auto"/>
            <w:tcMar>
              <w:top w:w="40" w:type="dxa"/>
              <w:left w:w="40" w:type="dxa"/>
              <w:bottom w:w="40" w:type="dxa"/>
              <w:right w:w="40" w:type="dxa"/>
            </w:tcMar>
            <w:vAlign w:val="center"/>
          </w:tcPr>
          <w:p w14:paraId="4ACE69E3" w14:textId="77777777" w:rsidR="006F587A" w:rsidRDefault="007B2B61">
            <w:pPr>
              <w:textAlignment w:val="center"/>
              <w:rPr>
                <w:rFonts w:ascii="Times New Roman" w:hAnsi="Times New Roman"/>
                <w:sz w:val="18"/>
                <w:szCs w:val="18"/>
              </w:rPr>
            </w:pPr>
            <w:r>
              <w:rPr>
                <w:rFonts w:ascii="Arial" w:eastAsia="宋体" w:hAnsi="Arial" w:cs="Arial"/>
                <w:b/>
                <w:bCs/>
                <w:color w:val="0071C5"/>
                <w:sz w:val="18"/>
                <w:szCs w:val="18"/>
              </w:rPr>
              <w:t>Part I</w:t>
            </w:r>
          </w:p>
        </w:tc>
        <w:tc>
          <w:tcPr>
            <w:tcW w:w="0" w:type="auto"/>
            <w:shd w:val="clear" w:color="auto" w:fill="auto"/>
            <w:tcMar>
              <w:top w:w="40" w:type="dxa"/>
              <w:left w:w="40" w:type="dxa"/>
              <w:bottom w:w="40" w:type="dxa"/>
              <w:right w:w="40" w:type="dxa"/>
            </w:tcMar>
            <w:vAlign w:val="bottom"/>
          </w:tcPr>
          <w:p w14:paraId="4ACE69E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9E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9EA" w14:textId="77777777">
        <w:tc>
          <w:tcPr>
            <w:tcW w:w="0" w:type="auto"/>
            <w:shd w:val="clear" w:color="auto" w:fill="auto"/>
            <w:tcMar>
              <w:top w:w="40" w:type="dxa"/>
              <w:left w:w="40" w:type="dxa"/>
              <w:bottom w:w="40" w:type="dxa"/>
              <w:right w:w="40" w:type="dxa"/>
            </w:tcMar>
            <w:vAlign w:val="center"/>
          </w:tcPr>
          <w:p w14:paraId="4ACE69E7" w14:textId="77777777" w:rsidR="006F587A" w:rsidRDefault="007B2B61">
            <w:pPr>
              <w:textAlignment w:val="center"/>
              <w:rPr>
                <w:rFonts w:ascii="Times New Roman" w:hAnsi="Times New Roman"/>
                <w:sz w:val="18"/>
                <w:szCs w:val="18"/>
              </w:rPr>
            </w:pPr>
            <w:r>
              <w:rPr>
                <w:rFonts w:ascii="Arial" w:eastAsia="宋体" w:hAnsi="Arial" w:cs="Arial"/>
                <w:b/>
                <w:bCs/>
                <w:color w:val="333333"/>
                <w:sz w:val="18"/>
                <w:szCs w:val="18"/>
              </w:rPr>
              <w:t>Item 1.</w:t>
            </w:r>
          </w:p>
        </w:tc>
        <w:tc>
          <w:tcPr>
            <w:tcW w:w="0" w:type="auto"/>
            <w:shd w:val="clear" w:color="auto" w:fill="auto"/>
            <w:tcMar>
              <w:top w:w="40" w:type="dxa"/>
              <w:left w:w="40" w:type="dxa"/>
              <w:bottom w:w="40" w:type="dxa"/>
              <w:right w:w="40" w:type="dxa"/>
            </w:tcMar>
            <w:vAlign w:val="center"/>
          </w:tcPr>
          <w:p w14:paraId="4ACE69E8" w14:textId="77777777" w:rsidR="006F587A" w:rsidRDefault="007B2B61">
            <w:pPr>
              <w:textAlignment w:val="center"/>
              <w:rPr>
                <w:rFonts w:ascii="Times New Roman" w:hAnsi="Times New Roman"/>
                <w:sz w:val="18"/>
                <w:szCs w:val="18"/>
              </w:rPr>
            </w:pPr>
            <w:r>
              <w:rPr>
                <w:rFonts w:ascii="Arial" w:eastAsia="宋体" w:hAnsi="Arial" w:cs="Arial"/>
                <w:b/>
                <w:bCs/>
                <w:color w:val="333333"/>
                <w:sz w:val="18"/>
                <w:szCs w:val="18"/>
              </w:rPr>
              <w:t>Business:</w:t>
            </w:r>
          </w:p>
        </w:tc>
        <w:tc>
          <w:tcPr>
            <w:tcW w:w="0" w:type="auto"/>
            <w:shd w:val="clear" w:color="auto" w:fill="auto"/>
            <w:tcMar>
              <w:top w:w="40" w:type="dxa"/>
              <w:left w:w="40" w:type="dxa"/>
              <w:bottom w:w="40" w:type="dxa"/>
              <w:right w:w="40" w:type="dxa"/>
            </w:tcMar>
            <w:vAlign w:val="bottom"/>
          </w:tcPr>
          <w:p w14:paraId="4ACE69E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9EE" w14:textId="77777777">
        <w:tc>
          <w:tcPr>
            <w:tcW w:w="0" w:type="auto"/>
            <w:shd w:val="clear" w:color="auto" w:fill="auto"/>
            <w:tcMar>
              <w:top w:w="40" w:type="dxa"/>
              <w:left w:w="40" w:type="dxa"/>
              <w:bottom w:w="40" w:type="dxa"/>
              <w:right w:w="40" w:type="dxa"/>
            </w:tcMar>
            <w:vAlign w:val="bottom"/>
          </w:tcPr>
          <w:p w14:paraId="4ACE69E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0" w:type="dxa"/>
              <w:bottom w:w="40" w:type="dxa"/>
              <w:right w:w="40" w:type="dxa"/>
            </w:tcMar>
            <w:vAlign w:val="center"/>
          </w:tcPr>
          <w:p w14:paraId="4ACE69EC" w14:textId="77777777" w:rsidR="006F587A" w:rsidRDefault="007B2B61">
            <w:pPr>
              <w:textAlignment w:val="center"/>
              <w:rPr>
                <w:rFonts w:ascii="Times New Roman" w:hAnsi="Times New Roman"/>
                <w:sz w:val="18"/>
                <w:szCs w:val="18"/>
              </w:rPr>
            </w:pPr>
            <w:r>
              <w:rPr>
                <w:rFonts w:ascii="Arial" w:eastAsia="宋体" w:hAnsi="Arial" w:cs="Arial"/>
                <w:color w:val="333333"/>
                <w:sz w:val="18"/>
                <w:szCs w:val="18"/>
              </w:rPr>
              <w:t>General development of business</w:t>
            </w:r>
          </w:p>
        </w:tc>
        <w:tc>
          <w:tcPr>
            <w:tcW w:w="0" w:type="auto"/>
            <w:shd w:val="clear" w:color="auto" w:fill="auto"/>
            <w:tcMar>
              <w:top w:w="40" w:type="dxa"/>
              <w:left w:w="40" w:type="dxa"/>
              <w:bottom w:w="40" w:type="dxa"/>
              <w:right w:w="40" w:type="dxa"/>
            </w:tcMar>
            <w:vAlign w:val="center"/>
          </w:tcPr>
          <w:p w14:paraId="4ACE69ED" w14:textId="77777777" w:rsidR="006F587A" w:rsidRDefault="007B2B61">
            <w:pPr>
              <w:jc w:val="center"/>
              <w:textAlignment w:val="center"/>
              <w:rPr>
                <w:rFonts w:ascii="Times New Roman" w:hAnsi="Times New Roman"/>
                <w:sz w:val="18"/>
                <w:szCs w:val="18"/>
              </w:rPr>
            </w:pPr>
            <w:r>
              <w:rPr>
                <w:rFonts w:ascii="Arial" w:eastAsia="宋体" w:hAnsi="Arial" w:cs="Arial"/>
                <w:color w:val="333333"/>
                <w:sz w:val="18"/>
                <w:szCs w:val="18"/>
              </w:rPr>
              <w:t xml:space="preserve"> Pages </w:t>
            </w:r>
            <w:hyperlink r:id="rId240" w:anchor="sA8FA9EC0B71E5810B6989A266820485E" w:history="1">
              <w:r>
                <w:rPr>
                  <w:rStyle w:val="a5"/>
                  <w:rFonts w:ascii="Arial" w:eastAsia="宋体" w:hAnsi="Arial" w:cs="Arial"/>
                  <w:sz w:val="18"/>
                  <w:szCs w:val="18"/>
                </w:rPr>
                <w:t>3</w:t>
              </w:r>
            </w:hyperlink>
            <w:r>
              <w:rPr>
                <w:rFonts w:ascii="Arial" w:eastAsia="宋体" w:hAnsi="Arial" w:cs="Arial"/>
                <w:color w:val="333333"/>
                <w:sz w:val="18"/>
                <w:szCs w:val="18"/>
              </w:rPr>
              <w:t>-</w:t>
            </w:r>
            <w:hyperlink r:id="rId241" w:anchor="s6e088a9474334b89809b48e755d826bb" w:history="1">
              <w:r>
                <w:rPr>
                  <w:rStyle w:val="a5"/>
                  <w:rFonts w:ascii="Arial" w:eastAsia="宋体" w:hAnsi="Arial" w:cs="Arial"/>
                  <w:sz w:val="18"/>
                  <w:szCs w:val="18"/>
                </w:rPr>
                <w:t>7</w:t>
              </w:r>
            </w:hyperlink>
            <w:r>
              <w:rPr>
                <w:rFonts w:ascii="Arial" w:eastAsia="宋体" w:hAnsi="Arial" w:cs="Arial"/>
                <w:color w:val="333333"/>
                <w:sz w:val="18"/>
                <w:szCs w:val="18"/>
              </w:rPr>
              <w:t xml:space="preserve">, </w:t>
            </w:r>
            <w:hyperlink r:id="rId242" w:anchor="s82a0b0ea0fe74a59a18be7f044c47299" w:history="1">
              <w:r>
                <w:rPr>
                  <w:rStyle w:val="a5"/>
                  <w:rFonts w:ascii="Arial" w:eastAsia="宋体" w:hAnsi="Arial" w:cs="Arial"/>
                  <w:sz w:val="18"/>
                  <w:szCs w:val="18"/>
                </w:rPr>
                <w:t>16</w:t>
              </w:r>
            </w:hyperlink>
            <w:r>
              <w:rPr>
                <w:rFonts w:ascii="Arial" w:eastAsia="宋体" w:hAnsi="Arial" w:cs="Arial"/>
                <w:color w:val="333333"/>
                <w:sz w:val="18"/>
                <w:szCs w:val="18"/>
              </w:rPr>
              <w:t xml:space="preserve">, </w:t>
            </w:r>
            <w:hyperlink r:id="rId243" w:anchor="sA3AEA309873055D3AF83D4C86EA6A0DE" w:history="1">
              <w:r>
                <w:rPr>
                  <w:rStyle w:val="a5"/>
                  <w:rFonts w:ascii="Arial" w:eastAsia="宋体" w:hAnsi="Arial" w:cs="Arial"/>
                  <w:sz w:val="18"/>
                  <w:szCs w:val="18"/>
                </w:rPr>
                <w:t>64</w:t>
              </w:r>
            </w:hyperlink>
          </w:p>
        </w:tc>
      </w:tr>
      <w:tr w:rsidR="006F587A" w14:paraId="4ACE69F2" w14:textId="77777777">
        <w:tc>
          <w:tcPr>
            <w:tcW w:w="0" w:type="auto"/>
            <w:shd w:val="clear" w:color="auto" w:fill="auto"/>
            <w:tcMar>
              <w:top w:w="40" w:type="dxa"/>
              <w:left w:w="40" w:type="dxa"/>
              <w:bottom w:w="40" w:type="dxa"/>
              <w:right w:w="40" w:type="dxa"/>
            </w:tcMar>
            <w:vAlign w:val="bottom"/>
          </w:tcPr>
          <w:p w14:paraId="4ACE69E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0" w:type="dxa"/>
              <w:bottom w:w="40" w:type="dxa"/>
              <w:right w:w="40" w:type="dxa"/>
            </w:tcMar>
            <w:vAlign w:val="center"/>
          </w:tcPr>
          <w:p w14:paraId="4ACE69F0" w14:textId="77777777" w:rsidR="006F587A" w:rsidRDefault="007B2B61">
            <w:pPr>
              <w:textAlignment w:val="center"/>
              <w:rPr>
                <w:rFonts w:ascii="Times New Roman" w:hAnsi="Times New Roman"/>
                <w:sz w:val="18"/>
                <w:szCs w:val="18"/>
              </w:rPr>
            </w:pPr>
            <w:r>
              <w:rPr>
                <w:rFonts w:ascii="Arial" w:eastAsia="宋体" w:hAnsi="Arial" w:cs="Arial"/>
                <w:color w:val="333333"/>
                <w:sz w:val="18"/>
                <w:szCs w:val="18"/>
              </w:rPr>
              <w:t>Narrative description of business</w:t>
            </w:r>
          </w:p>
        </w:tc>
        <w:tc>
          <w:tcPr>
            <w:tcW w:w="0" w:type="auto"/>
            <w:shd w:val="clear" w:color="auto" w:fill="auto"/>
            <w:tcMar>
              <w:top w:w="40" w:type="dxa"/>
              <w:left w:w="40" w:type="dxa"/>
              <w:bottom w:w="40" w:type="dxa"/>
              <w:right w:w="40" w:type="dxa"/>
            </w:tcMar>
            <w:vAlign w:val="center"/>
          </w:tcPr>
          <w:p w14:paraId="4ACE69F1" w14:textId="77777777" w:rsidR="006F587A" w:rsidRDefault="007B2B61">
            <w:pPr>
              <w:jc w:val="center"/>
              <w:textAlignment w:val="center"/>
              <w:rPr>
                <w:rFonts w:ascii="Times New Roman" w:hAnsi="Times New Roman"/>
                <w:sz w:val="18"/>
                <w:szCs w:val="18"/>
              </w:rPr>
            </w:pPr>
            <w:r>
              <w:rPr>
                <w:rFonts w:ascii="Arial" w:eastAsia="宋体" w:hAnsi="Arial" w:cs="Arial"/>
                <w:color w:val="333333"/>
                <w:sz w:val="18"/>
                <w:szCs w:val="18"/>
              </w:rPr>
              <w:t xml:space="preserve">Pages </w:t>
            </w:r>
            <w:hyperlink r:id="rId244" w:anchor="sA8FA9EC0B71E5810B6989A266820485E" w:history="1">
              <w:r>
                <w:rPr>
                  <w:rStyle w:val="a5"/>
                  <w:rFonts w:ascii="Arial" w:eastAsia="宋体" w:hAnsi="Arial" w:cs="Arial"/>
                  <w:sz w:val="18"/>
                  <w:szCs w:val="18"/>
                </w:rPr>
                <w:t>3</w:t>
              </w:r>
            </w:hyperlink>
            <w:r>
              <w:rPr>
                <w:rFonts w:ascii="Arial" w:eastAsia="宋体" w:hAnsi="Arial" w:cs="Arial"/>
                <w:color w:val="333333"/>
                <w:sz w:val="18"/>
                <w:szCs w:val="18"/>
              </w:rPr>
              <w:t>-</w:t>
            </w:r>
            <w:hyperlink r:id="rId245" w:anchor="s05f8c82e82344b56ac95d57ffd3d3f47" w:history="1">
              <w:r>
                <w:rPr>
                  <w:rStyle w:val="a5"/>
                  <w:rFonts w:ascii="Arial" w:eastAsia="宋体" w:hAnsi="Arial" w:cs="Arial"/>
                  <w:sz w:val="18"/>
                  <w:szCs w:val="18"/>
                </w:rPr>
                <w:t>17</w:t>
              </w:r>
            </w:hyperlink>
            <w:r>
              <w:rPr>
                <w:rFonts w:ascii="Arial" w:eastAsia="宋体" w:hAnsi="Arial" w:cs="Arial"/>
                <w:color w:val="333333"/>
                <w:sz w:val="18"/>
                <w:szCs w:val="18"/>
              </w:rPr>
              <w:t xml:space="preserve">, </w:t>
            </w:r>
            <w:hyperlink r:id="rId246" w:anchor="s7F29C2BEEC2052CA864921421B23AB36" w:history="1">
              <w:r>
                <w:rPr>
                  <w:rStyle w:val="a5"/>
                  <w:rFonts w:ascii="Arial" w:eastAsia="宋体" w:hAnsi="Arial" w:cs="Arial"/>
                  <w:sz w:val="18"/>
                  <w:szCs w:val="18"/>
                </w:rPr>
                <w:t>18</w:t>
              </w:r>
            </w:hyperlink>
            <w:r>
              <w:rPr>
                <w:rFonts w:ascii="Arial" w:eastAsia="宋体" w:hAnsi="Arial" w:cs="Arial"/>
                <w:color w:val="333333"/>
                <w:sz w:val="18"/>
                <w:szCs w:val="18"/>
              </w:rPr>
              <w:t>-</w:t>
            </w:r>
            <w:hyperlink r:id="rId247" w:anchor="sB341BF677595519BA1AB456288E56845" w:history="1">
              <w:r>
                <w:rPr>
                  <w:rStyle w:val="a5"/>
                  <w:rFonts w:ascii="Arial" w:eastAsia="宋体" w:hAnsi="Arial" w:cs="Arial"/>
                  <w:sz w:val="18"/>
                  <w:szCs w:val="18"/>
                </w:rPr>
                <w:t>34</w:t>
              </w:r>
            </w:hyperlink>
            <w:r>
              <w:rPr>
                <w:rFonts w:ascii="Arial" w:eastAsia="宋体" w:hAnsi="Arial" w:cs="Arial"/>
                <w:color w:val="333333"/>
                <w:sz w:val="18"/>
                <w:szCs w:val="18"/>
              </w:rPr>
              <w:t xml:space="preserve">, </w:t>
            </w:r>
            <w:hyperlink r:id="rId248" w:anchor="s383ABEB367D25C0E9DDE4233F523CF74" w:history="1">
              <w:r>
                <w:rPr>
                  <w:rStyle w:val="a5"/>
                  <w:rFonts w:ascii="Arial" w:eastAsia="宋体" w:hAnsi="Arial" w:cs="Arial"/>
                  <w:sz w:val="18"/>
                  <w:szCs w:val="18"/>
                </w:rPr>
                <w:t>48</w:t>
              </w:r>
            </w:hyperlink>
            <w:r>
              <w:rPr>
                <w:rFonts w:ascii="Arial" w:eastAsia="宋体" w:hAnsi="Arial" w:cs="Arial"/>
                <w:color w:val="333333"/>
                <w:sz w:val="18"/>
                <w:szCs w:val="18"/>
              </w:rPr>
              <w:t>-</w:t>
            </w:r>
            <w:hyperlink r:id="rId249" w:anchor="sA8D10485AA70510891F9215D18AE3B66" w:history="1">
              <w:r>
                <w:rPr>
                  <w:rStyle w:val="a5"/>
                  <w:rFonts w:ascii="Arial" w:eastAsia="宋体" w:hAnsi="Arial" w:cs="Arial"/>
                  <w:sz w:val="18"/>
                  <w:szCs w:val="18"/>
                </w:rPr>
                <w:t>49</w:t>
              </w:r>
            </w:hyperlink>
            <w:r>
              <w:rPr>
                <w:rFonts w:ascii="Arial" w:eastAsia="宋体" w:hAnsi="Arial" w:cs="Arial"/>
                <w:color w:val="333333"/>
                <w:sz w:val="18"/>
                <w:szCs w:val="18"/>
              </w:rPr>
              <w:t xml:space="preserve">, </w:t>
            </w:r>
            <w:hyperlink r:id="rId250" w:anchor="s3C48D385ABC15C03922C625A024E98D9" w:history="1">
              <w:r>
                <w:rPr>
                  <w:rStyle w:val="a5"/>
                  <w:rFonts w:ascii="Arial" w:eastAsia="宋体" w:hAnsi="Arial" w:cs="Arial"/>
                  <w:sz w:val="18"/>
                  <w:szCs w:val="18"/>
                </w:rPr>
                <w:t>63</w:t>
              </w:r>
            </w:hyperlink>
            <w:r>
              <w:rPr>
                <w:rFonts w:ascii="Arial" w:eastAsia="宋体" w:hAnsi="Arial" w:cs="Arial"/>
                <w:color w:val="333333"/>
                <w:sz w:val="18"/>
                <w:szCs w:val="18"/>
              </w:rPr>
              <w:t xml:space="preserve">, </w:t>
            </w:r>
            <w:hyperlink r:id="rId251" w:anchor="sA80E8856BA555B5485BFF78CB558C074" w:history="1">
              <w:r>
                <w:rPr>
                  <w:rStyle w:val="a5"/>
                  <w:rFonts w:ascii="Arial" w:eastAsia="宋体" w:hAnsi="Arial" w:cs="Arial"/>
                  <w:sz w:val="18"/>
                  <w:szCs w:val="18"/>
                </w:rPr>
                <w:t>81</w:t>
              </w:r>
            </w:hyperlink>
            <w:r>
              <w:rPr>
                <w:rFonts w:ascii="Arial" w:eastAsia="宋体" w:hAnsi="Arial" w:cs="Arial"/>
                <w:color w:val="333333"/>
                <w:sz w:val="18"/>
                <w:szCs w:val="18"/>
              </w:rPr>
              <w:t>-</w:t>
            </w:r>
            <w:hyperlink r:id="rId252" w:anchor="s3051E6E9D2055C99BAFB849C1B18A76C" w:history="1">
              <w:r>
                <w:rPr>
                  <w:rStyle w:val="a5"/>
                  <w:rFonts w:ascii="Arial" w:eastAsia="宋体" w:hAnsi="Arial" w:cs="Arial"/>
                  <w:sz w:val="18"/>
                  <w:szCs w:val="18"/>
                </w:rPr>
                <w:t>83</w:t>
              </w:r>
            </w:hyperlink>
          </w:p>
        </w:tc>
      </w:tr>
      <w:tr w:rsidR="006F587A" w14:paraId="4ACE69F6" w14:textId="77777777">
        <w:tc>
          <w:tcPr>
            <w:tcW w:w="0" w:type="auto"/>
            <w:shd w:val="clear" w:color="auto" w:fill="auto"/>
            <w:tcMar>
              <w:top w:w="40" w:type="dxa"/>
              <w:left w:w="40" w:type="dxa"/>
              <w:bottom w:w="40" w:type="dxa"/>
              <w:right w:w="40" w:type="dxa"/>
            </w:tcMar>
            <w:vAlign w:val="bottom"/>
          </w:tcPr>
          <w:p w14:paraId="4ACE69F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0" w:type="dxa"/>
              <w:bottom w:w="40" w:type="dxa"/>
              <w:right w:w="40" w:type="dxa"/>
            </w:tcMar>
            <w:vAlign w:val="center"/>
          </w:tcPr>
          <w:p w14:paraId="4ACE69F4" w14:textId="77777777" w:rsidR="006F587A" w:rsidRDefault="007B2B61">
            <w:pPr>
              <w:textAlignment w:val="center"/>
              <w:rPr>
                <w:rFonts w:ascii="Times New Roman" w:hAnsi="Times New Roman"/>
                <w:sz w:val="18"/>
                <w:szCs w:val="18"/>
              </w:rPr>
            </w:pPr>
            <w:r>
              <w:rPr>
                <w:rFonts w:ascii="Arial" w:eastAsia="宋体" w:hAnsi="Arial" w:cs="Arial"/>
                <w:color w:val="333333"/>
                <w:sz w:val="18"/>
                <w:szCs w:val="18"/>
              </w:rPr>
              <w:t>Available information</w:t>
            </w:r>
          </w:p>
        </w:tc>
        <w:tc>
          <w:tcPr>
            <w:tcW w:w="0" w:type="auto"/>
            <w:shd w:val="clear" w:color="auto" w:fill="auto"/>
            <w:tcMar>
              <w:top w:w="40" w:type="dxa"/>
              <w:left w:w="40" w:type="dxa"/>
              <w:bottom w:w="40" w:type="dxa"/>
              <w:right w:w="40" w:type="dxa"/>
            </w:tcMar>
            <w:vAlign w:val="center"/>
          </w:tcPr>
          <w:p w14:paraId="4ACE69F5" w14:textId="77777777" w:rsidR="006F587A" w:rsidRDefault="007B2B61">
            <w:pPr>
              <w:jc w:val="center"/>
              <w:textAlignment w:val="center"/>
              <w:rPr>
                <w:rFonts w:ascii="Times New Roman" w:hAnsi="Times New Roman"/>
                <w:sz w:val="18"/>
                <w:szCs w:val="18"/>
              </w:rPr>
            </w:pPr>
            <w:r>
              <w:rPr>
                <w:rFonts w:ascii="Arial" w:eastAsia="宋体" w:hAnsi="Arial" w:cs="Arial"/>
                <w:color w:val="333333"/>
                <w:sz w:val="18"/>
                <w:szCs w:val="18"/>
              </w:rPr>
              <w:t xml:space="preserve">Page </w:t>
            </w:r>
            <w:hyperlink r:id="rId253" w:anchor="sA3AEA309873055D3AF83D4C86EA6A0DE" w:history="1">
              <w:r>
                <w:rPr>
                  <w:rStyle w:val="a5"/>
                  <w:rFonts w:ascii="Arial" w:eastAsia="宋体" w:hAnsi="Arial" w:cs="Arial"/>
                  <w:sz w:val="18"/>
                  <w:szCs w:val="18"/>
                </w:rPr>
                <w:t>64</w:t>
              </w:r>
            </w:hyperlink>
          </w:p>
        </w:tc>
      </w:tr>
      <w:tr w:rsidR="006F587A" w14:paraId="4ACE69FA" w14:textId="77777777">
        <w:tc>
          <w:tcPr>
            <w:tcW w:w="0" w:type="auto"/>
            <w:shd w:val="clear" w:color="auto" w:fill="auto"/>
            <w:tcMar>
              <w:top w:w="40" w:type="dxa"/>
              <w:left w:w="40" w:type="dxa"/>
              <w:bottom w:w="40" w:type="dxa"/>
              <w:right w:w="40" w:type="dxa"/>
            </w:tcMar>
            <w:vAlign w:val="center"/>
          </w:tcPr>
          <w:p w14:paraId="4ACE69F7" w14:textId="77777777" w:rsidR="006F587A" w:rsidRDefault="007B2B61">
            <w:pPr>
              <w:textAlignment w:val="center"/>
              <w:rPr>
                <w:rFonts w:ascii="Times New Roman" w:hAnsi="Times New Roman"/>
                <w:sz w:val="18"/>
                <w:szCs w:val="18"/>
              </w:rPr>
            </w:pPr>
            <w:r>
              <w:rPr>
                <w:rFonts w:ascii="Arial" w:eastAsia="宋体" w:hAnsi="Arial" w:cs="Arial"/>
                <w:b/>
                <w:bCs/>
                <w:color w:val="333333"/>
                <w:sz w:val="18"/>
                <w:szCs w:val="18"/>
              </w:rPr>
              <w:t>Item 1A</w:t>
            </w: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center"/>
          </w:tcPr>
          <w:p w14:paraId="4ACE69F8" w14:textId="77777777" w:rsidR="006F587A" w:rsidRDefault="007B2B61">
            <w:pPr>
              <w:textAlignment w:val="center"/>
              <w:rPr>
                <w:rFonts w:ascii="Times New Roman" w:hAnsi="Times New Roman"/>
                <w:sz w:val="18"/>
                <w:szCs w:val="18"/>
              </w:rPr>
            </w:pPr>
            <w:r>
              <w:rPr>
                <w:rFonts w:ascii="Arial" w:eastAsia="宋体" w:hAnsi="Arial" w:cs="Arial"/>
                <w:b/>
                <w:bCs/>
                <w:color w:val="333333"/>
                <w:sz w:val="18"/>
                <w:szCs w:val="18"/>
              </w:rPr>
              <w:t>Risk Factors</w:t>
            </w:r>
          </w:p>
        </w:tc>
        <w:tc>
          <w:tcPr>
            <w:tcW w:w="0" w:type="auto"/>
            <w:shd w:val="clear" w:color="auto" w:fill="auto"/>
            <w:tcMar>
              <w:top w:w="40" w:type="dxa"/>
              <w:left w:w="40" w:type="dxa"/>
              <w:bottom w:w="40" w:type="dxa"/>
              <w:right w:w="40" w:type="dxa"/>
            </w:tcMar>
            <w:vAlign w:val="center"/>
          </w:tcPr>
          <w:p w14:paraId="4ACE69F9" w14:textId="77777777" w:rsidR="006F587A" w:rsidRDefault="007B2B61">
            <w:pPr>
              <w:jc w:val="center"/>
              <w:textAlignment w:val="center"/>
              <w:rPr>
                <w:rFonts w:ascii="Times New Roman" w:hAnsi="Times New Roman"/>
                <w:sz w:val="18"/>
                <w:szCs w:val="18"/>
              </w:rPr>
            </w:pPr>
            <w:r>
              <w:rPr>
                <w:rFonts w:ascii="Arial" w:eastAsia="宋体" w:hAnsi="Arial" w:cs="Arial"/>
                <w:color w:val="333333"/>
                <w:sz w:val="18"/>
                <w:szCs w:val="18"/>
              </w:rPr>
              <w:t xml:space="preserve">Pages </w:t>
            </w:r>
            <w:hyperlink r:id="rId254" w:anchor="s39DB3D4C16C758BA87594547F48EF725" w:history="1">
              <w:r>
                <w:rPr>
                  <w:rStyle w:val="a5"/>
                  <w:rFonts w:ascii="Arial" w:eastAsia="宋体" w:hAnsi="Arial" w:cs="Arial"/>
                  <w:sz w:val="18"/>
                  <w:szCs w:val="18"/>
                </w:rPr>
                <w:t>50</w:t>
              </w:r>
            </w:hyperlink>
            <w:r>
              <w:rPr>
                <w:rFonts w:ascii="Arial" w:eastAsia="宋体" w:hAnsi="Arial" w:cs="Arial"/>
                <w:color w:val="333333"/>
                <w:sz w:val="18"/>
                <w:szCs w:val="18"/>
              </w:rPr>
              <w:t>-</w:t>
            </w:r>
            <w:hyperlink r:id="rId255" w:anchor="s0D48719EA96D5FBFB67257D6D50DFA2E" w:history="1">
              <w:r>
                <w:rPr>
                  <w:rStyle w:val="a5"/>
                  <w:rFonts w:ascii="Arial" w:eastAsia="宋体" w:hAnsi="Arial" w:cs="Arial"/>
                  <w:sz w:val="18"/>
                  <w:szCs w:val="18"/>
                </w:rPr>
                <w:t>60</w:t>
              </w:r>
            </w:hyperlink>
          </w:p>
        </w:tc>
      </w:tr>
      <w:tr w:rsidR="006F587A" w14:paraId="4ACE69FE" w14:textId="77777777">
        <w:tc>
          <w:tcPr>
            <w:tcW w:w="0" w:type="auto"/>
            <w:shd w:val="clear" w:color="auto" w:fill="auto"/>
            <w:tcMar>
              <w:top w:w="40" w:type="dxa"/>
              <w:left w:w="40" w:type="dxa"/>
              <w:bottom w:w="40" w:type="dxa"/>
              <w:right w:w="40" w:type="dxa"/>
            </w:tcMar>
            <w:vAlign w:val="center"/>
          </w:tcPr>
          <w:p w14:paraId="4ACE69FB" w14:textId="77777777" w:rsidR="006F587A" w:rsidRDefault="007B2B61">
            <w:pPr>
              <w:textAlignment w:val="center"/>
              <w:rPr>
                <w:rFonts w:ascii="Times New Roman" w:hAnsi="Times New Roman"/>
                <w:sz w:val="18"/>
                <w:szCs w:val="18"/>
              </w:rPr>
            </w:pPr>
            <w:r>
              <w:rPr>
                <w:rFonts w:ascii="Arial" w:eastAsia="宋体" w:hAnsi="Arial" w:cs="Arial"/>
                <w:b/>
                <w:bCs/>
                <w:color w:val="333333"/>
                <w:sz w:val="18"/>
                <w:szCs w:val="18"/>
              </w:rPr>
              <w:t>Item 1B.</w:t>
            </w:r>
          </w:p>
        </w:tc>
        <w:tc>
          <w:tcPr>
            <w:tcW w:w="0" w:type="auto"/>
            <w:shd w:val="clear" w:color="auto" w:fill="auto"/>
            <w:tcMar>
              <w:top w:w="40" w:type="dxa"/>
              <w:left w:w="40" w:type="dxa"/>
              <w:bottom w:w="40" w:type="dxa"/>
              <w:right w:w="40" w:type="dxa"/>
            </w:tcMar>
            <w:vAlign w:val="center"/>
          </w:tcPr>
          <w:p w14:paraId="4ACE69FC" w14:textId="77777777" w:rsidR="006F587A" w:rsidRDefault="007B2B61">
            <w:pPr>
              <w:textAlignment w:val="center"/>
              <w:rPr>
                <w:rFonts w:ascii="Times New Roman" w:hAnsi="Times New Roman"/>
                <w:sz w:val="18"/>
                <w:szCs w:val="18"/>
              </w:rPr>
            </w:pPr>
            <w:r>
              <w:rPr>
                <w:rFonts w:ascii="Arial" w:eastAsia="宋体" w:hAnsi="Arial" w:cs="Arial"/>
                <w:b/>
                <w:bCs/>
                <w:color w:val="333333"/>
                <w:sz w:val="18"/>
                <w:szCs w:val="18"/>
              </w:rPr>
              <w:t>Unresolved Staff Comments</w:t>
            </w:r>
          </w:p>
        </w:tc>
        <w:tc>
          <w:tcPr>
            <w:tcW w:w="0" w:type="auto"/>
            <w:shd w:val="clear" w:color="auto" w:fill="auto"/>
            <w:tcMar>
              <w:top w:w="40" w:type="dxa"/>
              <w:left w:w="40" w:type="dxa"/>
              <w:bottom w:w="40" w:type="dxa"/>
              <w:right w:w="40" w:type="dxa"/>
            </w:tcMar>
            <w:vAlign w:val="center"/>
          </w:tcPr>
          <w:p w14:paraId="4ACE69FD" w14:textId="77777777" w:rsidR="006F587A" w:rsidRDefault="007B2B61">
            <w:pPr>
              <w:jc w:val="center"/>
              <w:textAlignment w:val="center"/>
              <w:rPr>
                <w:rFonts w:ascii="Times New Roman" w:hAnsi="Times New Roman"/>
                <w:sz w:val="18"/>
                <w:szCs w:val="18"/>
              </w:rPr>
            </w:pPr>
            <w:r>
              <w:rPr>
                <w:rFonts w:ascii="Arial" w:eastAsia="宋体" w:hAnsi="Arial" w:cs="Arial"/>
                <w:color w:val="333333"/>
                <w:sz w:val="18"/>
                <w:szCs w:val="18"/>
              </w:rPr>
              <w:t>Not applicable</w:t>
            </w:r>
          </w:p>
        </w:tc>
      </w:tr>
      <w:tr w:rsidR="006F587A" w14:paraId="4ACE6A02" w14:textId="77777777">
        <w:tc>
          <w:tcPr>
            <w:tcW w:w="0" w:type="auto"/>
            <w:shd w:val="clear" w:color="auto" w:fill="auto"/>
            <w:tcMar>
              <w:top w:w="40" w:type="dxa"/>
              <w:left w:w="40" w:type="dxa"/>
              <w:bottom w:w="40" w:type="dxa"/>
              <w:right w:w="40" w:type="dxa"/>
            </w:tcMar>
            <w:vAlign w:val="center"/>
          </w:tcPr>
          <w:p w14:paraId="4ACE69FF" w14:textId="77777777" w:rsidR="006F587A" w:rsidRDefault="007B2B61">
            <w:pPr>
              <w:textAlignment w:val="center"/>
              <w:rPr>
                <w:rFonts w:ascii="Times New Roman" w:hAnsi="Times New Roman"/>
                <w:sz w:val="18"/>
                <w:szCs w:val="18"/>
              </w:rPr>
            </w:pPr>
            <w:r>
              <w:rPr>
                <w:rFonts w:ascii="Arial" w:eastAsia="宋体" w:hAnsi="Arial" w:cs="Arial"/>
                <w:b/>
                <w:bCs/>
                <w:color w:val="333333"/>
                <w:sz w:val="18"/>
                <w:szCs w:val="18"/>
              </w:rPr>
              <w:t>Item 2.</w:t>
            </w:r>
          </w:p>
        </w:tc>
        <w:tc>
          <w:tcPr>
            <w:tcW w:w="0" w:type="auto"/>
            <w:shd w:val="clear" w:color="auto" w:fill="auto"/>
            <w:tcMar>
              <w:top w:w="40" w:type="dxa"/>
              <w:left w:w="40" w:type="dxa"/>
              <w:bottom w:w="40" w:type="dxa"/>
              <w:right w:w="40" w:type="dxa"/>
            </w:tcMar>
            <w:vAlign w:val="center"/>
          </w:tcPr>
          <w:p w14:paraId="4ACE6A00" w14:textId="77777777" w:rsidR="006F587A" w:rsidRDefault="007B2B61">
            <w:pPr>
              <w:textAlignment w:val="center"/>
              <w:rPr>
                <w:rFonts w:ascii="Times New Roman" w:hAnsi="Times New Roman"/>
                <w:sz w:val="18"/>
                <w:szCs w:val="18"/>
              </w:rPr>
            </w:pPr>
            <w:r>
              <w:rPr>
                <w:rFonts w:ascii="Arial" w:eastAsia="宋体" w:hAnsi="Arial" w:cs="Arial"/>
                <w:b/>
                <w:bCs/>
                <w:color w:val="333333"/>
                <w:sz w:val="18"/>
                <w:szCs w:val="18"/>
              </w:rPr>
              <w:t>Properties</w:t>
            </w:r>
          </w:p>
        </w:tc>
        <w:tc>
          <w:tcPr>
            <w:tcW w:w="0" w:type="auto"/>
            <w:shd w:val="clear" w:color="auto" w:fill="auto"/>
            <w:tcMar>
              <w:top w:w="40" w:type="dxa"/>
              <w:left w:w="40" w:type="dxa"/>
              <w:bottom w:w="40" w:type="dxa"/>
              <w:right w:w="40" w:type="dxa"/>
            </w:tcMar>
            <w:vAlign w:val="center"/>
          </w:tcPr>
          <w:p w14:paraId="4ACE6A01" w14:textId="77777777" w:rsidR="006F587A" w:rsidRDefault="007B2B61">
            <w:pPr>
              <w:jc w:val="center"/>
              <w:textAlignment w:val="center"/>
              <w:rPr>
                <w:rFonts w:ascii="Times New Roman" w:hAnsi="Times New Roman"/>
                <w:sz w:val="18"/>
                <w:szCs w:val="18"/>
              </w:rPr>
            </w:pPr>
            <w:r>
              <w:rPr>
                <w:rFonts w:ascii="Arial" w:eastAsia="宋体" w:hAnsi="Arial" w:cs="Arial"/>
                <w:color w:val="333333"/>
                <w:sz w:val="18"/>
                <w:szCs w:val="18"/>
              </w:rPr>
              <w:t xml:space="preserve">Pages </w:t>
            </w:r>
            <w:hyperlink r:id="rId256" w:anchor="s22149B4BCA6E538BA9EC542E37D8B996" w:history="1">
              <w:r>
                <w:rPr>
                  <w:rStyle w:val="a5"/>
                  <w:rFonts w:ascii="Arial" w:eastAsia="宋体" w:hAnsi="Arial" w:cs="Arial"/>
                  <w:sz w:val="18"/>
                  <w:szCs w:val="18"/>
                </w:rPr>
                <w:t>11</w:t>
              </w:r>
            </w:hyperlink>
            <w:r>
              <w:rPr>
                <w:rFonts w:ascii="Arial" w:eastAsia="宋体" w:hAnsi="Arial" w:cs="Arial"/>
                <w:color w:val="333333"/>
                <w:sz w:val="18"/>
                <w:szCs w:val="18"/>
              </w:rPr>
              <w:t xml:space="preserve">, </w:t>
            </w:r>
            <w:hyperlink r:id="rId257" w:anchor="s6D25595F544A5265A3CEBC2B8151388D" w:history="1">
              <w:r>
                <w:rPr>
                  <w:rStyle w:val="a5"/>
                  <w:rFonts w:ascii="Arial" w:eastAsia="宋体" w:hAnsi="Arial" w:cs="Arial"/>
                  <w:sz w:val="18"/>
                  <w:szCs w:val="18"/>
                </w:rPr>
                <w:t>61</w:t>
              </w:r>
            </w:hyperlink>
          </w:p>
        </w:tc>
      </w:tr>
      <w:tr w:rsidR="006F587A" w14:paraId="4ACE6A06" w14:textId="77777777">
        <w:tc>
          <w:tcPr>
            <w:tcW w:w="0" w:type="auto"/>
            <w:shd w:val="clear" w:color="auto" w:fill="auto"/>
            <w:tcMar>
              <w:top w:w="40" w:type="dxa"/>
              <w:left w:w="40" w:type="dxa"/>
              <w:bottom w:w="40" w:type="dxa"/>
              <w:right w:w="40" w:type="dxa"/>
            </w:tcMar>
            <w:vAlign w:val="center"/>
          </w:tcPr>
          <w:p w14:paraId="4ACE6A03" w14:textId="77777777" w:rsidR="006F587A" w:rsidRDefault="007B2B61">
            <w:pPr>
              <w:textAlignment w:val="center"/>
              <w:rPr>
                <w:rFonts w:ascii="Times New Roman" w:hAnsi="Times New Roman"/>
                <w:sz w:val="18"/>
                <w:szCs w:val="18"/>
              </w:rPr>
            </w:pPr>
            <w:r>
              <w:rPr>
                <w:rFonts w:ascii="Arial" w:eastAsia="宋体" w:hAnsi="Arial" w:cs="Arial"/>
                <w:b/>
                <w:bCs/>
                <w:color w:val="333333"/>
                <w:sz w:val="18"/>
                <w:szCs w:val="18"/>
              </w:rPr>
              <w:t>Item 3.</w:t>
            </w:r>
          </w:p>
        </w:tc>
        <w:tc>
          <w:tcPr>
            <w:tcW w:w="0" w:type="auto"/>
            <w:shd w:val="clear" w:color="auto" w:fill="auto"/>
            <w:tcMar>
              <w:top w:w="40" w:type="dxa"/>
              <w:left w:w="40" w:type="dxa"/>
              <w:bottom w:w="40" w:type="dxa"/>
              <w:right w:w="40" w:type="dxa"/>
            </w:tcMar>
            <w:vAlign w:val="center"/>
          </w:tcPr>
          <w:p w14:paraId="4ACE6A04" w14:textId="77777777" w:rsidR="006F587A" w:rsidRDefault="007B2B61">
            <w:pPr>
              <w:textAlignment w:val="center"/>
              <w:rPr>
                <w:rFonts w:ascii="Times New Roman" w:hAnsi="Times New Roman"/>
                <w:sz w:val="18"/>
                <w:szCs w:val="18"/>
              </w:rPr>
            </w:pPr>
            <w:r>
              <w:rPr>
                <w:rFonts w:ascii="Arial" w:eastAsia="宋体" w:hAnsi="Arial" w:cs="Arial"/>
                <w:b/>
                <w:bCs/>
                <w:color w:val="333333"/>
                <w:sz w:val="18"/>
                <w:szCs w:val="18"/>
              </w:rPr>
              <w:t>Legal Proceedings</w:t>
            </w:r>
          </w:p>
        </w:tc>
        <w:tc>
          <w:tcPr>
            <w:tcW w:w="0" w:type="auto"/>
            <w:shd w:val="clear" w:color="auto" w:fill="auto"/>
            <w:tcMar>
              <w:top w:w="40" w:type="dxa"/>
              <w:left w:w="40" w:type="dxa"/>
              <w:bottom w:w="40" w:type="dxa"/>
              <w:right w:w="40" w:type="dxa"/>
            </w:tcMar>
            <w:vAlign w:val="center"/>
          </w:tcPr>
          <w:p w14:paraId="4ACE6A05" w14:textId="77777777" w:rsidR="006F587A" w:rsidRDefault="007B2B61">
            <w:pPr>
              <w:jc w:val="center"/>
              <w:textAlignment w:val="center"/>
              <w:rPr>
                <w:rFonts w:ascii="Times New Roman" w:hAnsi="Times New Roman"/>
                <w:sz w:val="18"/>
                <w:szCs w:val="18"/>
              </w:rPr>
            </w:pPr>
            <w:r>
              <w:rPr>
                <w:rFonts w:ascii="Arial" w:eastAsia="宋体" w:hAnsi="Arial" w:cs="Arial"/>
                <w:color w:val="333333"/>
                <w:sz w:val="18"/>
                <w:szCs w:val="18"/>
              </w:rPr>
              <w:t xml:space="preserve">Pages </w:t>
            </w:r>
            <w:hyperlink r:id="rId258" w:anchor="s0C822AC9281655CE96C807210975AFB1" w:history="1">
              <w:r>
                <w:rPr>
                  <w:rStyle w:val="a5"/>
                  <w:rFonts w:ascii="Arial" w:eastAsia="宋体" w:hAnsi="Arial" w:cs="Arial"/>
                  <w:sz w:val="18"/>
                  <w:szCs w:val="18"/>
                </w:rPr>
                <w:t>107</w:t>
              </w:r>
            </w:hyperlink>
            <w:r>
              <w:rPr>
                <w:rFonts w:ascii="Arial" w:eastAsia="宋体" w:hAnsi="Arial" w:cs="Arial"/>
                <w:color w:val="333333"/>
                <w:sz w:val="18"/>
                <w:szCs w:val="18"/>
              </w:rPr>
              <w:t>-</w:t>
            </w:r>
            <w:hyperlink r:id="rId259" w:anchor="sDFDF6F9B542A5BD4BADC3DE9E20283A0" w:history="1">
              <w:r>
                <w:rPr>
                  <w:rStyle w:val="a5"/>
                  <w:rFonts w:ascii="Arial" w:eastAsia="宋体" w:hAnsi="Arial" w:cs="Arial"/>
                  <w:sz w:val="18"/>
                  <w:szCs w:val="18"/>
                </w:rPr>
                <w:t>108</w:t>
              </w:r>
            </w:hyperlink>
          </w:p>
        </w:tc>
      </w:tr>
      <w:tr w:rsidR="006F587A" w14:paraId="4ACE6A0A" w14:textId="77777777">
        <w:tc>
          <w:tcPr>
            <w:tcW w:w="0" w:type="auto"/>
            <w:tcBorders>
              <w:bottom w:val="single" w:sz="8" w:space="0" w:color="0071C5"/>
            </w:tcBorders>
            <w:shd w:val="clear" w:color="auto" w:fill="auto"/>
            <w:tcMar>
              <w:top w:w="40" w:type="dxa"/>
              <w:left w:w="40" w:type="dxa"/>
              <w:bottom w:w="40" w:type="dxa"/>
              <w:right w:w="40" w:type="dxa"/>
            </w:tcMar>
            <w:vAlign w:val="center"/>
          </w:tcPr>
          <w:p w14:paraId="4ACE6A07" w14:textId="77777777" w:rsidR="006F587A" w:rsidRDefault="007B2B61">
            <w:pPr>
              <w:textAlignment w:val="center"/>
              <w:rPr>
                <w:rFonts w:ascii="Times New Roman" w:hAnsi="Times New Roman"/>
                <w:sz w:val="18"/>
                <w:szCs w:val="18"/>
              </w:rPr>
            </w:pPr>
            <w:r>
              <w:rPr>
                <w:rFonts w:ascii="Arial" w:eastAsia="宋体" w:hAnsi="Arial" w:cs="Arial"/>
                <w:b/>
                <w:bCs/>
                <w:color w:val="333333"/>
                <w:sz w:val="18"/>
                <w:szCs w:val="18"/>
              </w:rPr>
              <w:t>Item 4.</w:t>
            </w:r>
          </w:p>
        </w:tc>
        <w:tc>
          <w:tcPr>
            <w:tcW w:w="0" w:type="auto"/>
            <w:tcBorders>
              <w:bottom w:val="single" w:sz="8" w:space="0" w:color="0071C5"/>
            </w:tcBorders>
            <w:shd w:val="clear" w:color="auto" w:fill="auto"/>
            <w:tcMar>
              <w:top w:w="40" w:type="dxa"/>
              <w:left w:w="40" w:type="dxa"/>
              <w:bottom w:w="40" w:type="dxa"/>
              <w:right w:w="40" w:type="dxa"/>
            </w:tcMar>
            <w:vAlign w:val="center"/>
          </w:tcPr>
          <w:p w14:paraId="4ACE6A08" w14:textId="77777777" w:rsidR="006F587A" w:rsidRDefault="007B2B61">
            <w:pPr>
              <w:textAlignment w:val="center"/>
              <w:rPr>
                <w:rFonts w:ascii="Times New Roman" w:hAnsi="Times New Roman"/>
                <w:sz w:val="18"/>
                <w:szCs w:val="18"/>
              </w:rPr>
            </w:pPr>
            <w:r>
              <w:rPr>
                <w:rFonts w:ascii="Arial" w:eastAsia="宋体" w:hAnsi="Arial" w:cs="Arial"/>
                <w:b/>
                <w:bCs/>
                <w:color w:val="333333"/>
                <w:sz w:val="18"/>
                <w:szCs w:val="18"/>
              </w:rPr>
              <w:t>Mine Safety Disclosures</w:t>
            </w:r>
          </w:p>
        </w:tc>
        <w:tc>
          <w:tcPr>
            <w:tcW w:w="0" w:type="auto"/>
            <w:tcBorders>
              <w:bottom w:val="single" w:sz="8" w:space="0" w:color="0071C5"/>
            </w:tcBorders>
            <w:shd w:val="clear" w:color="auto" w:fill="auto"/>
            <w:tcMar>
              <w:top w:w="40" w:type="dxa"/>
              <w:left w:w="40" w:type="dxa"/>
              <w:bottom w:w="40" w:type="dxa"/>
              <w:right w:w="40" w:type="dxa"/>
            </w:tcMar>
            <w:vAlign w:val="center"/>
          </w:tcPr>
          <w:p w14:paraId="4ACE6A09" w14:textId="77777777" w:rsidR="006F587A" w:rsidRDefault="007B2B61">
            <w:pPr>
              <w:jc w:val="center"/>
              <w:textAlignment w:val="center"/>
              <w:rPr>
                <w:rFonts w:ascii="Times New Roman" w:hAnsi="Times New Roman"/>
                <w:sz w:val="18"/>
                <w:szCs w:val="18"/>
              </w:rPr>
            </w:pPr>
            <w:r>
              <w:rPr>
                <w:rFonts w:ascii="Arial" w:eastAsia="宋体" w:hAnsi="Arial" w:cs="Arial"/>
                <w:color w:val="333333"/>
                <w:sz w:val="18"/>
                <w:szCs w:val="18"/>
              </w:rPr>
              <w:t>Not applicable</w:t>
            </w:r>
          </w:p>
        </w:tc>
      </w:tr>
      <w:tr w:rsidR="006F587A" w14:paraId="4ACE6A0E" w14:textId="77777777">
        <w:tc>
          <w:tcPr>
            <w:tcW w:w="0" w:type="auto"/>
            <w:shd w:val="clear" w:color="auto" w:fill="auto"/>
            <w:tcMar>
              <w:top w:w="40" w:type="dxa"/>
              <w:left w:w="40" w:type="dxa"/>
              <w:bottom w:w="40" w:type="dxa"/>
              <w:right w:w="40" w:type="dxa"/>
            </w:tcMar>
            <w:vAlign w:val="bottom"/>
          </w:tcPr>
          <w:p w14:paraId="4ACE6A0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A0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A0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A12" w14:textId="77777777">
        <w:tc>
          <w:tcPr>
            <w:tcW w:w="0" w:type="auto"/>
            <w:shd w:val="clear" w:color="auto" w:fill="auto"/>
            <w:tcMar>
              <w:top w:w="40" w:type="dxa"/>
              <w:left w:w="40" w:type="dxa"/>
              <w:bottom w:w="40" w:type="dxa"/>
              <w:right w:w="40" w:type="dxa"/>
            </w:tcMar>
            <w:vAlign w:val="center"/>
          </w:tcPr>
          <w:p w14:paraId="4ACE6A0F" w14:textId="77777777" w:rsidR="006F587A" w:rsidRDefault="007B2B61">
            <w:pPr>
              <w:textAlignment w:val="center"/>
              <w:rPr>
                <w:rFonts w:ascii="Times New Roman" w:hAnsi="Times New Roman"/>
                <w:sz w:val="18"/>
                <w:szCs w:val="18"/>
              </w:rPr>
            </w:pPr>
            <w:r>
              <w:rPr>
                <w:rFonts w:ascii="Arial" w:eastAsia="宋体" w:hAnsi="Arial" w:cs="Arial"/>
                <w:b/>
                <w:bCs/>
                <w:color w:val="0071C5"/>
                <w:sz w:val="18"/>
                <w:szCs w:val="18"/>
              </w:rPr>
              <w:t>Part II</w:t>
            </w:r>
          </w:p>
        </w:tc>
        <w:tc>
          <w:tcPr>
            <w:tcW w:w="0" w:type="auto"/>
            <w:shd w:val="clear" w:color="auto" w:fill="auto"/>
            <w:tcMar>
              <w:top w:w="40" w:type="dxa"/>
              <w:left w:w="40" w:type="dxa"/>
              <w:bottom w:w="40" w:type="dxa"/>
              <w:right w:w="40" w:type="dxa"/>
            </w:tcMar>
            <w:vAlign w:val="bottom"/>
          </w:tcPr>
          <w:p w14:paraId="4ACE6A1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A1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A17" w14:textId="77777777">
        <w:tc>
          <w:tcPr>
            <w:tcW w:w="0" w:type="auto"/>
            <w:shd w:val="clear" w:color="auto" w:fill="auto"/>
            <w:tcMar>
              <w:top w:w="40" w:type="dxa"/>
              <w:left w:w="40" w:type="dxa"/>
              <w:bottom w:w="40" w:type="dxa"/>
              <w:right w:w="40" w:type="dxa"/>
            </w:tcMar>
            <w:vAlign w:val="center"/>
          </w:tcPr>
          <w:p w14:paraId="4ACE6A13" w14:textId="77777777" w:rsidR="006F587A" w:rsidRDefault="007B2B61">
            <w:pPr>
              <w:textAlignment w:val="center"/>
              <w:rPr>
                <w:rFonts w:ascii="Times New Roman" w:hAnsi="Times New Roman"/>
                <w:sz w:val="18"/>
                <w:szCs w:val="18"/>
              </w:rPr>
            </w:pPr>
            <w:r>
              <w:rPr>
                <w:rFonts w:ascii="Arial" w:eastAsia="宋体" w:hAnsi="Arial" w:cs="Arial"/>
                <w:b/>
                <w:bCs/>
                <w:color w:val="333333"/>
                <w:sz w:val="18"/>
                <w:szCs w:val="18"/>
              </w:rPr>
              <w:t>Item 5.</w:t>
            </w:r>
          </w:p>
        </w:tc>
        <w:tc>
          <w:tcPr>
            <w:tcW w:w="0" w:type="auto"/>
            <w:shd w:val="clear" w:color="auto" w:fill="auto"/>
            <w:tcMar>
              <w:top w:w="40" w:type="dxa"/>
              <w:left w:w="40" w:type="dxa"/>
              <w:bottom w:w="40" w:type="dxa"/>
              <w:right w:w="40" w:type="dxa"/>
            </w:tcMar>
            <w:vAlign w:val="center"/>
          </w:tcPr>
          <w:p w14:paraId="4ACE6A14" w14:textId="77777777" w:rsidR="006F587A" w:rsidRDefault="007B2B61">
            <w:pPr>
              <w:textAlignment w:val="center"/>
              <w:rPr>
                <w:rFonts w:ascii="Times New Roman" w:hAnsi="Times New Roman"/>
                <w:sz w:val="18"/>
                <w:szCs w:val="18"/>
              </w:rPr>
            </w:pPr>
            <w:r>
              <w:rPr>
                <w:rFonts w:ascii="Arial" w:eastAsia="宋体" w:hAnsi="Arial" w:cs="Arial"/>
                <w:b/>
                <w:bCs/>
                <w:color w:val="333333"/>
                <w:sz w:val="18"/>
                <w:szCs w:val="18"/>
              </w:rPr>
              <w:t>Market for Registrant's Common Equity, Related Stockholder Matters and Issuer Purchases of Equity Securities</w:t>
            </w:r>
          </w:p>
          <w:p w14:paraId="4ACE6A15" w14:textId="77777777" w:rsidR="006F587A" w:rsidRDefault="006F587A">
            <w:pPr>
              <w:textAlignment w:val="center"/>
              <w:rPr>
                <w:rFonts w:ascii="Times New Roman" w:hAnsi="Times New Roman"/>
                <w:sz w:val="18"/>
                <w:szCs w:val="18"/>
              </w:rPr>
            </w:pPr>
          </w:p>
        </w:tc>
        <w:tc>
          <w:tcPr>
            <w:tcW w:w="0" w:type="auto"/>
            <w:shd w:val="clear" w:color="auto" w:fill="auto"/>
            <w:tcMar>
              <w:top w:w="40" w:type="dxa"/>
              <w:left w:w="40" w:type="dxa"/>
              <w:bottom w:w="40" w:type="dxa"/>
              <w:right w:w="40" w:type="dxa"/>
            </w:tcMar>
            <w:vAlign w:val="center"/>
          </w:tcPr>
          <w:p w14:paraId="4ACE6A16" w14:textId="77777777" w:rsidR="006F587A" w:rsidRDefault="007B2B61">
            <w:pPr>
              <w:jc w:val="center"/>
              <w:textAlignment w:val="center"/>
              <w:rPr>
                <w:rFonts w:ascii="Times New Roman" w:hAnsi="Times New Roman"/>
                <w:sz w:val="18"/>
                <w:szCs w:val="18"/>
              </w:rPr>
            </w:pPr>
            <w:r>
              <w:rPr>
                <w:rFonts w:ascii="Arial" w:eastAsia="宋体" w:hAnsi="Arial" w:cs="Arial"/>
                <w:color w:val="333333"/>
                <w:sz w:val="18"/>
                <w:szCs w:val="18"/>
              </w:rPr>
              <w:t xml:space="preserve">Pages </w:t>
            </w:r>
            <w:hyperlink r:id="rId260" w:anchor="sBCBBFF569B3E54128E635EF88B14902F" w:history="1">
              <w:r>
                <w:rPr>
                  <w:rStyle w:val="a5"/>
                  <w:rFonts w:ascii="Arial" w:eastAsia="宋体" w:hAnsi="Arial" w:cs="Arial"/>
                  <w:sz w:val="18"/>
                  <w:szCs w:val="18"/>
                </w:rPr>
                <w:t>9</w:t>
              </w:r>
            </w:hyperlink>
            <w:r>
              <w:rPr>
                <w:rFonts w:ascii="Arial" w:eastAsia="宋体" w:hAnsi="Arial" w:cs="Arial"/>
                <w:color w:val="333333"/>
                <w:sz w:val="18"/>
                <w:szCs w:val="18"/>
              </w:rPr>
              <w:t xml:space="preserve">, </w:t>
            </w:r>
            <w:hyperlink r:id="rId261" w:anchor="sA633FA96FF0A5F86B1C63E9EE63A7AAD" w:history="1">
              <w:r>
                <w:rPr>
                  <w:rStyle w:val="a5"/>
                  <w:rFonts w:ascii="Arial" w:eastAsia="宋体" w:hAnsi="Arial" w:cs="Arial"/>
                  <w:sz w:val="18"/>
                  <w:szCs w:val="18"/>
                </w:rPr>
                <w:t>61</w:t>
              </w:r>
            </w:hyperlink>
            <w:r>
              <w:rPr>
                <w:rFonts w:ascii="Arial" w:eastAsia="宋体" w:hAnsi="Arial" w:cs="Arial"/>
                <w:color w:val="333333"/>
                <w:sz w:val="18"/>
                <w:szCs w:val="18"/>
              </w:rPr>
              <w:t>-</w:t>
            </w:r>
            <w:hyperlink r:id="rId262" w:anchor="sf346063a563f44b89e08b71f753e2583" w:history="1">
              <w:r>
                <w:rPr>
                  <w:rStyle w:val="a5"/>
                  <w:rFonts w:ascii="Arial" w:eastAsia="宋体" w:hAnsi="Arial" w:cs="Arial"/>
                  <w:sz w:val="18"/>
                  <w:szCs w:val="18"/>
                </w:rPr>
                <w:t>62</w:t>
              </w:r>
            </w:hyperlink>
          </w:p>
        </w:tc>
      </w:tr>
      <w:tr w:rsidR="006F587A" w14:paraId="4ACE6A1B" w14:textId="77777777">
        <w:tc>
          <w:tcPr>
            <w:tcW w:w="0" w:type="auto"/>
            <w:shd w:val="clear" w:color="auto" w:fill="auto"/>
            <w:tcMar>
              <w:top w:w="40" w:type="dxa"/>
              <w:left w:w="40" w:type="dxa"/>
              <w:bottom w:w="40" w:type="dxa"/>
              <w:right w:w="40" w:type="dxa"/>
            </w:tcMar>
            <w:vAlign w:val="center"/>
          </w:tcPr>
          <w:p w14:paraId="4ACE6A18" w14:textId="77777777" w:rsidR="006F587A" w:rsidRDefault="007B2B61">
            <w:pPr>
              <w:textAlignment w:val="center"/>
              <w:rPr>
                <w:rFonts w:ascii="Times New Roman" w:hAnsi="Times New Roman"/>
                <w:sz w:val="18"/>
                <w:szCs w:val="18"/>
              </w:rPr>
            </w:pPr>
            <w:r>
              <w:rPr>
                <w:rFonts w:ascii="Arial" w:eastAsia="宋体" w:hAnsi="Arial" w:cs="Arial"/>
                <w:b/>
                <w:bCs/>
                <w:color w:val="333333"/>
                <w:sz w:val="18"/>
                <w:szCs w:val="18"/>
              </w:rPr>
              <w:t>Item 6.</w:t>
            </w:r>
          </w:p>
        </w:tc>
        <w:tc>
          <w:tcPr>
            <w:tcW w:w="0" w:type="auto"/>
            <w:shd w:val="clear" w:color="auto" w:fill="auto"/>
            <w:tcMar>
              <w:top w:w="40" w:type="dxa"/>
              <w:left w:w="40" w:type="dxa"/>
              <w:bottom w:w="40" w:type="dxa"/>
              <w:right w:w="40" w:type="dxa"/>
            </w:tcMar>
            <w:vAlign w:val="center"/>
          </w:tcPr>
          <w:p w14:paraId="4ACE6A19" w14:textId="77777777" w:rsidR="006F587A" w:rsidRDefault="007B2B61">
            <w:pPr>
              <w:textAlignment w:val="center"/>
              <w:rPr>
                <w:rFonts w:ascii="Times New Roman" w:hAnsi="Times New Roman"/>
                <w:sz w:val="18"/>
                <w:szCs w:val="18"/>
              </w:rPr>
            </w:pPr>
            <w:r>
              <w:rPr>
                <w:rFonts w:ascii="Arial" w:eastAsia="宋体" w:hAnsi="Arial" w:cs="Arial"/>
                <w:b/>
                <w:bCs/>
                <w:color w:val="333333"/>
                <w:sz w:val="18"/>
                <w:szCs w:val="18"/>
              </w:rPr>
              <w:t>Selected Financial Data</w:t>
            </w:r>
          </w:p>
        </w:tc>
        <w:tc>
          <w:tcPr>
            <w:tcW w:w="0" w:type="auto"/>
            <w:shd w:val="clear" w:color="auto" w:fill="auto"/>
            <w:tcMar>
              <w:top w:w="40" w:type="dxa"/>
              <w:left w:w="40" w:type="dxa"/>
              <w:bottom w:w="40" w:type="dxa"/>
              <w:right w:w="40" w:type="dxa"/>
            </w:tcMar>
            <w:vAlign w:val="center"/>
          </w:tcPr>
          <w:p w14:paraId="4ACE6A1A" w14:textId="77777777" w:rsidR="006F587A" w:rsidRDefault="007B2B61">
            <w:pPr>
              <w:jc w:val="center"/>
              <w:textAlignment w:val="center"/>
              <w:rPr>
                <w:rFonts w:ascii="Times New Roman" w:hAnsi="Times New Roman"/>
                <w:sz w:val="18"/>
                <w:szCs w:val="18"/>
              </w:rPr>
            </w:pPr>
            <w:r>
              <w:rPr>
                <w:rFonts w:ascii="Arial" w:eastAsia="宋体" w:hAnsi="Arial" w:cs="Arial"/>
                <w:color w:val="333333"/>
                <w:sz w:val="18"/>
                <w:szCs w:val="18"/>
              </w:rPr>
              <w:t xml:space="preserve">Page </w:t>
            </w:r>
            <w:hyperlink r:id="rId263" w:anchor="s1C202F431A2552089F790B9A39CDE23B" w:history="1">
              <w:r>
                <w:rPr>
                  <w:rStyle w:val="a5"/>
                  <w:rFonts w:ascii="Arial" w:eastAsia="宋体" w:hAnsi="Arial" w:cs="Arial"/>
                  <w:sz w:val="18"/>
                  <w:szCs w:val="18"/>
                </w:rPr>
                <w:t>47</w:t>
              </w:r>
            </w:hyperlink>
          </w:p>
        </w:tc>
      </w:tr>
      <w:tr w:rsidR="006F587A" w14:paraId="4ACE6A1F" w14:textId="77777777">
        <w:tc>
          <w:tcPr>
            <w:tcW w:w="0" w:type="auto"/>
            <w:shd w:val="clear" w:color="auto" w:fill="auto"/>
            <w:tcMar>
              <w:top w:w="40" w:type="dxa"/>
              <w:left w:w="40" w:type="dxa"/>
              <w:bottom w:w="40" w:type="dxa"/>
              <w:right w:w="40" w:type="dxa"/>
            </w:tcMar>
            <w:vAlign w:val="center"/>
          </w:tcPr>
          <w:p w14:paraId="4ACE6A1C" w14:textId="77777777" w:rsidR="006F587A" w:rsidRDefault="007B2B61">
            <w:pPr>
              <w:textAlignment w:val="center"/>
              <w:rPr>
                <w:rFonts w:ascii="Times New Roman" w:hAnsi="Times New Roman"/>
                <w:sz w:val="18"/>
                <w:szCs w:val="18"/>
              </w:rPr>
            </w:pPr>
            <w:r>
              <w:rPr>
                <w:rFonts w:ascii="Arial" w:eastAsia="宋体" w:hAnsi="Arial" w:cs="Arial"/>
                <w:b/>
                <w:bCs/>
                <w:color w:val="333333"/>
                <w:sz w:val="18"/>
                <w:szCs w:val="18"/>
              </w:rPr>
              <w:t>Item 7.</w:t>
            </w:r>
          </w:p>
        </w:tc>
        <w:tc>
          <w:tcPr>
            <w:tcW w:w="0" w:type="auto"/>
            <w:shd w:val="clear" w:color="auto" w:fill="auto"/>
            <w:tcMar>
              <w:top w:w="40" w:type="dxa"/>
              <w:left w:w="40" w:type="dxa"/>
              <w:bottom w:w="40" w:type="dxa"/>
              <w:right w:w="40" w:type="dxa"/>
            </w:tcMar>
            <w:vAlign w:val="center"/>
          </w:tcPr>
          <w:p w14:paraId="4ACE6A1D" w14:textId="77777777" w:rsidR="006F587A" w:rsidRDefault="007B2B61">
            <w:pPr>
              <w:textAlignment w:val="center"/>
              <w:rPr>
                <w:rFonts w:ascii="Times New Roman" w:hAnsi="Times New Roman"/>
                <w:sz w:val="18"/>
                <w:szCs w:val="18"/>
              </w:rPr>
            </w:pPr>
            <w:r>
              <w:rPr>
                <w:rFonts w:ascii="Arial" w:eastAsia="宋体" w:hAnsi="Arial" w:cs="Arial"/>
                <w:b/>
                <w:bCs/>
                <w:color w:val="333333"/>
                <w:sz w:val="18"/>
                <w:szCs w:val="18"/>
              </w:rPr>
              <w:t>Management's Discussion and Analysis of Financial Condition and Results of Operations:</w:t>
            </w:r>
          </w:p>
        </w:tc>
        <w:tc>
          <w:tcPr>
            <w:tcW w:w="0" w:type="auto"/>
            <w:shd w:val="clear" w:color="auto" w:fill="auto"/>
            <w:tcMar>
              <w:top w:w="40" w:type="dxa"/>
              <w:left w:w="40" w:type="dxa"/>
              <w:bottom w:w="40" w:type="dxa"/>
              <w:right w:w="40" w:type="dxa"/>
            </w:tcMar>
            <w:vAlign w:val="bottom"/>
          </w:tcPr>
          <w:p w14:paraId="4ACE6A1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A23" w14:textId="77777777">
        <w:tc>
          <w:tcPr>
            <w:tcW w:w="0" w:type="auto"/>
            <w:shd w:val="clear" w:color="auto" w:fill="auto"/>
            <w:tcMar>
              <w:top w:w="40" w:type="dxa"/>
              <w:left w:w="40" w:type="dxa"/>
              <w:bottom w:w="40" w:type="dxa"/>
              <w:right w:w="40" w:type="dxa"/>
            </w:tcMar>
            <w:vAlign w:val="bottom"/>
          </w:tcPr>
          <w:p w14:paraId="4ACE6A2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0" w:type="dxa"/>
              <w:bottom w:w="40" w:type="dxa"/>
              <w:right w:w="40" w:type="dxa"/>
            </w:tcMar>
            <w:vAlign w:val="center"/>
          </w:tcPr>
          <w:p w14:paraId="4ACE6A21" w14:textId="77777777" w:rsidR="006F587A" w:rsidRDefault="007B2B61">
            <w:pPr>
              <w:textAlignment w:val="center"/>
              <w:rPr>
                <w:rFonts w:ascii="Times New Roman" w:hAnsi="Times New Roman"/>
                <w:sz w:val="18"/>
                <w:szCs w:val="18"/>
              </w:rPr>
            </w:pPr>
            <w:r>
              <w:rPr>
                <w:rFonts w:ascii="Arial" w:eastAsia="宋体" w:hAnsi="Arial" w:cs="Arial"/>
                <w:color w:val="333333"/>
                <w:sz w:val="18"/>
                <w:szCs w:val="18"/>
              </w:rPr>
              <w:t>Results of operations</w:t>
            </w:r>
          </w:p>
        </w:tc>
        <w:tc>
          <w:tcPr>
            <w:tcW w:w="0" w:type="auto"/>
            <w:shd w:val="clear" w:color="auto" w:fill="auto"/>
            <w:tcMar>
              <w:top w:w="40" w:type="dxa"/>
              <w:left w:w="40" w:type="dxa"/>
              <w:bottom w:w="40" w:type="dxa"/>
              <w:right w:w="40" w:type="dxa"/>
            </w:tcMar>
            <w:vAlign w:val="center"/>
          </w:tcPr>
          <w:p w14:paraId="4ACE6A22" w14:textId="77777777" w:rsidR="006F587A" w:rsidRDefault="007B2B61">
            <w:pPr>
              <w:jc w:val="center"/>
              <w:textAlignment w:val="center"/>
              <w:rPr>
                <w:rFonts w:ascii="Times New Roman" w:hAnsi="Times New Roman"/>
                <w:sz w:val="18"/>
                <w:szCs w:val="18"/>
              </w:rPr>
            </w:pPr>
            <w:r>
              <w:rPr>
                <w:rFonts w:ascii="Arial" w:eastAsia="宋体" w:hAnsi="Arial" w:cs="Arial"/>
                <w:color w:val="333333"/>
                <w:sz w:val="18"/>
                <w:szCs w:val="18"/>
              </w:rPr>
              <w:t xml:space="preserve">Pages </w:t>
            </w:r>
            <w:hyperlink r:id="rId264" w:anchor="s8ead38ed6a3e4873bb38c12fbc69533b" w:history="1">
              <w:r>
                <w:rPr>
                  <w:rStyle w:val="a5"/>
                  <w:rFonts w:ascii="Arial" w:eastAsia="宋体" w:hAnsi="Arial" w:cs="Arial"/>
                  <w:sz w:val="18"/>
                  <w:szCs w:val="18"/>
                </w:rPr>
                <w:t>4</w:t>
              </w:r>
            </w:hyperlink>
            <w:r>
              <w:rPr>
                <w:rFonts w:ascii="Arial" w:eastAsia="宋体" w:hAnsi="Arial" w:cs="Arial"/>
                <w:color w:val="333333"/>
                <w:sz w:val="18"/>
                <w:szCs w:val="18"/>
              </w:rPr>
              <w:t>-</w:t>
            </w:r>
            <w:hyperlink r:id="rId265" w:anchor="s3f38677b8e5648eeb640b16a41218ef7" w:history="1">
              <w:r>
                <w:rPr>
                  <w:rStyle w:val="a5"/>
                  <w:rFonts w:ascii="Arial" w:eastAsia="宋体" w:hAnsi="Arial" w:cs="Arial"/>
                  <w:sz w:val="18"/>
                  <w:szCs w:val="18"/>
                </w:rPr>
                <w:t>5</w:t>
              </w:r>
            </w:hyperlink>
            <w:r>
              <w:rPr>
                <w:rFonts w:ascii="Arial" w:eastAsia="宋体" w:hAnsi="Arial" w:cs="Arial"/>
                <w:color w:val="333333"/>
                <w:sz w:val="18"/>
                <w:szCs w:val="18"/>
              </w:rPr>
              <w:t xml:space="preserve">, </w:t>
            </w:r>
            <w:hyperlink r:id="rId266" w:anchor="s7F29C2BEEC2052CA864921421B23AB36" w:history="1">
              <w:r>
                <w:rPr>
                  <w:rStyle w:val="a5"/>
                  <w:rFonts w:ascii="Arial" w:eastAsia="宋体" w:hAnsi="Arial" w:cs="Arial"/>
                  <w:sz w:val="18"/>
                  <w:szCs w:val="18"/>
                </w:rPr>
                <w:t>18</w:t>
              </w:r>
            </w:hyperlink>
            <w:r>
              <w:rPr>
                <w:rFonts w:ascii="Arial" w:eastAsia="宋体" w:hAnsi="Arial" w:cs="Arial"/>
                <w:color w:val="333333"/>
                <w:sz w:val="18"/>
                <w:szCs w:val="18"/>
              </w:rPr>
              <w:t>-</w:t>
            </w:r>
            <w:hyperlink r:id="rId267" w:anchor="sE598AF9792A6526390E69515AAEDC580" w:history="1">
              <w:r>
                <w:rPr>
                  <w:rStyle w:val="a5"/>
                  <w:rFonts w:ascii="Arial" w:eastAsia="宋体" w:hAnsi="Arial" w:cs="Arial"/>
                  <w:sz w:val="18"/>
                  <w:szCs w:val="18"/>
                </w:rPr>
                <w:t>39</w:t>
              </w:r>
            </w:hyperlink>
            <w:r>
              <w:rPr>
                <w:rFonts w:ascii="Arial" w:eastAsia="宋体" w:hAnsi="Arial" w:cs="Arial"/>
                <w:color w:val="333333"/>
                <w:sz w:val="18"/>
                <w:szCs w:val="18"/>
              </w:rPr>
              <w:t xml:space="preserve">, </w:t>
            </w:r>
            <w:hyperlink r:id="rId268" w:anchor="s95E35DDF25D7522391A712165F920828" w:history="1">
              <w:r>
                <w:rPr>
                  <w:rStyle w:val="a5"/>
                  <w:rFonts w:ascii="Arial" w:eastAsia="宋体" w:hAnsi="Arial" w:cs="Arial"/>
                  <w:sz w:val="18"/>
                  <w:szCs w:val="18"/>
                </w:rPr>
                <w:t>45</w:t>
              </w:r>
            </w:hyperlink>
            <w:r>
              <w:rPr>
                <w:rFonts w:ascii="Arial" w:eastAsia="宋体" w:hAnsi="Arial" w:cs="Arial"/>
                <w:color w:val="333333"/>
                <w:sz w:val="18"/>
                <w:szCs w:val="18"/>
              </w:rPr>
              <w:t>-</w:t>
            </w:r>
            <w:hyperlink r:id="rId269" w:anchor="s95804035c46e40998b48ac13dc074263" w:history="1">
              <w:r>
                <w:rPr>
                  <w:rStyle w:val="a5"/>
                  <w:rFonts w:ascii="Arial" w:eastAsia="宋体" w:hAnsi="Arial" w:cs="Arial"/>
                  <w:sz w:val="18"/>
                  <w:szCs w:val="18"/>
                </w:rPr>
                <w:t>46</w:t>
              </w:r>
            </w:hyperlink>
          </w:p>
        </w:tc>
      </w:tr>
      <w:tr w:rsidR="006F587A" w14:paraId="4ACE6A27" w14:textId="77777777">
        <w:tc>
          <w:tcPr>
            <w:tcW w:w="0" w:type="auto"/>
            <w:shd w:val="clear" w:color="auto" w:fill="auto"/>
            <w:tcMar>
              <w:top w:w="40" w:type="dxa"/>
              <w:left w:w="40" w:type="dxa"/>
              <w:bottom w:w="40" w:type="dxa"/>
              <w:right w:w="40" w:type="dxa"/>
            </w:tcMar>
            <w:vAlign w:val="bottom"/>
          </w:tcPr>
          <w:p w14:paraId="4ACE6A2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0" w:type="dxa"/>
              <w:bottom w:w="40" w:type="dxa"/>
              <w:right w:w="40" w:type="dxa"/>
            </w:tcMar>
            <w:vAlign w:val="center"/>
          </w:tcPr>
          <w:p w14:paraId="4ACE6A25" w14:textId="77777777" w:rsidR="006F587A" w:rsidRDefault="007B2B61">
            <w:pPr>
              <w:textAlignment w:val="center"/>
              <w:rPr>
                <w:rFonts w:ascii="Times New Roman" w:hAnsi="Times New Roman"/>
                <w:sz w:val="18"/>
                <w:szCs w:val="18"/>
              </w:rPr>
            </w:pPr>
            <w:r>
              <w:rPr>
                <w:rFonts w:ascii="Arial" w:eastAsia="宋体" w:hAnsi="Arial" w:cs="Arial"/>
                <w:color w:val="333333"/>
                <w:sz w:val="18"/>
                <w:szCs w:val="18"/>
              </w:rPr>
              <w:t xml:space="preserve">Liquidity </w:t>
            </w:r>
          </w:p>
        </w:tc>
        <w:tc>
          <w:tcPr>
            <w:tcW w:w="0" w:type="auto"/>
            <w:shd w:val="clear" w:color="auto" w:fill="auto"/>
            <w:tcMar>
              <w:top w:w="40" w:type="dxa"/>
              <w:left w:w="40" w:type="dxa"/>
              <w:bottom w:w="40" w:type="dxa"/>
              <w:right w:w="40" w:type="dxa"/>
            </w:tcMar>
            <w:vAlign w:val="center"/>
          </w:tcPr>
          <w:p w14:paraId="4ACE6A26" w14:textId="77777777" w:rsidR="006F587A" w:rsidRDefault="007B2B61">
            <w:pPr>
              <w:jc w:val="center"/>
              <w:textAlignment w:val="center"/>
              <w:rPr>
                <w:rFonts w:ascii="Times New Roman" w:hAnsi="Times New Roman"/>
                <w:sz w:val="18"/>
                <w:szCs w:val="18"/>
              </w:rPr>
            </w:pPr>
            <w:r>
              <w:rPr>
                <w:rFonts w:ascii="Arial" w:eastAsia="宋体" w:hAnsi="Arial" w:cs="Arial"/>
                <w:color w:val="333333"/>
                <w:sz w:val="18"/>
                <w:szCs w:val="18"/>
              </w:rPr>
              <w:t xml:space="preserve">Pages </w:t>
            </w:r>
            <w:hyperlink r:id="rId270" w:anchor="s8ead38ed6a3e4873bb38c12fbc69533b" w:history="1">
              <w:r>
                <w:rPr>
                  <w:rStyle w:val="a5"/>
                  <w:rFonts w:ascii="Arial" w:eastAsia="宋体" w:hAnsi="Arial" w:cs="Arial"/>
                  <w:sz w:val="18"/>
                  <w:szCs w:val="18"/>
                </w:rPr>
                <w:t>4</w:t>
              </w:r>
            </w:hyperlink>
            <w:r>
              <w:rPr>
                <w:rFonts w:ascii="Arial" w:eastAsia="宋体" w:hAnsi="Arial" w:cs="Arial"/>
                <w:color w:val="333333"/>
                <w:sz w:val="18"/>
                <w:szCs w:val="18"/>
              </w:rPr>
              <w:t>-</w:t>
            </w:r>
            <w:hyperlink r:id="rId271" w:anchor="s3f38677b8e5648eeb640b16a41218ef7" w:history="1">
              <w:r>
                <w:rPr>
                  <w:rStyle w:val="a5"/>
                  <w:rFonts w:ascii="Arial" w:eastAsia="宋体" w:hAnsi="Arial" w:cs="Arial"/>
                  <w:sz w:val="18"/>
                  <w:szCs w:val="18"/>
                </w:rPr>
                <w:t>5</w:t>
              </w:r>
            </w:hyperlink>
            <w:r>
              <w:rPr>
                <w:rFonts w:ascii="Arial" w:eastAsia="宋体" w:hAnsi="Arial" w:cs="Arial"/>
                <w:color w:val="333333"/>
                <w:sz w:val="18"/>
                <w:szCs w:val="18"/>
              </w:rPr>
              <w:t xml:space="preserve">, </w:t>
            </w:r>
            <w:hyperlink r:id="rId272" w:anchor="s601A237EE9BE5B33894560D84D986D35" w:history="1">
              <w:r>
                <w:rPr>
                  <w:rStyle w:val="a5"/>
                  <w:rFonts w:ascii="Arial" w:eastAsia="宋体" w:hAnsi="Arial" w:cs="Arial"/>
                  <w:sz w:val="18"/>
                  <w:szCs w:val="18"/>
                </w:rPr>
                <w:t>40</w:t>
              </w:r>
            </w:hyperlink>
            <w:r>
              <w:rPr>
                <w:rFonts w:ascii="Arial" w:eastAsia="宋体" w:hAnsi="Arial" w:cs="Arial"/>
                <w:color w:val="333333"/>
                <w:sz w:val="18"/>
                <w:szCs w:val="18"/>
              </w:rPr>
              <w:t>-</w:t>
            </w:r>
            <w:hyperlink r:id="rId273" w:anchor="sB23F0A3D821A5EBB986121F1FC1F1AE1" w:history="1">
              <w:r>
                <w:rPr>
                  <w:rStyle w:val="a5"/>
                  <w:rFonts w:ascii="Arial" w:eastAsia="宋体" w:hAnsi="Arial" w:cs="Arial"/>
                  <w:sz w:val="18"/>
                  <w:szCs w:val="18"/>
                </w:rPr>
                <w:t>42</w:t>
              </w:r>
            </w:hyperlink>
            <w:r>
              <w:rPr>
                <w:rFonts w:ascii="Arial" w:eastAsia="宋体" w:hAnsi="Arial" w:cs="Arial"/>
                <w:color w:val="333333"/>
                <w:sz w:val="18"/>
                <w:szCs w:val="18"/>
              </w:rPr>
              <w:t xml:space="preserve">, </w:t>
            </w:r>
            <w:hyperlink r:id="rId274" w:anchor="s95E35DDF25D7522391A712165F920828" w:history="1">
              <w:r>
                <w:rPr>
                  <w:rStyle w:val="a5"/>
                  <w:rFonts w:ascii="Arial" w:eastAsia="宋体" w:hAnsi="Arial" w:cs="Arial"/>
                  <w:sz w:val="18"/>
                  <w:szCs w:val="18"/>
                </w:rPr>
                <w:t>45</w:t>
              </w:r>
            </w:hyperlink>
            <w:r>
              <w:rPr>
                <w:rFonts w:ascii="Arial" w:eastAsia="宋体" w:hAnsi="Arial" w:cs="Arial"/>
                <w:color w:val="333333"/>
                <w:sz w:val="18"/>
                <w:szCs w:val="18"/>
              </w:rPr>
              <w:t>-</w:t>
            </w:r>
            <w:hyperlink r:id="rId275" w:anchor="s95804035c46e40998b48ac13dc074263" w:history="1">
              <w:r>
                <w:rPr>
                  <w:rStyle w:val="a5"/>
                  <w:rFonts w:ascii="Arial" w:eastAsia="宋体" w:hAnsi="Arial" w:cs="Arial"/>
                  <w:sz w:val="18"/>
                  <w:szCs w:val="18"/>
                </w:rPr>
                <w:t>46</w:t>
              </w:r>
            </w:hyperlink>
          </w:p>
        </w:tc>
      </w:tr>
      <w:tr w:rsidR="006F587A" w14:paraId="4ACE6A2B" w14:textId="77777777">
        <w:tc>
          <w:tcPr>
            <w:tcW w:w="0" w:type="auto"/>
            <w:shd w:val="clear" w:color="auto" w:fill="auto"/>
            <w:tcMar>
              <w:top w:w="40" w:type="dxa"/>
              <w:left w:w="40" w:type="dxa"/>
              <w:bottom w:w="40" w:type="dxa"/>
              <w:right w:w="40" w:type="dxa"/>
            </w:tcMar>
            <w:vAlign w:val="bottom"/>
          </w:tcPr>
          <w:p w14:paraId="4ACE6A2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0" w:type="dxa"/>
              <w:bottom w:w="40" w:type="dxa"/>
              <w:right w:w="40" w:type="dxa"/>
            </w:tcMar>
            <w:vAlign w:val="center"/>
          </w:tcPr>
          <w:p w14:paraId="4ACE6A29" w14:textId="77777777" w:rsidR="006F587A" w:rsidRDefault="007B2B61">
            <w:pPr>
              <w:textAlignment w:val="center"/>
              <w:rPr>
                <w:rFonts w:ascii="Times New Roman" w:hAnsi="Times New Roman"/>
                <w:sz w:val="18"/>
                <w:szCs w:val="18"/>
              </w:rPr>
            </w:pPr>
            <w:r>
              <w:rPr>
                <w:rFonts w:ascii="Arial" w:eastAsia="宋体" w:hAnsi="Arial" w:cs="Arial"/>
                <w:color w:val="333333"/>
                <w:sz w:val="18"/>
                <w:szCs w:val="18"/>
              </w:rPr>
              <w:t>Capital resources</w:t>
            </w:r>
          </w:p>
        </w:tc>
        <w:tc>
          <w:tcPr>
            <w:tcW w:w="0" w:type="auto"/>
            <w:shd w:val="clear" w:color="auto" w:fill="auto"/>
            <w:tcMar>
              <w:top w:w="40" w:type="dxa"/>
              <w:left w:w="40" w:type="dxa"/>
              <w:bottom w:w="40" w:type="dxa"/>
              <w:right w:w="40" w:type="dxa"/>
            </w:tcMar>
            <w:vAlign w:val="center"/>
          </w:tcPr>
          <w:p w14:paraId="4ACE6A2A" w14:textId="77777777" w:rsidR="006F587A" w:rsidRDefault="007B2B61">
            <w:pPr>
              <w:jc w:val="center"/>
              <w:textAlignment w:val="center"/>
              <w:rPr>
                <w:rFonts w:ascii="Times New Roman" w:hAnsi="Times New Roman"/>
                <w:sz w:val="18"/>
                <w:szCs w:val="18"/>
              </w:rPr>
            </w:pPr>
            <w:r>
              <w:rPr>
                <w:rFonts w:ascii="Arial" w:eastAsia="宋体" w:hAnsi="Arial" w:cs="Arial"/>
                <w:color w:val="333333"/>
                <w:sz w:val="18"/>
                <w:szCs w:val="18"/>
              </w:rPr>
              <w:t xml:space="preserve">Pages </w:t>
            </w:r>
            <w:hyperlink r:id="rId276" w:anchor="s601A237EE9BE5B33894560D84D986D35" w:history="1">
              <w:r>
                <w:rPr>
                  <w:rStyle w:val="a5"/>
                  <w:rFonts w:ascii="Arial" w:eastAsia="宋体" w:hAnsi="Arial" w:cs="Arial"/>
                  <w:sz w:val="18"/>
                  <w:szCs w:val="18"/>
                </w:rPr>
                <w:t>40</w:t>
              </w:r>
            </w:hyperlink>
            <w:r>
              <w:rPr>
                <w:rFonts w:ascii="Arial" w:eastAsia="宋体" w:hAnsi="Arial" w:cs="Arial"/>
                <w:color w:val="333333"/>
                <w:sz w:val="18"/>
                <w:szCs w:val="18"/>
              </w:rPr>
              <w:t>-</w:t>
            </w:r>
            <w:hyperlink r:id="rId277" w:anchor="sB23F0A3D821A5EBB986121F1FC1F1AE1" w:history="1">
              <w:r>
                <w:rPr>
                  <w:rStyle w:val="a5"/>
                  <w:rFonts w:ascii="Arial" w:eastAsia="宋体" w:hAnsi="Arial" w:cs="Arial"/>
                  <w:sz w:val="18"/>
                  <w:szCs w:val="18"/>
                </w:rPr>
                <w:t>42</w:t>
              </w:r>
            </w:hyperlink>
          </w:p>
        </w:tc>
      </w:tr>
      <w:tr w:rsidR="006F587A" w14:paraId="4ACE6A2F" w14:textId="77777777">
        <w:tc>
          <w:tcPr>
            <w:tcW w:w="0" w:type="auto"/>
            <w:shd w:val="clear" w:color="auto" w:fill="auto"/>
            <w:tcMar>
              <w:top w:w="40" w:type="dxa"/>
              <w:left w:w="40" w:type="dxa"/>
              <w:bottom w:w="40" w:type="dxa"/>
              <w:right w:w="40" w:type="dxa"/>
            </w:tcMar>
            <w:vAlign w:val="bottom"/>
          </w:tcPr>
          <w:p w14:paraId="4ACE6A2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0" w:type="dxa"/>
              <w:bottom w:w="40" w:type="dxa"/>
              <w:right w:w="40" w:type="dxa"/>
            </w:tcMar>
            <w:vAlign w:val="center"/>
          </w:tcPr>
          <w:p w14:paraId="4ACE6A2D" w14:textId="77777777" w:rsidR="006F587A" w:rsidRDefault="007B2B61">
            <w:pPr>
              <w:textAlignment w:val="center"/>
              <w:rPr>
                <w:rFonts w:ascii="Times New Roman" w:hAnsi="Times New Roman"/>
                <w:sz w:val="18"/>
                <w:szCs w:val="18"/>
              </w:rPr>
            </w:pPr>
            <w:r>
              <w:rPr>
                <w:rFonts w:ascii="Arial" w:eastAsia="宋体" w:hAnsi="Arial" w:cs="Arial"/>
                <w:color w:val="333333"/>
                <w:sz w:val="18"/>
                <w:szCs w:val="18"/>
              </w:rPr>
              <w:t xml:space="preserve">Off balance sheet arrangements </w:t>
            </w:r>
          </w:p>
        </w:tc>
        <w:tc>
          <w:tcPr>
            <w:tcW w:w="0" w:type="auto"/>
            <w:shd w:val="clear" w:color="auto" w:fill="auto"/>
            <w:tcMar>
              <w:top w:w="40" w:type="dxa"/>
              <w:left w:w="40" w:type="dxa"/>
              <w:bottom w:w="40" w:type="dxa"/>
              <w:right w:w="40" w:type="dxa"/>
            </w:tcMar>
            <w:vAlign w:val="center"/>
          </w:tcPr>
          <w:p w14:paraId="4ACE6A2E" w14:textId="77777777" w:rsidR="006F587A" w:rsidRDefault="007B2B61">
            <w:pPr>
              <w:jc w:val="center"/>
              <w:textAlignment w:val="center"/>
              <w:rPr>
                <w:rFonts w:ascii="Times New Roman" w:hAnsi="Times New Roman"/>
                <w:sz w:val="18"/>
                <w:szCs w:val="18"/>
              </w:rPr>
            </w:pPr>
            <w:r>
              <w:rPr>
                <w:rFonts w:ascii="Arial" w:eastAsia="宋体" w:hAnsi="Arial" w:cs="Arial"/>
                <w:color w:val="333333"/>
                <w:sz w:val="18"/>
                <w:szCs w:val="18"/>
              </w:rPr>
              <w:t>(a)</w:t>
            </w:r>
          </w:p>
        </w:tc>
      </w:tr>
      <w:tr w:rsidR="006F587A" w14:paraId="4ACE6A33" w14:textId="77777777">
        <w:tc>
          <w:tcPr>
            <w:tcW w:w="0" w:type="auto"/>
            <w:shd w:val="clear" w:color="auto" w:fill="auto"/>
            <w:tcMar>
              <w:top w:w="40" w:type="dxa"/>
              <w:left w:w="40" w:type="dxa"/>
              <w:bottom w:w="40" w:type="dxa"/>
              <w:right w:w="40" w:type="dxa"/>
            </w:tcMar>
            <w:vAlign w:val="bottom"/>
          </w:tcPr>
          <w:p w14:paraId="4ACE6A3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0" w:type="dxa"/>
              <w:bottom w:w="40" w:type="dxa"/>
              <w:right w:w="40" w:type="dxa"/>
            </w:tcMar>
            <w:vAlign w:val="center"/>
          </w:tcPr>
          <w:p w14:paraId="4ACE6A31" w14:textId="77777777" w:rsidR="006F587A" w:rsidRDefault="007B2B61">
            <w:pPr>
              <w:textAlignment w:val="center"/>
              <w:rPr>
                <w:rFonts w:ascii="Times New Roman" w:hAnsi="Times New Roman"/>
                <w:sz w:val="18"/>
                <w:szCs w:val="18"/>
              </w:rPr>
            </w:pPr>
            <w:r>
              <w:rPr>
                <w:rFonts w:ascii="Arial" w:eastAsia="宋体" w:hAnsi="Arial" w:cs="Arial"/>
                <w:color w:val="333333"/>
                <w:sz w:val="18"/>
                <w:szCs w:val="18"/>
              </w:rPr>
              <w:t>Contractual obligations</w:t>
            </w:r>
          </w:p>
        </w:tc>
        <w:tc>
          <w:tcPr>
            <w:tcW w:w="0" w:type="auto"/>
            <w:shd w:val="clear" w:color="auto" w:fill="auto"/>
            <w:tcMar>
              <w:top w:w="40" w:type="dxa"/>
              <w:left w:w="40" w:type="dxa"/>
              <w:bottom w:w="40" w:type="dxa"/>
              <w:right w:w="40" w:type="dxa"/>
            </w:tcMar>
            <w:vAlign w:val="center"/>
          </w:tcPr>
          <w:p w14:paraId="4ACE6A32" w14:textId="77777777" w:rsidR="006F587A" w:rsidRDefault="007B2B61">
            <w:pPr>
              <w:jc w:val="center"/>
              <w:textAlignment w:val="center"/>
              <w:rPr>
                <w:rFonts w:ascii="Times New Roman" w:hAnsi="Times New Roman"/>
                <w:sz w:val="18"/>
                <w:szCs w:val="18"/>
              </w:rPr>
            </w:pPr>
            <w:r>
              <w:rPr>
                <w:rFonts w:ascii="Arial" w:eastAsia="宋体" w:hAnsi="Arial" w:cs="Arial"/>
                <w:color w:val="333333"/>
                <w:sz w:val="18"/>
                <w:szCs w:val="18"/>
              </w:rPr>
              <w:t xml:space="preserve">Page </w:t>
            </w:r>
            <w:hyperlink r:id="rId278" w:anchor="s78AD64475AD1525BB3ACA25AF2767454" w:history="1">
              <w:r>
                <w:rPr>
                  <w:rStyle w:val="a5"/>
                  <w:rFonts w:ascii="Arial" w:eastAsia="宋体" w:hAnsi="Arial" w:cs="Arial"/>
                  <w:sz w:val="18"/>
                  <w:szCs w:val="18"/>
                </w:rPr>
                <w:t>43</w:t>
              </w:r>
            </w:hyperlink>
          </w:p>
        </w:tc>
      </w:tr>
      <w:tr w:rsidR="006F587A" w14:paraId="4ACE6A37" w14:textId="77777777">
        <w:tc>
          <w:tcPr>
            <w:tcW w:w="0" w:type="auto"/>
            <w:shd w:val="clear" w:color="auto" w:fill="auto"/>
            <w:tcMar>
              <w:top w:w="40" w:type="dxa"/>
              <w:left w:w="40" w:type="dxa"/>
              <w:bottom w:w="40" w:type="dxa"/>
              <w:right w:w="40" w:type="dxa"/>
            </w:tcMar>
            <w:vAlign w:val="bottom"/>
          </w:tcPr>
          <w:p w14:paraId="4ACE6A3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0" w:type="dxa"/>
              <w:bottom w:w="40" w:type="dxa"/>
              <w:right w:w="40" w:type="dxa"/>
            </w:tcMar>
            <w:vAlign w:val="center"/>
          </w:tcPr>
          <w:p w14:paraId="4ACE6A35" w14:textId="77777777" w:rsidR="006F587A" w:rsidRDefault="007B2B61">
            <w:pPr>
              <w:textAlignment w:val="center"/>
              <w:rPr>
                <w:rFonts w:ascii="Times New Roman" w:hAnsi="Times New Roman"/>
                <w:sz w:val="18"/>
                <w:szCs w:val="18"/>
              </w:rPr>
            </w:pPr>
            <w:r>
              <w:rPr>
                <w:rFonts w:ascii="Arial" w:eastAsia="宋体" w:hAnsi="Arial" w:cs="Arial"/>
                <w:color w:val="333333"/>
                <w:sz w:val="18"/>
                <w:szCs w:val="18"/>
              </w:rPr>
              <w:t>Critical accounting estimates and policies</w:t>
            </w:r>
          </w:p>
        </w:tc>
        <w:tc>
          <w:tcPr>
            <w:tcW w:w="0" w:type="auto"/>
            <w:shd w:val="clear" w:color="auto" w:fill="auto"/>
            <w:tcMar>
              <w:top w:w="40" w:type="dxa"/>
              <w:left w:w="40" w:type="dxa"/>
              <w:bottom w:w="40" w:type="dxa"/>
              <w:right w:w="40" w:type="dxa"/>
            </w:tcMar>
            <w:vAlign w:val="center"/>
          </w:tcPr>
          <w:p w14:paraId="4ACE6A36" w14:textId="77777777" w:rsidR="006F587A" w:rsidRDefault="007B2B61">
            <w:pPr>
              <w:jc w:val="center"/>
              <w:textAlignment w:val="center"/>
              <w:rPr>
                <w:rFonts w:ascii="Times New Roman" w:hAnsi="Times New Roman"/>
                <w:sz w:val="18"/>
                <w:szCs w:val="18"/>
              </w:rPr>
            </w:pPr>
            <w:r>
              <w:rPr>
                <w:rFonts w:ascii="Arial" w:eastAsia="宋体" w:hAnsi="Arial" w:cs="Arial"/>
                <w:color w:val="333333"/>
                <w:sz w:val="18"/>
                <w:szCs w:val="18"/>
              </w:rPr>
              <w:t xml:space="preserve">Pages </w:t>
            </w:r>
            <w:hyperlink r:id="rId279" w:anchor="sDD3ABD19C71B541D83187C2344210FA2" w:history="1">
              <w:r>
                <w:rPr>
                  <w:rStyle w:val="a5"/>
                  <w:rFonts w:ascii="Arial" w:eastAsia="宋体" w:hAnsi="Arial" w:cs="Arial"/>
                  <w:sz w:val="18"/>
                  <w:szCs w:val="18"/>
                </w:rPr>
                <w:t>50</w:t>
              </w:r>
            </w:hyperlink>
            <w:r>
              <w:rPr>
                <w:rFonts w:ascii="Arial" w:eastAsia="宋体" w:hAnsi="Arial" w:cs="Arial"/>
                <w:color w:val="333333"/>
                <w:sz w:val="18"/>
                <w:szCs w:val="18"/>
              </w:rPr>
              <w:t xml:space="preserve">, </w:t>
            </w:r>
            <w:hyperlink r:id="rId280" w:anchor="s7DADEC140EF3550CB852E33989AD937F" w:history="1">
              <w:r>
                <w:rPr>
                  <w:rStyle w:val="a5"/>
                  <w:rFonts w:ascii="Arial" w:eastAsia="宋体" w:hAnsi="Arial" w:cs="Arial"/>
                  <w:sz w:val="18"/>
                  <w:szCs w:val="18"/>
                </w:rPr>
                <w:t>74</w:t>
              </w:r>
            </w:hyperlink>
            <w:r>
              <w:rPr>
                <w:rFonts w:ascii="Arial" w:eastAsia="宋体" w:hAnsi="Arial" w:cs="Arial"/>
                <w:color w:val="333333"/>
                <w:sz w:val="18"/>
                <w:szCs w:val="18"/>
              </w:rPr>
              <w:t>-</w:t>
            </w:r>
            <w:hyperlink r:id="rId281" w:anchor="s9089AFD6F9AF567AA2882091ED769769" w:history="1">
              <w:r>
                <w:rPr>
                  <w:rStyle w:val="a5"/>
                  <w:rFonts w:ascii="Arial" w:eastAsia="宋体" w:hAnsi="Arial" w:cs="Arial"/>
                  <w:sz w:val="18"/>
                  <w:szCs w:val="18"/>
                </w:rPr>
                <w:t>79</w:t>
              </w:r>
            </w:hyperlink>
          </w:p>
        </w:tc>
      </w:tr>
      <w:tr w:rsidR="006F587A" w14:paraId="4ACE6A3B" w14:textId="77777777">
        <w:tc>
          <w:tcPr>
            <w:tcW w:w="0" w:type="auto"/>
            <w:shd w:val="clear" w:color="auto" w:fill="auto"/>
            <w:tcMar>
              <w:top w:w="40" w:type="dxa"/>
              <w:left w:w="40" w:type="dxa"/>
              <w:bottom w:w="40" w:type="dxa"/>
              <w:right w:w="40" w:type="dxa"/>
            </w:tcMar>
            <w:vAlign w:val="center"/>
          </w:tcPr>
          <w:p w14:paraId="4ACE6A38" w14:textId="77777777" w:rsidR="006F587A" w:rsidRDefault="007B2B61">
            <w:pPr>
              <w:textAlignment w:val="center"/>
              <w:rPr>
                <w:rFonts w:ascii="Times New Roman" w:hAnsi="Times New Roman"/>
                <w:sz w:val="18"/>
                <w:szCs w:val="18"/>
              </w:rPr>
            </w:pPr>
            <w:r>
              <w:rPr>
                <w:rFonts w:ascii="Arial" w:eastAsia="宋体" w:hAnsi="Arial" w:cs="Arial"/>
                <w:b/>
                <w:bCs/>
                <w:color w:val="333333"/>
                <w:sz w:val="18"/>
                <w:szCs w:val="18"/>
              </w:rPr>
              <w:t>Item 7A.</w:t>
            </w:r>
          </w:p>
        </w:tc>
        <w:tc>
          <w:tcPr>
            <w:tcW w:w="0" w:type="auto"/>
            <w:shd w:val="clear" w:color="auto" w:fill="auto"/>
            <w:tcMar>
              <w:top w:w="40" w:type="dxa"/>
              <w:left w:w="40" w:type="dxa"/>
              <w:bottom w:w="40" w:type="dxa"/>
              <w:right w:w="40" w:type="dxa"/>
            </w:tcMar>
            <w:vAlign w:val="center"/>
          </w:tcPr>
          <w:p w14:paraId="4ACE6A39" w14:textId="77777777" w:rsidR="006F587A" w:rsidRDefault="007B2B61">
            <w:pPr>
              <w:textAlignment w:val="center"/>
              <w:rPr>
                <w:rFonts w:ascii="Times New Roman" w:hAnsi="Times New Roman"/>
                <w:sz w:val="18"/>
                <w:szCs w:val="18"/>
              </w:rPr>
            </w:pPr>
            <w:r>
              <w:rPr>
                <w:rFonts w:ascii="Arial" w:eastAsia="宋体" w:hAnsi="Arial" w:cs="Arial"/>
                <w:b/>
                <w:bCs/>
                <w:color w:val="333333"/>
                <w:sz w:val="18"/>
                <w:szCs w:val="18"/>
              </w:rPr>
              <w:t>Quantitative and Qualitative Disclosures About Market Risk</w:t>
            </w:r>
          </w:p>
        </w:tc>
        <w:tc>
          <w:tcPr>
            <w:tcW w:w="0" w:type="auto"/>
            <w:shd w:val="clear" w:color="auto" w:fill="auto"/>
            <w:tcMar>
              <w:top w:w="40" w:type="dxa"/>
              <w:left w:w="40" w:type="dxa"/>
              <w:bottom w:w="40" w:type="dxa"/>
              <w:right w:w="40" w:type="dxa"/>
            </w:tcMar>
            <w:vAlign w:val="center"/>
          </w:tcPr>
          <w:p w14:paraId="4ACE6A3A" w14:textId="77777777" w:rsidR="006F587A" w:rsidRDefault="007B2B61">
            <w:pPr>
              <w:jc w:val="center"/>
              <w:textAlignment w:val="center"/>
              <w:rPr>
                <w:rFonts w:ascii="Times New Roman" w:hAnsi="Times New Roman"/>
                <w:sz w:val="18"/>
                <w:szCs w:val="18"/>
              </w:rPr>
            </w:pPr>
            <w:r>
              <w:rPr>
                <w:rFonts w:ascii="Arial" w:eastAsia="宋体" w:hAnsi="Arial" w:cs="Arial"/>
                <w:color w:val="333333"/>
                <w:sz w:val="18"/>
                <w:szCs w:val="18"/>
              </w:rPr>
              <w:t xml:space="preserve">Pages </w:t>
            </w:r>
            <w:hyperlink r:id="rId282" w:anchor="s05A35D39BFC95A43B61A9534BEB3DAB6" w:history="1">
              <w:r>
                <w:rPr>
                  <w:rStyle w:val="a5"/>
                  <w:rFonts w:ascii="Arial" w:eastAsia="宋体" w:hAnsi="Arial" w:cs="Arial"/>
                  <w:sz w:val="18"/>
                  <w:szCs w:val="18"/>
                </w:rPr>
                <w:t>43</w:t>
              </w:r>
            </w:hyperlink>
            <w:r>
              <w:rPr>
                <w:rFonts w:ascii="Arial" w:eastAsia="宋体" w:hAnsi="Arial" w:cs="Arial"/>
                <w:color w:val="333333"/>
                <w:sz w:val="18"/>
                <w:szCs w:val="18"/>
              </w:rPr>
              <w:t>-</w:t>
            </w:r>
            <w:hyperlink r:id="rId283" w:anchor="s3047EA13BC3F5D73A9719A4AE1B7ECEE" w:history="1">
              <w:r>
                <w:rPr>
                  <w:rStyle w:val="a5"/>
                  <w:rFonts w:ascii="Arial" w:eastAsia="宋体" w:hAnsi="Arial" w:cs="Arial"/>
                  <w:sz w:val="18"/>
                  <w:szCs w:val="18"/>
                </w:rPr>
                <w:t>45</w:t>
              </w:r>
            </w:hyperlink>
          </w:p>
        </w:tc>
      </w:tr>
      <w:tr w:rsidR="006F587A" w14:paraId="4ACE6A40" w14:textId="77777777">
        <w:tc>
          <w:tcPr>
            <w:tcW w:w="0" w:type="auto"/>
            <w:shd w:val="clear" w:color="auto" w:fill="auto"/>
            <w:tcMar>
              <w:top w:w="40" w:type="dxa"/>
              <w:left w:w="40" w:type="dxa"/>
              <w:bottom w:w="40" w:type="dxa"/>
              <w:right w:w="40" w:type="dxa"/>
            </w:tcMar>
            <w:vAlign w:val="center"/>
          </w:tcPr>
          <w:p w14:paraId="4ACE6A3C" w14:textId="77777777" w:rsidR="006F587A" w:rsidRDefault="007B2B61">
            <w:pPr>
              <w:textAlignment w:val="center"/>
              <w:rPr>
                <w:rFonts w:ascii="Times New Roman" w:hAnsi="Times New Roman"/>
                <w:sz w:val="18"/>
                <w:szCs w:val="18"/>
              </w:rPr>
            </w:pPr>
            <w:r>
              <w:rPr>
                <w:rFonts w:ascii="Arial" w:eastAsia="宋体" w:hAnsi="Arial" w:cs="Arial"/>
                <w:b/>
                <w:bCs/>
                <w:color w:val="333333"/>
                <w:sz w:val="18"/>
                <w:szCs w:val="18"/>
              </w:rPr>
              <w:t>Item 8.</w:t>
            </w:r>
          </w:p>
        </w:tc>
        <w:tc>
          <w:tcPr>
            <w:tcW w:w="0" w:type="auto"/>
            <w:shd w:val="clear" w:color="auto" w:fill="auto"/>
            <w:tcMar>
              <w:top w:w="40" w:type="dxa"/>
              <w:left w:w="40" w:type="dxa"/>
              <w:bottom w:w="40" w:type="dxa"/>
              <w:right w:w="40" w:type="dxa"/>
            </w:tcMar>
            <w:vAlign w:val="center"/>
          </w:tcPr>
          <w:p w14:paraId="4ACE6A3D" w14:textId="77777777" w:rsidR="006F587A" w:rsidRDefault="007B2B61">
            <w:pPr>
              <w:textAlignment w:val="center"/>
              <w:rPr>
                <w:rFonts w:ascii="Times New Roman" w:hAnsi="Times New Roman"/>
                <w:sz w:val="18"/>
                <w:szCs w:val="18"/>
              </w:rPr>
            </w:pPr>
            <w:r>
              <w:rPr>
                <w:rFonts w:ascii="Arial" w:eastAsia="宋体" w:hAnsi="Arial" w:cs="Arial"/>
                <w:b/>
                <w:bCs/>
                <w:color w:val="333333"/>
                <w:sz w:val="18"/>
                <w:szCs w:val="18"/>
              </w:rPr>
              <w:t xml:space="preserve">Financial Statements and Supplementary Data </w:t>
            </w:r>
          </w:p>
          <w:p w14:paraId="4ACE6A3E" w14:textId="77777777" w:rsidR="006F587A" w:rsidRDefault="006F587A">
            <w:pPr>
              <w:textAlignment w:val="center"/>
              <w:rPr>
                <w:rFonts w:ascii="Times New Roman" w:hAnsi="Times New Roman"/>
                <w:sz w:val="18"/>
                <w:szCs w:val="18"/>
              </w:rPr>
            </w:pPr>
          </w:p>
        </w:tc>
        <w:tc>
          <w:tcPr>
            <w:tcW w:w="0" w:type="auto"/>
            <w:shd w:val="clear" w:color="auto" w:fill="auto"/>
            <w:tcMar>
              <w:top w:w="40" w:type="dxa"/>
              <w:left w:w="40" w:type="dxa"/>
              <w:bottom w:w="40" w:type="dxa"/>
              <w:right w:w="40" w:type="dxa"/>
            </w:tcMar>
            <w:vAlign w:val="center"/>
          </w:tcPr>
          <w:p w14:paraId="4ACE6A3F" w14:textId="77777777" w:rsidR="006F587A" w:rsidRDefault="007B2B61">
            <w:pPr>
              <w:jc w:val="center"/>
              <w:textAlignment w:val="center"/>
              <w:rPr>
                <w:rFonts w:ascii="Times New Roman" w:hAnsi="Times New Roman"/>
                <w:sz w:val="18"/>
                <w:szCs w:val="18"/>
              </w:rPr>
            </w:pPr>
            <w:r>
              <w:rPr>
                <w:rFonts w:ascii="Arial" w:eastAsia="宋体" w:hAnsi="Arial" w:cs="Arial"/>
                <w:color w:val="333333"/>
                <w:sz w:val="18"/>
                <w:szCs w:val="18"/>
              </w:rPr>
              <w:t xml:space="preserve">Pages </w:t>
            </w:r>
            <w:hyperlink r:id="rId284" w:anchor="s4F6039A386745C6C96E9350B689B2849" w:history="1">
              <w:r>
                <w:rPr>
                  <w:rStyle w:val="a5"/>
                  <w:rFonts w:ascii="Arial" w:eastAsia="宋体" w:hAnsi="Arial" w:cs="Arial"/>
                  <w:sz w:val="18"/>
                  <w:szCs w:val="18"/>
                </w:rPr>
                <w:t>65</w:t>
              </w:r>
            </w:hyperlink>
            <w:r>
              <w:rPr>
                <w:rFonts w:ascii="Arial" w:eastAsia="宋体" w:hAnsi="Arial" w:cs="Arial"/>
                <w:color w:val="333333"/>
                <w:sz w:val="18"/>
                <w:szCs w:val="18"/>
              </w:rPr>
              <w:t>-</w:t>
            </w:r>
            <w:hyperlink r:id="rId285" w:anchor="sE9BCB7BE48855CDAA5005DD8F9C70625" w:history="1">
              <w:r>
                <w:rPr>
                  <w:rStyle w:val="a5"/>
                  <w:rFonts w:ascii="Arial" w:eastAsia="宋体" w:hAnsi="Arial" w:cs="Arial"/>
                  <w:sz w:val="18"/>
                  <w:szCs w:val="18"/>
                </w:rPr>
                <w:t>111</w:t>
              </w:r>
            </w:hyperlink>
          </w:p>
        </w:tc>
      </w:tr>
      <w:tr w:rsidR="006F587A" w14:paraId="4ACE6A44" w14:textId="77777777">
        <w:tc>
          <w:tcPr>
            <w:tcW w:w="0" w:type="auto"/>
            <w:shd w:val="clear" w:color="auto" w:fill="auto"/>
            <w:tcMar>
              <w:top w:w="40" w:type="dxa"/>
              <w:left w:w="40" w:type="dxa"/>
              <w:bottom w:w="40" w:type="dxa"/>
              <w:right w:w="40" w:type="dxa"/>
            </w:tcMar>
            <w:vAlign w:val="center"/>
          </w:tcPr>
          <w:p w14:paraId="4ACE6A41" w14:textId="77777777" w:rsidR="006F587A" w:rsidRDefault="007B2B61">
            <w:pPr>
              <w:textAlignment w:val="center"/>
              <w:rPr>
                <w:rFonts w:ascii="Times New Roman" w:hAnsi="Times New Roman"/>
                <w:sz w:val="18"/>
                <w:szCs w:val="18"/>
              </w:rPr>
            </w:pPr>
            <w:r>
              <w:rPr>
                <w:rFonts w:ascii="Arial" w:eastAsia="宋体" w:hAnsi="Arial" w:cs="Arial"/>
                <w:b/>
                <w:bCs/>
                <w:color w:val="333333"/>
                <w:sz w:val="18"/>
                <w:szCs w:val="18"/>
              </w:rPr>
              <w:t>Item 9.</w:t>
            </w:r>
          </w:p>
        </w:tc>
        <w:tc>
          <w:tcPr>
            <w:tcW w:w="0" w:type="auto"/>
            <w:shd w:val="clear" w:color="auto" w:fill="auto"/>
            <w:tcMar>
              <w:top w:w="40" w:type="dxa"/>
              <w:left w:w="40" w:type="dxa"/>
              <w:bottom w:w="40" w:type="dxa"/>
              <w:right w:w="40" w:type="dxa"/>
            </w:tcMar>
            <w:vAlign w:val="center"/>
          </w:tcPr>
          <w:p w14:paraId="4ACE6A42" w14:textId="77777777" w:rsidR="006F587A" w:rsidRDefault="007B2B61">
            <w:pPr>
              <w:textAlignment w:val="center"/>
              <w:rPr>
                <w:rFonts w:ascii="Times New Roman" w:hAnsi="Times New Roman"/>
                <w:sz w:val="18"/>
                <w:szCs w:val="18"/>
              </w:rPr>
            </w:pPr>
            <w:r>
              <w:rPr>
                <w:rFonts w:ascii="Arial" w:eastAsia="宋体" w:hAnsi="Arial" w:cs="Arial"/>
                <w:b/>
                <w:bCs/>
                <w:color w:val="333333"/>
                <w:sz w:val="18"/>
                <w:szCs w:val="18"/>
              </w:rPr>
              <w:t>Changes in and Disagreements with Accountants on Accounting and Financial Disclosure</w:t>
            </w:r>
          </w:p>
        </w:tc>
        <w:tc>
          <w:tcPr>
            <w:tcW w:w="0" w:type="auto"/>
            <w:shd w:val="clear" w:color="auto" w:fill="auto"/>
            <w:tcMar>
              <w:top w:w="40" w:type="dxa"/>
              <w:left w:w="40" w:type="dxa"/>
              <w:bottom w:w="40" w:type="dxa"/>
              <w:right w:w="40" w:type="dxa"/>
            </w:tcMar>
            <w:vAlign w:val="center"/>
          </w:tcPr>
          <w:p w14:paraId="4ACE6A43" w14:textId="77777777" w:rsidR="006F587A" w:rsidRDefault="007B2B61">
            <w:pPr>
              <w:jc w:val="center"/>
              <w:textAlignment w:val="center"/>
              <w:rPr>
                <w:rFonts w:ascii="Times New Roman" w:hAnsi="Times New Roman"/>
                <w:sz w:val="18"/>
                <w:szCs w:val="18"/>
              </w:rPr>
            </w:pPr>
            <w:r>
              <w:rPr>
                <w:rFonts w:ascii="Arial" w:eastAsia="宋体" w:hAnsi="Arial" w:cs="Arial"/>
                <w:color w:val="333333"/>
                <w:sz w:val="18"/>
                <w:szCs w:val="18"/>
              </w:rPr>
              <w:t>Not applicable</w:t>
            </w:r>
          </w:p>
        </w:tc>
      </w:tr>
      <w:tr w:rsidR="006F587A" w14:paraId="4ACE6A48" w14:textId="77777777">
        <w:tc>
          <w:tcPr>
            <w:tcW w:w="0" w:type="auto"/>
            <w:shd w:val="clear" w:color="auto" w:fill="auto"/>
            <w:tcMar>
              <w:top w:w="40" w:type="dxa"/>
              <w:left w:w="40" w:type="dxa"/>
              <w:bottom w:w="40" w:type="dxa"/>
              <w:right w:w="40" w:type="dxa"/>
            </w:tcMar>
            <w:vAlign w:val="center"/>
          </w:tcPr>
          <w:p w14:paraId="4ACE6A45" w14:textId="77777777" w:rsidR="006F587A" w:rsidRDefault="007B2B61">
            <w:pPr>
              <w:textAlignment w:val="center"/>
              <w:rPr>
                <w:rFonts w:ascii="Times New Roman" w:hAnsi="Times New Roman"/>
                <w:sz w:val="18"/>
                <w:szCs w:val="18"/>
              </w:rPr>
            </w:pPr>
            <w:r>
              <w:rPr>
                <w:rFonts w:ascii="Arial" w:eastAsia="宋体" w:hAnsi="Arial" w:cs="Arial"/>
                <w:b/>
                <w:bCs/>
                <w:color w:val="333333"/>
                <w:sz w:val="18"/>
                <w:szCs w:val="18"/>
              </w:rPr>
              <w:t>Item 9A.</w:t>
            </w:r>
          </w:p>
        </w:tc>
        <w:tc>
          <w:tcPr>
            <w:tcW w:w="0" w:type="auto"/>
            <w:shd w:val="clear" w:color="auto" w:fill="auto"/>
            <w:tcMar>
              <w:top w:w="40" w:type="dxa"/>
              <w:left w:w="40" w:type="dxa"/>
              <w:bottom w:w="40" w:type="dxa"/>
              <w:right w:w="40" w:type="dxa"/>
            </w:tcMar>
            <w:vAlign w:val="center"/>
          </w:tcPr>
          <w:p w14:paraId="4ACE6A46" w14:textId="77777777" w:rsidR="006F587A" w:rsidRDefault="007B2B61">
            <w:pPr>
              <w:textAlignment w:val="center"/>
              <w:rPr>
                <w:rFonts w:ascii="Times New Roman" w:hAnsi="Times New Roman"/>
                <w:sz w:val="18"/>
                <w:szCs w:val="18"/>
              </w:rPr>
            </w:pPr>
            <w:r>
              <w:rPr>
                <w:rFonts w:ascii="Arial" w:eastAsia="宋体" w:hAnsi="Arial" w:cs="Arial"/>
                <w:b/>
                <w:bCs/>
                <w:color w:val="333333"/>
                <w:sz w:val="18"/>
                <w:szCs w:val="18"/>
              </w:rPr>
              <w:t>Controls and Procedures</w:t>
            </w:r>
          </w:p>
        </w:tc>
        <w:tc>
          <w:tcPr>
            <w:tcW w:w="0" w:type="auto"/>
            <w:shd w:val="clear" w:color="auto" w:fill="auto"/>
            <w:tcMar>
              <w:top w:w="40" w:type="dxa"/>
              <w:left w:w="40" w:type="dxa"/>
              <w:bottom w:w="40" w:type="dxa"/>
              <w:right w:w="40" w:type="dxa"/>
            </w:tcMar>
            <w:vAlign w:val="center"/>
          </w:tcPr>
          <w:p w14:paraId="4ACE6A47" w14:textId="77777777" w:rsidR="006F587A" w:rsidRDefault="007B2B61">
            <w:pPr>
              <w:jc w:val="center"/>
              <w:textAlignment w:val="center"/>
              <w:rPr>
                <w:rFonts w:ascii="Times New Roman" w:hAnsi="Times New Roman"/>
                <w:sz w:val="18"/>
                <w:szCs w:val="18"/>
              </w:rPr>
            </w:pPr>
            <w:r>
              <w:rPr>
                <w:rFonts w:ascii="Arial" w:eastAsia="宋体" w:hAnsi="Arial" w:cs="Arial"/>
                <w:color w:val="333333"/>
                <w:sz w:val="18"/>
                <w:szCs w:val="18"/>
              </w:rPr>
              <w:t xml:space="preserve">Page </w:t>
            </w:r>
            <w:hyperlink r:id="rId286" w:anchor="s627DDA1CDD855BB9BB7E5C9150268F6B" w:history="1">
              <w:r>
                <w:rPr>
                  <w:rStyle w:val="a5"/>
                  <w:rFonts w:ascii="Arial" w:eastAsia="宋体" w:hAnsi="Arial" w:cs="Arial"/>
                  <w:sz w:val="18"/>
                  <w:szCs w:val="18"/>
                </w:rPr>
                <w:t>112</w:t>
              </w:r>
            </w:hyperlink>
          </w:p>
        </w:tc>
      </w:tr>
      <w:tr w:rsidR="006F587A" w14:paraId="4ACE6A4C" w14:textId="77777777">
        <w:tc>
          <w:tcPr>
            <w:tcW w:w="0" w:type="auto"/>
            <w:tcBorders>
              <w:bottom w:val="single" w:sz="8" w:space="0" w:color="0071C5"/>
            </w:tcBorders>
            <w:shd w:val="clear" w:color="auto" w:fill="auto"/>
            <w:tcMar>
              <w:top w:w="40" w:type="dxa"/>
              <w:left w:w="40" w:type="dxa"/>
              <w:bottom w:w="40" w:type="dxa"/>
              <w:right w:w="40" w:type="dxa"/>
            </w:tcMar>
            <w:vAlign w:val="center"/>
          </w:tcPr>
          <w:p w14:paraId="4ACE6A49" w14:textId="77777777" w:rsidR="006F587A" w:rsidRDefault="007B2B61">
            <w:pPr>
              <w:textAlignment w:val="center"/>
              <w:rPr>
                <w:rFonts w:ascii="Times New Roman" w:hAnsi="Times New Roman"/>
                <w:sz w:val="18"/>
                <w:szCs w:val="18"/>
              </w:rPr>
            </w:pPr>
            <w:r>
              <w:rPr>
                <w:rFonts w:ascii="Arial" w:eastAsia="宋体" w:hAnsi="Arial" w:cs="Arial"/>
                <w:b/>
                <w:bCs/>
                <w:color w:val="333333"/>
                <w:sz w:val="18"/>
                <w:szCs w:val="18"/>
              </w:rPr>
              <w:t>Item 9B.</w:t>
            </w:r>
          </w:p>
        </w:tc>
        <w:tc>
          <w:tcPr>
            <w:tcW w:w="0" w:type="auto"/>
            <w:tcBorders>
              <w:bottom w:val="single" w:sz="8" w:space="0" w:color="0071C5"/>
            </w:tcBorders>
            <w:shd w:val="clear" w:color="auto" w:fill="auto"/>
            <w:tcMar>
              <w:top w:w="40" w:type="dxa"/>
              <w:left w:w="40" w:type="dxa"/>
              <w:bottom w:w="40" w:type="dxa"/>
              <w:right w:w="40" w:type="dxa"/>
            </w:tcMar>
            <w:vAlign w:val="center"/>
          </w:tcPr>
          <w:p w14:paraId="4ACE6A4A" w14:textId="77777777" w:rsidR="006F587A" w:rsidRDefault="007B2B61">
            <w:pPr>
              <w:textAlignment w:val="center"/>
              <w:rPr>
                <w:rFonts w:ascii="Times New Roman" w:hAnsi="Times New Roman"/>
                <w:sz w:val="18"/>
                <w:szCs w:val="18"/>
              </w:rPr>
            </w:pPr>
            <w:r>
              <w:rPr>
                <w:rFonts w:ascii="Arial" w:eastAsia="宋体" w:hAnsi="Arial" w:cs="Arial"/>
                <w:b/>
                <w:bCs/>
                <w:color w:val="333333"/>
                <w:sz w:val="18"/>
                <w:szCs w:val="18"/>
              </w:rPr>
              <w:t>Other Information</w:t>
            </w:r>
          </w:p>
        </w:tc>
        <w:tc>
          <w:tcPr>
            <w:tcW w:w="0" w:type="auto"/>
            <w:tcBorders>
              <w:bottom w:val="single" w:sz="8" w:space="0" w:color="0071C5"/>
            </w:tcBorders>
            <w:shd w:val="clear" w:color="auto" w:fill="auto"/>
            <w:tcMar>
              <w:top w:w="40" w:type="dxa"/>
              <w:left w:w="40" w:type="dxa"/>
              <w:bottom w:w="40" w:type="dxa"/>
              <w:right w:w="40" w:type="dxa"/>
            </w:tcMar>
            <w:vAlign w:val="center"/>
          </w:tcPr>
          <w:p w14:paraId="4ACE6A4B" w14:textId="77777777" w:rsidR="006F587A" w:rsidRDefault="007B2B61">
            <w:pPr>
              <w:jc w:val="center"/>
              <w:textAlignment w:val="center"/>
              <w:rPr>
                <w:rFonts w:ascii="Times New Roman" w:hAnsi="Times New Roman"/>
                <w:sz w:val="18"/>
                <w:szCs w:val="18"/>
              </w:rPr>
            </w:pPr>
            <w:r>
              <w:rPr>
                <w:rFonts w:ascii="Arial" w:eastAsia="宋体" w:hAnsi="Arial" w:cs="Arial"/>
                <w:color w:val="333333"/>
                <w:sz w:val="18"/>
                <w:szCs w:val="18"/>
              </w:rPr>
              <w:t>Not applicable</w:t>
            </w:r>
          </w:p>
        </w:tc>
      </w:tr>
      <w:tr w:rsidR="006F587A" w14:paraId="4ACE6A50" w14:textId="77777777">
        <w:tc>
          <w:tcPr>
            <w:tcW w:w="0" w:type="auto"/>
            <w:shd w:val="clear" w:color="auto" w:fill="auto"/>
            <w:tcMar>
              <w:top w:w="40" w:type="dxa"/>
              <w:left w:w="40" w:type="dxa"/>
              <w:bottom w:w="40" w:type="dxa"/>
              <w:right w:w="40" w:type="dxa"/>
            </w:tcMar>
            <w:vAlign w:val="bottom"/>
          </w:tcPr>
          <w:p w14:paraId="4ACE6A4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A4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A4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A54" w14:textId="77777777">
        <w:tc>
          <w:tcPr>
            <w:tcW w:w="0" w:type="auto"/>
            <w:shd w:val="clear" w:color="auto" w:fill="auto"/>
            <w:tcMar>
              <w:top w:w="40" w:type="dxa"/>
              <w:left w:w="40" w:type="dxa"/>
              <w:bottom w:w="40" w:type="dxa"/>
              <w:right w:w="40" w:type="dxa"/>
            </w:tcMar>
            <w:vAlign w:val="center"/>
          </w:tcPr>
          <w:p w14:paraId="4ACE6A51" w14:textId="77777777" w:rsidR="006F587A" w:rsidRDefault="007B2B61">
            <w:pPr>
              <w:textAlignment w:val="center"/>
              <w:rPr>
                <w:rFonts w:ascii="Times New Roman" w:hAnsi="Times New Roman"/>
                <w:sz w:val="18"/>
                <w:szCs w:val="18"/>
              </w:rPr>
            </w:pPr>
            <w:r>
              <w:rPr>
                <w:rFonts w:ascii="Arial" w:eastAsia="宋体" w:hAnsi="Arial" w:cs="Arial"/>
                <w:b/>
                <w:bCs/>
                <w:color w:val="0071C5"/>
                <w:sz w:val="18"/>
                <w:szCs w:val="18"/>
              </w:rPr>
              <w:t>Part III</w:t>
            </w:r>
          </w:p>
        </w:tc>
        <w:tc>
          <w:tcPr>
            <w:tcW w:w="0" w:type="auto"/>
            <w:shd w:val="clear" w:color="auto" w:fill="auto"/>
            <w:tcMar>
              <w:top w:w="40" w:type="dxa"/>
              <w:left w:w="40" w:type="dxa"/>
              <w:bottom w:w="40" w:type="dxa"/>
              <w:right w:w="40" w:type="dxa"/>
            </w:tcMar>
            <w:vAlign w:val="bottom"/>
          </w:tcPr>
          <w:p w14:paraId="4ACE6A5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A5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A58" w14:textId="77777777">
        <w:tc>
          <w:tcPr>
            <w:tcW w:w="0" w:type="auto"/>
            <w:shd w:val="clear" w:color="auto" w:fill="auto"/>
            <w:tcMar>
              <w:top w:w="40" w:type="dxa"/>
              <w:left w:w="40" w:type="dxa"/>
              <w:bottom w:w="40" w:type="dxa"/>
              <w:right w:w="40" w:type="dxa"/>
            </w:tcMar>
            <w:vAlign w:val="center"/>
          </w:tcPr>
          <w:p w14:paraId="4ACE6A55" w14:textId="77777777" w:rsidR="006F587A" w:rsidRDefault="007B2B61">
            <w:pPr>
              <w:textAlignment w:val="center"/>
              <w:rPr>
                <w:rFonts w:ascii="Times New Roman" w:hAnsi="Times New Roman"/>
                <w:sz w:val="18"/>
                <w:szCs w:val="18"/>
              </w:rPr>
            </w:pPr>
            <w:r>
              <w:rPr>
                <w:rFonts w:ascii="Arial" w:eastAsia="宋体" w:hAnsi="Arial" w:cs="Arial"/>
                <w:b/>
                <w:bCs/>
                <w:color w:val="333333"/>
                <w:sz w:val="18"/>
                <w:szCs w:val="18"/>
              </w:rPr>
              <w:t>Item 10.</w:t>
            </w:r>
          </w:p>
        </w:tc>
        <w:tc>
          <w:tcPr>
            <w:tcW w:w="0" w:type="auto"/>
            <w:shd w:val="clear" w:color="auto" w:fill="auto"/>
            <w:tcMar>
              <w:top w:w="40" w:type="dxa"/>
              <w:left w:w="40" w:type="dxa"/>
              <w:bottom w:w="40" w:type="dxa"/>
              <w:right w:w="40" w:type="dxa"/>
            </w:tcMar>
            <w:vAlign w:val="center"/>
          </w:tcPr>
          <w:p w14:paraId="4ACE6A56" w14:textId="77777777" w:rsidR="006F587A" w:rsidRDefault="007B2B61">
            <w:pPr>
              <w:textAlignment w:val="center"/>
              <w:rPr>
                <w:rFonts w:ascii="Times New Roman" w:hAnsi="Times New Roman"/>
                <w:sz w:val="18"/>
                <w:szCs w:val="18"/>
              </w:rPr>
            </w:pPr>
            <w:r>
              <w:rPr>
                <w:rFonts w:ascii="Arial" w:eastAsia="宋体" w:hAnsi="Arial" w:cs="Arial"/>
                <w:b/>
                <w:bCs/>
                <w:color w:val="333333"/>
                <w:sz w:val="18"/>
                <w:szCs w:val="18"/>
              </w:rPr>
              <w:t xml:space="preserve">Directors, Executive Officers and Corporate </w:t>
            </w:r>
            <w:r>
              <w:rPr>
                <w:rFonts w:ascii="Arial" w:eastAsia="宋体" w:hAnsi="Arial" w:cs="Arial"/>
                <w:b/>
                <w:bCs/>
                <w:color w:val="333333"/>
                <w:sz w:val="18"/>
                <w:szCs w:val="18"/>
              </w:rPr>
              <w:t>Governance</w:t>
            </w:r>
          </w:p>
        </w:tc>
        <w:tc>
          <w:tcPr>
            <w:tcW w:w="0" w:type="auto"/>
            <w:shd w:val="clear" w:color="auto" w:fill="auto"/>
            <w:tcMar>
              <w:top w:w="40" w:type="dxa"/>
              <w:left w:w="40" w:type="dxa"/>
              <w:bottom w:w="40" w:type="dxa"/>
              <w:right w:w="40" w:type="dxa"/>
            </w:tcMar>
            <w:vAlign w:val="center"/>
          </w:tcPr>
          <w:p w14:paraId="4ACE6A57" w14:textId="77777777" w:rsidR="006F587A" w:rsidRDefault="007B2B61">
            <w:pPr>
              <w:jc w:val="center"/>
              <w:textAlignment w:val="center"/>
              <w:rPr>
                <w:rFonts w:ascii="Times New Roman" w:hAnsi="Times New Roman"/>
                <w:sz w:val="18"/>
                <w:szCs w:val="18"/>
              </w:rPr>
            </w:pPr>
            <w:r>
              <w:rPr>
                <w:rFonts w:ascii="Arial" w:eastAsia="宋体" w:hAnsi="Arial" w:cs="Arial"/>
                <w:color w:val="333333"/>
                <w:sz w:val="18"/>
                <w:szCs w:val="18"/>
              </w:rPr>
              <w:t xml:space="preserve">Page </w:t>
            </w:r>
            <w:hyperlink r:id="rId287" w:anchor="s3C48D385ABC15C03922C625A024E98D9" w:history="1">
              <w:r>
                <w:rPr>
                  <w:rStyle w:val="a5"/>
                  <w:rFonts w:ascii="Arial" w:eastAsia="宋体" w:hAnsi="Arial" w:cs="Arial"/>
                  <w:sz w:val="18"/>
                  <w:szCs w:val="18"/>
                </w:rPr>
                <w:t>63</w:t>
              </w:r>
            </w:hyperlink>
            <w:r>
              <w:rPr>
                <w:rFonts w:ascii="Arial" w:eastAsia="宋体" w:hAnsi="Arial" w:cs="Arial"/>
                <w:color w:val="333333"/>
                <w:sz w:val="18"/>
                <w:szCs w:val="18"/>
              </w:rPr>
              <w:t>-</w:t>
            </w:r>
            <w:hyperlink r:id="rId288" w:anchor="sA3AEA309873055D3AF83D4C86EA6A0DE" w:history="1">
              <w:r>
                <w:rPr>
                  <w:rStyle w:val="a5"/>
                  <w:rFonts w:ascii="Arial" w:eastAsia="宋体" w:hAnsi="Arial" w:cs="Arial"/>
                  <w:sz w:val="18"/>
                  <w:szCs w:val="18"/>
                </w:rPr>
                <w:t>64</w:t>
              </w:r>
            </w:hyperlink>
            <w:r>
              <w:rPr>
                <w:rFonts w:ascii="Arial" w:eastAsia="宋体" w:hAnsi="Arial" w:cs="Arial"/>
                <w:color w:val="333333"/>
                <w:sz w:val="18"/>
                <w:szCs w:val="18"/>
              </w:rPr>
              <w:t>, (b)</w:t>
            </w:r>
          </w:p>
        </w:tc>
      </w:tr>
      <w:tr w:rsidR="006F587A" w14:paraId="4ACE6A5C" w14:textId="77777777">
        <w:tc>
          <w:tcPr>
            <w:tcW w:w="0" w:type="auto"/>
            <w:shd w:val="clear" w:color="auto" w:fill="auto"/>
            <w:tcMar>
              <w:top w:w="40" w:type="dxa"/>
              <w:left w:w="40" w:type="dxa"/>
              <w:bottom w:w="40" w:type="dxa"/>
              <w:right w:w="40" w:type="dxa"/>
            </w:tcMar>
            <w:vAlign w:val="center"/>
          </w:tcPr>
          <w:p w14:paraId="4ACE6A59" w14:textId="77777777" w:rsidR="006F587A" w:rsidRDefault="007B2B61">
            <w:pPr>
              <w:textAlignment w:val="center"/>
              <w:rPr>
                <w:rFonts w:ascii="Times New Roman" w:hAnsi="Times New Roman"/>
                <w:sz w:val="18"/>
                <w:szCs w:val="18"/>
              </w:rPr>
            </w:pPr>
            <w:r>
              <w:rPr>
                <w:rFonts w:ascii="Arial" w:eastAsia="宋体" w:hAnsi="Arial" w:cs="Arial"/>
                <w:b/>
                <w:bCs/>
                <w:color w:val="333333"/>
                <w:sz w:val="18"/>
                <w:szCs w:val="18"/>
              </w:rPr>
              <w:t>Item 11.</w:t>
            </w:r>
          </w:p>
        </w:tc>
        <w:tc>
          <w:tcPr>
            <w:tcW w:w="0" w:type="auto"/>
            <w:shd w:val="clear" w:color="auto" w:fill="auto"/>
            <w:tcMar>
              <w:top w:w="40" w:type="dxa"/>
              <w:left w:w="40" w:type="dxa"/>
              <w:bottom w:w="40" w:type="dxa"/>
              <w:right w:w="40" w:type="dxa"/>
            </w:tcMar>
            <w:vAlign w:val="center"/>
          </w:tcPr>
          <w:p w14:paraId="4ACE6A5A" w14:textId="77777777" w:rsidR="006F587A" w:rsidRDefault="007B2B61">
            <w:pPr>
              <w:textAlignment w:val="center"/>
              <w:rPr>
                <w:rFonts w:ascii="Times New Roman" w:hAnsi="Times New Roman"/>
                <w:sz w:val="18"/>
                <w:szCs w:val="18"/>
              </w:rPr>
            </w:pPr>
            <w:r>
              <w:rPr>
                <w:rFonts w:ascii="Arial" w:eastAsia="宋体" w:hAnsi="Arial" w:cs="Arial"/>
                <w:b/>
                <w:bCs/>
                <w:color w:val="333333"/>
                <w:sz w:val="18"/>
                <w:szCs w:val="18"/>
              </w:rPr>
              <w:t>Executive Compensation</w:t>
            </w:r>
          </w:p>
        </w:tc>
        <w:tc>
          <w:tcPr>
            <w:tcW w:w="0" w:type="auto"/>
            <w:shd w:val="clear" w:color="auto" w:fill="auto"/>
            <w:tcMar>
              <w:top w:w="40" w:type="dxa"/>
              <w:left w:w="40" w:type="dxa"/>
              <w:bottom w:w="40" w:type="dxa"/>
              <w:right w:w="40" w:type="dxa"/>
            </w:tcMar>
            <w:vAlign w:val="center"/>
          </w:tcPr>
          <w:p w14:paraId="4ACE6A5B" w14:textId="77777777" w:rsidR="006F587A" w:rsidRDefault="007B2B61">
            <w:pPr>
              <w:jc w:val="center"/>
              <w:textAlignment w:val="center"/>
              <w:rPr>
                <w:rFonts w:ascii="Times New Roman" w:hAnsi="Times New Roman"/>
                <w:sz w:val="18"/>
                <w:szCs w:val="18"/>
              </w:rPr>
            </w:pPr>
            <w:r>
              <w:rPr>
                <w:rFonts w:ascii="Arial" w:eastAsia="宋体" w:hAnsi="Arial" w:cs="Arial"/>
                <w:color w:val="333333"/>
                <w:sz w:val="18"/>
                <w:szCs w:val="18"/>
              </w:rPr>
              <w:t>(c)</w:t>
            </w:r>
          </w:p>
        </w:tc>
      </w:tr>
      <w:tr w:rsidR="006F587A" w14:paraId="4ACE6A60" w14:textId="77777777">
        <w:tc>
          <w:tcPr>
            <w:tcW w:w="0" w:type="auto"/>
            <w:shd w:val="clear" w:color="auto" w:fill="auto"/>
            <w:tcMar>
              <w:top w:w="40" w:type="dxa"/>
              <w:left w:w="40" w:type="dxa"/>
              <w:bottom w:w="40" w:type="dxa"/>
              <w:right w:w="40" w:type="dxa"/>
            </w:tcMar>
            <w:vAlign w:val="center"/>
          </w:tcPr>
          <w:p w14:paraId="4ACE6A5D" w14:textId="77777777" w:rsidR="006F587A" w:rsidRDefault="007B2B61">
            <w:pPr>
              <w:textAlignment w:val="center"/>
              <w:rPr>
                <w:rFonts w:ascii="Times New Roman" w:hAnsi="Times New Roman"/>
                <w:sz w:val="18"/>
                <w:szCs w:val="18"/>
              </w:rPr>
            </w:pPr>
            <w:r>
              <w:rPr>
                <w:rFonts w:ascii="Arial" w:eastAsia="宋体" w:hAnsi="Arial" w:cs="Arial"/>
                <w:b/>
                <w:bCs/>
                <w:color w:val="333333"/>
                <w:sz w:val="18"/>
                <w:szCs w:val="18"/>
              </w:rPr>
              <w:t>Item 12.</w:t>
            </w:r>
          </w:p>
        </w:tc>
        <w:tc>
          <w:tcPr>
            <w:tcW w:w="0" w:type="auto"/>
            <w:shd w:val="clear" w:color="auto" w:fill="auto"/>
            <w:tcMar>
              <w:top w:w="40" w:type="dxa"/>
              <w:left w:w="40" w:type="dxa"/>
              <w:bottom w:w="40" w:type="dxa"/>
              <w:right w:w="40" w:type="dxa"/>
            </w:tcMar>
            <w:vAlign w:val="center"/>
          </w:tcPr>
          <w:p w14:paraId="4ACE6A5E" w14:textId="77777777" w:rsidR="006F587A" w:rsidRDefault="007B2B61">
            <w:pPr>
              <w:textAlignment w:val="center"/>
              <w:rPr>
                <w:rFonts w:ascii="Times New Roman" w:hAnsi="Times New Roman"/>
                <w:sz w:val="18"/>
                <w:szCs w:val="18"/>
              </w:rPr>
            </w:pPr>
            <w:r>
              <w:rPr>
                <w:rFonts w:ascii="Arial" w:eastAsia="宋体" w:hAnsi="Arial" w:cs="Arial"/>
                <w:b/>
                <w:bCs/>
                <w:color w:val="333333"/>
                <w:sz w:val="18"/>
                <w:szCs w:val="18"/>
              </w:rPr>
              <w:t>Security Ownership of Certain Beneficial Owners and Management and Related Stockholder Matters</w:t>
            </w:r>
          </w:p>
        </w:tc>
        <w:tc>
          <w:tcPr>
            <w:tcW w:w="0" w:type="auto"/>
            <w:shd w:val="clear" w:color="auto" w:fill="auto"/>
            <w:tcMar>
              <w:top w:w="40" w:type="dxa"/>
              <w:left w:w="40" w:type="dxa"/>
              <w:bottom w:w="40" w:type="dxa"/>
              <w:right w:w="40" w:type="dxa"/>
            </w:tcMar>
            <w:vAlign w:val="center"/>
          </w:tcPr>
          <w:p w14:paraId="4ACE6A5F" w14:textId="77777777" w:rsidR="006F587A" w:rsidRDefault="007B2B61">
            <w:pPr>
              <w:jc w:val="center"/>
              <w:textAlignment w:val="center"/>
              <w:rPr>
                <w:rFonts w:ascii="Times New Roman" w:hAnsi="Times New Roman"/>
                <w:sz w:val="18"/>
                <w:szCs w:val="18"/>
              </w:rPr>
            </w:pPr>
            <w:r>
              <w:rPr>
                <w:rFonts w:ascii="Arial" w:eastAsia="宋体" w:hAnsi="Arial" w:cs="Arial"/>
                <w:color w:val="333333"/>
                <w:sz w:val="18"/>
                <w:szCs w:val="18"/>
              </w:rPr>
              <w:t>(d)</w:t>
            </w:r>
          </w:p>
        </w:tc>
      </w:tr>
      <w:tr w:rsidR="006F587A" w14:paraId="4ACE6A64" w14:textId="77777777">
        <w:tc>
          <w:tcPr>
            <w:tcW w:w="0" w:type="auto"/>
            <w:shd w:val="clear" w:color="auto" w:fill="auto"/>
            <w:tcMar>
              <w:top w:w="40" w:type="dxa"/>
              <w:left w:w="40" w:type="dxa"/>
              <w:bottom w:w="40" w:type="dxa"/>
              <w:right w:w="40" w:type="dxa"/>
            </w:tcMar>
            <w:vAlign w:val="center"/>
          </w:tcPr>
          <w:p w14:paraId="4ACE6A61" w14:textId="77777777" w:rsidR="006F587A" w:rsidRDefault="007B2B61">
            <w:pPr>
              <w:textAlignment w:val="center"/>
              <w:rPr>
                <w:rFonts w:ascii="Times New Roman" w:hAnsi="Times New Roman"/>
                <w:sz w:val="18"/>
                <w:szCs w:val="18"/>
              </w:rPr>
            </w:pPr>
            <w:r>
              <w:rPr>
                <w:rFonts w:ascii="Arial" w:eastAsia="宋体" w:hAnsi="Arial" w:cs="Arial"/>
                <w:b/>
                <w:bCs/>
                <w:color w:val="333333"/>
                <w:sz w:val="18"/>
                <w:szCs w:val="18"/>
              </w:rPr>
              <w:t>Item 13.</w:t>
            </w:r>
          </w:p>
        </w:tc>
        <w:tc>
          <w:tcPr>
            <w:tcW w:w="0" w:type="auto"/>
            <w:shd w:val="clear" w:color="auto" w:fill="auto"/>
            <w:tcMar>
              <w:top w:w="40" w:type="dxa"/>
              <w:left w:w="40" w:type="dxa"/>
              <w:bottom w:w="40" w:type="dxa"/>
              <w:right w:w="40" w:type="dxa"/>
            </w:tcMar>
            <w:vAlign w:val="center"/>
          </w:tcPr>
          <w:p w14:paraId="4ACE6A62" w14:textId="77777777" w:rsidR="006F587A" w:rsidRDefault="007B2B61">
            <w:pPr>
              <w:textAlignment w:val="center"/>
              <w:rPr>
                <w:rFonts w:ascii="Times New Roman" w:hAnsi="Times New Roman"/>
                <w:sz w:val="18"/>
                <w:szCs w:val="18"/>
              </w:rPr>
            </w:pPr>
            <w:r>
              <w:rPr>
                <w:rFonts w:ascii="Arial" w:eastAsia="宋体" w:hAnsi="Arial" w:cs="Arial"/>
                <w:b/>
                <w:bCs/>
                <w:color w:val="333333"/>
                <w:sz w:val="18"/>
                <w:szCs w:val="18"/>
              </w:rPr>
              <w:t>Certain Relationships and Related Transactions, and Director Independence</w:t>
            </w:r>
          </w:p>
        </w:tc>
        <w:tc>
          <w:tcPr>
            <w:tcW w:w="0" w:type="auto"/>
            <w:shd w:val="clear" w:color="auto" w:fill="auto"/>
            <w:tcMar>
              <w:top w:w="40" w:type="dxa"/>
              <w:left w:w="40" w:type="dxa"/>
              <w:bottom w:w="40" w:type="dxa"/>
              <w:right w:w="40" w:type="dxa"/>
            </w:tcMar>
            <w:vAlign w:val="center"/>
          </w:tcPr>
          <w:p w14:paraId="4ACE6A63" w14:textId="77777777" w:rsidR="006F587A" w:rsidRDefault="007B2B61">
            <w:pPr>
              <w:jc w:val="center"/>
              <w:textAlignment w:val="center"/>
              <w:rPr>
                <w:rFonts w:ascii="Times New Roman" w:hAnsi="Times New Roman"/>
                <w:sz w:val="18"/>
                <w:szCs w:val="18"/>
              </w:rPr>
            </w:pPr>
            <w:r>
              <w:rPr>
                <w:rFonts w:ascii="Arial" w:eastAsia="宋体" w:hAnsi="Arial" w:cs="Arial"/>
                <w:color w:val="333333"/>
                <w:sz w:val="18"/>
                <w:szCs w:val="18"/>
              </w:rPr>
              <w:t>(e)</w:t>
            </w:r>
          </w:p>
        </w:tc>
      </w:tr>
      <w:tr w:rsidR="006F587A" w14:paraId="4ACE6A69" w14:textId="77777777">
        <w:tc>
          <w:tcPr>
            <w:tcW w:w="0" w:type="auto"/>
            <w:tcBorders>
              <w:bottom w:val="single" w:sz="8" w:space="0" w:color="0071C5"/>
            </w:tcBorders>
            <w:shd w:val="clear" w:color="auto" w:fill="auto"/>
            <w:tcMar>
              <w:top w:w="40" w:type="dxa"/>
              <w:left w:w="40" w:type="dxa"/>
              <w:bottom w:w="40" w:type="dxa"/>
              <w:right w:w="40" w:type="dxa"/>
            </w:tcMar>
            <w:vAlign w:val="center"/>
          </w:tcPr>
          <w:p w14:paraId="4ACE6A65" w14:textId="77777777" w:rsidR="006F587A" w:rsidRDefault="007B2B61">
            <w:pPr>
              <w:textAlignment w:val="center"/>
              <w:rPr>
                <w:rFonts w:ascii="Times New Roman" w:hAnsi="Times New Roman"/>
                <w:sz w:val="18"/>
                <w:szCs w:val="18"/>
              </w:rPr>
            </w:pPr>
            <w:r>
              <w:rPr>
                <w:rFonts w:ascii="Arial" w:eastAsia="宋体" w:hAnsi="Arial" w:cs="Arial"/>
                <w:b/>
                <w:bCs/>
                <w:color w:val="333333"/>
                <w:sz w:val="18"/>
                <w:szCs w:val="18"/>
              </w:rPr>
              <w:t>Item 14.</w:t>
            </w:r>
          </w:p>
        </w:tc>
        <w:tc>
          <w:tcPr>
            <w:tcW w:w="0" w:type="auto"/>
            <w:tcBorders>
              <w:bottom w:val="single" w:sz="8" w:space="0" w:color="0071C5"/>
            </w:tcBorders>
            <w:shd w:val="clear" w:color="auto" w:fill="auto"/>
            <w:tcMar>
              <w:top w:w="40" w:type="dxa"/>
              <w:left w:w="40" w:type="dxa"/>
              <w:bottom w:w="40" w:type="dxa"/>
              <w:right w:w="40" w:type="dxa"/>
            </w:tcMar>
            <w:vAlign w:val="center"/>
          </w:tcPr>
          <w:p w14:paraId="4ACE6A66" w14:textId="77777777" w:rsidR="006F587A" w:rsidRDefault="007B2B61">
            <w:pPr>
              <w:textAlignment w:val="center"/>
              <w:rPr>
                <w:rFonts w:ascii="Times New Roman" w:hAnsi="Times New Roman"/>
                <w:sz w:val="18"/>
                <w:szCs w:val="18"/>
              </w:rPr>
            </w:pPr>
            <w:r>
              <w:rPr>
                <w:rFonts w:ascii="Arial" w:eastAsia="宋体" w:hAnsi="Arial" w:cs="Arial"/>
                <w:b/>
                <w:bCs/>
                <w:color w:val="333333"/>
                <w:sz w:val="18"/>
                <w:szCs w:val="18"/>
              </w:rPr>
              <w:t>Principal Accounting Fees and Services</w:t>
            </w:r>
          </w:p>
        </w:tc>
        <w:tc>
          <w:tcPr>
            <w:tcW w:w="0" w:type="auto"/>
            <w:tcBorders>
              <w:bottom w:val="single" w:sz="8" w:space="0" w:color="0071C5"/>
            </w:tcBorders>
            <w:shd w:val="clear" w:color="auto" w:fill="auto"/>
            <w:tcMar>
              <w:top w:w="40" w:type="dxa"/>
              <w:left w:w="40" w:type="dxa"/>
              <w:bottom w:w="40" w:type="dxa"/>
              <w:right w:w="40" w:type="dxa"/>
            </w:tcMar>
            <w:vAlign w:val="center"/>
          </w:tcPr>
          <w:p w14:paraId="4ACE6A67" w14:textId="77777777" w:rsidR="006F587A" w:rsidRDefault="007B2B61">
            <w:pPr>
              <w:jc w:val="center"/>
              <w:textAlignment w:val="center"/>
              <w:rPr>
                <w:rFonts w:ascii="Times New Roman" w:hAnsi="Times New Roman"/>
                <w:sz w:val="18"/>
                <w:szCs w:val="18"/>
              </w:rPr>
            </w:pPr>
            <w:r>
              <w:rPr>
                <w:rFonts w:ascii="Arial" w:eastAsia="宋体" w:hAnsi="Arial" w:cs="Arial"/>
                <w:color w:val="333333"/>
                <w:sz w:val="18"/>
                <w:szCs w:val="18"/>
              </w:rPr>
              <w:t>(f)</w:t>
            </w:r>
          </w:p>
          <w:p w14:paraId="4ACE6A68" w14:textId="77777777" w:rsidR="006F587A" w:rsidRDefault="006F587A">
            <w:pPr>
              <w:jc w:val="center"/>
              <w:textAlignment w:val="center"/>
              <w:rPr>
                <w:rFonts w:ascii="Times New Roman" w:hAnsi="Times New Roman"/>
                <w:sz w:val="18"/>
                <w:szCs w:val="18"/>
              </w:rPr>
            </w:pPr>
          </w:p>
        </w:tc>
      </w:tr>
      <w:tr w:rsidR="006F587A" w14:paraId="4ACE6A6D" w14:textId="77777777">
        <w:tc>
          <w:tcPr>
            <w:tcW w:w="0" w:type="auto"/>
            <w:shd w:val="clear" w:color="auto" w:fill="auto"/>
            <w:tcMar>
              <w:top w:w="40" w:type="dxa"/>
              <w:left w:w="40" w:type="dxa"/>
              <w:bottom w:w="40" w:type="dxa"/>
              <w:right w:w="40" w:type="dxa"/>
            </w:tcMar>
            <w:vAlign w:val="bottom"/>
          </w:tcPr>
          <w:p w14:paraId="4ACE6A6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A6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A6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A71" w14:textId="77777777">
        <w:tc>
          <w:tcPr>
            <w:tcW w:w="0" w:type="auto"/>
            <w:shd w:val="clear" w:color="auto" w:fill="auto"/>
            <w:tcMar>
              <w:top w:w="40" w:type="dxa"/>
              <w:left w:w="40" w:type="dxa"/>
              <w:bottom w:w="40" w:type="dxa"/>
              <w:right w:w="40" w:type="dxa"/>
            </w:tcMar>
            <w:vAlign w:val="center"/>
          </w:tcPr>
          <w:p w14:paraId="4ACE6A6E" w14:textId="77777777" w:rsidR="006F587A" w:rsidRDefault="007B2B61">
            <w:pPr>
              <w:textAlignment w:val="center"/>
              <w:rPr>
                <w:rFonts w:ascii="Times New Roman" w:hAnsi="Times New Roman"/>
                <w:sz w:val="18"/>
                <w:szCs w:val="18"/>
              </w:rPr>
            </w:pPr>
            <w:r>
              <w:rPr>
                <w:rFonts w:ascii="Arial" w:eastAsia="宋体" w:hAnsi="Arial" w:cs="Arial"/>
                <w:b/>
                <w:bCs/>
                <w:color w:val="0071C5"/>
                <w:sz w:val="18"/>
                <w:szCs w:val="18"/>
              </w:rPr>
              <w:t>Part IV</w:t>
            </w:r>
          </w:p>
        </w:tc>
        <w:tc>
          <w:tcPr>
            <w:tcW w:w="0" w:type="auto"/>
            <w:shd w:val="clear" w:color="auto" w:fill="auto"/>
            <w:tcMar>
              <w:top w:w="40" w:type="dxa"/>
              <w:left w:w="40" w:type="dxa"/>
              <w:bottom w:w="40" w:type="dxa"/>
              <w:right w:w="40" w:type="dxa"/>
            </w:tcMar>
            <w:vAlign w:val="bottom"/>
          </w:tcPr>
          <w:p w14:paraId="4ACE6A6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A7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A75" w14:textId="77777777">
        <w:tc>
          <w:tcPr>
            <w:tcW w:w="0" w:type="auto"/>
            <w:shd w:val="clear" w:color="auto" w:fill="auto"/>
            <w:tcMar>
              <w:top w:w="40" w:type="dxa"/>
              <w:left w:w="40" w:type="dxa"/>
              <w:bottom w:w="40" w:type="dxa"/>
              <w:right w:w="40" w:type="dxa"/>
            </w:tcMar>
            <w:vAlign w:val="center"/>
          </w:tcPr>
          <w:p w14:paraId="4ACE6A72" w14:textId="77777777" w:rsidR="006F587A" w:rsidRDefault="007B2B61">
            <w:pPr>
              <w:textAlignment w:val="center"/>
              <w:rPr>
                <w:rFonts w:ascii="Times New Roman" w:hAnsi="Times New Roman"/>
                <w:sz w:val="18"/>
                <w:szCs w:val="18"/>
              </w:rPr>
            </w:pPr>
            <w:r>
              <w:rPr>
                <w:rFonts w:ascii="Arial" w:eastAsia="宋体" w:hAnsi="Arial" w:cs="Arial"/>
                <w:b/>
                <w:bCs/>
                <w:color w:val="333333"/>
                <w:sz w:val="18"/>
                <w:szCs w:val="18"/>
              </w:rPr>
              <w:t>Item 15.</w:t>
            </w:r>
          </w:p>
        </w:tc>
        <w:tc>
          <w:tcPr>
            <w:tcW w:w="0" w:type="auto"/>
            <w:shd w:val="clear" w:color="auto" w:fill="auto"/>
            <w:tcMar>
              <w:top w:w="40" w:type="dxa"/>
              <w:left w:w="40" w:type="dxa"/>
              <w:bottom w:w="40" w:type="dxa"/>
              <w:right w:w="40" w:type="dxa"/>
            </w:tcMar>
            <w:vAlign w:val="center"/>
          </w:tcPr>
          <w:p w14:paraId="4ACE6A73" w14:textId="77777777" w:rsidR="006F587A" w:rsidRDefault="007B2B61">
            <w:pPr>
              <w:textAlignment w:val="center"/>
              <w:rPr>
                <w:rFonts w:ascii="Times New Roman" w:hAnsi="Times New Roman"/>
                <w:sz w:val="18"/>
                <w:szCs w:val="18"/>
              </w:rPr>
            </w:pPr>
            <w:r>
              <w:rPr>
                <w:rFonts w:ascii="Arial" w:eastAsia="宋体" w:hAnsi="Arial" w:cs="Arial"/>
                <w:b/>
                <w:bCs/>
                <w:color w:val="333333"/>
                <w:sz w:val="18"/>
                <w:szCs w:val="18"/>
              </w:rPr>
              <w:t>Exhibits and Financial Statement Schedules</w:t>
            </w:r>
          </w:p>
        </w:tc>
        <w:tc>
          <w:tcPr>
            <w:tcW w:w="0" w:type="auto"/>
            <w:shd w:val="clear" w:color="auto" w:fill="auto"/>
            <w:tcMar>
              <w:top w:w="40" w:type="dxa"/>
              <w:left w:w="40" w:type="dxa"/>
              <w:bottom w:w="40" w:type="dxa"/>
              <w:right w:w="40" w:type="dxa"/>
            </w:tcMar>
            <w:vAlign w:val="center"/>
          </w:tcPr>
          <w:p w14:paraId="4ACE6A74" w14:textId="77777777" w:rsidR="006F587A" w:rsidRDefault="007B2B61">
            <w:pPr>
              <w:jc w:val="center"/>
              <w:textAlignment w:val="center"/>
              <w:rPr>
                <w:rFonts w:ascii="Times New Roman" w:hAnsi="Times New Roman"/>
                <w:sz w:val="18"/>
                <w:szCs w:val="18"/>
              </w:rPr>
            </w:pPr>
            <w:r>
              <w:rPr>
                <w:rFonts w:ascii="Arial" w:eastAsia="宋体" w:hAnsi="Arial" w:cs="Arial"/>
                <w:color w:val="333333"/>
                <w:sz w:val="18"/>
                <w:szCs w:val="18"/>
              </w:rPr>
              <w:t xml:space="preserve">Pages </w:t>
            </w:r>
            <w:hyperlink r:id="rId289" w:anchor="s2EB4BB2ECA14576FA8F86D8E83E4AD18" w:history="1">
              <w:r>
                <w:rPr>
                  <w:rStyle w:val="a5"/>
                  <w:rFonts w:ascii="Arial" w:eastAsia="宋体" w:hAnsi="Arial" w:cs="Arial"/>
                  <w:sz w:val="18"/>
                  <w:szCs w:val="18"/>
                </w:rPr>
                <w:t>113</w:t>
              </w:r>
            </w:hyperlink>
            <w:r>
              <w:rPr>
                <w:rFonts w:ascii="Arial" w:eastAsia="宋体" w:hAnsi="Arial" w:cs="Arial"/>
                <w:color w:val="333333"/>
                <w:sz w:val="18"/>
                <w:szCs w:val="18"/>
              </w:rPr>
              <w:t>-</w:t>
            </w:r>
            <w:hyperlink r:id="rId290" w:anchor="s529F4ED769345343A3974AAD62835830" w:history="1">
              <w:r>
                <w:rPr>
                  <w:rStyle w:val="a5"/>
                  <w:rFonts w:ascii="Arial" w:eastAsia="宋体" w:hAnsi="Arial" w:cs="Arial"/>
                  <w:sz w:val="18"/>
                  <w:szCs w:val="18"/>
                </w:rPr>
                <w:t>117</w:t>
              </w:r>
            </w:hyperlink>
          </w:p>
        </w:tc>
      </w:tr>
      <w:tr w:rsidR="006F587A" w14:paraId="4ACE6A79" w14:textId="77777777">
        <w:tc>
          <w:tcPr>
            <w:tcW w:w="0" w:type="auto"/>
            <w:tcBorders>
              <w:bottom w:val="single" w:sz="8" w:space="0" w:color="0071C5"/>
            </w:tcBorders>
            <w:shd w:val="clear" w:color="auto" w:fill="auto"/>
            <w:tcMar>
              <w:top w:w="40" w:type="dxa"/>
              <w:left w:w="40" w:type="dxa"/>
              <w:bottom w:w="40" w:type="dxa"/>
              <w:right w:w="40" w:type="dxa"/>
            </w:tcMar>
            <w:vAlign w:val="center"/>
          </w:tcPr>
          <w:p w14:paraId="4ACE6A76" w14:textId="77777777" w:rsidR="006F587A" w:rsidRDefault="007B2B61">
            <w:pPr>
              <w:textAlignment w:val="center"/>
              <w:rPr>
                <w:rFonts w:ascii="Times New Roman" w:hAnsi="Times New Roman"/>
                <w:sz w:val="18"/>
                <w:szCs w:val="18"/>
              </w:rPr>
            </w:pPr>
            <w:r>
              <w:rPr>
                <w:rFonts w:ascii="Arial" w:eastAsia="宋体" w:hAnsi="Arial" w:cs="Arial"/>
                <w:b/>
                <w:bCs/>
                <w:color w:val="333333"/>
                <w:sz w:val="18"/>
                <w:szCs w:val="18"/>
              </w:rPr>
              <w:t>Item 16.</w:t>
            </w:r>
          </w:p>
        </w:tc>
        <w:tc>
          <w:tcPr>
            <w:tcW w:w="0" w:type="auto"/>
            <w:tcBorders>
              <w:bottom w:val="single" w:sz="8" w:space="0" w:color="0071C5"/>
            </w:tcBorders>
            <w:shd w:val="clear" w:color="auto" w:fill="auto"/>
            <w:tcMar>
              <w:top w:w="40" w:type="dxa"/>
              <w:left w:w="40" w:type="dxa"/>
              <w:bottom w:w="40" w:type="dxa"/>
              <w:right w:w="40" w:type="dxa"/>
            </w:tcMar>
            <w:vAlign w:val="center"/>
          </w:tcPr>
          <w:p w14:paraId="4ACE6A77" w14:textId="77777777" w:rsidR="006F587A" w:rsidRDefault="007B2B61">
            <w:pPr>
              <w:textAlignment w:val="center"/>
              <w:rPr>
                <w:rFonts w:ascii="Times New Roman" w:hAnsi="Times New Roman"/>
                <w:sz w:val="18"/>
                <w:szCs w:val="18"/>
              </w:rPr>
            </w:pPr>
            <w:r>
              <w:rPr>
                <w:rFonts w:ascii="Arial" w:eastAsia="宋体" w:hAnsi="Arial" w:cs="Arial"/>
                <w:b/>
                <w:bCs/>
                <w:color w:val="333333"/>
                <w:sz w:val="18"/>
                <w:szCs w:val="18"/>
              </w:rPr>
              <w:t>Form 10-K Summary</w:t>
            </w:r>
          </w:p>
        </w:tc>
        <w:tc>
          <w:tcPr>
            <w:tcW w:w="0" w:type="auto"/>
            <w:tcBorders>
              <w:bottom w:val="single" w:sz="8" w:space="0" w:color="0071C5"/>
            </w:tcBorders>
            <w:shd w:val="clear" w:color="auto" w:fill="auto"/>
            <w:tcMar>
              <w:top w:w="40" w:type="dxa"/>
              <w:left w:w="40" w:type="dxa"/>
              <w:bottom w:w="40" w:type="dxa"/>
              <w:right w:w="40" w:type="dxa"/>
            </w:tcMar>
            <w:vAlign w:val="center"/>
          </w:tcPr>
          <w:p w14:paraId="4ACE6A78" w14:textId="77777777" w:rsidR="006F587A" w:rsidRDefault="007B2B61">
            <w:pPr>
              <w:jc w:val="center"/>
              <w:textAlignment w:val="center"/>
              <w:rPr>
                <w:rFonts w:ascii="Times New Roman" w:hAnsi="Times New Roman"/>
                <w:sz w:val="18"/>
                <w:szCs w:val="18"/>
              </w:rPr>
            </w:pPr>
            <w:r>
              <w:rPr>
                <w:rFonts w:ascii="Arial" w:eastAsia="宋体" w:hAnsi="Arial" w:cs="Arial"/>
                <w:color w:val="333333"/>
                <w:sz w:val="18"/>
                <w:szCs w:val="18"/>
              </w:rPr>
              <w:t>Not applicable</w:t>
            </w:r>
          </w:p>
        </w:tc>
      </w:tr>
      <w:tr w:rsidR="006F587A" w14:paraId="4ACE6A7D" w14:textId="77777777">
        <w:tc>
          <w:tcPr>
            <w:tcW w:w="0" w:type="auto"/>
            <w:shd w:val="clear" w:color="auto" w:fill="auto"/>
            <w:tcMar>
              <w:top w:w="40" w:type="dxa"/>
              <w:left w:w="40" w:type="dxa"/>
              <w:bottom w:w="40" w:type="dxa"/>
              <w:right w:w="40" w:type="dxa"/>
            </w:tcMar>
            <w:vAlign w:val="bottom"/>
          </w:tcPr>
          <w:p w14:paraId="4ACE6A7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lastRenderedPageBreak/>
              <w:t> </w:t>
            </w:r>
          </w:p>
        </w:tc>
        <w:tc>
          <w:tcPr>
            <w:tcW w:w="0" w:type="auto"/>
            <w:shd w:val="clear" w:color="auto" w:fill="auto"/>
            <w:tcMar>
              <w:top w:w="40" w:type="dxa"/>
              <w:left w:w="40" w:type="dxa"/>
              <w:bottom w:w="40" w:type="dxa"/>
              <w:right w:w="40" w:type="dxa"/>
            </w:tcMar>
            <w:vAlign w:val="bottom"/>
          </w:tcPr>
          <w:p w14:paraId="4ACE6A7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A7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A81" w14:textId="77777777">
        <w:tc>
          <w:tcPr>
            <w:tcW w:w="0" w:type="auto"/>
            <w:tcBorders>
              <w:bottom w:val="single" w:sz="8" w:space="0" w:color="0071C5"/>
            </w:tcBorders>
            <w:shd w:val="clear" w:color="auto" w:fill="auto"/>
            <w:tcMar>
              <w:top w:w="40" w:type="dxa"/>
              <w:left w:w="40" w:type="dxa"/>
              <w:bottom w:w="40" w:type="dxa"/>
              <w:right w:w="40" w:type="dxa"/>
            </w:tcMar>
            <w:vAlign w:val="center"/>
          </w:tcPr>
          <w:p w14:paraId="4ACE6A7E" w14:textId="77777777" w:rsidR="006F587A" w:rsidRDefault="007B2B61">
            <w:pPr>
              <w:textAlignment w:val="center"/>
              <w:rPr>
                <w:rFonts w:ascii="Times New Roman" w:hAnsi="Times New Roman"/>
                <w:sz w:val="18"/>
                <w:szCs w:val="18"/>
              </w:rPr>
            </w:pPr>
            <w:r>
              <w:rPr>
                <w:rFonts w:ascii="Arial" w:eastAsia="宋体" w:hAnsi="Arial" w:cs="Arial"/>
                <w:b/>
                <w:bCs/>
                <w:color w:val="0071C5"/>
                <w:sz w:val="18"/>
                <w:szCs w:val="18"/>
              </w:rPr>
              <w:t>Signatures</w:t>
            </w:r>
          </w:p>
        </w:tc>
        <w:tc>
          <w:tcPr>
            <w:tcW w:w="0" w:type="auto"/>
            <w:tcBorders>
              <w:bottom w:val="single" w:sz="8" w:space="0" w:color="0071C5"/>
            </w:tcBorders>
            <w:shd w:val="clear" w:color="auto" w:fill="auto"/>
            <w:tcMar>
              <w:top w:w="40" w:type="dxa"/>
              <w:left w:w="40" w:type="dxa"/>
              <w:bottom w:w="40" w:type="dxa"/>
              <w:right w:w="40" w:type="dxa"/>
            </w:tcMar>
            <w:vAlign w:val="bottom"/>
          </w:tcPr>
          <w:p w14:paraId="4ACE6A7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71C5"/>
            </w:tcBorders>
            <w:shd w:val="clear" w:color="auto" w:fill="auto"/>
            <w:tcMar>
              <w:top w:w="40" w:type="dxa"/>
              <w:left w:w="40" w:type="dxa"/>
              <w:bottom w:w="40" w:type="dxa"/>
              <w:right w:w="40" w:type="dxa"/>
            </w:tcMar>
            <w:vAlign w:val="center"/>
          </w:tcPr>
          <w:p w14:paraId="4ACE6A80" w14:textId="77777777" w:rsidR="006F587A" w:rsidRDefault="007B2B61">
            <w:pPr>
              <w:jc w:val="center"/>
              <w:textAlignment w:val="center"/>
              <w:rPr>
                <w:rFonts w:ascii="Times New Roman" w:hAnsi="Times New Roman"/>
                <w:sz w:val="18"/>
                <w:szCs w:val="18"/>
              </w:rPr>
            </w:pPr>
            <w:r>
              <w:rPr>
                <w:rFonts w:ascii="Arial" w:eastAsia="宋体" w:hAnsi="Arial" w:cs="Arial"/>
                <w:color w:val="333333"/>
                <w:sz w:val="18"/>
                <w:szCs w:val="18"/>
              </w:rPr>
              <w:t xml:space="preserve">Page </w:t>
            </w:r>
            <w:hyperlink r:id="rId291" w:anchor="s066E18E8F5F558E8B7832F1FA016E94D" w:history="1">
              <w:r>
                <w:rPr>
                  <w:rStyle w:val="a5"/>
                  <w:rFonts w:ascii="Arial" w:eastAsia="宋体" w:hAnsi="Arial" w:cs="Arial"/>
                  <w:sz w:val="18"/>
                  <w:szCs w:val="18"/>
                </w:rPr>
                <w:t>119</w:t>
              </w:r>
            </w:hyperlink>
          </w:p>
        </w:tc>
      </w:tr>
    </w:tbl>
    <w:p w14:paraId="4ACE6A82"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6F587A" w14:paraId="4ACE6A85" w14:textId="77777777">
        <w:trPr>
          <w:tblCellSpacing w:w="0" w:type="dxa"/>
        </w:trPr>
        <w:tc>
          <w:tcPr>
            <w:tcW w:w="720" w:type="dxa"/>
            <w:shd w:val="clear" w:color="auto" w:fill="auto"/>
            <w:vAlign w:val="center"/>
          </w:tcPr>
          <w:p w14:paraId="4ACE6A83" w14:textId="77777777" w:rsidR="006F587A" w:rsidRDefault="006F587A">
            <w:pPr>
              <w:rPr>
                <w:rFonts w:ascii="Times New Roman" w:hAnsi="Times New Roman"/>
                <w:sz w:val="20"/>
                <w:szCs w:val="20"/>
              </w:rPr>
            </w:pPr>
          </w:p>
        </w:tc>
        <w:tc>
          <w:tcPr>
            <w:tcW w:w="0" w:type="auto"/>
            <w:shd w:val="clear" w:color="auto" w:fill="auto"/>
            <w:vAlign w:val="center"/>
          </w:tcPr>
          <w:p w14:paraId="4ACE6A84" w14:textId="77777777" w:rsidR="006F587A" w:rsidRDefault="006F587A">
            <w:pPr>
              <w:rPr>
                <w:rFonts w:ascii="Times New Roman" w:hAnsi="Times New Roman"/>
                <w:sz w:val="20"/>
                <w:szCs w:val="20"/>
              </w:rPr>
            </w:pPr>
          </w:p>
        </w:tc>
      </w:tr>
      <w:tr w:rsidR="006F587A" w14:paraId="4ACE6A88" w14:textId="77777777">
        <w:trPr>
          <w:tblCellSpacing w:w="0" w:type="dxa"/>
        </w:trPr>
        <w:tc>
          <w:tcPr>
            <w:tcW w:w="0" w:type="auto"/>
            <w:shd w:val="clear" w:color="auto" w:fill="auto"/>
          </w:tcPr>
          <w:p w14:paraId="4ACE6A86"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6"/>
                <w:szCs w:val="16"/>
              </w:rPr>
              <w:t>(a)</w:t>
            </w:r>
          </w:p>
        </w:tc>
        <w:tc>
          <w:tcPr>
            <w:tcW w:w="0" w:type="auto"/>
            <w:shd w:val="clear" w:color="auto" w:fill="auto"/>
          </w:tcPr>
          <w:p w14:paraId="4ACE6A87"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6"/>
                <w:szCs w:val="16"/>
              </w:rPr>
              <w:t xml:space="preserve">As of December 28, 2019, we did not have any significant </w:t>
            </w:r>
            <w:r>
              <w:rPr>
                <w:rFonts w:ascii="Arial" w:eastAsia="宋体" w:hAnsi="Arial" w:cs="Arial"/>
                <w:i/>
                <w:iCs/>
                <w:color w:val="333333"/>
                <w:sz w:val="16"/>
                <w:szCs w:val="16"/>
              </w:rPr>
              <w:t>off-balance-sheet arrangements, as defined in Item 303(a)(4)(ii) of SEC Regulation S-K.</w:t>
            </w:r>
          </w:p>
        </w:tc>
      </w:tr>
    </w:tbl>
    <w:p w14:paraId="4ACE6A89"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6F587A" w14:paraId="4ACE6A8C" w14:textId="77777777">
        <w:trPr>
          <w:tblCellSpacing w:w="0" w:type="dxa"/>
        </w:trPr>
        <w:tc>
          <w:tcPr>
            <w:tcW w:w="720" w:type="dxa"/>
            <w:shd w:val="clear" w:color="auto" w:fill="auto"/>
            <w:vAlign w:val="center"/>
          </w:tcPr>
          <w:p w14:paraId="4ACE6A8A" w14:textId="77777777" w:rsidR="006F587A" w:rsidRDefault="006F587A">
            <w:pPr>
              <w:rPr>
                <w:rFonts w:ascii="Times New Roman" w:hAnsi="Times New Roman"/>
                <w:sz w:val="20"/>
                <w:szCs w:val="20"/>
              </w:rPr>
            </w:pPr>
          </w:p>
        </w:tc>
        <w:tc>
          <w:tcPr>
            <w:tcW w:w="0" w:type="auto"/>
            <w:shd w:val="clear" w:color="auto" w:fill="auto"/>
            <w:vAlign w:val="center"/>
          </w:tcPr>
          <w:p w14:paraId="4ACE6A8B" w14:textId="77777777" w:rsidR="006F587A" w:rsidRDefault="006F587A">
            <w:pPr>
              <w:rPr>
                <w:rFonts w:ascii="Times New Roman" w:hAnsi="Times New Roman"/>
                <w:sz w:val="20"/>
                <w:szCs w:val="20"/>
              </w:rPr>
            </w:pPr>
          </w:p>
        </w:tc>
      </w:tr>
      <w:tr w:rsidR="006F587A" w14:paraId="4ACE6A8F" w14:textId="77777777">
        <w:trPr>
          <w:tblCellSpacing w:w="0" w:type="dxa"/>
        </w:trPr>
        <w:tc>
          <w:tcPr>
            <w:tcW w:w="0" w:type="auto"/>
            <w:shd w:val="clear" w:color="auto" w:fill="auto"/>
          </w:tcPr>
          <w:p w14:paraId="4ACE6A8D"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6"/>
                <w:szCs w:val="16"/>
              </w:rPr>
              <w:t>(b)</w:t>
            </w:r>
          </w:p>
        </w:tc>
        <w:tc>
          <w:tcPr>
            <w:tcW w:w="0" w:type="auto"/>
            <w:shd w:val="clear" w:color="auto" w:fill="auto"/>
          </w:tcPr>
          <w:p w14:paraId="4ACE6A8E"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6"/>
                <w:szCs w:val="16"/>
              </w:rPr>
              <w:t>Incorporated by reference to "Proposal 1: Election of Directors," "Corporate Governance," "Code of Conduct," and "Other Matters-Delinquent Section 16(a) Report</w:t>
            </w:r>
            <w:r>
              <w:rPr>
                <w:rFonts w:ascii="Arial" w:eastAsia="宋体" w:hAnsi="Arial" w:cs="Arial"/>
                <w:i/>
                <w:iCs/>
                <w:color w:val="333333"/>
                <w:sz w:val="16"/>
                <w:szCs w:val="16"/>
              </w:rPr>
              <w:t xml:space="preserve">s" in the 2020 Proxy Statement. The information under the heading "Information about Our Executive Officers" within Other Key Information is also incorporated by reference in this section. </w:t>
            </w:r>
          </w:p>
        </w:tc>
      </w:tr>
    </w:tbl>
    <w:p w14:paraId="4ACE6A90"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6F587A" w14:paraId="4ACE6A93" w14:textId="77777777">
        <w:trPr>
          <w:tblCellSpacing w:w="0" w:type="dxa"/>
        </w:trPr>
        <w:tc>
          <w:tcPr>
            <w:tcW w:w="720" w:type="dxa"/>
            <w:shd w:val="clear" w:color="auto" w:fill="auto"/>
            <w:vAlign w:val="center"/>
          </w:tcPr>
          <w:p w14:paraId="4ACE6A91" w14:textId="77777777" w:rsidR="006F587A" w:rsidRDefault="006F587A">
            <w:pPr>
              <w:rPr>
                <w:rFonts w:ascii="Times New Roman" w:hAnsi="Times New Roman"/>
                <w:sz w:val="20"/>
                <w:szCs w:val="20"/>
              </w:rPr>
            </w:pPr>
          </w:p>
        </w:tc>
        <w:tc>
          <w:tcPr>
            <w:tcW w:w="0" w:type="auto"/>
            <w:shd w:val="clear" w:color="auto" w:fill="auto"/>
            <w:vAlign w:val="center"/>
          </w:tcPr>
          <w:p w14:paraId="4ACE6A92" w14:textId="77777777" w:rsidR="006F587A" w:rsidRDefault="006F587A">
            <w:pPr>
              <w:rPr>
                <w:rFonts w:ascii="Times New Roman" w:hAnsi="Times New Roman"/>
                <w:sz w:val="20"/>
                <w:szCs w:val="20"/>
              </w:rPr>
            </w:pPr>
          </w:p>
        </w:tc>
      </w:tr>
      <w:tr w:rsidR="006F587A" w14:paraId="4ACE6A96" w14:textId="77777777">
        <w:trPr>
          <w:tblCellSpacing w:w="0" w:type="dxa"/>
        </w:trPr>
        <w:tc>
          <w:tcPr>
            <w:tcW w:w="0" w:type="auto"/>
            <w:shd w:val="clear" w:color="auto" w:fill="auto"/>
          </w:tcPr>
          <w:p w14:paraId="4ACE6A94"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6"/>
                <w:szCs w:val="16"/>
              </w:rPr>
              <w:t>(c)</w:t>
            </w:r>
          </w:p>
        </w:tc>
        <w:tc>
          <w:tcPr>
            <w:tcW w:w="0" w:type="auto"/>
            <w:shd w:val="clear" w:color="auto" w:fill="auto"/>
          </w:tcPr>
          <w:p w14:paraId="4ACE6A95"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6"/>
                <w:szCs w:val="16"/>
              </w:rPr>
              <w:t xml:space="preserve">Incorporated by reference to "Director </w:t>
            </w:r>
            <w:r>
              <w:rPr>
                <w:rFonts w:ascii="Arial" w:eastAsia="宋体" w:hAnsi="Arial" w:cs="Arial"/>
                <w:i/>
                <w:iCs/>
                <w:color w:val="333333"/>
                <w:sz w:val="16"/>
                <w:szCs w:val="16"/>
              </w:rPr>
              <w:t>Compensation," "Compensation Discussion and Analysis," "Report of the Compensation Committee," and "Executive Compensation" in the 2020 Proxy Statement.</w:t>
            </w:r>
          </w:p>
        </w:tc>
      </w:tr>
    </w:tbl>
    <w:p w14:paraId="4ACE6A97"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6F587A" w14:paraId="4ACE6A9A" w14:textId="77777777">
        <w:trPr>
          <w:tblCellSpacing w:w="0" w:type="dxa"/>
        </w:trPr>
        <w:tc>
          <w:tcPr>
            <w:tcW w:w="720" w:type="dxa"/>
            <w:shd w:val="clear" w:color="auto" w:fill="auto"/>
            <w:vAlign w:val="center"/>
          </w:tcPr>
          <w:p w14:paraId="4ACE6A98" w14:textId="77777777" w:rsidR="006F587A" w:rsidRDefault="006F587A">
            <w:pPr>
              <w:rPr>
                <w:rFonts w:ascii="Times New Roman" w:hAnsi="Times New Roman"/>
                <w:sz w:val="20"/>
                <w:szCs w:val="20"/>
              </w:rPr>
            </w:pPr>
          </w:p>
        </w:tc>
        <w:tc>
          <w:tcPr>
            <w:tcW w:w="0" w:type="auto"/>
            <w:shd w:val="clear" w:color="auto" w:fill="auto"/>
            <w:vAlign w:val="center"/>
          </w:tcPr>
          <w:p w14:paraId="4ACE6A99" w14:textId="77777777" w:rsidR="006F587A" w:rsidRDefault="006F587A">
            <w:pPr>
              <w:rPr>
                <w:rFonts w:ascii="Times New Roman" w:hAnsi="Times New Roman"/>
                <w:sz w:val="20"/>
                <w:szCs w:val="20"/>
              </w:rPr>
            </w:pPr>
          </w:p>
        </w:tc>
      </w:tr>
      <w:tr w:rsidR="006F587A" w14:paraId="4ACE6A9D" w14:textId="77777777">
        <w:trPr>
          <w:tblCellSpacing w:w="0" w:type="dxa"/>
        </w:trPr>
        <w:tc>
          <w:tcPr>
            <w:tcW w:w="0" w:type="auto"/>
            <w:shd w:val="clear" w:color="auto" w:fill="auto"/>
          </w:tcPr>
          <w:p w14:paraId="4ACE6A9B"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6"/>
                <w:szCs w:val="16"/>
              </w:rPr>
              <w:t xml:space="preserve">(d) </w:t>
            </w:r>
          </w:p>
        </w:tc>
        <w:tc>
          <w:tcPr>
            <w:tcW w:w="0" w:type="auto"/>
            <w:shd w:val="clear" w:color="auto" w:fill="auto"/>
          </w:tcPr>
          <w:p w14:paraId="4ACE6A9C"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6"/>
                <w:szCs w:val="16"/>
              </w:rPr>
              <w:t xml:space="preserve">Incorporated by reference to "Security Ownership of Certain Beneficial Owners and </w:t>
            </w:r>
            <w:r>
              <w:rPr>
                <w:rFonts w:ascii="Arial" w:eastAsia="宋体" w:hAnsi="Arial" w:cs="Arial"/>
                <w:i/>
                <w:iCs/>
                <w:color w:val="333333"/>
                <w:sz w:val="16"/>
                <w:szCs w:val="16"/>
              </w:rPr>
              <w:t>Management" and “Equity Compensation Plan Information” in the 2020 Proxy Statement.</w:t>
            </w:r>
          </w:p>
        </w:tc>
      </w:tr>
    </w:tbl>
    <w:p w14:paraId="4ACE6A9E" w14:textId="77777777" w:rsidR="006F587A" w:rsidRDefault="006F587A">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6F587A" w14:paraId="4ACE6AA1" w14:textId="77777777">
        <w:trPr>
          <w:tblCellSpacing w:w="0" w:type="dxa"/>
        </w:trPr>
        <w:tc>
          <w:tcPr>
            <w:tcW w:w="720" w:type="dxa"/>
            <w:shd w:val="clear" w:color="auto" w:fill="auto"/>
            <w:vAlign w:val="center"/>
          </w:tcPr>
          <w:p w14:paraId="4ACE6A9F" w14:textId="77777777" w:rsidR="006F587A" w:rsidRDefault="006F587A">
            <w:pPr>
              <w:rPr>
                <w:rFonts w:ascii="Times New Roman" w:hAnsi="Times New Roman"/>
                <w:sz w:val="20"/>
                <w:szCs w:val="20"/>
              </w:rPr>
            </w:pPr>
          </w:p>
        </w:tc>
        <w:tc>
          <w:tcPr>
            <w:tcW w:w="0" w:type="auto"/>
            <w:shd w:val="clear" w:color="auto" w:fill="auto"/>
            <w:vAlign w:val="center"/>
          </w:tcPr>
          <w:p w14:paraId="4ACE6AA0" w14:textId="77777777" w:rsidR="006F587A" w:rsidRDefault="006F587A">
            <w:pPr>
              <w:rPr>
                <w:rFonts w:ascii="Times New Roman" w:hAnsi="Times New Roman"/>
                <w:sz w:val="20"/>
                <w:szCs w:val="20"/>
              </w:rPr>
            </w:pPr>
          </w:p>
        </w:tc>
      </w:tr>
      <w:tr w:rsidR="006F587A" w14:paraId="4ACE6AA4" w14:textId="77777777">
        <w:trPr>
          <w:tblCellSpacing w:w="0" w:type="dxa"/>
        </w:trPr>
        <w:tc>
          <w:tcPr>
            <w:tcW w:w="0" w:type="auto"/>
            <w:shd w:val="clear" w:color="auto" w:fill="auto"/>
          </w:tcPr>
          <w:p w14:paraId="4ACE6AA2"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6"/>
                <w:szCs w:val="16"/>
              </w:rPr>
              <w:t>(e)</w:t>
            </w:r>
          </w:p>
        </w:tc>
        <w:tc>
          <w:tcPr>
            <w:tcW w:w="0" w:type="auto"/>
            <w:shd w:val="clear" w:color="auto" w:fill="auto"/>
          </w:tcPr>
          <w:p w14:paraId="4ACE6AA3"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6"/>
                <w:szCs w:val="16"/>
              </w:rPr>
              <w:t>Incorporated by reference to "Corporate Governance" and "Certain Relationships and Related Transactions" in the 2020 Proxy Statement.</w:t>
            </w:r>
          </w:p>
        </w:tc>
      </w:tr>
    </w:tbl>
    <w:p w14:paraId="4ACE6AA5" w14:textId="77777777" w:rsidR="006F587A" w:rsidRDefault="006F587A">
      <w:pPr>
        <w:rPr>
          <w:vanish/>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6F587A" w14:paraId="4ACE6AA8" w14:textId="77777777">
        <w:trPr>
          <w:tblCellSpacing w:w="0" w:type="dxa"/>
        </w:trPr>
        <w:tc>
          <w:tcPr>
            <w:tcW w:w="720" w:type="dxa"/>
            <w:shd w:val="clear" w:color="auto" w:fill="auto"/>
            <w:vAlign w:val="center"/>
          </w:tcPr>
          <w:p w14:paraId="4ACE6AA6" w14:textId="77777777" w:rsidR="006F587A" w:rsidRDefault="006F587A">
            <w:pPr>
              <w:rPr>
                <w:rFonts w:ascii="Times New Roman" w:hAnsi="Times New Roman"/>
                <w:sz w:val="20"/>
                <w:szCs w:val="20"/>
              </w:rPr>
            </w:pPr>
          </w:p>
        </w:tc>
        <w:tc>
          <w:tcPr>
            <w:tcW w:w="0" w:type="auto"/>
            <w:shd w:val="clear" w:color="auto" w:fill="auto"/>
            <w:vAlign w:val="center"/>
          </w:tcPr>
          <w:p w14:paraId="4ACE6AA7" w14:textId="77777777" w:rsidR="006F587A" w:rsidRDefault="006F587A">
            <w:pPr>
              <w:rPr>
                <w:rFonts w:ascii="Times New Roman" w:hAnsi="Times New Roman"/>
                <w:sz w:val="20"/>
                <w:szCs w:val="20"/>
              </w:rPr>
            </w:pPr>
          </w:p>
        </w:tc>
      </w:tr>
      <w:tr w:rsidR="006F587A" w14:paraId="4ACE6AAB" w14:textId="77777777">
        <w:trPr>
          <w:tblCellSpacing w:w="0" w:type="dxa"/>
        </w:trPr>
        <w:tc>
          <w:tcPr>
            <w:tcW w:w="0" w:type="auto"/>
            <w:shd w:val="clear" w:color="auto" w:fill="auto"/>
          </w:tcPr>
          <w:p w14:paraId="4ACE6AA9"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6"/>
                <w:szCs w:val="16"/>
              </w:rPr>
              <w:t xml:space="preserve">(f) </w:t>
            </w:r>
          </w:p>
        </w:tc>
        <w:tc>
          <w:tcPr>
            <w:tcW w:w="0" w:type="auto"/>
            <w:shd w:val="clear" w:color="auto" w:fill="auto"/>
          </w:tcPr>
          <w:p w14:paraId="4ACE6AAA" w14:textId="77777777" w:rsidR="006F587A" w:rsidRDefault="007B2B61">
            <w:pPr>
              <w:spacing w:line="288" w:lineRule="auto"/>
              <w:textAlignment w:val="top"/>
              <w:rPr>
                <w:rFonts w:ascii="Times New Roman" w:hAnsi="Times New Roman"/>
                <w:sz w:val="16"/>
                <w:szCs w:val="16"/>
              </w:rPr>
            </w:pPr>
            <w:r>
              <w:rPr>
                <w:rFonts w:ascii="Arial" w:eastAsia="宋体" w:hAnsi="Arial" w:cs="Arial"/>
                <w:i/>
                <w:iCs/>
                <w:color w:val="333333"/>
                <w:sz w:val="16"/>
                <w:szCs w:val="16"/>
              </w:rPr>
              <w:t>Incorporated by reference to "Report of the Audit Committee" and "Proposal 2: Ratification of Selection of Independent Registered Public Accounting Firm" in the 2020 Proxy Statement.</w:t>
            </w:r>
          </w:p>
        </w:tc>
      </w:tr>
    </w:tbl>
    <w:p w14:paraId="4ACE6AAC"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6AAE" w14:textId="77777777">
        <w:tc>
          <w:tcPr>
            <w:tcW w:w="0" w:type="auto"/>
            <w:gridSpan w:val="3"/>
            <w:shd w:val="clear" w:color="auto" w:fill="auto"/>
            <w:vAlign w:val="center"/>
          </w:tcPr>
          <w:p w14:paraId="4ACE6AAD" w14:textId="77777777" w:rsidR="006F587A" w:rsidRDefault="006F587A">
            <w:pPr>
              <w:rPr>
                <w:rFonts w:ascii="Times New Roman" w:hAnsi="Times New Roman"/>
                <w:sz w:val="20"/>
                <w:szCs w:val="20"/>
              </w:rPr>
            </w:pPr>
          </w:p>
        </w:tc>
      </w:tr>
      <w:tr w:rsidR="006F587A" w14:paraId="4ACE6AB2" w14:textId="77777777">
        <w:tc>
          <w:tcPr>
            <w:tcW w:w="1300" w:type="pct"/>
            <w:shd w:val="clear" w:color="auto" w:fill="auto"/>
            <w:vAlign w:val="center"/>
          </w:tcPr>
          <w:p w14:paraId="4ACE6AAF" w14:textId="77777777" w:rsidR="006F587A" w:rsidRDefault="006F587A">
            <w:pPr>
              <w:rPr>
                <w:rFonts w:ascii="Times New Roman" w:hAnsi="Times New Roman"/>
                <w:sz w:val="20"/>
                <w:szCs w:val="20"/>
              </w:rPr>
            </w:pPr>
          </w:p>
        </w:tc>
        <w:tc>
          <w:tcPr>
            <w:tcW w:w="1600" w:type="pct"/>
            <w:shd w:val="clear" w:color="auto" w:fill="auto"/>
            <w:vAlign w:val="center"/>
          </w:tcPr>
          <w:p w14:paraId="4ACE6AB0" w14:textId="77777777" w:rsidR="006F587A" w:rsidRDefault="006F587A">
            <w:pPr>
              <w:rPr>
                <w:rFonts w:ascii="Times New Roman" w:hAnsi="Times New Roman"/>
                <w:sz w:val="20"/>
                <w:szCs w:val="20"/>
              </w:rPr>
            </w:pPr>
          </w:p>
        </w:tc>
        <w:tc>
          <w:tcPr>
            <w:tcW w:w="2100" w:type="pct"/>
            <w:shd w:val="clear" w:color="auto" w:fill="auto"/>
            <w:vAlign w:val="center"/>
          </w:tcPr>
          <w:p w14:paraId="4ACE6AB1" w14:textId="77777777" w:rsidR="006F587A" w:rsidRDefault="006F587A">
            <w:pPr>
              <w:rPr>
                <w:rFonts w:ascii="Times New Roman" w:hAnsi="Times New Roman"/>
                <w:sz w:val="20"/>
                <w:szCs w:val="20"/>
              </w:rPr>
            </w:pPr>
          </w:p>
        </w:tc>
      </w:tr>
      <w:tr w:rsidR="006F587A" w14:paraId="4ACE6AB6"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6AB3" w14:textId="77777777" w:rsidR="006F587A" w:rsidRDefault="007B2B61">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E4A" wp14:editId="4ACE6E4B">
                  <wp:extent cx="304800" cy="304800"/>
                  <wp:effectExtent l="0" t="0" r="0" b="0"/>
                  <wp:docPr id="141" name="图片 374"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374"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SUPPLEMENTAL DETAILS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6AB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6AB5"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118</w:t>
            </w:r>
          </w:p>
        </w:tc>
      </w:tr>
    </w:tbl>
    <w:p w14:paraId="4ACE6AB7" w14:textId="77777777" w:rsidR="006F587A" w:rsidRDefault="007B2B61">
      <w:r>
        <w:pict w14:anchorId="4ACE6E4C">
          <v:rect id="_x0000_i1144" style="width:415.3pt;height:1.5pt" o:hralign="center" o:hrstd="t" o:hr="t" fillcolor="#a0a0a0" stroked="f"/>
        </w:pict>
      </w:r>
    </w:p>
    <w:p w14:paraId="4ACE6AB8" w14:textId="77777777" w:rsidR="006F587A" w:rsidRDefault="007B2B61">
      <w:pPr>
        <w:spacing w:line="288" w:lineRule="auto"/>
        <w:jc w:val="right"/>
        <w:rPr>
          <w:rFonts w:ascii="Times New Roman" w:hAnsi="Times New Roman"/>
          <w:sz w:val="16"/>
          <w:szCs w:val="16"/>
        </w:rPr>
      </w:pPr>
      <w:hyperlink r:id="rId292" w:anchor="s9DB683E2CF52561EB8A73BE37F5BF9BE" w:history="1">
        <w:r>
          <w:rPr>
            <w:rStyle w:val="a5"/>
            <w:rFonts w:ascii="Arial" w:eastAsia="宋体" w:hAnsi="Arial" w:cs="Arial"/>
            <w:b/>
            <w:bCs/>
            <w:sz w:val="16"/>
            <w:szCs w:val="16"/>
          </w:rPr>
          <w:t>Table of Contents</w:t>
        </w:r>
      </w:hyperlink>
    </w:p>
    <w:p w14:paraId="4ACE6AB9" w14:textId="77777777" w:rsidR="006F587A" w:rsidRDefault="006F587A">
      <w:pPr>
        <w:spacing w:line="288" w:lineRule="auto"/>
        <w:jc w:val="right"/>
        <w:rPr>
          <w:rFonts w:ascii="Times New Roman" w:hAnsi="Times New Roman"/>
          <w:sz w:val="16"/>
          <w:szCs w:val="16"/>
        </w:rPr>
      </w:pPr>
    </w:p>
    <w:p w14:paraId="4ACE6ABA"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6F587A" w14:paraId="4ACE6ABC" w14:textId="77777777">
        <w:tc>
          <w:tcPr>
            <w:tcW w:w="0" w:type="auto"/>
            <w:shd w:val="clear" w:color="auto" w:fill="auto"/>
            <w:vAlign w:val="center"/>
          </w:tcPr>
          <w:p w14:paraId="4ACE6ABB" w14:textId="77777777" w:rsidR="006F587A" w:rsidRDefault="006F587A">
            <w:pPr>
              <w:rPr>
                <w:rFonts w:ascii="Times New Roman" w:hAnsi="Times New Roman"/>
                <w:sz w:val="20"/>
                <w:szCs w:val="20"/>
              </w:rPr>
            </w:pPr>
          </w:p>
        </w:tc>
      </w:tr>
      <w:tr w:rsidR="006F587A" w14:paraId="4ACE6ABE" w14:textId="77777777">
        <w:tc>
          <w:tcPr>
            <w:tcW w:w="5000" w:type="pct"/>
            <w:shd w:val="clear" w:color="auto" w:fill="auto"/>
            <w:vAlign w:val="center"/>
          </w:tcPr>
          <w:p w14:paraId="4ACE6ABD" w14:textId="77777777" w:rsidR="006F587A" w:rsidRDefault="006F587A">
            <w:pPr>
              <w:rPr>
                <w:rFonts w:ascii="Times New Roman" w:hAnsi="Times New Roman"/>
                <w:sz w:val="20"/>
                <w:szCs w:val="20"/>
              </w:rPr>
            </w:pPr>
          </w:p>
        </w:tc>
      </w:tr>
      <w:tr w:rsidR="006F587A" w14:paraId="4ACE6AC0" w14:textId="77777777">
        <w:tc>
          <w:tcPr>
            <w:tcW w:w="0" w:type="auto"/>
            <w:shd w:val="clear" w:color="auto" w:fill="0071C5"/>
            <w:tcMar>
              <w:top w:w="40" w:type="dxa"/>
              <w:left w:w="880" w:type="dxa"/>
              <w:bottom w:w="40" w:type="dxa"/>
              <w:right w:w="40" w:type="dxa"/>
            </w:tcMar>
            <w:vAlign w:val="bottom"/>
          </w:tcPr>
          <w:p w14:paraId="4ACE6ABF" w14:textId="77777777" w:rsidR="006F587A" w:rsidRDefault="007B2B61">
            <w:pPr>
              <w:textAlignment w:val="bottom"/>
              <w:rPr>
                <w:rFonts w:ascii="Times New Roman" w:hAnsi="Times New Roman"/>
                <w:sz w:val="36"/>
                <w:szCs w:val="36"/>
              </w:rPr>
            </w:pPr>
            <w:r>
              <w:rPr>
                <w:rFonts w:ascii="Arial" w:eastAsia="宋体" w:hAnsi="Arial" w:cs="Arial"/>
                <w:b/>
                <w:bCs/>
                <w:color w:val="FFFFFF"/>
                <w:sz w:val="36"/>
                <w:szCs w:val="36"/>
              </w:rPr>
              <w:t>SIGNATURES</w:t>
            </w:r>
          </w:p>
        </w:tc>
      </w:tr>
    </w:tbl>
    <w:p w14:paraId="4ACE6AC1" w14:textId="77777777" w:rsidR="006F587A" w:rsidRDefault="007B2B61">
      <w:pPr>
        <w:spacing w:line="288" w:lineRule="auto"/>
        <w:rPr>
          <w:rFonts w:ascii="Times New Roman" w:hAnsi="Times New Roman"/>
          <w:sz w:val="20"/>
          <w:szCs w:val="20"/>
        </w:rPr>
      </w:pPr>
      <w:r>
        <w:rPr>
          <w:rFonts w:ascii="Arial" w:eastAsia="宋体" w:hAnsi="Arial" w:cs="Arial"/>
          <w:color w:val="333333"/>
          <w:sz w:val="18"/>
          <w:szCs w:val="18"/>
        </w:rPr>
        <w:t xml:space="preserve">Pursuant to the requirements of Section 13 or 15(d) of the Securities Exchange Act of 1934, the Registrant has duly caused this report to be signed on its behalf by the undersigned, thereunto duly authorized. </w:t>
      </w:r>
    </w:p>
    <w:tbl>
      <w:tblPr>
        <w:tblW w:w="5000" w:type="pct"/>
        <w:tblCellMar>
          <w:left w:w="0" w:type="dxa"/>
          <w:right w:w="0" w:type="dxa"/>
        </w:tblCellMar>
        <w:tblLook w:val="04A0" w:firstRow="1" w:lastRow="0" w:firstColumn="1" w:lastColumn="0" w:noHBand="0" w:noVBand="1"/>
      </w:tblPr>
      <w:tblGrid>
        <w:gridCol w:w="3738"/>
        <w:gridCol w:w="415"/>
        <w:gridCol w:w="166"/>
        <w:gridCol w:w="3987"/>
      </w:tblGrid>
      <w:tr w:rsidR="006F587A" w14:paraId="4ACE6AC3" w14:textId="77777777">
        <w:tc>
          <w:tcPr>
            <w:tcW w:w="0" w:type="auto"/>
            <w:gridSpan w:val="4"/>
            <w:shd w:val="clear" w:color="auto" w:fill="auto"/>
            <w:vAlign w:val="center"/>
          </w:tcPr>
          <w:p w14:paraId="4ACE6AC2" w14:textId="77777777" w:rsidR="006F587A" w:rsidRDefault="006F587A">
            <w:pPr>
              <w:rPr>
                <w:rFonts w:ascii="Times New Roman" w:hAnsi="Times New Roman"/>
                <w:sz w:val="20"/>
                <w:szCs w:val="20"/>
              </w:rPr>
            </w:pPr>
          </w:p>
        </w:tc>
      </w:tr>
      <w:tr w:rsidR="006F587A" w14:paraId="4ACE6AC8" w14:textId="77777777">
        <w:tc>
          <w:tcPr>
            <w:tcW w:w="2250" w:type="pct"/>
            <w:shd w:val="clear" w:color="auto" w:fill="auto"/>
            <w:vAlign w:val="center"/>
          </w:tcPr>
          <w:p w14:paraId="4ACE6AC4" w14:textId="77777777" w:rsidR="006F587A" w:rsidRDefault="006F587A">
            <w:pPr>
              <w:rPr>
                <w:rFonts w:ascii="Times New Roman" w:hAnsi="Times New Roman"/>
                <w:sz w:val="20"/>
                <w:szCs w:val="20"/>
              </w:rPr>
            </w:pPr>
          </w:p>
        </w:tc>
        <w:tc>
          <w:tcPr>
            <w:tcW w:w="250" w:type="pct"/>
            <w:shd w:val="clear" w:color="auto" w:fill="auto"/>
            <w:vAlign w:val="center"/>
          </w:tcPr>
          <w:p w14:paraId="4ACE6AC5" w14:textId="77777777" w:rsidR="006F587A" w:rsidRDefault="006F587A">
            <w:pPr>
              <w:rPr>
                <w:rFonts w:ascii="Times New Roman" w:hAnsi="Times New Roman"/>
                <w:sz w:val="20"/>
                <w:szCs w:val="20"/>
              </w:rPr>
            </w:pPr>
          </w:p>
        </w:tc>
        <w:tc>
          <w:tcPr>
            <w:tcW w:w="100" w:type="pct"/>
            <w:shd w:val="clear" w:color="auto" w:fill="auto"/>
            <w:vAlign w:val="center"/>
          </w:tcPr>
          <w:p w14:paraId="4ACE6AC6" w14:textId="77777777" w:rsidR="006F587A" w:rsidRDefault="006F587A">
            <w:pPr>
              <w:rPr>
                <w:rFonts w:ascii="Times New Roman" w:hAnsi="Times New Roman"/>
                <w:sz w:val="20"/>
                <w:szCs w:val="20"/>
              </w:rPr>
            </w:pPr>
          </w:p>
        </w:tc>
        <w:tc>
          <w:tcPr>
            <w:tcW w:w="2400" w:type="pct"/>
            <w:shd w:val="clear" w:color="auto" w:fill="auto"/>
            <w:vAlign w:val="center"/>
          </w:tcPr>
          <w:p w14:paraId="4ACE6AC7" w14:textId="77777777" w:rsidR="006F587A" w:rsidRDefault="006F587A">
            <w:pPr>
              <w:rPr>
                <w:rFonts w:ascii="Times New Roman" w:hAnsi="Times New Roman"/>
                <w:sz w:val="20"/>
                <w:szCs w:val="20"/>
              </w:rPr>
            </w:pPr>
          </w:p>
        </w:tc>
      </w:tr>
      <w:tr w:rsidR="006F587A" w14:paraId="4ACE6ACC" w14:textId="77777777">
        <w:tc>
          <w:tcPr>
            <w:tcW w:w="0" w:type="auto"/>
            <w:shd w:val="clear" w:color="auto" w:fill="auto"/>
            <w:tcMar>
              <w:top w:w="40" w:type="dxa"/>
              <w:left w:w="40" w:type="dxa"/>
              <w:bottom w:w="40" w:type="dxa"/>
              <w:right w:w="40" w:type="dxa"/>
            </w:tcMar>
            <w:vAlign w:val="bottom"/>
          </w:tcPr>
          <w:p w14:paraId="4ACE6AC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ACE6AC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INTEL CORPORATION</w:t>
            </w:r>
          </w:p>
          <w:p w14:paraId="4ACE6AC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Registrant</w:t>
            </w:r>
          </w:p>
        </w:tc>
      </w:tr>
      <w:tr w:rsidR="006F587A" w14:paraId="4ACE6AD1" w14:textId="77777777">
        <w:tc>
          <w:tcPr>
            <w:tcW w:w="0" w:type="auto"/>
            <w:shd w:val="clear" w:color="auto" w:fill="auto"/>
            <w:tcMar>
              <w:top w:w="40" w:type="dxa"/>
              <w:left w:w="40" w:type="dxa"/>
              <w:bottom w:w="40" w:type="dxa"/>
              <w:right w:w="40" w:type="dxa"/>
            </w:tcMar>
            <w:vAlign w:val="bottom"/>
          </w:tcPr>
          <w:p w14:paraId="4ACE6AC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AC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AC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AD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AD6" w14:textId="77777777">
        <w:tc>
          <w:tcPr>
            <w:tcW w:w="0" w:type="auto"/>
            <w:shd w:val="clear" w:color="auto" w:fill="auto"/>
            <w:tcMar>
              <w:top w:w="40" w:type="dxa"/>
              <w:left w:w="40" w:type="dxa"/>
              <w:bottom w:w="40" w:type="dxa"/>
              <w:right w:w="40" w:type="dxa"/>
            </w:tcMar>
            <w:vAlign w:val="bottom"/>
          </w:tcPr>
          <w:p w14:paraId="4ACE6AD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AD3"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By:</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6AD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6AD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/s/    ROBERT H. SWAN        </w:t>
            </w:r>
          </w:p>
        </w:tc>
      </w:tr>
      <w:tr w:rsidR="006F587A" w14:paraId="4ACE6ADB" w14:textId="77777777">
        <w:tc>
          <w:tcPr>
            <w:tcW w:w="0" w:type="auto"/>
            <w:shd w:val="clear" w:color="auto" w:fill="auto"/>
            <w:tcMar>
              <w:top w:w="40" w:type="dxa"/>
              <w:left w:w="40" w:type="dxa"/>
              <w:bottom w:w="40" w:type="dxa"/>
              <w:right w:w="40" w:type="dxa"/>
            </w:tcMar>
            <w:vAlign w:val="bottom"/>
          </w:tcPr>
          <w:p w14:paraId="4ACE6AD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AD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AD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AD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Robert H. Swan</w:t>
            </w:r>
          </w:p>
        </w:tc>
      </w:tr>
      <w:tr w:rsidR="006F587A" w14:paraId="4ACE6AE0" w14:textId="77777777">
        <w:tc>
          <w:tcPr>
            <w:tcW w:w="0" w:type="auto"/>
            <w:shd w:val="clear" w:color="auto" w:fill="auto"/>
            <w:tcMar>
              <w:top w:w="40" w:type="dxa"/>
              <w:left w:w="40" w:type="dxa"/>
              <w:bottom w:w="40" w:type="dxa"/>
              <w:right w:w="40" w:type="dxa"/>
            </w:tcMar>
            <w:vAlign w:val="bottom"/>
          </w:tcPr>
          <w:p w14:paraId="4ACE6AD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AD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AD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AD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Chief Executive Officer, Director, and Principal Executive Officer</w:t>
            </w:r>
          </w:p>
        </w:tc>
      </w:tr>
      <w:tr w:rsidR="006F587A" w14:paraId="4ACE6AE5" w14:textId="77777777">
        <w:tc>
          <w:tcPr>
            <w:tcW w:w="0" w:type="auto"/>
            <w:shd w:val="clear" w:color="auto" w:fill="auto"/>
            <w:tcMar>
              <w:top w:w="40" w:type="dxa"/>
              <w:left w:w="40" w:type="dxa"/>
              <w:bottom w:w="40" w:type="dxa"/>
              <w:right w:w="40" w:type="dxa"/>
            </w:tcMar>
            <w:vAlign w:val="bottom"/>
          </w:tcPr>
          <w:p w14:paraId="4ACE6AE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AE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AE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AE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January 23, 2020</w:t>
            </w:r>
          </w:p>
        </w:tc>
      </w:tr>
    </w:tbl>
    <w:p w14:paraId="4ACE6AE6" w14:textId="77777777" w:rsidR="006F587A" w:rsidRDefault="007B2B61">
      <w:pPr>
        <w:spacing w:line="288" w:lineRule="auto"/>
        <w:rPr>
          <w:rFonts w:ascii="Times New Roman" w:hAnsi="Times New Roman"/>
          <w:sz w:val="20"/>
          <w:szCs w:val="20"/>
        </w:rPr>
      </w:pPr>
      <w:r>
        <w:rPr>
          <w:rFonts w:ascii="Arial" w:eastAsia="宋体" w:hAnsi="Arial" w:cs="Arial"/>
          <w:color w:val="333333"/>
          <w:sz w:val="18"/>
          <w:szCs w:val="18"/>
        </w:rPr>
        <w:t xml:space="preserve">Pursuant to the requirements of the Securities Exchange Act of 1934, </w:t>
      </w:r>
      <w:r>
        <w:rPr>
          <w:rFonts w:ascii="Arial" w:eastAsia="宋体" w:hAnsi="Arial" w:cs="Arial"/>
          <w:color w:val="333333"/>
          <w:sz w:val="18"/>
          <w:szCs w:val="18"/>
        </w:rPr>
        <w:t>this report has been signed below by the following persons on behalf of the Registrant and in the capacities and on the dates indicated.</w:t>
      </w:r>
    </w:p>
    <w:tbl>
      <w:tblPr>
        <w:tblW w:w="5000" w:type="pct"/>
        <w:tblCellMar>
          <w:left w:w="0" w:type="dxa"/>
          <w:right w:w="0" w:type="dxa"/>
        </w:tblCellMar>
        <w:tblLook w:val="04A0" w:firstRow="1" w:lastRow="0" w:firstColumn="1" w:lastColumn="0" w:noHBand="0" w:noVBand="1"/>
      </w:tblPr>
      <w:tblGrid>
        <w:gridCol w:w="130"/>
        <w:gridCol w:w="3955"/>
        <w:gridCol w:w="130"/>
        <w:gridCol w:w="135"/>
        <w:gridCol w:w="3956"/>
      </w:tblGrid>
      <w:tr w:rsidR="006F587A" w14:paraId="4ACE6AE8" w14:textId="77777777">
        <w:tc>
          <w:tcPr>
            <w:tcW w:w="0" w:type="auto"/>
            <w:gridSpan w:val="5"/>
            <w:shd w:val="clear" w:color="auto" w:fill="auto"/>
            <w:vAlign w:val="center"/>
          </w:tcPr>
          <w:p w14:paraId="4ACE6AE7" w14:textId="77777777" w:rsidR="006F587A" w:rsidRDefault="006F587A">
            <w:pPr>
              <w:rPr>
                <w:rFonts w:ascii="Times New Roman" w:hAnsi="Times New Roman"/>
                <w:sz w:val="20"/>
                <w:szCs w:val="20"/>
              </w:rPr>
            </w:pPr>
          </w:p>
        </w:tc>
      </w:tr>
      <w:tr w:rsidR="006F587A" w14:paraId="4ACE6AEE" w14:textId="77777777">
        <w:tc>
          <w:tcPr>
            <w:tcW w:w="50" w:type="pct"/>
            <w:shd w:val="clear" w:color="auto" w:fill="auto"/>
            <w:vAlign w:val="center"/>
          </w:tcPr>
          <w:p w14:paraId="4ACE6AE9" w14:textId="77777777" w:rsidR="006F587A" w:rsidRDefault="006F587A">
            <w:pPr>
              <w:rPr>
                <w:rFonts w:ascii="Times New Roman" w:hAnsi="Times New Roman"/>
                <w:sz w:val="20"/>
                <w:szCs w:val="20"/>
              </w:rPr>
            </w:pPr>
          </w:p>
        </w:tc>
        <w:tc>
          <w:tcPr>
            <w:tcW w:w="2400" w:type="pct"/>
            <w:shd w:val="clear" w:color="auto" w:fill="auto"/>
            <w:vAlign w:val="center"/>
          </w:tcPr>
          <w:p w14:paraId="4ACE6AEA" w14:textId="77777777" w:rsidR="006F587A" w:rsidRDefault="006F587A">
            <w:pPr>
              <w:rPr>
                <w:rFonts w:ascii="Times New Roman" w:hAnsi="Times New Roman"/>
                <w:sz w:val="20"/>
                <w:szCs w:val="20"/>
              </w:rPr>
            </w:pPr>
          </w:p>
        </w:tc>
        <w:tc>
          <w:tcPr>
            <w:tcW w:w="50" w:type="pct"/>
            <w:shd w:val="clear" w:color="auto" w:fill="auto"/>
            <w:vAlign w:val="center"/>
          </w:tcPr>
          <w:p w14:paraId="4ACE6AEB" w14:textId="77777777" w:rsidR="006F587A" w:rsidRDefault="006F587A">
            <w:pPr>
              <w:rPr>
                <w:rFonts w:ascii="Times New Roman" w:hAnsi="Times New Roman"/>
                <w:sz w:val="20"/>
                <w:szCs w:val="20"/>
              </w:rPr>
            </w:pPr>
          </w:p>
        </w:tc>
        <w:tc>
          <w:tcPr>
            <w:tcW w:w="100" w:type="pct"/>
            <w:shd w:val="clear" w:color="auto" w:fill="auto"/>
            <w:vAlign w:val="center"/>
          </w:tcPr>
          <w:p w14:paraId="4ACE6AEC" w14:textId="77777777" w:rsidR="006F587A" w:rsidRDefault="006F587A">
            <w:pPr>
              <w:rPr>
                <w:rFonts w:ascii="Times New Roman" w:hAnsi="Times New Roman"/>
                <w:sz w:val="20"/>
                <w:szCs w:val="20"/>
              </w:rPr>
            </w:pPr>
          </w:p>
        </w:tc>
        <w:tc>
          <w:tcPr>
            <w:tcW w:w="2400" w:type="pct"/>
            <w:shd w:val="clear" w:color="auto" w:fill="auto"/>
            <w:vAlign w:val="center"/>
          </w:tcPr>
          <w:p w14:paraId="4ACE6AED" w14:textId="77777777" w:rsidR="006F587A" w:rsidRDefault="006F587A">
            <w:pPr>
              <w:rPr>
                <w:rFonts w:ascii="Times New Roman" w:hAnsi="Times New Roman"/>
                <w:sz w:val="20"/>
                <w:szCs w:val="20"/>
              </w:rPr>
            </w:pPr>
          </w:p>
        </w:tc>
      </w:tr>
      <w:tr w:rsidR="006F587A" w14:paraId="4ACE6AF4" w14:textId="77777777">
        <w:tc>
          <w:tcPr>
            <w:tcW w:w="0" w:type="auto"/>
            <w:tcBorders>
              <w:bottom w:val="single" w:sz="8" w:space="0" w:color="333333"/>
            </w:tcBorders>
            <w:shd w:val="clear" w:color="auto" w:fill="auto"/>
            <w:tcMar>
              <w:top w:w="40" w:type="dxa"/>
              <w:left w:w="40" w:type="dxa"/>
              <w:bottom w:w="40" w:type="dxa"/>
              <w:right w:w="40" w:type="dxa"/>
            </w:tcMar>
            <w:vAlign w:val="bottom"/>
          </w:tcPr>
          <w:p w14:paraId="4ACE6AE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lastRenderedPageBreak/>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6AF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/s/    ROBERT H. SWAN        </w:t>
            </w:r>
          </w:p>
        </w:tc>
        <w:tc>
          <w:tcPr>
            <w:tcW w:w="0" w:type="auto"/>
            <w:shd w:val="clear" w:color="auto" w:fill="auto"/>
            <w:tcMar>
              <w:top w:w="40" w:type="dxa"/>
              <w:left w:w="40" w:type="dxa"/>
              <w:bottom w:w="40" w:type="dxa"/>
              <w:right w:w="40" w:type="dxa"/>
            </w:tcMar>
            <w:vAlign w:val="bottom"/>
          </w:tcPr>
          <w:p w14:paraId="4ACE6AF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6AF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6AF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/s/    GEORGE S. DAVIS</w:t>
            </w:r>
          </w:p>
        </w:tc>
      </w:tr>
      <w:tr w:rsidR="006F587A" w14:paraId="4ACE6AFA" w14:textId="77777777">
        <w:tc>
          <w:tcPr>
            <w:tcW w:w="0" w:type="auto"/>
            <w:shd w:val="clear" w:color="auto" w:fill="auto"/>
            <w:tcMar>
              <w:top w:w="40" w:type="dxa"/>
              <w:left w:w="40" w:type="dxa"/>
              <w:bottom w:w="40" w:type="dxa"/>
              <w:right w:w="40" w:type="dxa"/>
            </w:tcMar>
            <w:vAlign w:val="bottom"/>
          </w:tcPr>
          <w:p w14:paraId="4ACE6AF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AF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Robert H. Swan</w:t>
            </w:r>
          </w:p>
        </w:tc>
        <w:tc>
          <w:tcPr>
            <w:tcW w:w="0" w:type="auto"/>
            <w:shd w:val="clear" w:color="auto" w:fill="auto"/>
            <w:tcMar>
              <w:top w:w="40" w:type="dxa"/>
              <w:left w:w="40" w:type="dxa"/>
              <w:bottom w:w="40" w:type="dxa"/>
              <w:right w:w="40" w:type="dxa"/>
            </w:tcMar>
            <w:vAlign w:val="bottom"/>
          </w:tcPr>
          <w:p w14:paraId="4ACE6AF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AF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AF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George S. Davis</w:t>
            </w:r>
          </w:p>
        </w:tc>
      </w:tr>
      <w:tr w:rsidR="006F587A" w14:paraId="4ACE6B00" w14:textId="77777777">
        <w:tc>
          <w:tcPr>
            <w:tcW w:w="0" w:type="auto"/>
            <w:shd w:val="clear" w:color="auto" w:fill="auto"/>
            <w:tcMar>
              <w:top w:w="40" w:type="dxa"/>
              <w:left w:w="40" w:type="dxa"/>
              <w:bottom w:w="40" w:type="dxa"/>
              <w:right w:w="40" w:type="dxa"/>
            </w:tcMar>
            <w:vAlign w:val="bottom"/>
          </w:tcPr>
          <w:p w14:paraId="4ACE6AF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AFC"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 xml:space="preserve">Chief </w:t>
            </w:r>
            <w:r>
              <w:rPr>
                <w:rFonts w:ascii="Arial" w:eastAsia="宋体" w:hAnsi="Arial" w:cs="Arial"/>
                <w:color w:val="333333"/>
                <w:sz w:val="18"/>
                <w:szCs w:val="18"/>
              </w:rPr>
              <w:t>Executive Officer, Director, and Principal Executive Officer</w:t>
            </w:r>
          </w:p>
        </w:tc>
        <w:tc>
          <w:tcPr>
            <w:tcW w:w="0" w:type="auto"/>
            <w:shd w:val="clear" w:color="auto" w:fill="auto"/>
            <w:tcMar>
              <w:top w:w="40" w:type="dxa"/>
              <w:left w:w="40" w:type="dxa"/>
              <w:bottom w:w="40" w:type="dxa"/>
              <w:right w:w="40" w:type="dxa"/>
            </w:tcMar>
            <w:vAlign w:val="bottom"/>
          </w:tcPr>
          <w:p w14:paraId="4ACE6AF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AF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AFF"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Executive Vice President,</w:t>
            </w:r>
          </w:p>
        </w:tc>
      </w:tr>
      <w:tr w:rsidR="006F587A" w14:paraId="4ACE6B06" w14:textId="77777777">
        <w:tc>
          <w:tcPr>
            <w:tcW w:w="0" w:type="auto"/>
            <w:shd w:val="clear" w:color="auto" w:fill="auto"/>
            <w:tcMar>
              <w:top w:w="40" w:type="dxa"/>
              <w:left w:w="40" w:type="dxa"/>
              <w:bottom w:w="40" w:type="dxa"/>
              <w:right w:w="40" w:type="dxa"/>
            </w:tcMar>
            <w:vAlign w:val="bottom"/>
          </w:tcPr>
          <w:p w14:paraId="4ACE6B0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0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January 23, 2020</w:t>
            </w:r>
          </w:p>
        </w:tc>
        <w:tc>
          <w:tcPr>
            <w:tcW w:w="0" w:type="auto"/>
            <w:shd w:val="clear" w:color="auto" w:fill="auto"/>
            <w:tcMar>
              <w:top w:w="40" w:type="dxa"/>
              <w:left w:w="40" w:type="dxa"/>
              <w:bottom w:w="40" w:type="dxa"/>
              <w:right w:w="40" w:type="dxa"/>
            </w:tcMar>
            <w:vAlign w:val="bottom"/>
          </w:tcPr>
          <w:p w14:paraId="4ACE6B0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0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B05"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Chief Financial Officer and Principal Financial Officer</w:t>
            </w:r>
          </w:p>
        </w:tc>
      </w:tr>
      <w:tr w:rsidR="006F587A" w14:paraId="4ACE6B0C" w14:textId="77777777">
        <w:tc>
          <w:tcPr>
            <w:tcW w:w="0" w:type="auto"/>
            <w:shd w:val="clear" w:color="auto" w:fill="auto"/>
            <w:tcMar>
              <w:top w:w="40" w:type="dxa"/>
              <w:left w:w="40" w:type="dxa"/>
              <w:bottom w:w="40" w:type="dxa"/>
              <w:right w:w="40" w:type="dxa"/>
            </w:tcMar>
            <w:vAlign w:val="bottom"/>
          </w:tcPr>
          <w:p w14:paraId="4ACE6B0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0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0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0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B0B"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January 23, 2020</w:t>
            </w:r>
          </w:p>
        </w:tc>
      </w:tr>
      <w:tr w:rsidR="006F587A" w14:paraId="4ACE6B12" w14:textId="77777777">
        <w:tc>
          <w:tcPr>
            <w:tcW w:w="0" w:type="auto"/>
            <w:shd w:val="clear" w:color="auto" w:fill="auto"/>
            <w:tcMar>
              <w:top w:w="40" w:type="dxa"/>
              <w:left w:w="40" w:type="dxa"/>
              <w:bottom w:w="40" w:type="dxa"/>
              <w:right w:w="40" w:type="dxa"/>
            </w:tcMar>
            <w:vAlign w:val="bottom"/>
          </w:tcPr>
          <w:p w14:paraId="4ACE6B0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0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0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1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1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B18" w14:textId="77777777">
        <w:tc>
          <w:tcPr>
            <w:tcW w:w="0" w:type="auto"/>
            <w:tcBorders>
              <w:bottom w:val="single" w:sz="8" w:space="0" w:color="333333"/>
            </w:tcBorders>
            <w:shd w:val="clear" w:color="auto" w:fill="auto"/>
            <w:tcMar>
              <w:top w:w="40" w:type="dxa"/>
              <w:left w:w="40" w:type="dxa"/>
              <w:bottom w:w="40" w:type="dxa"/>
              <w:right w:w="40" w:type="dxa"/>
            </w:tcMar>
            <w:vAlign w:val="bottom"/>
          </w:tcPr>
          <w:p w14:paraId="4ACE6B1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6B1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/s/    KEVIN T. MCBRIDE      </w:t>
            </w:r>
          </w:p>
        </w:tc>
        <w:tc>
          <w:tcPr>
            <w:tcW w:w="0" w:type="auto"/>
            <w:shd w:val="clear" w:color="auto" w:fill="auto"/>
            <w:tcMar>
              <w:top w:w="40" w:type="dxa"/>
              <w:left w:w="40" w:type="dxa"/>
              <w:bottom w:w="40" w:type="dxa"/>
              <w:right w:w="40" w:type="dxa"/>
            </w:tcMar>
            <w:vAlign w:val="bottom"/>
          </w:tcPr>
          <w:p w14:paraId="4ACE6B1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1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1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B1E" w14:textId="77777777">
        <w:tc>
          <w:tcPr>
            <w:tcW w:w="0" w:type="auto"/>
            <w:shd w:val="clear" w:color="auto" w:fill="auto"/>
            <w:tcMar>
              <w:top w:w="40" w:type="dxa"/>
              <w:left w:w="40" w:type="dxa"/>
              <w:bottom w:w="40" w:type="dxa"/>
              <w:right w:w="40" w:type="dxa"/>
            </w:tcMar>
            <w:vAlign w:val="bottom"/>
          </w:tcPr>
          <w:p w14:paraId="4ACE6B1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1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Kevin T. McBride</w:t>
            </w:r>
          </w:p>
        </w:tc>
        <w:tc>
          <w:tcPr>
            <w:tcW w:w="0" w:type="auto"/>
            <w:shd w:val="clear" w:color="auto" w:fill="auto"/>
            <w:tcMar>
              <w:top w:w="40" w:type="dxa"/>
              <w:left w:w="40" w:type="dxa"/>
              <w:bottom w:w="40" w:type="dxa"/>
              <w:right w:w="40" w:type="dxa"/>
            </w:tcMar>
            <w:vAlign w:val="bottom"/>
          </w:tcPr>
          <w:p w14:paraId="4ACE6B1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1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1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B24" w14:textId="77777777">
        <w:tc>
          <w:tcPr>
            <w:tcW w:w="0" w:type="auto"/>
            <w:shd w:val="clear" w:color="auto" w:fill="auto"/>
            <w:tcMar>
              <w:top w:w="40" w:type="dxa"/>
              <w:left w:w="40" w:type="dxa"/>
              <w:bottom w:w="40" w:type="dxa"/>
              <w:right w:w="40" w:type="dxa"/>
            </w:tcMar>
            <w:vAlign w:val="bottom"/>
          </w:tcPr>
          <w:p w14:paraId="4ACE6B1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4ACE6B20" w14:textId="77777777" w:rsidR="006F587A" w:rsidRDefault="007B2B61">
            <w:pPr>
              <w:textAlignment w:val="center"/>
              <w:rPr>
                <w:rFonts w:ascii="Times New Roman" w:hAnsi="Times New Roman"/>
                <w:sz w:val="18"/>
                <w:szCs w:val="18"/>
              </w:rPr>
            </w:pPr>
            <w:r>
              <w:rPr>
                <w:rFonts w:ascii="Arial" w:eastAsia="宋体" w:hAnsi="Arial" w:cs="Arial"/>
                <w:color w:val="333333"/>
                <w:sz w:val="18"/>
                <w:szCs w:val="18"/>
              </w:rPr>
              <w:t>Vice President of Finance, Corporate Controller and Principal Accounting Officer</w:t>
            </w:r>
          </w:p>
        </w:tc>
        <w:tc>
          <w:tcPr>
            <w:tcW w:w="0" w:type="auto"/>
            <w:shd w:val="clear" w:color="auto" w:fill="auto"/>
            <w:tcMar>
              <w:top w:w="40" w:type="dxa"/>
              <w:left w:w="40" w:type="dxa"/>
              <w:bottom w:w="40" w:type="dxa"/>
              <w:right w:w="40" w:type="dxa"/>
            </w:tcMar>
            <w:vAlign w:val="bottom"/>
          </w:tcPr>
          <w:p w14:paraId="4ACE6B2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2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2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B2A" w14:textId="77777777">
        <w:tc>
          <w:tcPr>
            <w:tcW w:w="0" w:type="auto"/>
            <w:shd w:val="clear" w:color="auto" w:fill="auto"/>
            <w:tcMar>
              <w:top w:w="40" w:type="dxa"/>
              <w:left w:w="40" w:type="dxa"/>
              <w:bottom w:w="40" w:type="dxa"/>
              <w:right w:w="40" w:type="dxa"/>
            </w:tcMar>
            <w:vAlign w:val="bottom"/>
          </w:tcPr>
          <w:p w14:paraId="4ACE6B2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2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January 23, 2020</w:t>
            </w:r>
          </w:p>
        </w:tc>
        <w:tc>
          <w:tcPr>
            <w:tcW w:w="0" w:type="auto"/>
            <w:shd w:val="clear" w:color="auto" w:fill="auto"/>
            <w:tcMar>
              <w:top w:w="40" w:type="dxa"/>
              <w:left w:w="40" w:type="dxa"/>
              <w:bottom w:w="40" w:type="dxa"/>
              <w:right w:w="40" w:type="dxa"/>
            </w:tcMar>
            <w:vAlign w:val="bottom"/>
          </w:tcPr>
          <w:p w14:paraId="4ACE6B2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2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2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bl>
    <w:p w14:paraId="4ACE6B2B" w14:textId="77777777" w:rsidR="006F587A" w:rsidRDefault="006F587A">
      <w:pPr>
        <w:rPr>
          <w:vanish/>
        </w:rPr>
      </w:pPr>
    </w:p>
    <w:tbl>
      <w:tblPr>
        <w:tblW w:w="5000" w:type="pct"/>
        <w:tblCellMar>
          <w:left w:w="0" w:type="dxa"/>
          <w:right w:w="0" w:type="dxa"/>
        </w:tblCellMar>
        <w:tblLook w:val="04A0" w:firstRow="1" w:lastRow="0" w:firstColumn="1" w:lastColumn="0" w:noHBand="0" w:noVBand="1"/>
      </w:tblPr>
      <w:tblGrid>
        <w:gridCol w:w="130"/>
        <w:gridCol w:w="3955"/>
        <w:gridCol w:w="130"/>
        <w:gridCol w:w="135"/>
        <w:gridCol w:w="3956"/>
      </w:tblGrid>
      <w:tr w:rsidR="006F587A" w14:paraId="4ACE6B2D" w14:textId="77777777">
        <w:tc>
          <w:tcPr>
            <w:tcW w:w="0" w:type="auto"/>
            <w:gridSpan w:val="5"/>
            <w:shd w:val="clear" w:color="auto" w:fill="auto"/>
            <w:vAlign w:val="center"/>
          </w:tcPr>
          <w:p w14:paraId="4ACE6B2C" w14:textId="77777777" w:rsidR="006F587A" w:rsidRDefault="006F587A">
            <w:pPr>
              <w:rPr>
                <w:rFonts w:ascii="Times New Roman" w:hAnsi="Times New Roman"/>
                <w:sz w:val="20"/>
                <w:szCs w:val="20"/>
              </w:rPr>
            </w:pPr>
          </w:p>
        </w:tc>
      </w:tr>
      <w:tr w:rsidR="006F587A" w14:paraId="4ACE6B33" w14:textId="77777777">
        <w:tc>
          <w:tcPr>
            <w:tcW w:w="50" w:type="pct"/>
            <w:shd w:val="clear" w:color="auto" w:fill="auto"/>
            <w:vAlign w:val="center"/>
          </w:tcPr>
          <w:p w14:paraId="4ACE6B2E" w14:textId="77777777" w:rsidR="006F587A" w:rsidRDefault="006F587A">
            <w:pPr>
              <w:rPr>
                <w:rFonts w:ascii="Times New Roman" w:hAnsi="Times New Roman"/>
                <w:sz w:val="20"/>
                <w:szCs w:val="20"/>
              </w:rPr>
            </w:pPr>
          </w:p>
        </w:tc>
        <w:tc>
          <w:tcPr>
            <w:tcW w:w="2400" w:type="pct"/>
            <w:shd w:val="clear" w:color="auto" w:fill="auto"/>
            <w:vAlign w:val="center"/>
          </w:tcPr>
          <w:p w14:paraId="4ACE6B2F" w14:textId="77777777" w:rsidR="006F587A" w:rsidRDefault="006F587A">
            <w:pPr>
              <w:rPr>
                <w:rFonts w:ascii="Times New Roman" w:hAnsi="Times New Roman"/>
                <w:sz w:val="20"/>
                <w:szCs w:val="20"/>
              </w:rPr>
            </w:pPr>
          </w:p>
        </w:tc>
        <w:tc>
          <w:tcPr>
            <w:tcW w:w="50" w:type="pct"/>
            <w:shd w:val="clear" w:color="auto" w:fill="auto"/>
            <w:vAlign w:val="center"/>
          </w:tcPr>
          <w:p w14:paraId="4ACE6B30" w14:textId="77777777" w:rsidR="006F587A" w:rsidRDefault="006F587A">
            <w:pPr>
              <w:rPr>
                <w:rFonts w:ascii="Times New Roman" w:hAnsi="Times New Roman"/>
                <w:sz w:val="20"/>
                <w:szCs w:val="20"/>
              </w:rPr>
            </w:pPr>
          </w:p>
        </w:tc>
        <w:tc>
          <w:tcPr>
            <w:tcW w:w="100" w:type="pct"/>
            <w:shd w:val="clear" w:color="auto" w:fill="auto"/>
            <w:vAlign w:val="center"/>
          </w:tcPr>
          <w:p w14:paraId="4ACE6B31" w14:textId="77777777" w:rsidR="006F587A" w:rsidRDefault="006F587A">
            <w:pPr>
              <w:rPr>
                <w:rFonts w:ascii="Times New Roman" w:hAnsi="Times New Roman"/>
                <w:sz w:val="20"/>
                <w:szCs w:val="20"/>
              </w:rPr>
            </w:pPr>
          </w:p>
        </w:tc>
        <w:tc>
          <w:tcPr>
            <w:tcW w:w="2400" w:type="pct"/>
            <w:shd w:val="clear" w:color="auto" w:fill="auto"/>
            <w:vAlign w:val="center"/>
          </w:tcPr>
          <w:p w14:paraId="4ACE6B32" w14:textId="77777777" w:rsidR="006F587A" w:rsidRDefault="006F587A">
            <w:pPr>
              <w:rPr>
                <w:rFonts w:ascii="Times New Roman" w:hAnsi="Times New Roman"/>
                <w:sz w:val="20"/>
                <w:szCs w:val="20"/>
              </w:rPr>
            </w:pPr>
          </w:p>
        </w:tc>
      </w:tr>
      <w:tr w:rsidR="006F587A" w14:paraId="4ACE6B39" w14:textId="77777777">
        <w:tc>
          <w:tcPr>
            <w:tcW w:w="0" w:type="auto"/>
            <w:tcBorders>
              <w:bottom w:val="single" w:sz="8" w:space="0" w:color="333333"/>
            </w:tcBorders>
            <w:shd w:val="clear" w:color="auto" w:fill="auto"/>
            <w:tcMar>
              <w:top w:w="40" w:type="dxa"/>
              <w:left w:w="40" w:type="dxa"/>
              <w:bottom w:w="40" w:type="dxa"/>
              <w:right w:w="40" w:type="dxa"/>
            </w:tcMar>
            <w:vAlign w:val="bottom"/>
          </w:tcPr>
          <w:p w14:paraId="4ACE6B3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6B35"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/s/    ANDY D. BRYANT        </w:t>
            </w:r>
          </w:p>
        </w:tc>
        <w:tc>
          <w:tcPr>
            <w:tcW w:w="0" w:type="auto"/>
            <w:shd w:val="clear" w:color="auto" w:fill="auto"/>
            <w:tcMar>
              <w:top w:w="40" w:type="dxa"/>
              <w:left w:w="40" w:type="dxa"/>
              <w:bottom w:w="40" w:type="dxa"/>
              <w:right w:w="40" w:type="dxa"/>
            </w:tcMar>
            <w:vAlign w:val="bottom"/>
          </w:tcPr>
          <w:p w14:paraId="4ACE6B3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6B3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6B3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/s/    DR. RISA LAVIZZO-MOUREY       </w:t>
            </w:r>
          </w:p>
        </w:tc>
      </w:tr>
      <w:tr w:rsidR="006F587A" w14:paraId="4ACE6B3F" w14:textId="77777777">
        <w:tc>
          <w:tcPr>
            <w:tcW w:w="0" w:type="auto"/>
            <w:shd w:val="clear" w:color="auto" w:fill="auto"/>
            <w:tcMar>
              <w:top w:w="40" w:type="dxa"/>
              <w:left w:w="40" w:type="dxa"/>
              <w:bottom w:w="40" w:type="dxa"/>
              <w:right w:w="40" w:type="dxa"/>
            </w:tcMar>
            <w:vAlign w:val="bottom"/>
          </w:tcPr>
          <w:p w14:paraId="4ACE6B3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3B"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Andy D. Bryant</w:t>
            </w:r>
          </w:p>
        </w:tc>
        <w:tc>
          <w:tcPr>
            <w:tcW w:w="0" w:type="auto"/>
            <w:shd w:val="clear" w:color="auto" w:fill="auto"/>
            <w:tcMar>
              <w:top w:w="40" w:type="dxa"/>
              <w:left w:w="40" w:type="dxa"/>
              <w:bottom w:w="40" w:type="dxa"/>
              <w:right w:w="40" w:type="dxa"/>
            </w:tcMar>
            <w:vAlign w:val="bottom"/>
          </w:tcPr>
          <w:p w14:paraId="4ACE6B3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3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B3E"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 xml:space="preserve">Dr. </w:t>
            </w:r>
            <w:r>
              <w:rPr>
                <w:rFonts w:ascii="Arial" w:eastAsia="宋体" w:hAnsi="Arial" w:cs="Arial"/>
                <w:color w:val="333333"/>
                <w:sz w:val="18"/>
                <w:szCs w:val="18"/>
              </w:rPr>
              <w:t>Risa Lavizzo-Mourey</w:t>
            </w:r>
          </w:p>
        </w:tc>
      </w:tr>
      <w:tr w:rsidR="006F587A" w14:paraId="4ACE6B45" w14:textId="77777777">
        <w:tc>
          <w:tcPr>
            <w:tcW w:w="0" w:type="auto"/>
            <w:shd w:val="clear" w:color="auto" w:fill="auto"/>
            <w:tcMar>
              <w:top w:w="40" w:type="dxa"/>
              <w:left w:w="40" w:type="dxa"/>
              <w:bottom w:w="40" w:type="dxa"/>
              <w:right w:w="40" w:type="dxa"/>
            </w:tcMar>
            <w:vAlign w:val="bottom"/>
          </w:tcPr>
          <w:p w14:paraId="4ACE6B4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4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Director</w:t>
            </w:r>
          </w:p>
        </w:tc>
        <w:tc>
          <w:tcPr>
            <w:tcW w:w="0" w:type="auto"/>
            <w:shd w:val="clear" w:color="auto" w:fill="auto"/>
            <w:tcMar>
              <w:top w:w="40" w:type="dxa"/>
              <w:left w:w="40" w:type="dxa"/>
              <w:bottom w:w="40" w:type="dxa"/>
              <w:right w:w="40" w:type="dxa"/>
            </w:tcMar>
            <w:vAlign w:val="bottom"/>
          </w:tcPr>
          <w:p w14:paraId="4ACE6B4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4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B44"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Director</w:t>
            </w:r>
          </w:p>
        </w:tc>
      </w:tr>
      <w:tr w:rsidR="006F587A" w14:paraId="4ACE6B4B" w14:textId="77777777">
        <w:tc>
          <w:tcPr>
            <w:tcW w:w="0" w:type="auto"/>
            <w:shd w:val="clear" w:color="auto" w:fill="auto"/>
            <w:tcMar>
              <w:top w:w="40" w:type="dxa"/>
              <w:left w:w="40" w:type="dxa"/>
              <w:bottom w:w="40" w:type="dxa"/>
              <w:right w:w="40" w:type="dxa"/>
            </w:tcMar>
            <w:vAlign w:val="bottom"/>
          </w:tcPr>
          <w:p w14:paraId="4ACE6B4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B47"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January 23, 2020</w:t>
            </w:r>
          </w:p>
        </w:tc>
        <w:tc>
          <w:tcPr>
            <w:tcW w:w="0" w:type="auto"/>
            <w:shd w:val="clear" w:color="auto" w:fill="auto"/>
            <w:tcMar>
              <w:top w:w="40" w:type="dxa"/>
              <w:left w:w="40" w:type="dxa"/>
              <w:bottom w:w="40" w:type="dxa"/>
              <w:right w:w="40" w:type="dxa"/>
            </w:tcMar>
            <w:vAlign w:val="bottom"/>
          </w:tcPr>
          <w:p w14:paraId="4ACE6B4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4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B4A"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January 23, 2020</w:t>
            </w:r>
          </w:p>
        </w:tc>
      </w:tr>
      <w:tr w:rsidR="006F587A" w14:paraId="4ACE6B51" w14:textId="77777777">
        <w:tc>
          <w:tcPr>
            <w:tcW w:w="0" w:type="auto"/>
            <w:shd w:val="clear" w:color="auto" w:fill="auto"/>
            <w:tcMar>
              <w:top w:w="40" w:type="dxa"/>
              <w:left w:w="40" w:type="dxa"/>
              <w:bottom w:w="40" w:type="dxa"/>
              <w:right w:w="40" w:type="dxa"/>
            </w:tcMar>
            <w:vAlign w:val="bottom"/>
          </w:tcPr>
          <w:p w14:paraId="4ACE6B4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4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4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4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5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B57" w14:textId="77777777">
        <w:tc>
          <w:tcPr>
            <w:tcW w:w="0" w:type="auto"/>
            <w:tcBorders>
              <w:bottom w:val="single" w:sz="8" w:space="0" w:color="333333"/>
            </w:tcBorders>
            <w:shd w:val="clear" w:color="auto" w:fill="auto"/>
            <w:tcMar>
              <w:top w:w="40" w:type="dxa"/>
              <w:left w:w="40" w:type="dxa"/>
              <w:bottom w:w="40" w:type="dxa"/>
              <w:right w:w="40" w:type="dxa"/>
            </w:tcMar>
            <w:vAlign w:val="bottom"/>
          </w:tcPr>
          <w:p w14:paraId="4ACE6B5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6B5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/s/    JAMES J. GOETZ       </w:t>
            </w:r>
          </w:p>
        </w:tc>
        <w:tc>
          <w:tcPr>
            <w:tcW w:w="0" w:type="auto"/>
            <w:shd w:val="clear" w:color="auto" w:fill="auto"/>
            <w:tcMar>
              <w:top w:w="40" w:type="dxa"/>
              <w:left w:w="40" w:type="dxa"/>
              <w:bottom w:w="40" w:type="dxa"/>
              <w:right w:w="40" w:type="dxa"/>
            </w:tcMar>
            <w:vAlign w:val="bottom"/>
          </w:tcPr>
          <w:p w14:paraId="4ACE6B5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6B5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6B5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/s/    DR. TSU-JAE KING LIU</w:t>
            </w:r>
          </w:p>
        </w:tc>
      </w:tr>
      <w:tr w:rsidR="006F587A" w14:paraId="4ACE6B5D" w14:textId="77777777">
        <w:tc>
          <w:tcPr>
            <w:tcW w:w="0" w:type="auto"/>
            <w:shd w:val="clear" w:color="auto" w:fill="auto"/>
            <w:tcMar>
              <w:top w:w="40" w:type="dxa"/>
              <w:left w:w="40" w:type="dxa"/>
              <w:bottom w:w="40" w:type="dxa"/>
              <w:right w:w="40" w:type="dxa"/>
            </w:tcMar>
            <w:vAlign w:val="bottom"/>
          </w:tcPr>
          <w:p w14:paraId="4ACE6B5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5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 xml:space="preserve">James J. Goetz </w:t>
            </w:r>
          </w:p>
        </w:tc>
        <w:tc>
          <w:tcPr>
            <w:tcW w:w="0" w:type="auto"/>
            <w:shd w:val="clear" w:color="auto" w:fill="auto"/>
            <w:tcMar>
              <w:top w:w="40" w:type="dxa"/>
              <w:left w:w="40" w:type="dxa"/>
              <w:bottom w:w="40" w:type="dxa"/>
              <w:right w:w="40" w:type="dxa"/>
            </w:tcMar>
            <w:vAlign w:val="bottom"/>
          </w:tcPr>
          <w:p w14:paraId="4ACE6B5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5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B5C"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Dr. Tsu-Jae King Liu</w:t>
            </w:r>
          </w:p>
        </w:tc>
      </w:tr>
      <w:tr w:rsidR="006F587A" w14:paraId="4ACE6B63" w14:textId="77777777">
        <w:tc>
          <w:tcPr>
            <w:tcW w:w="0" w:type="auto"/>
            <w:shd w:val="clear" w:color="auto" w:fill="auto"/>
            <w:tcMar>
              <w:top w:w="40" w:type="dxa"/>
              <w:left w:w="40" w:type="dxa"/>
              <w:bottom w:w="40" w:type="dxa"/>
              <w:right w:w="40" w:type="dxa"/>
            </w:tcMar>
            <w:vAlign w:val="bottom"/>
          </w:tcPr>
          <w:p w14:paraId="4ACE6B5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5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Director</w:t>
            </w:r>
          </w:p>
        </w:tc>
        <w:tc>
          <w:tcPr>
            <w:tcW w:w="0" w:type="auto"/>
            <w:shd w:val="clear" w:color="auto" w:fill="auto"/>
            <w:tcMar>
              <w:top w:w="40" w:type="dxa"/>
              <w:left w:w="40" w:type="dxa"/>
              <w:bottom w:w="40" w:type="dxa"/>
              <w:right w:w="40" w:type="dxa"/>
            </w:tcMar>
            <w:vAlign w:val="bottom"/>
          </w:tcPr>
          <w:p w14:paraId="4ACE6B6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6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4ACE6B62" w14:textId="77777777" w:rsidR="006F587A" w:rsidRDefault="007B2B61">
            <w:pPr>
              <w:textAlignment w:val="center"/>
              <w:rPr>
                <w:rFonts w:ascii="Times New Roman" w:hAnsi="Times New Roman"/>
                <w:sz w:val="18"/>
                <w:szCs w:val="18"/>
              </w:rPr>
            </w:pPr>
            <w:r>
              <w:rPr>
                <w:rFonts w:ascii="Arial" w:eastAsia="宋体" w:hAnsi="Arial" w:cs="Arial"/>
                <w:color w:val="333333"/>
                <w:sz w:val="18"/>
                <w:szCs w:val="18"/>
              </w:rPr>
              <w:t>Director</w:t>
            </w:r>
          </w:p>
        </w:tc>
      </w:tr>
      <w:tr w:rsidR="006F587A" w14:paraId="4ACE6B69" w14:textId="77777777">
        <w:tc>
          <w:tcPr>
            <w:tcW w:w="0" w:type="auto"/>
            <w:shd w:val="clear" w:color="auto" w:fill="auto"/>
            <w:tcMar>
              <w:top w:w="40" w:type="dxa"/>
              <w:left w:w="40" w:type="dxa"/>
              <w:bottom w:w="40" w:type="dxa"/>
              <w:right w:w="40" w:type="dxa"/>
            </w:tcMar>
            <w:vAlign w:val="bottom"/>
          </w:tcPr>
          <w:p w14:paraId="4ACE6B6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B65"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January 23, 2020</w:t>
            </w:r>
          </w:p>
        </w:tc>
        <w:tc>
          <w:tcPr>
            <w:tcW w:w="0" w:type="auto"/>
            <w:shd w:val="clear" w:color="auto" w:fill="auto"/>
            <w:tcMar>
              <w:top w:w="40" w:type="dxa"/>
              <w:left w:w="40" w:type="dxa"/>
              <w:bottom w:w="40" w:type="dxa"/>
              <w:right w:w="40" w:type="dxa"/>
            </w:tcMar>
            <w:vAlign w:val="bottom"/>
          </w:tcPr>
          <w:p w14:paraId="4ACE6B6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6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6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January 23, 2020</w:t>
            </w:r>
          </w:p>
        </w:tc>
      </w:tr>
      <w:tr w:rsidR="006F587A" w14:paraId="4ACE6B6F" w14:textId="77777777">
        <w:tc>
          <w:tcPr>
            <w:tcW w:w="0" w:type="auto"/>
            <w:shd w:val="clear" w:color="auto" w:fill="auto"/>
            <w:tcMar>
              <w:top w:w="40" w:type="dxa"/>
              <w:left w:w="40" w:type="dxa"/>
              <w:bottom w:w="40" w:type="dxa"/>
              <w:right w:w="40" w:type="dxa"/>
            </w:tcMar>
            <w:vAlign w:val="bottom"/>
          </w:tcPr>
          <w:p w14:paraId="4ACE6B6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6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6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6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6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B75" w14:textId="77777777">
        <w:tc>
          <w:tcPr>
            <w:tcW w:w="0" w:type="auto"/>
            <w:tcBorders>
              <w:bottom w:val="single" w:sz="8" w:space="0" w:color="333333"/>
            </w:tcBorders>
            <w:shd w:val="clear" w:color="auto" w:fill="auto"/>
            <w:tcMar>
              <w:top w:w="40" w:type="dxa"/>
              <w:left w:w="40" w:type="dxa"/>
              <w:bottom w:w="40" w:type="dxa"/>
              <w:right w:w="40" w:type="dxa"/>
            </w:tcMar>
            <w:vAlign w:val="bottom"/>
          </w:tcPr>
          <w:p w14:paraId="4ACE6B7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6B71"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/s/    ALYSSA HENRY       </w:t>
            </w:r>
          </w:p>
        </w:tc>
        <w:tc>
          <w:tcPr>
            <w:tcW w:w="0" w:type="auto"/>
            <w:shd w:val="clear" w:color="auto" w:fill="auto"/>
            <w:tcMar>
              <w:top w:w="40" w:type="dxa"/>
              <w:left w:w="40" w:type="dxa"/>
              <w:bottom w:w="40" w:type="dxa"/>
              <w:right w:w="40" w:type="dxa"/>
            </w:tcMar>
            <w:vAlign w:val="bottom"/>
          </w:tcPr>
          <w:p w14:paraId="4ACE6B7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6B7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6B7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/s/    GREGORY D. SMITH        </w:t>
            </w:r>
          </w:p>
        </w:tc>
      </w:tr>
      <w:tr w:rsidR="006F587A" w14:paraId="4ACE6B7B" w14:textId="77777777">
        <w:tc>
          <w:tcPr>
            <w:tcW w:w="0" w:type="auto"/>
            <w:shd w:val="clear" w:color="auto" w:fill="auto"/>
            <w:tcMar>
              <w:top w:w="40" w:type="dxa"/>
              <w:left w:w="40" w:type="dxa"/>
              <w:bottom w:w="40" w:type="dxa"/>
              <w:right w:w="40" w:type="dxa"/>
            </w:tcMar>
            <w:vAlign w:val="bottom"/>
          </w:tcPr>
          <w:p w14:paraId="4ACE6B7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77"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Alyssa Henry</w:t>
            </w:r>
          </w:p>
        </w:tc>
        <w:tc>
          <w:tcPr>
            <w:tcW w:w="0" w:type="auto"/>
            <w:shd w:val="clear" w:color="auto" w:fill="auto"/>
            <w:tcMar>
              <w:top w:w="40" w:type="dxa"/>
              <w:left w:w="40" w:type="dxa"/>
              <w:bottom w:w="40" w:type="dxa"/>
              <w:right w:w="40" w:type="dxa"/>
            </w:tcMar>
            <w:vAlign w:val="bottom"/>
          </w:tcPr>
          <w:p w14:paraId="4ACE6B7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7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7A"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Gregory D. Smith</w:t>
            </w:r>
          </w:p>
        </w:tc>
      </w:tr>
      <w:tr w:rsidR="006F587A" w14:paraId="4ACE6B81" w14:textId="77777777">
        <w:tc>
          <w:tcPr>
            <w:tcW w:w="0" w:type="auto"/>
            <w:shd w:val="clear" w:color="auto" w:fill="auto"/>
            <w:tcMar>
              <w:top w:w="40" w:type="dxa"/>
              <w:left w:w="40" w:type="dxa"/>
              <w:bottom w:w="40" w:type="dxa"/>
              <w:right w:w="40" w:type="dxa"/>
            </w:tcMar>
            <w:vAlign w:val="bottom"/>
          </w:tcPr>
          <w:p w14:paraId="4ACE6B7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7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Director</w:t>
            </w:r>
          </w:p>
        </w:tc>
        <w:tc>
          <w:tcPr>
            <w:tcW w:w="0" w:type="auto"/>
            <w:shd w:val="clear" w:color="auto" w:fill="auto"/>
            <w:tcMar>
              <w:top w:w="40" w:type="dxa"/>
              <w:left w:w="40" w:type="dxa"/>
              <w:bottom w:w="40" w:type="dxa"/>
              <w:right w:w="40" w:type="dxa"/>
            </w:tcMar>
            <w:vAlign w:val="bottom"/>
          </w:tcPr>
          <w:p w14:paraId="4ACE6B7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7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8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Director</w:t>
            </w:r>
          </w:p>
        </w:tc>
      </w:tr>
      <w:tr w:rsidR="006F587A" w14:paraId="4ACE6B87" w14:textId="77777777">
        <w:tc>
          <w:tcPr>
            <w:tcW w:w="0" w:type="auto"/>
            <w:shd w:val="clear" w:color="auto" w:fill="auto"/>
            <w:tcMar>
              <w:top w:w="40" w:type="dxa"/>
              <w:left w:w="40" w:type="dxa"/>
              <w:bottom w:w="40" w:type="dxa"/>
              <w:right w:w="40" w:type="dxa"/>
            </w:tcMar>
            <w:vAlign w:val="bottom"/>
          </w:tcPr>
          <w:p w14:paraId="4ACE6B8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83"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January 23, 2020</w:t>
            </w:r>
          </w:p>
        </w:tc>
        <w:tc>
          <w:tcPr>
            <w:tcW w:w="0" w:type="auto"/>
            <w:shd w:val="clear" w:color="auto" w:fill="auto"/>
            <w:tcMar>
              <w:top w:w="40" w:type="dxa"/>
              <w:left w:w="40" w:type="dxa"/>
              <w:bottom w:w="40" w:type="dxa"/>
              <w:right w:w="40" w:type="dxa"/>
            </w:tcMar>
            <w:vAlign w:val="bottom"/>
          </w:tcPr>
          <w:p w14:paraId="4ACE6B8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8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8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January 23, 2020</w:t>
            </w:r>
          </w:p>
        </w:tc>
      </w:tr>
      <w:tr w:rsidR="006F587A" w14:paraId="4ACE6B8D" w14:textId="77777777">
        <w:tc>
          <w:tcPr>
            <w:tcW w:w="0" w:type="auto"/>
            <w:shd w:val="clear" w:color="auto" w:fill="auto"/>
            <w:tcMar>
              <w:top w:w="40" w:type="dxa"/>
              <w:left w:w="40" w:type="dxa"/>
              <w:bottom w:w="40" w:type="dxa"/>
              <w:right w:w="40" w:type="dxa"/>
            </w:tcMar>
            <w:vAlign w:val="bottom"/>
          </w:tcPr>
          <w:p w14:paraId="4ACE6B8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8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8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8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8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B93" w14:textId="77777777">
        <w:tc>
          <w:tcPr>
            <w:tcW w:w="0" w:type="auto"/>
            <w:tcBorders>
              <w:bottom w:val="single" w:sz="8" w:space="0" w:color="333333"/>
            </w:tcBorders>
            <w:shd w:val="clear" w:color="auto" w:fill="auto"/>
            <w:tcMar>
              <w:top w:w="40" w:type="dxa"/>
              <w:left w:w="40" w:type="dxa"/>
              <w:bottom w:w="40" w:type="dxa"/>
              <w:right w:w="40" w:type="dxa"/>
            </w:tcMar>
            <w:vAlign w:val="bottom"/>
          </w:tcPr>
          <w:p w14:paraId="4ACE6B8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6B8F"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/s/    REED E. HUNDT        </w:t>
            </w:r>
          </w:p>
        </w:tc>
        <w:tc>
          <w:tcPr>
            <w:tcW w:w="0" w:type="auto"/>
            <w:shd w:val="clear" w:color="auto" w:fill="auto"/>
            <w:tcMar>
              <w:top w:w="40" w:type="dxa"/>
              <w:left w:w="40" w:type="dxa"/>
              <w:bottom w:w="40" w:type="dxa"/>
              <w:right w:w="40" w:type="dxa"/>
            </w:tcMar>
            <w:vAlign w:val="bottom"/>
          </w:tcPr>
          <w:p w14:paraId="4ACE6B9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6B9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6B9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/s/    ANDREW WILSON</w:t>
            </w:r>
          </w:p>
        </w:tc>
      </w:tr>
      <w:tr w:rsidR="006F587A" w14:paraId="4ACE6B99" w14:textId="77777777">
        <w:tc>
          <w:tcPr>
            <w:tcW w:w="0" w:type="auto"/>
            <w:shd w:val="clear" w:color="auto" w:fill="auto"/>
            <w:tcMar>
              <w:top w:w="40" w:type="dxa"/>
              <w:left w:w="40" w:type="dxa"/>
              <w:bottom w:w="40" w:type="dxa"/>
              <w:right w:w="40" w:type="dxa"/>
            </w:tcMar>
            <w:vAlign w:val="bottom"/>
          </w:tcPr>
          <w:p w14:paraId="4ACE6B9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B95"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Reed E. Hundt</w:t>
            </w:r>
          </w:p>
        </w:tc>
        <w:tc>
          <w:tcPr>
            <w:tcW w:w="0" w:type="auto"/>
            <w:shd w:val="clear" w:color="auto" w:fill="auto"/>
            <w:tcMar>
              <w:top w:w="40" w:type="dxa"/>
              <w:left w:w="40" w:type="dxa"/>
              <w:bottom w:w="40" w:type="dxa"/>
              <w:right w:w="40" w:type="dxa"/>
            </w:tcMar>
            <w:vAlign w:val="bottom"/>
          </w:tcPr>
          <w:p w14:paraId="4ACE6B9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9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98"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Andrew Wilson</w:t>
            </w:r>
          </w:p>
        </w:tc>
      </w:tr>
      <w:tr w:rsidR="006F587A" w14:paraId="4ACE6B9F" w14:textId="77777777">
        <w:tc>
          <w:tcPr>
            <w:tcW w:w="0" w:type="auto"/>
            <w:shd w:val="clear" w:color="auto" w:fill="auto"/>
            <w:tcMar>
              <w:top w:w="40" w:type="dxa"/>
              <w:left w:w="40" w:type="dxa"/>
              <w:bottom w:w="40" w:type="dxa"/>
              <w:right w:w="40" w:type="dxa"/>
            </w:tcMar>
            <w:vAlign w:val="bottom"/>
          </w:tcPr>
          <w:p w14:paraId="4ACE6B9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B9B"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Director</w:t>
            </w:r>
          </w:p>
        </w:tc>
        <w:tc>
          <w:tcPr>
            <w:tcW w:w="0" w:type="auto"/>
            <w:shd w:val="clear" w:color="auto" w:fill="auto"/>
            <w:tcMar>
              <w:top w:w="40" w:type="dxa"/>
              <w:left w:w="40" w:type="dxa"/>
              <w:bottom w:w="40" w:type="dxa"/>
              <w:right w:w="40" w:type="dxa"/>
            </w:tcMar>
            <w:vAlign w:val="bottom"/>
          </w:tcPr>
          <w:p w14:paraId="4ACE6B9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9D"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9E"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Director</w:t>
            </w:r>
          </w:p>
        </w:tc>
      </w:tr>
      <w:tr w:rsidR="006F587A" w14:paraId="4ACE6BA5" w14:textId="77777777">
        <w:tc>
          <w:tcPr>
            <w:tcW w:w="0" w:type="auto"/>
            <w:shd w:val="clear" w:color="auto" w:fill="auto"/>
            <w:tcMar>
              <w:top w:w="40" w:type="dxa"/>
              <w:left w:w="40" w:type="dxa"/>
              <w:bottom w:w="40" w:type="dxa"/>
              <w:right w:w="40" w:type="dxa"/>
            </w:tcMar>
            <w:vAlign w:val="bottom"/>
          </w:tcPr>
          <w:p w14:paraId="4ACE6BA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BA1"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January 23, 2020</w:t>
            </w:r>
          </w:p>
        </w:tc>
        <w:tc>
          <w:tcPr>
            <w:tcW w:w="0" w:type="auto"/>
            <w:shd w:val="clear" w:color="auto" w:fill="auto"/>
            <w:tcMar>
              <w:top w:w="40" w:type="dxa"/>
              <w:left w:w="40" w:type="dxa"/>
              <w:bottom w:w="40" w:type="dxa"/>
              <w:right w:w="40" w:type="dxa"/>
            </w:tcMar>
            <w:vAlign w:val="bottom"/>
          </w:tcPr>
          <w:p w14:paraId="4ACE6BA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A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A4"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January 23, 2020</w:t>
            </w:r>
          </w:p>
        </w:tc>
      </w:tr>
      <w:tr w:rsidR="006F587A" w14:paraId="4ACE6BAB" w14:textId="77777777">
        <w:tc>
          <w:tcPr>
            <w:tcW w:w="0" w:type="auto"/>
            <w:shd w:val="clear" w:color="auto" w:fill="auto"/>
            <w:tcMar>
              <w:top w:w="40" w:type="dxa"/>
              <w:left w:w="40" w:type="dxa"/>
              <w:bottom w:w="40" w:type="dxa"/>
              <w:right w:w="40" w:type="dxa"/>
            </w:tcMar>
            <w:vAlign w:val="bottom"/>
          </w:tcPr>
          <w:p w14:paraId="4ACE6BA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A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A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A9"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A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r w:rsidR="006F587A" w14:paraId="4ACE6BB1" w14:textId="77777777">
        <w:tc>
          <w:tcPr>
            <w:tcW w:w="0" w:type="auto"/>
            <w:tcBorders>
              <w:bottom w:val="single" w:sz="8" w:space="0" w:color="333333"/>
            </w:tcBorders>
            <w:shd w:val="clear" w:color="auto" w:fill="auto"/>
            <w:tcMar>
              <w:top w:w="40" w:type="dxa"/>
              <w:left w:w="40" w:type="dxa"/>
              <w:bottom w:w="40" w:type="dxa"/>
              <w:right w:w="40" w:type="dxa"/>
            </w:tcMar>
            <w:vAlign w:val="bottom"/>
          </w:tcPr>
          <w:p w14:paraId="4ACE6BAC"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6BAD"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/s/   DR. OMAR ISHRAK        </w:t>
            </w:r>
          </w:p>
        </w:tc>
        <w:tc>
          <w:tcPr>
            <w:tcW w:w="0" w:type="auto"/>
            <w:shd w:val="clear" w:color="auto" w:fill="auto"/>
            <w:tcMar>
              <w:top w:w="40" w:type="dxa"/>
              <w:left w:w="40" w:type="dxa"/>
              <w:bottom w:w="40" w:type="dxa"/>
              <w:right w:w="40" w:type="dxa"/>
            </w:tcMar>
            <w:vAlign w:val="bottom"/>
          </w:tcPr>
          <w:p w14:paraId="4ACE6BA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6BAF"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4ACE6BB0"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/s/    FRANK D. YEARY        </w:t>
            </w:r>
          </w:p>
        </w:tc>
      </w:tr>
      <w:tr w:rsidR="006F587A" w14:paraId="4ACE6BB7" w14:textId="77777777">
        <w:tc>
          <w:tcPr>
            <w:tcW w:w="0" w:type="auto"/>
            <w:shd w:val="clear" w:color="auto" w:fill="auto"/>
            <w:tcMar>
              <w:top w:w="40" w:type="dxa"/>
              <w:left w:w="40" w:type="dxa"/>
              <w:bottom w:w="40" w:type="dxa"/>
              <w:right w:w="40" w:type="dxa"/>
            </w:tcMar>
            <w:vAlign w:val="bottom"/>
          </w:tcPr>
          <w:p w14:paraId="4ACE6BB2"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BB3"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Dr. Omar Ishrak</w:t>
            </w:r>
          </w:p>
        </w:tc>
        <w:tc>
          <w:tcPr>
            <w:tcW w:w="0" w:type="auto"/>
            <w:shd w:val="clear" w:color="auto" w:fill="auto"/>
            <w:tcMar>
              <w:top w:w="40" w:type="dxa"/>
              <w:left w:w="40" w:type="dxa"/>
              <w:bottom w:w="40" w:type="dxa"/>
              <w:right w:w="40" w:type="dxa"/>
            </w:tcMar>
            <w:vAlign w:val="bottom"/>
          </w:tcPr>
          <w:p w14:paraId="4ACE6BB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B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B6"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Frank D. Yeary</w:t>
            </w:r>
          </w:p>
        </w:tc>
      </w:tr>
      <w:tr w:rsidR="006F587A" w14:paraId="4ACE6BBD" w14:textId="77777777">
        <w:tc>
          <w:tcPr>
            <w:tcW w:w="0" w:type="auto"/>
            <w:shd w:val="clear" w:color="auto" w:fill="auto"/>
            <w:tcMar>
              <w:top w:w="40" w:type="dxa"/>
              <w:left w:w="40" w:type="dxa"/>
              <w:bottom w:w="40" w:type="dxa"/>
              <w:right w:w="40" w:type="dxa"/>
            </w:tcMar>
            <w:vAlign w:val="bottom"/>
          </w:tcPr>
          <w:p w14:paraId="4ACE6BB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B9"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Chairman of the Board and Director</w:t>
            </w:r>
          </w:p>
        </w:tc>
        <w:tc>
          <w:tcPr>
            <w:tcW w:w="0" w:type="auto"/>
            <w:shd w:val="clear" w:color="auto" w:fill="auto"/>
            <w:tcMar>
              <w:top w:w="40" w:type="dxa"/>
              <w:left w:w="40" w:type="dxa"/>
              <w:bottom w:w="40" w:type="dxa"/>
              <w:right w:w="40" w:type="dxa"/>
            </w:tcMar>
            <w:vAlign w:val="bottom"/>
          </w:tcPr>
          <w:p w14:paraId="4ACE6BBA"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BB"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BC"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Director</w:t>
            </w:r>
          </w:p>
        </w:tc>
      </w:tr>
      <w:tr w:rsidR="006F587A" w14:paraId="4ACE6BC3" w14:textId="77777777">
        <w:tc>
          <w:tcPr>
            <w:tcW w:w="0" w:type="auto"/>
            <w:shd w:val="clear" w:color="auto" w:fill="auto"/>
            <w:tcMar>
              <w:top w:w="40" w:type="dxa"/>
              <w:left w:w="40" w:type="dxa"/>
              <w:bottom w:w="40" w:type="dxa"/>
              <w:right w:w="40" w:type="dxa"/>
            </w:tcMar>
            <w:vAlign w:val="bottom"/>
          </w:tcPr>
          <w:p w14:paraId="4ACE6BBE"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ACE6BBF" w14:textId="77777777" w:rsidR="006F587A" w:rsidRDefault="007B2B61">
            <w:pPr>
              <w:textAlignment w:val="top"/>
              <w:rPr>
                <w:rFonts w:ascii="Times New Roman" w:hAnsi="Times New Roman"/>
                <w:sz w:val="18"/>
                <w:szCs w:val="18"/>
              </w:rPr>
            </w:pPr>
            <w:r>
              <w:rPr>
                <w:rFonts w:ascii="Arial" w:eastAsia="宋体" w:hAnsi="Arial" w:cs="Arial"/>
                <w:color w:val="333333"/>
                <w:sz w:val="18"/>
                <w:szCs w:val="18"/>
              </w:rPr>
              <w:t>January 23, 2020</w:t>
            </w:r>
          </w:p>
        </w:tc>
        <w:tc>
          <w:tcPr>
            <w:tcW w:w="0" w:type="auto"/>
            <w:shd w:val="clear" w:color="auto" w:fill="auto"/>
            <w:tcMar>
              <w:top w:w="40" w:type="dxa"/>
              <w:left w:w="40" w:type="dxa"/>
              <w:bottom w:w="40" w:type="dxa"/>
              <w:right w:w="40" w:type="dxa"/>
            </w:tcMar>
            <w:vAlign w:val="bottom"/>
          </w:tcPr>
          <w:p w14:paraId="4ACE6BC0"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C1"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C2" w14:textId="77777777" w:rsidR="006F587A" w:rsidRDefault="007B2B61">
            <w:pPr>
              <w:textAlignment w:val="bottom"/>
              <w:rPr>
                <w:rFonts w:ascii="Times New Roman" w:hAnsi="Times New Roman"/>
                <w:sz w:val="18"/>
                <w:szCs w:val="18"/>
              </w:rPr>
            </w:pPr>
            <w:r>
              <w:rPr>
                <w:rFonts w:ascii="Arial" w:eastAsia="宋体" w:hAnsi="Arial" w:cs="Arial"/>
                <w:color w:val="333333"/>
                <w:sz w:val="18"/>
                <w:szCs w:val="18"/>
              </w:rPr>
              <w:t>January 23, 2020</w:t>
            </w:r>
          </w:p>
        </w:tc>
      </w:tr>
      <w:tr w:rsidR="006F587A" w14:paraId="4ACE6BC9" w14:textId="77777777">
        <w:tc>
          <w:tcPr>
            <w:tcW w:w="0" w:type="auto"/>
            <w:shd w:val="clear" w:color="auto" w:fill="auto"/>
            <w:tcMar>
              <w:top w:w="40" w:type="dxa"/>
              <w:left w:w="40" w:type="dxa"/>
              <w:bottom w:w="40" w:type="dxa"/>
              <w:right w:w="40" w:type="dxa"/>
            </w:tcMar>
            <w:vAlign w:val="bottom"/>
          </w:tcPr>
          <w:p w14:paraId="4ACE6BC4"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C5"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C6"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C7"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ACE6BC8"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r>
    </w:tbl>
    <w:p w14:paraId="4ACE6BCA" w14:textId="77777777" w:rsidR="006F587A" w:rsidRDefault="007B2B61">
      <w:pPr>
        <w:spacing w:line="288" w:lineRule="auto"/>
        <w:ind w:firstLine="960"/>
        <w:rPr>
          <w:rFonts w:ascii="Times New Roman" w:hAnsi="Times New Roman"/>
          <w:sz w:val="20"/>
          <w:szCs w:val="20"/>
        </w:rPr>
      </w:pPr>
      <w:r>
        <w:rPr>
          <w:rFonts w:ascii="Arial" w:eastAsia="宋体" w:hAnsi="Arial" w:cs="Arial"/>
          <w:color w:val="333333"/>
          <w:sz w:val="18"/>
          <w:szCs w:val="18"/>
        </w:rPr>
        <w:t>    </w:t>
      </w:r>
    </w:p>
    <w:p w14:paraId="4ACE6BCB" w14:textId="77777777" w:rsidR="006F587A" w:rsidRDefault="006F587A">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59"/>
        <w:gridCol w:w="2658"/>
        <w:gridCol w:w="3489"/>
      </w:tblGrid>
      <w:tr w:rsidR="006F587A" w14:paraId="4ACE6BCD" w14:textId="77777777">
        <w:tc>
          <w:tcPr>
            <w:tcW w:w="0" w:type="auto"/>
            <w:gridSpan w:val="3"/>
            <w:shd w:val="clear" w:color="auto" w:fill="auto"/>
            <w:vAlign w:val="center"/>
          </w:tcPr>
          <w:p w14:paraId="4ACE6BCC" w14:textId="77777777" w:rsidR="006F587A" w:rsidRDefault="006F587A">
            <w:pPr>
              <w:rPr>
                <w:rFonts w:ascii="Times New Roman" w:hAnsi="Times New Roman"/>
                <w:sz w:val="20"/>
                <w:szCs w:val="20"/>
              </w:rPr>
            </w:pPr>
          </w:p>
        </w:tc>
      </w:tr>
      <w:tr w:rsidR="006F587A" w14:paraId="4ACE6BD1" w14:textId="77777777">
        <w:tc>
          <w:tcPr>
            <w:tcW w:w="1300" w:type="pct"/>
            <w:shd w:val="clear" w:color="auto" w:fill="auto"/>
            <w:vAlign w:val="center"/>
          </w:tcPr>
          <w:p w14:paraId="4ACE6BCE" w14:textId="77777777" w:rsidR="006F587A" w:rsidRDefault="006F587A">
            <w:pPr>
              <w:rPr>
                <w:rFonts w:ascii="Times New Roman" w:hAnsi="Times New Roman"/>
                <w:sz w:val="20"/>
                <w:szCs w:val="20"/>
              </w:rPr>
            </w:pPr>
          </w:p>
        </w:tc>
        <w:tc>
          <w:tcPr>
            <w:tcW w:w="1600" w:type="pct"/>
            <w:shd w:val="clear" w:color="auto" w:fill="auto"/>
            <w:vAlign w:val="center"/>
          </w:tcPr>
          <w:p w14:paraId="4ACE6BCF" w14:textId="77777777" w:rsidR="006F587A" w:rsidRDefault="006F587A">
            <w:pPr>
              <w:rPr>
                <w:rFonts w:ascii="Times New Roman" w:hAnsi="Times New Roman"/>
                <w:sz w:val="20"/>
                <w:szCs w:val="20"/>
              </w:rPr>
            </w:pPr>
          </w:p>
        </w:tc>
        <w:tc>
          <w:tcPr>
            <w:tcW w:w="2100" w:type="pct"/>
            <w:shd w:val="clear" w:color="auto" w:fill="auto"/>
            <w:vAlign w:val="center"/>
          </w:tcPr>
          <w:p w14:paraId="4ACE6BD0" w14:textId="77777777" w:rsidR="006F587A" w:rsidRDefault="006F587A">
            <w:pPr>
              <w:rPr>
                <w:rFonts w:ascii="Times New Roman" w:hAnsi="Times New Roman"/>
                <w:sz w:val="20"/>
                <w:szCs w:val="20"/>
              </w:rPr>
            </w:pPr>
          </w:p>
        </w:tc>
      </w:tr>
      <w:tr w:rsidR="006F587A" w14:paraId="4ACE6BD5"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4ACE6BD2" w14:textId="77777777" w:rsidR="006F587A" w:rsidRDefault="007B2B61">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Viewer12_files/a001intellogo_coverfooter.jpg"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4ACE6E4D" wp14:editId="4ACE6E4E">
                  <wp:extent cx="304800" cy="304800"/>
                  <wp:effectExtent l="0" t="0" r="0" b="0"/>
                  <wp:docPr id="88" name="图片 376"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376" descr="IMG_4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SUPPLEMENTAL DETAILS</w:t>
            </w:r>
          </w:p>
        </w:tc>
        <w:tc>
          <w:tcPr>
            <w:tcW w:w="0" w:type="auto"/>
            <w:tcBorders>
              <w:top w:val="single" w:sz="8" w:space="0" w:color="0071C5"/>
            </w:tcBorders>
            <w:shd w:val="clear" w:color="auto" w:fill="auto"/>
            <w:tcMar>
              <w:top w:w="40" w:type="dxa"/>
              <w:left w:w="40" w:type="dxa"/>
              <w:bottom w:w="40" w:type="dxa"/>
              <w:right w:w="40" w:type="dxa"/>
            </w:tcMar>
            <w:vAlign w:val="bottom"/>
          </w:tcPr>
          <w:p w14:paraId="4ACE6BD3" w14:textId="77777777" w:rsidR="006F587A" w:rsidRDefault="007B2B6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4ACE6BD4" w14:textId="77777777" w:rsidR="006F587A" w:rsidRDefault="007B2B61">
            <w:pPr>
              <w:jc w:val="right"/>
              <w:textAlignment w:val="bottom"/>
              <w:rPr>
                <w:rFonts w:ascii="Times New Roman" w:hAnsi="Times New Roman"/>
                <w:sz w:val="16"/>
                <w:szCs w:val="16"/>
              </w:rPr>
            </w:pPr>
            <w:r>
              <w:rPr>
                <w:rFonts w:ascii="Arial" w:eastAsia="宋体" w:hAnsi="Arial" w:cs="Arial"/>
                <w:color w:val="333333"/>
                <w:sz w:val="16"/>
                <w:szCs w:val="16"/>
              </w:rPr>
              <w:t>119</w:t>
            </w:r>
          </w:p>
        </w:tc>
      </w:tr>
    </w:tbl>
    <w:p w14:paraId="4ACE6BD6" w14:textId="77777777" w:rsidR="006F587A" w:rsidRDefault="007B2B61">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ACE6E4F" wp14:editId="4ACE6E50">
                <wp:extent cx="635" cy="0"/>
                <wp:effectExtent l="0" t="0" r="0" b="0"/>
                <wp:docPr id="66" name="矩形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NWh7J0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F587A" w14:paraId="4ACE6BD8" w14:textId="77777777">
        <w:trPr>
          <w:tblCellSpacing w:w="15" w:type="dxa"/>
        </w:trPr>
        <w:tc>
          <w:tcPr>
            <w:tcW w:w="0" w:type="auto"/>
            <w:shd w:val="clear" w:color="auto" w:fill="auto"/>
            <w:vAlign w:val="center"/>
          </w:tcPr>
          <w:p w14:paraId="4ACE6BD7" w14:textId="77777777" w:rsidR="006F587A" w:rsidRDefault="006F587A">
            <w:pPr>
              <w:rPr>
                <w:rFonts w:ascii="宋体"/>
              </w:rPr>
            </w:pPr>
          </w:p>
        </w:tc>
      </w:tr>
    </w:tbl>
    <w:p w14:paraId="4ACE6BD9" w14:textId="77777777" w:rsidR="006F587A" w:rsidRDefault="006F587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F587A" w14:paraId="4ACE6BDB" w14:textId="77777777">
        <w:trPr>
          <w:tblCellSpacing w:w="15" w:type="dxa"/>
        </w:trPr>
        <w:tc>
          <w:tcPr>
            <w:tcW w:w="0" w:type="auto"/>
            <w:shd w:val="clear" w:color="auto" w:fill="auto"/>
            <w:vAlign w:val="center"/>
          </w:tcPr>
          <w:p w14:paraId="4ACE6BDA" w14:textId="77777777" w:rsidR="006F587A" w:rsidRDefault="006F587A">
            <w:pPr>
              <w:rPr>
                <w:rFonts w:ascii="宋体"/>
              </w:rPr>
            </w:pPr>
          </w:p>
        </w:tc>
      </w:tr>
    </w:tbl>
    <w:p w14:paraId="4ACE6BDC" w14:textId="77777777" w:rsidR="006F587A" w:rsidRDefault="006F587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F587A" w14:paraId="4ACE6BDE" w14:textId="77777777">
        <w:trPr>
          <w:tblCellSpacing w:w="15" w:type="dxa"/>
        </w:trPr>
        <w:tc>
          <w:tcPr>
            <w:tcW w:w="0" w:type="auto"/>
            <w:shd w:val="clear" w:color="auto" w:fill="auto"/>
            <w:vAlign w:val="center"/>
          </w:tcPr>
          <w:p w14:paraId="4ACE6BDD" w14:textId="77777777" w:rsidR="006F587A" w:rsidRDefault="006F587A">
            <w:pPr>
              <w:rPr>
                <w:rFonts w:ascii="宋体"/>
              </w:rPr>
            </w:pPr>
          </w:p>
        </w:tc>
      </w:tr>
    </w:tbl>
    <w:p w14:paraId="4ACE6BDF" w14:textId="77777777" w:rsidR="006F587A" w:rsidRDefault="006F587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F587A" w14:paraId="4ACE6BE1" w14:textId="77777777">
        <w:trPr>
          <w:tblCellSpacing w:w="15" w:type="dxa"/>
        </w:trPr>
        <w:tc>
          <w:tcPr>
            <w:tcW w:w="0" w:type="auto"/>
            <w:shd w:val="clear" w:color="auto" w:fill="auto"/>
            <w:vAlign w:val="center"/>
          </w:tcPr>
          <w:p w14:paraId="4ACE6BE0" w14:textId="77777777" w:rsidR="006F587A" w:rsidRDefault="006F587A">
            <w:pPr>
              <w:rPr>
                <w:rFonts w:ascii="宋体"/>
              </w:rPr>
            </w:pPr>
          </w:p>
        </w:tc>
      </w:tr>
    </w:tbl>
    <w:p w14:paraId="4ACE6BE2" w14:textId="77777777" w:rsidR="006F587A" w:rsidRDefault="007B2B61">
      <w:r>
        <w:rPr>
          <w:rFonts w:ascii="宋体" w:eastAsia="宋体" w:hAnsi="宋体" w:cs="宋体"/>
        </w:rPr>
        <w:t xml:space="preserve">Previous Next </w:t>
      </w:r>
    </w:p>
    <w:p w14:paraId="4ACE6BE3" w14:textId="77777777" w:rsidR="006F587A" w:rsidRDefault="007B2B61">
      <w:pPr>
        <w:pStyle w:val="a3"/>
      </w:pPr>
      <w:r>
        <w:t>Settings</w:t>
      </w:r>
    </w:p>
    <w:p w14:paraId="4ACE6BE4" w14:textId="77777777" w:rsidR="006F587A" w:rsidRDefault="007B2B61">
      <w:pPr>
        <w:pStyle w:val="Style4"/>
      </w:pPr>
      <w:r>
        <w:t>窗体顶端</w:t>
      </w:r>
    </w:p>
    <w:p w14:paraId="4ACE6BE5" w14:textId="77777777" w:rsidR="006F587A" w:rsidRDefault="007B2B61">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4ACE6E51" wp14:editId="4ACE6E52">
                <wp:extent cx="635" cy="0"/>
                <wp:effectExtent l="0" t="0" r="0" b="0"/>
                <wp:docPr id="117" name="矩形 1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XPK+5wECAAAcBAAADgAAAGRycy9l&#10;Mm9Eb2MueG1srVPNbhMxEL4j8Q6W72SToBZ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FzyvucBAgAAHA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4ACE6BE6" w14:textId="77777777" w:rsidR="006F587A" w:rsidRDefault="007B2B61">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4ACE6E53" wp14:editId="4ACE6E54">
                <wp:extent cx="635" cy="0"/>
                <wp:effectExtent l="0" t="0" r="0" b="0"/>
                <wp:docPr id="118" name="矩形 1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cvabgBAgAAHA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w:t>
      </w:r>
      <w:r>
        <w:rPr>
          <w:rFonts w:ascii="宋体" w:eastAsia="宋体" w:hAnsi="宋体" w:cs="宋体"/>
        </w:rPr>
        <w:t xml:space="preserve"> IE 10, or Safari. </w:t>
      </w:r>
    </w:p>
    <w:p w14:paraId="4ACE6BE7" w14:textId="77777777" w:rsidR="006F587A" w:rsidRDefault="007B2B61">
      <w:r>
        <w:pict w14:anchorId="4ACE6E55">
          <v:rect id="_x0000_i1145" style="width:415.3pt;height:1.5pt" o:hralign="center" o:hrstd="t" o:hr="t" fillcolor="#a0a0a0" stroked="f"/>
        </w:pict>
      </w:r>
    </w:p>
    <w:p w14:paraId="4ACE6BE8" w14:textId="77777777" w:rsidR="006F587A" w:rsidRDefault="007B2B61">
      <w:r>
        <w:rPr>
          <w:rFonts w:ascii="宋体" w:eastAsia="宋体" w:hAnsi="宋体" w:cs="宋体"/>
        </w:rPr>
        <w:t xml:space="preserve">Tagged Data </w:t>
      </w:r>
    </w:p>
    <w:p w14:paraId="4ACE6BE9" w14:textId="77777777" w:rsidR="006F587A" w:rsidRDefault="007B2B61">
      <w:r>
        <w:rPr>
          <w:rFonts w:ascii="monospace" w:eastAsia="monospace" w:hAnsi="monospace" w:cs="monospace"/>
          <w:noProof/>
        </w:rPr>
        <mc:AlternateContent>
          <mc:Choice Requires="wps">
            <w:drawing>
              <wp:inline distT="0" distB="0" distL="114300" distR="114300" wp14:anchorId="4ACE6E56" wp14:editId="4ACE6E57">
                <wp:extent cx="635" cy="0"/>
                <wp:effectExtent l="0" t="0" r="0" b="0"/>
                <wp:docPr id="140" name="矩形 1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f58YAAECAAAc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H+fGAABAgAAHAQAAA4AAAAAAAAA&#10;AQAgAAAAMwEAAGRycy9lMm9Eb2MueG1sUEsFBgAAAAAGAAYAWQEAAKYFAAAAAA==&#10;">
                <v:fill on="f" focussize="0,0"/>
                <v:stroke color="#000000" joinstyle="miter"/>
                <v:imagedata o:title=""/>
                <o:lock v:ext="edit" aspectratio="t"/>
                <w10:wrap type="none"/>
                <w10:anchorlock/>
              </v:rect>
            </w:pict>
          </mc:Fallback>
        </mc:AlternateContent>
      </w:r>
    </w:p>
    <w:p w14:paraId="4ACE6BEA" w14:textId="77777777" w:rsidR="006F587A" w:rsidRDefault="007B2B61">
      <w:r>
        <w:rPr>
          <w:rFonts w:ascii="宋体" w:eastAsia="宋体" w:hAnsi="宋体" w:cs="宋体"/>
        </w:rPr>
        <w:t>Save</w:t>
      </w:r>
    </w:p>
    <w:p w14:paraId="4ACE6BEB" w14:textId="77777777" w:rsidR="006F587A" w:rsidRDefault="007B2B61">
      <w:r>
        <w:rPr>
          <w:rFonts w:ascii="宋体" w:eastAsia="宋体" w:hAnsi="宋体" w:cs="宋体"/>
        </w:rPr>
        <w:t>Reset</w:t>
      </w:r>
    </w:p>
    <w:p w14:paraId="4ACE6BEC" w14:textId="77777777" w:rsidR="006F587A" w:rsidRDefault="007B2B61">
      <w:r>
        <w:pict w14:anchorId="4ACE6E58">
          <v:rect id="_x0000_i1146" style="width:415.3pt;height:1.5pt" o:hralign="center" o:hrstd="t" o:hr="t" fillcolor="#a0a0a0" stroked="f"/>
        </w:pict>
      </w:r>
    </w:p>
    <w:p w14:paraId="4ACE6BED" w14:textId="77777777" w:rsidR="006F587A" w:rsidRDefault="007B2B61">
      <w:r>
        <w:rPr>
          <w:rFonts w:ascii="宋体" w:eastAsia="宋体" w:hAnsi="宋体" w:cs="宋体"/>
        </w:rPr>
        <w:t xml:space="preserve">Search Results </w:t>
      </w:r>
    </w:p>
    <w:p w14:paraId="4ACE6BEE" w14:textId="77777777" w:rsidR="006F587A" w:rsidRDefault="007B2B61">
      <w:r>
        <w:rPr>
          <w:rFonts w:ascii="monospace" w:eastAsia="monospace" w:hAnsi="monospace" w:cs="monospace"/>
          <w:noProof/>
        </w:rPr>
        <mc:AlternateContent>
          <mc:Choice Requires="wps">
            <w:drawing>
              <wp:inline distT="0" distB="0" distL="114300" distR="114300" wp14:anchorId="4ACE6E59" wp14:editId="4ACE6E5A">
                <wp:extent cx="635" cy="0"/>
                <wp:effectExtent l="0" t="0" r="0" b="0"/>
                <wp:docPr id="106" name="矩形 1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OiCVSoBAgAAHAQAAA4AAAAAAAAA&#10;AQAgAAAAMwEAAGRycy9lMm9Eb2MueG1sUEsFBgAAAAAGAAYAWQEAAKYFAAAAAA==&#10;">
                <v:fill on="f" focussize="0,0"/>
                <v:stroke color="#000000" joinstyle="miter"/>
                <v:imagedata o:title=""/>
                <o:lock v:ext="edit" aspectratio="t"/>
                <w10:wrap type="none"/>
                <w10:anchorlock/>
              </v:rect>
            </w:pict>
          </mc:Fallback>
        </mc:AlternateContent>
      </w:r>
    </w:p>
    <w:p w14:paraId="4ACE6BEF" w14:textId="77777777" w:rsidR="006F587A" w:rsidRDefault="007B2B61">
      <w:r>
        <w:rPr>
          <w:rFonts w:ascii="宋体" w:eastAsia="宋体" w:hAnsi="宋体" w:cs="宋体"/>
        </w:rPr>
        <w:t>Save</w:t>
      </w:r>
    </w:p>
    <w:p w14:paraId="4ACE6BF0" w14:textId="77777777" w:rsidR="006F587A" w:rsidRDefault="007B2B61">
      <w:r>
        <w:rPr>
          <w:rFonts w:ascii="宋体" w:eastAsia="宋体" w:hAnsi="宋体" w:cs="宋体"/>
        </w:rPr>
        <w:t>Reset</w:t>
      </w:r>
    </w:p>
    <w:p w14:paraId="4ACE6BF1" w14:textId="77777777" w:rsidR="006F587A" w:rsidRDefault="007B2B61">
      <w:r>
        <w:pict w14:anchorId="4ACE6E5B">
          <v:rect id="_x0000_i1147" style="width:415.3pt;height:1.5pt" o:hralign="center" o:hrstd="t" o:hr="t" fillcolor="#a0a0a0" stroked="f"/>
        </w:pict>
      </w:r>
    </w:p>
    <w:p w14:paraId="4ACE6BF2" w14:textId="77777777" w:rsidR="006F587A" w:rsidRDefault="007B2B61">
      <w:r>
        <w:rPr>
          <w:rFonts w:ascii="宋体" w:eastAsia="宋体" w:hAnsi="宋体" w:cs="宋体"/>
        </w:rPr>
        <w:t xml:space="preserve">Selected Fact </w:t>
      </w:r>
    </w:p>
    <w:p w14:paraId="4ACE6BF3" w14:textId="77777777" w:rsidR="006F587A" w:rsidRDefault="007B2B61">
      <w:r>
        <w:rPr>
          <w:rFonts w:ascii="monospace" w:eastAsia="monospace" w:hAnsi="monospace" w:cs="monospace"/>
          <w:noProof/>
        </w:rPr>
        <mc:AlternateContent>
          <mc:Choice Requires="wps">
            <w:drawing>
              <wp:inline distT="0" distB="0" distL="114300" distR="114300" wp14:anchorId="4ACE6E5C" wp14:editId="4ACE6E5D">
                <wp:extent cx="635" cy="0"/>
                <wp:effectExtent l="0" t="0" r="0" b="0"/>
                <wp:docPr id="121" name="矩形 1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Mguv18BAgAAHAQAAA4AAAAAAAAA&#10;AQAgAAAAMwEAAGRycy9lMm9Eb2MueG1sUEsFBgAAAAAGAAYAWQEAAKYFAAAAAA==&#10;">
                <v:fill on="f" focussize="0,0"/>
                <v:stroke color="#000000" joinstyle="miter"/>
                <v:imagedata o:title=""/>
                <o:lock v:ext="edit" aspectratio="t"/>
                <w10:wrap type="none"/>
                <w10:anchorlock/>
              </v:rect>
            </w:pict>
          </mc:Fallback>
        </mc:AlternateContent>
      </w:r>
    </w:p>
    <w:p w14:paraId="4ACE6BF4" w14:textId="77777777" w:rsidR="006F587A" w:rsidRDefault="007B2B61">
      <w:r>
        <w:rPr>
          <w:rFonts w:ascii="宋体" w:eastAsia="宋体" w:hAnsi="宋体" w:cs="宋体"/>
        </w:rPr>
        <w:t>Save</w:t>
      </w:r>
    </w:p>
    <w:p w14:paraId="4ACE6BF5" w14:textId="77777777" w:rsidR="006F587A" w:rsidRDefault="007B2B61">
      <w:r>
        <w:rPr>
          <w:rFonts w:ascii="宋体" w:eastAsia="宋体" w:hAnsi="宋体" w:cs="宋体"/>
        </w:rPr>
        <w:t>Reset</w:t>
      </w:r>
    </w:p>
    <w:p w14:paraId="4ACE6BF6" w14:textId="77777777" w:rsidR="006F587A" w:rsidRDefault="007B2B61">
      <w:r>
        <w:pict w14:anchorId="4ACE6E5E">
          <v:rect id="_x0000_i1148" style="width:415.3pt;height:1.5pt" o:hralign="center" o:hrstd="t" o:hr="t" fillcolor="#a0a0a0" stroked="f"/>
        </w:pict>
      </w:r>
    </w:p>
    <w:p w14:paraId="4ACE6BF7" w14:textId="77777777" w:rsidR="006F587A" w:rsidRDefault="007B2B61">
      <w:r>
        <w:rPr>
          <w:rFonts w:ascii="宋体" w:eastAsia="宋体" w:hAnsi="宋体" w:cs="宋体"/>
        </w:rPr>
        <w:t xml:space="preserve">Tag Shading (hover) </w:t>
      </w:r>
    </w:p>
    <w:p w14:paraId="4ACE6BF8" w14:textId="77777777" w:rsidR="006F587A" w:rsidRDefault="007B2B61">
      <w:r>
        <w:rPr>
          <w:rFonts w:ascii="monospace" w:eastAsia="monospace" w:hAnsi="monospace" w:cs="monospace"/>
          <w:noProof/>
        </w:rPr>
        <mc:AlternateContent>
          <mc:Choice Requires="wps">
            <w:drawing>
              <wp:inline distT="0" distB="0" distL="114300" distR="114300" wp14:anchorId="4ACE6E5F" wp14:editId="4ACE6E60">
                <wp:extent cx="635" cy="0"/>
                <wp:effectExtent l="0" t="0" r="0" b="0"/>
                <wp:docPr id="122" name="矩形 1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xeETAECAAAc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M8XhEwBAgAAHAQAAA4AAAAAAAAA&#10;AQAgAAAAMwEAAGRycy9lMm9Eb2MueG1sUEsFBgAAAAAGAAYAWQEAAKYFAAAAAA==&#10;">
                <v:fill on="f" focussize="0,0"/>
                <v:stroke color="#000000" joinstyle="miter"/>
                <v:imagedata o:title=""/>
                <o:lock v:ext="edit" aspectratio="t"/>
                <w10:wrap type="none"/>
                <w10:anchorlock/>
              </v:rect>
            </w:pict>
          </mc:Fallback>
        </mc:AlternateContent>
      </w:r>
    </w:p>
    <w:p w14:paraId="4ACE6BF9" w14:textId="77777777" w:rsidR="006F587A" w:rsidRDefault="007B2B61">
      <w:r>
        <w:rPr>
          <w:rFonts w:ascii="宋体" w:eastAsia="宋体" w:hAnsi="宋体" w:cs="宋体"/>
        </w:rPr>
        <w:t>Save</w:t>
      </w:r>
    </w:p>
    <w:p w14:paraId="4ACE6BFA" w14:textId="77777777" w:rsidR="006F587A" w:rsidRDefault="007B2B61">
      <w:r>
        <w:rPr>
          <w:rFonts w:ascii="宋体" w:eastAsia="宋体" w:hAnsi="宋体" w:cs="宋体"/>
        </w:rPr>
        <w:t>Reset</w:t>
      </w:r>
    </w:p>
    <w:p w14:paraId="4ACE6BFB" w14:textId="77777777" w:rsidR="006F587A" w:rsidRDefault="007B2B61">
      <w:pPr>
        <w:pStyle w:val="Style5"/>
      </w:pPr>
      <w:r>
        <w:t>窗体底端</w:t>
      </w:r>
    </w:p>
    <w:p w14:paraId="4ACE6BFC" w14:textId="77777777" w:rsidR="006F587A" w:rsidRDefault="007B2B61">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ACE6E61" wp14:editId="4ACE6E62">
                <wp:extent cx="635" cy="0"/>
                <wp:effectExtent l="0" t="0" r="0" b="0"/>
                <wp:docPr id="123" name="矩形 1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Df299AECAAAc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A39vfQBAgAAHA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F587A" w14:paraId="4ACE6BFE" w14:textId="77777777">
        <w:trPr>
          <w:tblCellSpacing w:w="15" w:type="dxa"/>
        </w:trPr>
        <w:tc>
          <w:tcPr>
            <w:tcW w:w="0" w:type="auto"/>
            <w:shd w:val="clear" w:color="auto" w:fill="auto"/>
            <w:vAlign w:val="center"/>
          </w:tcPr>
          <w:p w14:paraId="4ACE6BFD" w14:textId="77777777" w:rsidR="006F587A" w:rsidRDefault="006F587A">
            <w:pPr>
              <w:rPr>
                <w:rFonts w:ascii="宋体"/>
              </w:rPr>
            </w:pPr>
          </w:p>
        </w:tc>
      </w:tr>
    </w:tbl>
    <w:p w14:paraId="4ACE6BFF" w14:textId="77777777" w:rsidR="006F587A" w:rsidRDefault="006F587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F587A" w14:paraId="4ACE6C01" w14:textId="77777777">
        <w:trPr>
          <w:tblCellSpacing w:w="15" w:type="dxa"/>
        </w:trPr>
        <w:tc>
          <w:tcPr>
            <w:tcW w:w="0" w:type="auto"/>
            <w:shd w:val="clear" w:color="auto" w:fill="auto"/>
            <w:vAlign w:val="center"/>
          </w:tcPr>
          <w:p w14:paraId="4ACE6C00" w14:textId="77777777" w:rsidR="006F587A" w:rsidRDefault="006F587A">
            <w:pPr>
              <w:rPr>
                <w:rFonts w:ascii="宋体"/>
              </w:rPr>
            </w:pPr>
          </w:p>
        </w:tc>
      </w:tr>
    </w:tbl>
    <w:p w14:paraId="4ACE6C02" w14:textId="77777777" w:rsidR="006F587A" w:rsidRDefault="006F587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F587A" w14:paraId="4ACE6C04" w14:textId="77777777">
        <w:trPr>
          <w:tblCellSpacing w:w="15" w:type="dxa"/>
        </w:trPr>
        <w:tc>
          <w:tcPr>
            <w:tcW w:w="0" w:type="auto"/>
            <w:shd w:val="clear" w:color="auto" w:fill="auto"/>
            <w:vAlign w:val="center"/>
          </w:tcPr>
          <w:p w14:paraId="4ACE6C03" w14:textId="77777777" w:rsidR="006F587A" w:rsidRDefault="006F587A">
            <w:pPr>
              <w:rPr>
                <w:rFonts w:ascii="宋体"/>
              </w:rPr>
            </w:pPr>
          </w:p>
        </w:tc>
      </w:tr>
    </w:tbl>
    <w:p w14:paraId="4ACE6C05" w14:textId="77777777" w:rsidR="006F587A" w:rsidRDefault="006F587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F587A" w14:paraId="4ACE6C07" w14:textId="77777777">
        <w:trPr>
          <w:tblCellSpacing w:w="15" w:type="dxa"/>
        </w:trPr>
        <w:tc>
          <w:tcPr>
            <w:tcW w:w="0" w:type="auto"/>
            <w:shd w:val="clear" w:color="auto" w:fill="auto"/>
            <w:vAlign w:val="center"/>
          </w:tcPr>
          <w:p w14:paraId="4ACE6C06" w14:textId="77777777" w:rsidR="006F587A" w:rsidRDefault="006F587A">
            <w:pPr>
              <w:rPr>
                <w:rFonts w:ascii="宋体"/>
              </w:rPr>
            </w:pPr>
          </w:p>
        </w:tc>
      </w:tr>
    </w:tbl>
    <w:p w14:paraId="4ACE6C08" w14:textId="77777777" w:rsidR="006F587A" w:rsidRDefault="007B2B61">
      <w:r>
        <w:rPr>
          <w:rFonts w:ascii="宋体" w:eastAsia="宋体" w:hAnsi="宋体" w:cs="宋体"/>
        </w:rPr>
        <w:t xml:space="preserve">Previous Next </w:t>
      </w:r>
    </w:p>
    <w:p w14:paraId="4ACE6C09" w14:textId="77777777" w:rsidR="006F587A" w:rsidRDefault="007B2B61">
      <w:pPr>
        <w:pStyle w:val="a3"/>
      </w:pPr>
      <w:r>
        <w:t xml:space="preserve">Nested Facts / </w:t>
      </w:r>
    </w:p>
    <w:p w14:paraId="4ACE6C0A" w14:textId="77777777" w:rsidR="006F587A" w:rsidRDefault="007B2B61">
      <w:r>
        <w:rPr>
          <w:rFonts w:ascii="宋体" w:eastAsia="宋体" w:hAnsi="宋体" w:cs="宋体"/>
        </w:rPr>
        <w:t xml:space="preserve">Previous Next </w:t>
      </w:r>
    </w:p>
    <w:p w14:paraId="4ACE6C0B" w14:textId="77777777" w:rsidR="006F587A" w:rsidRDefault="007B2B61">
      <w:r>
        <w:rPr>
          <w:rFonts w:ascii="宋体" w:eastAsia="宋体" w:hAnsi="宋体" w:cs="宋体"/>
        </w:rPr>
        <w:lastRenderedPageBreak/>
        <w:t xml:space="preserve">Copy and Paste Below Content. </w:t>
      </w:r>
      <w:r>
        <w:rPr>
          <w:rFonts w:ascii="宋体" w:eastAsia="宋体" w:hAnsi="宋体" w:cs="宋体"/>
          <w:noProof/>
        </w:rPr>
        <mc:AlternateContent>
          <mc:Choice Requires="wps">
            <w:drawing>
              <wp:inline distT="0" distB="0" distL="114300" distR="114300" wp14:anchorId="4ACE6E63" wp14:editId="4ACE6E64">
                <wp:extent cx="635" cy="0"/>
                <wp:effectExtent l="0" t="0" r="0" b="0"/>
                <wp:docPr id="124" name="矩形 1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WXyagECAAAc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MFl8moBAgAAHA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F587A" w14:paraId="4ACE6C0D" w14:textId="77777777">
        <w:trPr>
          <w:tblCellSpacing w:w="15" w:type="dxa"/>
        </w:trPr>
        <w:tc>
          <w:tcPr>
            <w:tcW w:w="0" w:type="auto"/>
            <w:shd w:val="clear" w:color="auto" w:fill="auto"/>
            <w:vAlign w:val="center"/>
          </w:tcPr>
          <w:p w14:paraId="4ACE6C0C" w14:textId="77777777" w:rsidR="006F587A" w:rsidRDefault="006F587A">
            <w:pPr>
              <w:rPr>
                <w:rFonts w:ascii="宋体"/>
              </w:rPr>
            </w:pPr>
          </w:p>
        </w:tc>
      </w:tr>
    </w:tbl>
    <w:p w14:paraId="4ACE6C0E" w14:textId="77777777" w:rsidR="006F587A" w:rsidRDefault="006F587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F587A" w14:paraId="4ACE6C10" w14:textId="77777777">
        <w:trPr>
          <w:tblCellSpacing w:w="15" w:type="dxa"/>
        </w:trPr>
        <w:tc>
          <w:tcPr>
            <w:tcW w:w="0" w:type="auto"/>
            <w:shd w:val="clear" w:color="auto" w:fill="auto"/>
            <w:vAlign w:val="center"/>
          </w:tcPr>
          <w:p w14:paraId="4ACE6C0F" w14:textId="77777777" w:rsidR="006F587A" w:rsidRDefault="006F587A">
            <w:pPr>
              <w:rPr>
                <w:rFonts w:ascii="宋体"/>
              </w:rPr>
            </w:pPr>
          </w:p>
        </w:tc>
      </w:tr>
    </w:tbl>
    <w:p w14:paraId="4ACE6C11" w14:textId="77777777" w:rsidR="006F587A" w:rsidRDefault="006F587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F587A" w14:paraId="4ACE6C13" w14:textId="77777777">
        <w:trPr>
          <w:tblCellSpacing w:w="15" w:type="dxa"/>
        </w:trPr>
        <w:tc>
          <w:tcPr>
            <w:tcW w:w="0" w:type="auto"/>
            <w:shd w:val="clear" w:color="auto" w:fill="auto"/>
            <w:vAlign w:val="center"/>
          </w:tcPr>
          <w:p w14:paraId="4ACE6C12" w14:textId="77777777" w:rsidR="006F587A" w:rsidRDefault="006F587A">
            <w:pPr>
              <w:rPr>
                <w:rFonts w:ascii="宋体"/>
              </w:rPr>
            </w:pPr>
          </w:p>
        </w:tc>
      </w:tr>
    </w:tbl>
    <w:p w14:paraId="4ACE6C14" w14:textId="77777777" w:rsidR="006F587A" w:rsidRDefault="006F587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F587A" w14:paraId="4ACE6C16" w14:textId="77777777">
        <w:trPr>
          <w:tblCellSpacing w:w="15" w:type="dxa"/>
        </w:trPr>
        <w:tc>
          <w:tcPr>
            <w:tcW w:w="0" w:type="auto"/>
            <w:shd w:val="clear" w:color="auto" w:fill="auto"/>
            <w:vAlign w:val="center"/>
          </w:tcPr>
          <w:p w14:paraId="4ACE6C15" w14:textId="77777777" w:rsidR="006F587A" w:rsidRDefault="006F587A">
            <w:pPr>
              <w:rPr>
                <w:rFonts w:ascii="宋体"/>
              </w:rPr>
            </w:pPr>
          </w:p>
        </w:tc>
      </w:tr>
    </w:tbl>
    <w:p w14:paraId="4ACE6C17" w14:textId="77777777" w:rsidR="006F587A" w:rsidRDefault="007B2B61">
      <w:r>
        <w:rPr>
          <w:rFonts w:ascii="宋体" w:eastAsia="宋体" w:hAnsi="宋体" w:cs="宋体"/>
        </w:rPr>
        <w:t xml:space="preserve">Previous Next </w:t>
      </w:r>
    </w:p>
    <w:p w14:paraId="4ACE6C18" w14:textId="77777777" w:rsidR="006F587A" w:rsidRDefault="006F587A"/>
    <w:sectPr w:rsidR="006F587A">
      <w:pgSz w:w="11906" w:h="16839"/>
      <w:pgMar w:top="1440" w:right="1800" w:bottom="1440" w:left="1800" w:header="851" w:footer="992"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DDE160E"/>
    <w:rsid w:val="006F587A"/>
    <w:rsid w:val="007B2B61"/>
    <w:rsid w:val="5DDE1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50"/>
    <o:shapelayout v:ext="edit">
      <o:idmap v:ext="edit" data="1"/>
    </o:shapelayout>
  </w:shapeDefaults>
  <w:decimalSymbol w:val="."/>
  <w:listSeparator w:val=","/>
  <w14:docId w14:val="4ACE1E63"/>
  <w15:docId w15:val="{A5343E75-6FC7-4E16-ACE2-8C81A32B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0050863/000005086320000011/a12282019q4-10kdocument.htm" TargetMode="External"/><Relationship Id="rId21" Type="http://schemas.openxmlformats.org/officeDocument/2006/relationships/hyperlink" Target="https://www.sec.gov/ix?doc=/Archives/edgar/data/0000050863/000005086320000011/a12282019q4-10kdocument.htm" TargetMode="External"/><Relationship Id="rId63" Type="http://schemas.openxmlformats.org/officeDocument/2006/relationships/hyperlink" Target="https://www.sec.gov/ix?doc=/Archives/edgar/data/0000050863/000005086320000011/a12282019q4-10kdocument.htm" TargetMode="External"/><Relationship Id="rId159" Type="http://schemas.openxmlformats.org/officeDocument/2006/relationships/hyperlink" Target="https://www.sec.gov/ix?doc=/Archives/edgar/data/0000050863/000005086320000011/a12282019q4-10kdocument.htm" TargetMode="External"/><Relationship Id="rId170" Type="http://schemas.openxmlformats.org/officeDocument/2006/relationships/hyperlink" Target="https://www.sec.gov/ix?doc=/Archives/edgar/data/0000050863/000005086320000011/a12282019q4-10kdocument.htm" TargetMode="External"/><Relationship Id="rId226" Type="http://schemas.openxmlformats.org/officeDocument/2006/relationships/hyperlink" Target="http://www.sec.gov/Archives/edgar/data/50863/000005086311000007/exh101.htm" TargetMode="External"/><Relationship Id="rId268" Type="http://schemas.openxmlformats.org/officeDocument/2006/relationships/hyperlink" Target="https://www.sec.gov/ix?doc=/Archives/edgar/data/0000050863/000005086320000011/a12282019q4-10kdocument.htm" TargetMode="External"/><Relationship Id="rId32" Type="http://schemas.openxmlformats.org/officeDocument/2006/relationships/hyperlink" Target="https://www.sec.gov/ix?doc=/Archives/edgar/data/0000050863/000005086320000011/a12282019q4-10kdocument.htm" TargetMode="External"/><Relationship Id="rId74" Type="http://schemas.openxmlformats.org/officeDocument/2006/relationships/hyperlink" Target="https://www.sec.gov/ix?doc=/Archives/edgar/data/0000050863/000005086320000011/a12282019q4-10kdocument.htm" TargetMode="External"/><Relationship Id="rId128" Type="http://schemas.openxmlformats.org/officeDocument/2006/relationships/hyperlink" Target="https://www.sec.gov/ix?doc=/Archives/edgar/data/0000050863/000005086320000011/a12282019q4-10kdocument.htm" TargetMode="External"/><Relationship Id="rId5" Type="http://schemas.openxmlformats.org/officeDocument/2006/relationships/hyperlink" Target="https://www.sec.gov/ix?doc=/Archives/edgar/data/0000050863/000005086320000011/a12282019q4-10kdocument.htm" TargetMode="External"/><Relationship Id="rId181" Type="http://schemas.openxmlformats.org/officeDocument/2006/relationships/hyperlink" Target="http://www.sec.gov/Archives/edgar/data/50863/000119312519011545/d702759dex32.htm" TargetMode="External"/><Relationship Id="rId237" Type="http://schemas.openxmlformats.org/officeDocument/2006/relationships/hyperlink" Target="https://www.sec.gov/Archives/edgar/data/0000050863/000005086320000011/a12282019q4-ex321.htm" TargetMode="External"/><Relationship Id="rId279" Type="http://schemas.openxmlformats.org/officeDocument/2006/relationships/hyperlink" Target="https://www.sec.gov/ix?doc=/Archives/edgar/data/0000050863/000005086320000011/a12282019q4-10kdocument.htm" TargetMode="External"/><Relationship Id="rId43" Type="http://schemas.openxmlformats.org/officeDocument/2006/relationships/hyperlink" Target="https://www.sec.gov/ix?doc=/Archives/edgar/data/0000050863/000005086320000011/a12282019q4-10kdocument.htm" TargetMode="External"/><Relationship Id="rId139" Type="http://schemas.openxmlformats.org/officeDocument/2006/relationships/hyperlink" Target="https://www.sec.gov/ix?doc=/Archives/edgar/data/0000050863/000005086320000011/a12282019q4-10kdocument.htm" TargetMode="External"/><Relationship Id="rId290" Type="http://schemas.openxmlformats.org/officeDocument/2006/relationships/hyperlink" Target="https://www.sec.gov/ix?doc=/Archives/edgar/data/0000050863/000005086320000011/a12282019q4-10kdocument.htm" TargetMode="External"/><Relationship Id="rId85" Type="http://schemas.openxmlformats.org/officeDocument/2006/relationships/hyperlink" Target="https://www.sec.gov/ix?doc=/Archives/edgar/data/0000050863/000005086320000011/a12282019q4-10kdocument.htm" TargetMode="External"/><Relationship Id="rId150" Type="http://schemas.openxmlformats.org/officeDocument/2006/relationships/hyperlink" Target="https://www.sec.gov/ix?doc=/Archives/edgar/data/0000050863/000005086320000011/a12282019q4-10kdocument.htm" TargetMode="External"/><Relationship Id="rId192" Type="http://schemas.openxmlformats.org/officeDocument/2006/relationships/hyperlink" Target="http://www.sec.gov/Archives/edgar/data/50863/000119312517256795/d632211dex41.htm" TargetMode="External"/><Relationship Id="rId206" Type="http://schemas.openxmlformats.org/officeDocument/2006/relationships/hyperlink" Target="http://www.sec.gov/Archives/edgar/data/50863/000005086318000029/a09292018ex102.htm" TargetMode="External"/><Relationship Id="rId248" Type="http://schemas.openxmlformats.org/officeDocument/2006/relationships/hyperlink" Target="https://www.sec.gov/ix?doc=/Archives/edgar/data/0000050863/000005086320000011/a12282019q4-10kdocument.htm" TargetMode="External"/><Relationship Id="rId12" Type="http://schemas.openxmlformats.org/officeDocument/2006/relationships/hyperlink" Target="https://www.sec.gov/ix?doc=/Archives/edgar/data/0000050863/000005086320000011/a12282019q4-10kdocument.htm" TargetMode="External"/><Relationship Id="rId33" Type="http://schemas.openxmlformats.org/officeDocument/2006/relationships/hyperlink" Target="https://www.sec.gov/ix?doc=/Archives/edgar/data/0000050863/000005086320000011/a12282019q4-10kdocument.htm" TargetMode="External"/><Relationship Id="rId108" Type="http://schemas.openxmlformats.org/officeDocument/2006/relationships/hyperlink" Target="https://www.sec.gov/ix?doc=/Archives/edgar/data/0000050863/000005086320000011/a12282019q4-10kdocument.htm" TargetMode="External"/><Relationship Id="rId129" Type="http://schemas.openxmlformats.org/officeDocument/2006/relationships/hyperlink" Target="https://www.sec.gov/ix?doc=/Archives/edgar/data/0000050863/000005086320000011/a12282019q4-10kdocument.htm" TargetMode="External"/><Relationship Id="rId280" Type="http://schemas.openxmlformats.org/officeDocument/2006/relationships/hyperlink" Target="https://www.sec.gov/ix?doc=/Archives/edgar/data/0000050863/000005086320000011/a12282019q4-10kdocument.htm" TargetMode="External"/><Relationship Id="rId54" Type="http://schemas.openxmlformats.org/officeDocument/2006/relationships/hyperlink" Target="https://www.sec.gov/ix?doc=/Archives/edgar/data/0000050863/000005086320000011/a12282019q4-10kdocument.htm" TargetMode="External"/><Relationship Id="rId75" Type="http://schemas.openxmlformats.org/officeDocument/2006/relationships/hyperlink" Target="https://www.sec.gov/ix?doc=/Archives/edgar/data/0000050863/000005086320000011/a12282019q4-10kdocument.htm" TargetMode="External"/><Relationship Id="rId96" Type="http://schemas.openxmlformats.org/officeDocument/2006/relationships/hyperlink" Target="https://www.sec.gov/ix?doc=/Archives/edgar/data/0000050863/000005086320000011/a12282019q4-10kdocument.htm" TargetMode="External"/><Relationship Id="rId140" Type="http://schemas.openxmlformats.org/officeDocument/2006/relationships/hyperlink" Target="https://www.sec.gov/ix?doc=/Archives/edgar/data/0000050863/000005086320000011/a12282019q4-10kdocument.htm" TargetMode="External"/><Relationship Id="rId161" Type="http://schemas.openxmlformats.org/officeDocument/2006/relationships/hyperlink" Target="https://www.sec.gov/ix?doc=/Archives/edgar/data/0000050863/000005086320000011/a12282019q4-10kdocument.htm" TargetMode="External"/><Relationship Id="rId182" Type="http://schemas.openxmlformats.org/officeDocument/2006/relationships/hyperlink" Target="http://www.sec.gov/Archives/edgar/data/50863/000095013406006288/f19138exv4w4.htm" TargetMode="External"/><Relationship Id="rId217" Type="http://schemas.openxmlformats.org/officeDocument/2006/relationships/hyperlink" Target="http://www.sec.gov/Archives/edgar/data/50863/000005086319000013/a03302019ex1011.htm" TargetMode="External"/><Relationship Id="rId6" Type="http://schemas.openxmlformats.org/officeDocument/2006/relationships/hyperlink" Target="https://www.sec.gov/ix?doc=/Archives/edgar/data/0000050863/000005086320000011/a12282019q4-10kdocument.htm" TargetMode="External"/><Relationship Id="rId238" Type="http://schemas.openxmlformats.org/officeDocument/2006/relationships/hyperlink" Target="https://www.sec.gov/Archives/edgar/data/0000050863/000005086320000011/a12282019q4-ex991.htm" TargetMode="External"/><Relationship Id="rId259" Type="http://schemas.openxmlformats.org/officeDocument/2006/relationships/hyperlink" Target="https://www.sec.gov/ix?doc=/Archives/edgar/data/0000050863/000005086320000011/a12282019q4-10kdocument.htm" TargetMode="External"/><Relationship Id="rId23" Type="http://schemas.openxmlformats.org/officeDocument/2006/relationships/hyperlink" Target="https://www.sec.gov/ix?doc=/Archives/edgar/data/0000050863/000005086320000011/a12282019q4-10kdocument.htm" TargetMode="External"/><Relationship Id="rId119" Type="http://schemas.openxmlformats.org/officeDocument/2006/relationships/hyperlink" Target="https://www.sec.gov/ix?doc=/Archives/edgar/data/0000050863/000005086320000011/a12282019q4-10kdocument.htm" TargetMode="External"/><Relationship Id="rId270" Type="http://schemas.openxmlformats.org/officeDocument/2006/relationships/hyperlink" Target="https://www.sec.gov/ix?doc=/Archives/edgar/data/0000050863/000005086320000011/a12282019q4-10kdocument.htm" TargetMode="External"/><Relationship Id="rId291" Type="http://schemas.openxmlformats.org/officeDocument/2006/relationships/hyperlink" Target="https://www.sec.gov/ix?doc=/Archives/edgar/data/0000050863/000005086320000011/a12282019q4-10kdocument.htm" TargetMode="External"/><Relationship Id="rId44" Type="http://schemas.openxmlformats.org/officeDocument/2006/relationships/hyperlink" Target="https://www.sec.gov/ix?doc=/Archives/edgar/data/0000050863/000005086320000011/a12282019q4-10kdocument.htm" TargetMode="External"/><Relationship Id="rId65" Type="http://schemas.openxmlformats.org/officeDocument/2006/relationships/hyperlink" Target="https://www.sec.gov/ix?doc=/Archives/edgar/data/0000050863/000005086320000011/a12282019q4-10kdocument.htm" TargetMode="External"/><Relationship Id="rId86" Type="http://schemas.openxmlformats.org/officeDocument/2006/relationships/hyperlink" Target="https://www.sec.gov/ix?doc=/Archives/edgar/data/0000050863/000005086320000011/a12282019q4-10kdocument.htm" TargetMode="External"/><Relationship Id="rId130" Type="http://schemas.openxmlformats.org/officeDocument/2006/relationships/hyperlink" Target="https://www.sec.gov/ix?doc=/Archives/edgar/data/0000050863/000005086320000011/a12282019q4-10kdocument.htm" TargetMode="External"/><Relationship Id="rId151" Type="http://schemas.openxmlformats.org/officeDocument/2006/relationships/hyperlink" Target="https://www.sec.gov/ix?doc=/Archives/edgar/data/0000050863/000005086320000011/a12282019q4-10kdocument.htm" TargetMode="External"/><Relationship Id="rId172" Type="http://schemas.openxmlformats.org/officeDocument/2006/relationships/hyperlink" Target="https://www.sec.gov/ix?doc=/Archives/edgar/data/0000050863/000005086320000011/a12282019q4-10kdocument.htm" TargetMode="External"/><Relationship Id="rId193" Type="http://schemas.openxmlformats.org/officeDocument/2006/relationships/hyperlink" Target="http://www.sec.gov/Archives/edgar/data/50863/000005086318000007/a12302017q4-ex4213.htm" TargetMode="External"/><Relationship Id="rId207" Type="http://schemas.openxmlformats.org/officeDocument/2006/relationships/hyperlink" Target="http://www.sec.gov/Archives/edgar/data/50863/000005086319000013/a03302019ex108.htm" TargetMode="External"/><Relationship Id="rId228" Type="http://schemas.openxmlformats.org/officeDocument/2006/relationships/hyperlink" Target="http://www.sec.gov/Archives/edgar/data/50863/000119312519023301/d702987dex101.htm" TargetMode="External"/><Relationship Id="rId249" Type="http://schemas.openxmlformats.org/officeDocument/2006/relationships/hyperlink" Target="https://www.sec.gov/ix?doc=/Archives/edgar/data/0000050863/000005086320000011/a12282019q4-10kdocument.htm" TargetMode="External"/><Relationship Id="rId13" Type="http://schemas.openxmlformats.org/officeDocument/2006/relationships/hyperlink" Target="https://www.sec.gov/ix?doc=/Archives/edgar/data/0000050863/000005086320000011/a12282019q4-10kdocument.htm" TargetMode="External"/><Relationship Id="rId109" Type="http://schemas.openxmlformats.org/officeDocument/2006/relationships/hyperlink" Target="https://www.sec.gov/ix?doc=/Archives/edgar/data/0000050863/000005086320000011/a12282019q4-10kdocument.htm" TargetMode="External"/><Relationship Id="rId260" Type="http://schemas.openxmlformats.org/officeDocument/2006/relationships/hyperlink" Target="https://www.sec.gov/ix?doc=/Archives/edgar/data/0000050863/000005086320000011/a12282019q4-10kdocument.htm" TargetMode="External"/><Relationship Id="rId281" Type="http://schemas.openxmlformats.org/officeDocument/2006/relationships/hyperlink" Target="https://www.sec.gov/ix?doc=/Archives/edgar/data/0000050863/000005086320000011/a12282019q4-10kdocument.htm" TargetMode="External"/><Relationship Id="rId34" Type="http://schemas.openxmlformats.org/officeDocument/2006/relationships/hyperlink" Target="https://www.sec.gov/ix?doc=/Archives/edgar/data/0000050863/000005086320000011/a12282019q4-10kdocument.htm" TargetMode="External"/><Relationship Id="rId55" Type="http://schemas.openxmlformats.org/officeDocument/2006/relationships/hyperlink" Target="https://www.sec.gov/ix?doc=/Archives/edgar/data/0000050863/000005086320000011/a12282019q4-10kdocument.htm" TargetMode="External"/><Relationship Id="rId76" Type="http://schemas.openxmlformats.org/officeDocument/2006/relationships/hyperlink" Target="https://www.sec.gov/ix?doc=/Archives/edgar/data/0000050863/000005086320000011/a12282019q4-10kdocument.htm" TargetMode="External"/><Relationship Id="rId97" Type="http://schemas.openxmlformats.org/officeDocument/2006/relationships/hyperlink" Target="https://www.sec.gov/ix?doc=/Archives/edgar/data/0000050863/000005086320000011/a12282019q4-10kdocument.htm" TargetMode="External"/><Relationship Id="rId120" Type="http://schemas.openxmlformats.org/officeDocument/2006/relationships/hyperlink" Target="https://www.sec.gov/ix?doc=/Archives/edgar/data/0000050863/000005086320000011/a12282019q4-10kdocument.htm" TargetMode="External"/><Relationship Id="rId141" Type="http://schemas.openxmlformats.org/officeDocument/2006/relationships/hyperlink" Target="https://www.sec.gov/ix?doc=/Archives/edgar/data/0000050863/000005086320000011/a12282019q4-10kdocument.htm" TargetMode="External"/><Relationship Id="rId7" Type="http://schemas.openxmlformats.org/officeDocument/2006/relationships/hyperlink" Target="https://www.sec.gov/ix?doc=/Archives/edgar/data/0000050863/000005086320000011/a12282019q4-10kdocument.htm" TargetMode="External"/><Relationship Id="rId162" Type="http://schemas.openxmlformats.org/officeDocument/2006/relationships/hyperlink" Target="https://www.sec.gov/ix?doc=/Archives/edgar/data/0000050863/000005086320000011/a12282019q4-10kdocument.htm" TargetMode="External"/><Relationship Id="rId183" Type="http://schemas.openxmlformats.org/officeDocument/2006/relationships/hyperlink" Target="http://www.sec.gov/Archives/edgar/data/50863/000089161808000106/f36442exv4w2w4.htm" TargetMode="External"/><Relationship Id="rId218" Type="http://schemas.openxmlformats.org/officeDocument/2006/relationships/hyperlink" Target="http://www.sec.gov/Archives/edgar/data/50863/000005086317000029/intcex10210q04012017.htm" TargetMode="External"/><Relationship Id="rId239" Type="http://schemas.openxmlformats.org/officeDocument/2006/relationships/hyperlink" Target="https://www.sec.gov/ix?doc=/Archives/edgar/data/0000050863/000005086320000011/a12282019q4-10kdocument.htm" TargetMode="External"/><Relationship Id="rId250" Type="http://schemas.openxmlformats.org/officeDocument/2006/relationships/hyperlink" Target="https://www.sec.gov/ix?doc=/Archives/edgar/data/0000050863/000005086320000011/a12282019q4-10kdocument.htm" TargetMode="External"/><Relationship Id="rId271" Type="http://schemas.openxmlformats.org/officeDocument/2006/relationships/hyperlink" Target="https://www.sec.gov/ix?doc=/Archives/edgar/data/0000050863/000005086320000011/a12282019q4-10kdocument.htm" TargetMode="External"/><Relationship Id="rId292" Type="http://schemas.openxmlformats.org/officeDocument/2006/relationships/hyperlink" Target="https://www.sec.gov/ix?doc=/Archives/edgar/data/0000050863/000005086320000011/a12282019q4-10kdocument.htm" TargetMode="External"/><Relationship Id="rId24" Type="http://schemas.openxmlformats.org/officeDocument/2006/relationships/hyperlink" Target="https://www.sec.gov/ix?doc=/Archives/edgar/data/0000050863/000005086320000011/a12282019q4-10kdocument.htm" TargetMode="External"/><Relationship Id="rId45" Type="http://schemas.openxmlformats.org/officeDocument/2006/relationships/hyperlink" Target="https://www.sec.gov/ix?doc=/Archives/edgar/data/0000050863/000005086320000011/a12282019q4-10kdocument.htm" TargetMode="External"/><Relationship Id="rId66" Type="http://schemas.openxmlformats.org/officeDocument/2006/relationships/hyperlink" Target="https://www.sec.gov/ix?doc=/Archives/edgar/data/0000050863/000005086320000011/a12282019q4-10kdocument.htm" TargetMode="External"/><Relationship Id="rId87" Type="http://schemas.openxmlformats.org/officeDocument/2006/relationships/hyperlink" Target="https://www.sec.gov/ix?doc=/Archives/edgar/data/0000050863/000005086320000011/a12282019q4-10kdocument.htm" TargetMode="External"/><Relationship Id="rId110" Type="http://schemas.openxmlformats.org/officeDocument/2006/relationships/hyperlink" Target="https://www.sec.gov/ix?doc=/Archives/edgar/data/0000050863/000005086320000011/a12282019q4-10kdocument.htm" TargetMode="External"/><Relationship Id="rId131" Type="http://schemas.openxmlformats.org/officeDocument/2006/relationships/hyperlink" Target="https://www.sec.gov/ix?doc=/Archives/edgar/data/0000050863/000005086320000011/a12282019q4-10kdocument.htm" TargetMode="External"/><Relationship Id="rId152" Type="http://schemas.openxmlformats.org/officeDocument/2006/relationships/hyperlink" Target="https://www.sec.gov/ix?doc=/Archives/edgar/data/0000050863/000005086320000011/a12282019q4-10kdocument.htm" TargetMode="External"/><Relationship Id="rId173" Type="http://schemas.openxmlformats.org/officeDocument/2006/relationships/hyperlink" Target="https://www.sec.gov/ix?doc=/Archives/edgar/data/0000050863/000005086320000011/a12282019q4-10kdocument.htm" TargetMode="External"/><Relationship Id="rId194" Type="http://schemas.openxmlformats.org/officeDocument/2006/relationships/hyperlink" Target="http://www.sec.gov/Archives/edgar/data/50863/000119312519297652/d797009dex41.htm" TargetMode="External"/><Relationship Id="rId208" Type="http://schemas.openxmlformats.org/officeDocument/2006/relationships/hyperlink" Target="http://www.sec.gov/Archives/edgar/data/50863/000005086317000029/intcex10110q04012017.htm" TargetMode="External"/><Relationship Id="rId229" Type="http://schemas.openxmlformats.org/officeDocument/2006/relationships/hyperlink" Target="http://www.sec.gov/Archives/edgar/data/50863/000119312519096036/d642676dex101.htm" TargetMode="External"/><Relationship Id="rId240" Type="http://schemas.openxmlformats.org/officeDocument/2006/relationships/hyperlink" Target="https://www.sec.gov/ix?doc=/Archives/edgar/data/0000050863/000005086320000011/a12282019q4-10kdocument.htm" TargetMode="External"/><Relationship Id="rId261" Type="http://schemas.openxmlformats.org/officeDocument/2006/relationships/hyperlink" Target="https://www.sec.gov/ix?doc=/Archives/edgar/data/0000050863/000005086320000011/a12282019q4-10kdocument.htm" TargetMode="External"/><Relationship Id="rId14" Type="http://schemas.openxmlformats.org/officeDocument/2006/relationships/hyperlink" Target="https://www.sec.gov/ix?doc=/Archives/edgar/data/0000050863/000005086320000011/a12282019q4-10kdocument.htm" TargetMode="External"/><Relationship Id="rId35" Type="http://schemas.openxmlformats.org/officeDocument/2006/relationships/hyperlink" Target="https://www.sec.gov/ix?doc=/Archives/edgar/data/0000050863/000005086320000011/a12282019q4-10kdocument.htm" TargetMode="External"/><Relationship Id="rId56" Type="http://schemas.openxmlformats.org/officeDocument/2006/relationships/hyperlink" Target="https://www.sec.gov/ix?doc=/Archives/edgar/data/0000050863/000005086320000011/a12282019q4-10kdocument.htm" TargetMode="External"/><Relationship Id="rId77" Type="http://schemas.openxmlformats.org/officeDocument/2006/relationships/hyperlink" Target="https://www.sec.gov/ix?doc=/Archives/edgar/data/0000050863/000005086320000011/a12282019q4-10kdocument.htm" TargetMode="External"/><Relationship Id="rId100" Type="http://schemas.openxmlformats.org/officeDocument/2006/relationships/hyperlink" Target="https://www.sec.gov/ix?doc=/Archives/edgar/data/0000050863/000005086320000011/a12282019q4-10kdocument.htm" TargetMode="External"/><Relationship Id="rId282" Type="http://schemas.openxmlformats.org/officeDocument/2006/relationships/hyperlink" Target="https://www.sec.gov/ix?doc=/Archives/edgar/data/0000050863/000005086320000011/a12282019q4-10kdocument.htm" TargetMode="External"/><Relationship Id="rId8" Type="http://schemas.openxmlformats.org/officeDocument/2006/relationships/hyperlink" Target="https://www.sec.gov/ix?doc=/Archives/edgar/data/0000050863/000005086320000011/a12282019q4-10kdocument.htm" TargetMode="External"/><Relationship Id="rId98" Type="http://schemas.openxmlformats.org/officeDocument/2006/relationships/hyperlink" Target="https://www.sec.gov/ix?doc=/Archives/edgar/data/0000050863/000005086320000011/a12282019q4-10kdocument.htm" TargetMode="External"/><Relationship Id="rId121" Type="http://schemas.openxmlformats.org/officeDocument/2006/relationships/hyperlink" Target="https://www.sec.gov/ix?doc=/Archives/edgar/data/0000050863/000005086320000011/a12282019q4-10kdocument.htm" TargetMode="External"/><Relationship Id="rId142" Type="http://schemas.openxmlformats.org/officeDocument/2006/relationships/hyperlink" Target="https://www.sec.gov/ix?doc=/Archives/edgar/data/0000050863/000005086320000011/a12282019q4-10kdocument.htm" TargetMode="External"/><Relationship Id="rId163" Type="http://schemas.openxmlformats.org/officeDocument/2006/relationships/hyperlink" Target="https://www.sec.gov/ix?doc=/Archives/edgar/data/0000050863/000005086320000011/a12282019q4-10kdocument.htm" TargetMode="External"/><Relationship Id="rId184" Type="http://schemas.openxmlformats.org/officeDocument/2006/relationships/hyperlink" Target="http://www.sec.gov/Archives/edgar/data/50863/000095012309056321/f53311exv4w1.htm" TargetMode="External"/><Relationship Id="rId219" Type="http://schemas.openxmlformats.org/officeDocument/2006/relationships/hyperlink" Target="http://www.sec.gov/Archives/edgar/data/50863/000005086319000007/a12292018q4-ex102.htm" TargetMode="External"/><Relationship Id="rId230" Type="http://schemas.openxmlformats.org/officeDocument/2006/relationships/hyperlink" Target="http://www.sec.gov/Archives/edgar/data/50863/000005086318000007/a12302017q4-ex1013.htm" TargetMode="External"/><Relationship Id="rId251" Type="http://schemas.openxmlformats.org/officeDocument/2006/relationships/hyperlink" Target="https://www.sec.gov/ix?doc=/Archives/edgar/data/0000050863/000005086320000011/a12282019q4-10kdocument.htm" TargetMode="External"/><Relationship Id="rId25" Type="http://schemas.openxmlformats.org/officeDocument/2006/relationships/hyperlink" Target="https://www.sec.gov/ix?doc=/Archives/edgar/data/0000050863/000005086320000011/a12282019q4-10kdocument.htm" TargetMode="External"/><Relationship Id="rId46" Type="http://schemas.openxmlformats.org/officeDocument/2006/relationships/hyperlink" Target="https://www.sec.gov/ix?doc=/Archives/edgar/data/0000050863/000005086320000011/a12282019q4-10kdocument.htm" TargetMode="External"/><Relationship Id="rId67" Type="http://schemas.openxmlformats.org/officeDocument/2006/relationships/hyperlink" Target="https://www.sec.gov/ix?doc=/Archives/edgar/data/0000050863/000005086320000011/a12282019q4-10kdocument.htm" TargetMode="External"/><Relationship Id="rId272" Type="http://schemas.openxmlformats.org/officeDocument/2006/relationships/hyperlink" Target="https://www.sec.gov/ix?doc=/Archives/edgar/data/0000050863/000005086320000011/a12282019q4-10kdocument.htm" TargetMode="External"/><Relationship Id="rId293" Type="http://schemas.openxmlformats.org/officeDocument/2006/relationships/fontTable" Target="fontTable.xml"/><Relationship Id="rId88" Type="http://schemas.openxmlformats.org/officeDocument/2006/relationships/hyperlink" Target="https://www.sec.gov/ix?doc=/Archives/edgar/data/0000050863/000005086320000011/a12282019q4-10kdocument.htm" TargetMode="External"/><Relationship Id="rId111" Type="http://schemas.openxmlformats.org/officeDocument/2006/relationships/hyperlink" Target="https://www.sec.gov/ix?doc=/Archives/edgar/data/0000050863/000005086320000011/a12282019q4-10kdocument.htm" TargetMode="External"/><Relationship Id="rId132" Type="http://schemas.openxmlformats.org/officeDocument/2006/relationships/hyperlink" Target="https://www.sec.gov/ix?doc=/Archives/edgar/data/0000050863/000005086320000011/a12282019q4-10kdocument.htm" TargetMode="External"/><Relationship Id="rId153" Type="http://schemas.openxmlformats.org/officeDocument/2006/relationships/hyperlink" Target="https://www.sec.gov/ix?doc=/Archives/edgar/data/0000050863/000005086320000011/a12282019q4-10kdocument.htm" TargetMode="External"/><Relationship Id="rId174" Type="http://schemas.openxmlformats.org/officeDocument/2006/relationships/hyperlink" Target="https://www.sec.gov/ix?doc=/Archives/edgar/data/0000050863/000005086320000011/a12282019q4-10kdocument.htm" TargetMode="External"/><Relationship Id="rId195" Type="http://schemas.openxmlformats.org/officeDocument/2006/relationships/hyperlink" Target="https://www.sec.gov/ix?doc=/Archives/edgar/data/0000050863/000005086320000011/a12282019q4-10kdocument.htm" TargetMode="External"/><Relationship Id="rId209" Type="http://schemas.openxmlformats.org/officeDocument/2006/relationships/hyperlink" Target="http://www.sec.gov/Archives/edgar/data/50863/000005086318000029/a09292018ex103.htm" TargetMode="External"/><Relationship Id="rId220" Type="http://schemas.openxmlformats.org/officeDocument/2006/relationships/hyperlink" Target="http://www.sec.gov/Archives/edgar/data/50863/000005086314000020/a10kex109212282013.htm" TargetMode="External"/><Relationship Id="rId241" Type="http://schemas.openxmlformats.org/officeDocument/2006/relationships/hyperlink" Target="https://www.sec.gov/ix?doc=/Archives/edgar/data/0000050863/000005086320000011/a12282019q4-10kdocument.htm" TargetMode="External"/><Relationship Id="rId15" Type="http://schemas.openxmlformats.org/officeDocument/2006/relationships/hyperlink" Target="https://www.sec.gov/ix?doc=/Archives/edgar/data/0000050863/000005086320000011/a12282019q4-10kdocument.htm" TargetMode="External"/><Relationship Id="rId36" Type="http://schemas.openxmlformats.org/officeDocument/2006/relationships/hyperlink" Target="https://www.sec.gov/ix?doc=/Archives/edgar/data/0000050863/000005086320000011/a12282019q4-10kdocument.htm" TargetMode="External"/><Relationship Id="rId57" Type="http://schemas.openxmlformats.org/officeDocument/2006/relationships/hyperlink" Target="https://www.sec.gov/ix?doc=/Archives/edgar/data/0000050863/000005086320000011/a12282019q4-10kdocument.htm" TargetMode="External"/><Relationship Id="rId262" Type="http://schemas.openxmlformats.org/officeDocument/2006/relationships/hyperlink" Target="https://www.sec.gov/ix?doc=/Archives/edgar/data/0000050863/000005086320000011/a12282019q4-10kdocument.htm" TargetMode="External"/><Relationship Id="rId283" Type="http://schemas.openxmlformats.org/officeDocument/2006/relationships/hyperlink" Target="https://www.sec.gov/ix?doc=/Archives/edgar/data/0000050863/000005086320000011/a12282019q4-10kdocument.htm" TargetMode="External"/><Relationship Id="rId78" Type="http://schemas.openxmlformats.org/officeDocument/2006/relationships/hyperlink" Target="https://www.sec.gov/ix?doc=/Archives/edgar/data/0000050863/000005086320000011/a12282019q4-10kdocument.htm" TargetMode="External"/><Relationship Id="rId99" Type="http://schemas.openxmlformats.org/officeDocument/2006/relationships/hyperlink" Target="https://www.sec.gov/ix?doc=/Archives/edgar/data/0000050863/000005086320000011/a12282019q4-10kdocument.htm" TargetMode="External"/><Relationship Id="rId101" Type="http://schemas.openxmlformats.org/officeDocument/2006/relationships/hyperlink" Target="https://www.sec.gov/ix?doc=/Archives/edgar/data/0000050863/000005086320000011/a12282019q4-10kdocument.htm" TargetMode="External"/><Relationship Id="rId122" Type="http://schemas.openxmlformats.org/officeDocument/2006/relationships/hyperlink" Target="https://www.sec.gov/ix?doc=/Archives/edgar/data/0000050863/000005086320000011/a12282019q4-10kdocument.htm" TargetMode="External"/><Relationship Id="rId143" Type="http://schemas.openxmlformats.org/officeDocument/2006/relationships/hyperlink" Target="https://www.sec.gov/ix?doc=/Archives/edgar/data/0000050863/000005086320000011/a12282019q4-10kdocument.htm" TargetMode="External"/><Relationship Id="rId164" Type="http://schemas.openxmlformats.org/officeDocument/2006/relationships/hyperlink" Target="https://www.sec.gov/ix?doc=/Archives/edgar/data/0000050863/000005086320000011/a12282019q4-10kdocument.htm" TargetMode="External"/><Relationship Id="rId185" Type="http://schemas.openxmlformats.org/officeDocument/2006/relationships/hyperlink" Target="http://www.sec.gov/Archives/edgar/data/50863/000110465911052231/a11-26646_1ex4d01.htm" TargetMode="External"/><Relationship Id="rId9" Type="http://schemas.openxmlformats.org/officeDocument/2006/relationships/hyperlink" Target="https://www.sec.gov/ix?doc=/Archives/edgar/data/0000050863/000005086320000011/a12282019q4-10kdocument.htm" TargetMode="External"/><Relationship Id="rId210" Type="http://schemas.openxmlformats.org/officeDocument/2006/relationships/hyperlink" Target="http://www.sec.gov/Archives/edgar/data/50863/000005086319000013/a03302019ex105.htm" TargetMode="External"/><Relationship Id="rId26" Type="http://schemas.openxmlformats.org/officeDocument/2006/relationships/hyperlink" Target="https://www.sec.gov/ix?doc=/Archives/edgar/data/0000050863/000005086320000011/a12282019q4-10kdocument.htm" TargetMode="External"/><Relationship Id="rId231" Type="http://schemas.openxmlformats.org/officeDocument/2006/relationships/hyperlink" Target="http://www.sec.gov/Archives/edgar/data/50863/000005086319000013/a03302019ex1012.htm" TargetMode="External"/><Relationship Id="rId252" Type="http://schemas.openxmlformats.org/officeDocument/2006/relationships/hyperlink" Target="https://www.sec.gov/ix?doc=/Archives/edgar/data/0000050863/000005086320000011/a12282019q4-10kdocument.htm" TargetMode="External"/><Relationship Id="rId273" Type="http://schemas.openxmlformats.org/officeDocument/2006/relationships/hyperlink" Target="https://www.sec.gov/ix?doc=/Archives/edgar/data/0000050863/000005086320000011/a12282019q4-10kdocument.htm" TargetMode="External"/><Relationship Id="rId294" Type="http://schemas.openxmlformats.org/officeDocument/2006/relationships/theme" Target="theme/theme1.xml"/><Relationship Id="rId47" Type="http://schemas.openxmlformats.org/officeDocument/2006/relationships/hyperlink" Target="https://www.sec.gov/ix?doc=/Archives/edgar/data/0000050863/000005086320000011/a12282019q4-10kdocument.htm" TargetMode="External"/><Relationship Id="rId68" Type="http://schemas.openxmlformats.org/officeDocument/2006/relationships/hyperlink" Target="https://www.sec.gov/ix?doc=/Archives/edgar/data/0000050863/000005086320000011/a12282019q4-10kdocument.htm" TargetMode="External"/><Relationship Id="rId89" Type="http://schemas.openxmlformats.org/officeDocument/2006/relationships/hyperlink" Target="https://www.sec.gov/ix?doc=/Archives/edgar/data/0000050863/000005086320000011/a12282019q4-10kdocument.htm" TargetMode="External"/><Relationship Id="rId112" Type="http://schemas.openxmlformats.org/officeDocument/2006/relationships/hyperlink" Target="https://www.sec.gov/ix?doc=/Archives/edgar/data/0000050863/000005086320000011/a12282019q4-10kdocument.htm" TargetMode="External"/><Relationship Id="rId133" Type="http://schemas.openxmlformats.org/officeDocument/2006/relationships/hyperlink" Target="https://www.sec.gov/ix?doc=/Archives/edgar/data/0000050863/000005086320000011/a12282019q4-10kdocument.htm" TargetMode="External"/><Relationship Id="rId154" Type="http://schemas.openxmlformats.org/officeDocument/2006/relationships/hyperlink" Target="https://www.sec.gov/ix?doc=/Archives/edgar/data/0000050863/000005086320000011/a12282019q4-10kdocument.htm" TargetMode="External"/><Relationship Id="rId175" Type="http://schemas.openxmlformats.org/officeDocument/2006/relationships/hyperlink" Target="https://www.sec.gov/ix?doc=/Archives/edgar/data/0000050863/000005086320000011/a12282019q4-10kdocument.htm" TargetMode="External"/><Relationship Id="rId196" Type="http://schemas.openxmlformats.org/officeDocument/2006/relationships/hyperlink" Target="http://www.sec.gov/Archives/edgar/data/50863/000005086319000029/a09282019ex41.htm" TargetMode="External"/><Relationship Id="rId200" Type="http://schemas.openxmlformats.org/officeDocument/2006/relationships/hyperlink" Target="http://www.sec.gov/Archives/edgar/data/50863/000095012309028975/f53036exv10w3.htm" TargetMode="External"/><Relationship Id="rId16" Type="http://schemas.openxmlformats.org/officeDocument/2006/relationships/hyperlink" Target="https://www.sec.gov/ix?doc=/Archives/edgar/data/0000050863/000005086320000011/a12282019q4-10kdocument.htm" TargetMode="External"/><Relationship Id="rId221" Type="http://schemas.openxmlformats.org/officeDocument/2006/relationships/hyperlink" Target="http://www.sec.gov/Archives/edgar/data/50863/000119312505033162/dex1015.htm" TargetMode="External"/><Relationship Id="rId242" Type="http://schemas.openxmlformats.org/officeDocument/2006/relationships/hyperlink" Target="https://www.sec.gov/ix?doc=/Archives/edgar/data/0000050863/000005086320000011/a12282019q4-10kdocument.htm" TargetMode="External"/><Relationship Id="rId263" Type="http://schemas.openxmlformats.org/officeDocument/2006/relationships/hyperlink" Target="https://www.sec.gov/ix?doc=/Archives/edgar/data/0000050863/000005086320000011/a12282019q4-10kdocument.htm" TargetMode="External"/><Relationship Id="rId284" Type="http://schemas.openxmlformats.org/officeDocument/2006/relationships/hyperlink" Target="https://www.sec.gov/ix?doc=/Archives/edgar/data/0000050863/000005086320000011/a12282019q4-10kdocument.htm" TargetMode="External"/><Relationship Id="rId37" Type="http://schemas.openxmlformats.org/officeDocument/2006/relationships/hyperlink" Target="https://www.sec.gov/ix?doc=/Archives/edgar/data/0000050863/000005086320000011/a12282019q4-10kdocument.htm" TargetMode="External"/><Relationship Id="rId58" Type="http://schemas.openxmlformats.org/officeDocument/2006/relationships/hyperlink" Target="https://www.sec.gov/ix?doc=/Archives/edgar/data/0000050863/000005086320000011/a12282019q4-10kdocument.htm" TargetMode="External"/><Relationship Id="rId79" Type="http://schemas.openxmlformats.org/officeDocument/2006/relationships/hyperlink" Target="https://www.sec.gov/ix?doc=/Archives/edgar/data/0000050863/000005086320000011/a12282019q4-10kdocument.htm" TargetMode="External"/><Relationship Id="rId102" Type="http://schemas.openxmlformats.org/officeDocument/2006/relationships/hyperlink" Target="https://www.sec.gov/ix?doc=/Archives/edgar/data/0000050863/000005086320000011/a12282019q4-10kdocument.htm" TargetMode="External"/><Relationship Id="rId123" Type="http://schemas.openxmlformats.org/officeDocument/2006/relationships/hyperlink" Target="https://www.sec.gov/ix?doc=/Archives/edgar/data/0000050863/000005086320000011/a12282019q4-10kdocument.htm" TargetMode="External"/><Relationship Id="rId144" Type="http://schemas.openxmlformats.org/officeDocument/2006/relationships/hyperlink" Target="https://www.sec.gov/ix?doc=/Archives/edgar/data/0000050863/000005086320000011/a12282019q4-10kdocument.htm" TargetMode="External"/><Relationship Id="rId90" Type="http://schemas.openxmlformats.org/officeDocument/2006/relationships/hyperlink" Target="https://www.sec.gov/ix?doc=/Archives/edgar/data/0000050863/000005086320000011/a12282019q4-10kdocument.htm" TargetMode="External"/><Relationship Id="rId165" Type="http://schemas.openxmlformats.org/officeDocument/2006/relationships/hyperlink" Target="https://www.sec.gov/ix?doc=/Archives/edgar/data/0000050863/000005086320000011/a12282019q4-10kdocument.htm" TargetMode="External"/><Relationship Id="rId186" Type="http://schemas.openxmlformats.org/officeDocument/2006/relationships/hyperlink" Target="http://www.sec.gov/Archives/edgar/data/50863/000110465912083301/a12-27786_11ex4d01.htm" TargetMode="External"/><Relationship Id="rId211" Type="http://schemas.openxmlformats.org/officeDocument/2006/relationships/hyperlink" Target="http://www.sec.gov/Archives/edgar/data/50863/000005086319000013/a03302019ex106.htm" TargetMode="External"/><Relationship Id="rId232" Type="http://schemas.openxmlformats.org/officeDocument/2006/relationships/hyperlink" Target="https://www.sec.gov/Archives/edgar/data/0000050863/000005086320000011/a12282019q4-ex211.htm" TargetMode="External"/><Relationship Id="rId253" Type="http://schemas.openxmlformats.org/officeDocument/2006/relationships/hyperlink" Target="https://www.sec.gov/ix?doc=/Archives/edgar/data/0000050863/000005086320000011/a12282019q4-10kdocument.htm" TargetMode="External"/><Relationship Id="rId274" Type="http://schemas.openxmlformats.org/officeDocument/2006/relationships/hyperlink" Target="https://www.sec.gov/ix?doc=/Archives/edgar/data/0000050863/000005086320000011/a12282019q4-10kdocument.htm" TargetMode="External"/><Relationship Id="rId27" Type="http://schemas.openxmlformats.org/officeDocument/2006/relationships/hyperlink" Target="https://www.sec.gov/ix?doc=/Archives/edgar/data/0000050863/000005086320000011/a12282019q4-10kdocument.htm" TargetMode="External"/><Relationship Id="rId48" Type="http://schemas.openxmlformats.org/officeDocument/2006/relationships/hyperlink" Target="https://www.sec.gov/ix?doc=/Archives/edgar/data/0000050863/000005086320000011/a12282019q4-10kdocument.htm" TargetMode="External"/><Relationship Id="rId69" Type="http://schemas.openxmlformats.org/officeDocument/2006/relationships/hyperlink" Target="https://www.sec.gov/ix?doc=/Archives/edgar/data/0000050863/000005086320000011/a12282019q4-10kdocument.htm" TargetMode="External"/><Relationship Id="rId113" Type="http://schemas.openxmlformats.org/officeDocument/2006/relationships/hyperlink" Target="https://www.sec.gov/ix?doc=/Archives/edgar/data/0000050863/000005086320000011/a12282019q4-10kdocument.htm" TargetMode="External"/><Relationship Id="rId134" Type="http://schemas.openxmlformats.org/officeDocument/2006/relationships/hyperlink" Target="https://www.sec.gov/ix?doc=/Archives/edgar/data/0000050863/000005086320000011/a12282019q4-10kdocument.htm" TargetMode="External"/><Relationship Id="rId80" Type="http://schemas.openxmlformats.org/officeDocument/2006/relationships/hyperlink" Target="https://www.sec.gov/ix?doc=/Archives/edgar/data/0000050863/000005086320000011/a12282019q4-10kdocument.htm" TargetMode="External"/><Relationship Id="rId155" Type="http://schemas.openxmlformats.org/officeDocument/2006/relationships/hyperlink" Target="https://www.sec.gov/ix?doc=/Archives/edgar/data/0000050863/000005086320000011/a12282019q4-10kdocument.htm" TargetMode="External"/><Relationship Id="rId176" Type="http://schemas.openxmlformats.org/officeDocument/2006/relationships/hyperlink" Target="https://www.sec.gov/ix?doc=/Archives/edgar/data/0000050863/000005086320000011/a12282019q4-10kdocument.htm" TargetMode="External"/><Relationship Id="rId197" Type="http://schemas.openxmlformats.org/officeDocument/2006/relationships/hyperlink" Target="http://www.sec.gov/Archives/edgar/data/50863/000119312515414642/d105836dex992.htm" TargetMode="External"/><Relationship Id="rId201" Type="http://schemas.openxmlformats.org/officeDocument/2006/relationships/hyperlink" Target="http://www.sec.gov/Archives/edgar/data/50863/000005086318000029/a09292018ex101.htm" TargetMode="External"/><Relationship Id="rId222" Type="http://schemas.openxmlformats.org/officeDocument/2006/relationships/hyperlink" Target="http://www.sec.gov/Archives/edgar/data/50863/000005086316000153/intcex10210q10012016.htm" TargetMode="External"/><Relationship Id="rId243" Type="http://schemas.openxmlformats.org/officeDocument/2006/relationships/hyperlink" Target="https://www.sec.gov/ix?doc=/Archives/edgar/data/0000050863/000005086320000011/a12282019q4-10kdocument.htm" TargetMode="External"/><Relationship Id="rId264" Type="http://schemas.openxmlformats.org/officeDocument/2006/relationships/hyperlink" Target="https://www.sec.gov/ix?doc=/Archives/edgar/data/0000050863/000005086320000011/a12282019q4-10kdocument.htm" TargetMode="External"/><Relationship Id="rId285" Type="http://schemas.openxmlformats.org/officeDocument/2006/relationships/hyperlink" Target="https://www.sec.gov/ix?doc=/Archives/edgar/data/0000050863/000005086320000011/a12282019q4-10kdocument.htm" TargetMode="External"/><Relationship Id="rId17" Type="http://schemas.openxmlformats.org/officeDocument/2006/relationships/hyperlink" Target="https://www.sec.gov/ix?doc=/Archives/edgar/data/0000050863/000005086320000011/a12282019q4-10kdocument.htm" TargetMode="External"/><Relationship Id="rId38" Type="http://schemas.openxmlformats.org/officeDocument/2006/relationships/hyperlink" Target="https://www.sec.gov/ix?doc=/Archives/edgar/data/0000050863/000005086320000011/a12282019q4-10kdocument.htm" TargetMode="External"/><Relationship Id="rId59" Type="http://schemas.openxmlformats.org/officeDocument/2006/relationships/hyperlink" Target="https://www.sec.gov/ix?doc=/Archives/edgar/data/0000050863/000005086320000011/a12282019q4-10kdocument.htm" TargetMode="External"/><Relationship Id="rId103" Type="http://schemas.openxmlformats.org/officeDocument/2006/relationships/hyperlink" Target="https://www.sec.gov/ix?doc=/Archives/edgar/data/0000050863/000005086320000011/a12282019q4-10kdocument.htm" TargetMode="External"/><Relationship Id="rId124" Type="http://schemas.openxmlformats.org/officeDocument/2006/relationships/hyperlink" Target="https://www.sec.gov/ix?doc=/Archives/edgar/data/0000050863/000005086320000011/a12282019q4-10kdocument.htm" TargetMode="External"/><Relationship Id="rId70" Type="http://schemas.openxmlformats.org/officeDocument/2006/relationships/hyperlink" Target="https://www.sec.gov/ix?doc=/Archives/edgar/data/0000050863/000005086320000011/a12282019q4-10kdocument.htm" TargetMode="External"/><Relationship Id="rId91" Type="http://schemas.openxmlformats.org/officeDocument/2006/relationships/hyperlink" Target="https://www.sec.gov/ix?doc=/Archives/edgar/data/0000050863/000005086320000011/a12282019q4-10kdocument.htm" TargetMode="External"/><Relationship Id="rId145" Type="http://schemas.openxmlformats.org/officeDocument/2006/relationships/hyperlink" Target="https://www.sec.gov/ix?doc=/Archives/edgar/data/0000050863/000005086320000011/a12282019q4-10kdocument.htm" TargetMode="External"/><Relationship Id="rId166" Type="http://schemas.openxmlformats.org/officeDocument/2006/relationships/hyperlink" Target="https://www.sec.gov/ix?doc=/Archives/edgar/data/0000050863/000005086320000011/a12282019q4-10kdocument.htm" TargetMode="External"/><Relationship Id="rId187" Type="http://schemas.openxmlformats.org/officeDocument/2006/relationships/hyperlink" Target="http://www.sec.gov/Archives/edgar/data/50863/000110465912084296/a12-27786_14ex4d01.htm" TargetMode="External"/><Relationship Id="rId1" Type="http://schemas.openxmlformats.org/officeDocument/2006/relationships/styles" Target="styles.xml"/><Relationship Id="rId212" Type="http://schemas.openxmlformats.org/officeDocument/2006/relationships/hyperlink" Target="https://www.sec.gov/ix?doc=/Archives/edgar/data/0000050863/000005086320000011/a12282019q4-10kdocument.htm" TargetMode="External"/><Relationship Id="rId233" Type="http://schemas.openxmlformats.org/officeDocument/2006/relationships/hyperlink" Target="https://www.sec.gov/Archives/edgar/data/0000050863/000005086320000011/a12282019q4-ex231.htm" TargetMode="External"/><Relationship Id="rId254" Type="http://schemas.openxmlformats.org/officeDocument/2006/relationships/hyperlink" Target="https://www.sec.gov/ix?doc=/Archives/edgar/data/0000050863/000005086320000011/a12282019q4-10kdocument.htm" TargetMode="External"/><Relationship Id="rId28" Type="http://schemas.openxmlformats.org/officeDocument/2006/relationships/hyperlink" Target="https://www.sec.gov/ix?doc=/Archives/edgar/data/0000050863/000005086320000011/a12282019q4-10kdocument.htm" TargetMode="External"/><Relationship Id="rId49" Type="http://schemas.openxmlformats.org/officeDocument/2006/relationships/hyperlink" Target="https://www.sec.gov/ix?doc=/Archives/edgar/data/0000050863/000005086320000011/a12282019q4-10kdocument.htm" TargetMode="External"/><Relationship Id="rId114" Type="http://schemas.openxmlformats.org/officeDocument/2006/relationships/hyperlink" Target="https://www.sec.gov/ix?doc=/Archives/edgar/data/0000050863/000005086320000011/a12282019q4-10kdocument.htm" TargetMode="External"/><Relationship Id="rId275" Type="http://schemas.openxmlformats.org/officeDocument/2006/relationships/hyperlink" Target="https://www.sec.gov/ix?doc=/Archives/edgar/data/0000050863/000005086320000011/a12282019q4-10kdocument.htm" TargetMode="External"/><Relationship Id="rId60" Type="http://schemas.openxmlformats.org/officeDocument/2006/relationships/hyperlink" Target="https://www.sec.gov/ix?doc=/Archives/edgar/data/0000050863/000005086320000011/a12282019q4-10kdocument.htm" TargetMode="External"/><Relationship Id="rId81" Type="http://schemas.openxmlformats.org/officeDocument/2006/relationships/hyperlink" Target="https://www.sec.gov/ix?doc=/Archives/edgar/data/0000050863/000005086320000011/a12282019q4-10kdocument.htm" TargetMode="External"/><Relationship Id="rId135" Type="http://schemas.openxmlformats.org/officeDocument/2006/relationships/hyperlink" Target="https://www.sec.gov/ix?doc=/Archives/edgar/data/0000050863/000005086320000011/a12282019q4-10kdocument.htm" TargetMode="External"/><Relationship Id="rId156" Type="http://schemas.openxmlformats.org/officeDocument/2006/relationships/hyperlink" Target="https://www.sec.gov/ix?doc=/Archives/edgar/data/0000050863/000005086320000011/a12282019q4-10kdocument.htm" TargetMode="External"/><Relationship Id="rId177" Type="http://schemas.openxmlformats.org/officeDocument/2006/relationships/hyperlink" Target="https://www.sec.gov/ix?doc=/Archives/edgar/data/0000050863/000005086320000011/a12282019q4-10kdocument.htm" TargetMode="External"/><Relationship Id="rId198" Type="http://schemas.openxmlformats.org/officeDocument/2006/relationships/hyperlink" Target="https://www.sec.gov/Archives/edgar/data/0000050863/000005086320000011/a12282019q4-ex416.htm" TargetMode="External"/><Relationship Id="rId202" Type="http://schemas.openxmlformats.org/officeDocument/2006/relationships/hyperlink" Target="http://www.sec.gov/Archives/edgar/data/50863/000005086315000028/intcex10310q3282015.htm" TargetMode="External"/><Relationship Id="rId223" Type="http://schemas.openxmlformats.org/officeDocument/2006/relationships/hyperlink" Target="http://www.sec.gov/Archives/edgar/data/50863/000005086311000022/exhibit99-1.htm" TargetMode="External"/><Relationship Id="rId244" Type="http://schemas.openxmlformats.org/officeDocument/2006/relationships/hyperlink" Target="https://www.sec.gov/ix?doc=/Archives/edgar/data/0000050863/000005086320000011/a12282019q4-10kdocument.htm" TargetMode="External"/><Relationship Id="rId18" Type="http://schemas.openxmlformats.org/officeDocument/2006/relationships/hyperlink" Target="https://www.sec.gov/ix?doc=/Archives/edgar/data/0000050863/000005086320000011/a12282019q4-10kdocument.htm" TargetMode="External"/><Relationship Id="rId39" Type="http://schemas.openxmlformats.org/officeDocument/2006/relationships/hyperlink" Target="https://www.sec.gov/ix?doc=/Archives/edgar/data/0000050863/000005086320000011/a12282019q4-10kdocument.htm" TargetMode="External"/><Relationship Id="rId265" Type="http://schemas.openxmlformats.org/officeDocument/2006/relationships/hyperlink" Target="https://www.sec.gov/ix?doc=/Archives/edgar/data/0000050863/000005086320000011/a12282019q4-10kdocument.htm" TargetMode="External"/><Relationship Id="rId286" Type="http://schemas.openxmlformats.org/officeDocument/2006/relationships/hyperlink" Target="https://www.sec.gov/ix?doc=/Archives/edgar/data/0000050863/000005086320000011/a12282019q4-10kdocument.htm" TargetMode="External"/><Relationship Id="rId50" Type="http://schemas.openxmlformats.org/officeDocument/2006/relationships/hyperlink" Target="https://www.sec.gov/ix?doc=/Archives/edgar/data/0000050863/000005086320000011/a12282019q4-10kdocument.htm" TargetMode="External"/><Relationship Id="rId104" Type="http://schemas.openxmlformats.org/officeDocument/2006/relationships/hyperlink" Target="https://www.sec.gov/ix?doc=/Archives/edgar/data/0000050863/000005086320000011/a12282019q4-10kdocument.htm" TargetMode="External"/><Relationship Id="rId125" Type="http://schemas.openxmlformats.org/officeDocument/2006/relationships/hyperlink" Target="https://www.sec.gov/ix?doc=/Archives/edgar/data/0000050863/000005086320000011/a12282019q4-10kdocument.htm" TargetMode="External"/><Relationship Id="rId146" Type="http://schemas.openxmlformats.org/officeDocument/2006/relationships/hyperlink" Target="https://www.sec.gov/ix?doc=/Archives/edgar/data/0000050863/000005086320000011/a12282019q4-10kdocument.htm" TargetMode="External"/><Relationship Id="rId167" Type="http://schemas.openxmlformats.org/officeDocument/2006/relationships/hyperlink" Target="https://www.sec.gov/ix?doc=/Archives/edgar/data/0000050863/000005086320000011/a12282019q4-10kdocument.htm" TargetMode="External"/><Relationship Id="rId188" Type="http://schemas.openxmlformats.org/officeDocument/2006/relationships/hyperlink" Target="http://www.sec.gov/Archives/edgar/data/50863/000110465915054325/a15-13514_7ex4d1.htm" TargetMode="External"/><Relationship Id="rId71" Type="http://schemas.openxmlformats.org/officeDocument/2006/relationships/hyperlink" Target="https://www.sec.gov/ix?doc=/Archives/edgar/data/0000050863/000005086320000011/a12282019q4-10kdocument.htm" TargetMode="External"/><Relationship Id="rId92" Type="http://schemas.openxmlformats.org/officeDocument/2006/relationships/hyperlink" Target="https://www.sec.gov/ix?doc=/Archives/edgar/data/0000050863/000005086320000011/a12282019q4-10kdocument.htm" TargetMode="External"/><Relationship Id="rId213" Type="http://schemas.openxmlformats.org/officeDocument/2006/relationships/hyperlink" Target="http://www.sec.gov/Archives/edgar/data/50863/000005086319000013/a03302019ex109.htm" TargetMode="External"/><Relationship Id="rId234" Type="http://schemas.openxmlformats.org/officeDocument/2006/relationships/hyperlink" Target="https://www.sec.gov/ix?doc=/Archives/edgar/data/0000050863/000005086320000011/a12282019q4-10kdocument.htm" TargetMode="External"/><Relationship Id="rId2" Type="http://schemas.openxmlformats.org/officeDocument/2006/relationships/settings" Target="settings.xml"/><Relationship Id="rId29" Type="http://schemas.openxmlformats.org/officeDocument/2006/relationships/hyperlink" Target="https://www.sec.gov/ix?doc=/Archives/edgar/data/0000050863/000005086320000011/a12282019q4-10kdocument.htm" TargetMode="External"/><Relationship Id="rId255" Type="http://schemas.openxmlformats.org/officeDocument/2006/relationships/hyperlink" Target="https://www.sec.gov/ix?doc=/Archives/edgar/data/0000050863/000005086320000011/a12282019q4-10kdocument.htm" TargetMode="External"/><Relationship Id="rId276" Type="http://schemas.openxmlformats.org/officeDocument/2006/relationships/hyperlink" Target="https://www.sec.gov/ix?doc=/Archives/edgar/data/0000050863/000005086320000011/a12282019q4-10kdocument.htm" TargetMode="External"/><Relationship Id="rId40" Type="http://schemas.openxmlformats.org/officeDocument/2006/relationships/hyperlink" Target="https://www.sec.gov/ix?doc=/Archives/edgar/data/0000050863/000005086320000011/a12282019q4-10kdocument.htm" TargetMode="External"/><Relationship Id="rId115" Type="http://schemas.openxmlformats.org/officeDocument/2006/relationships/hyperlink" Target="https://www.sec.gov/ix?doc=/Archives/edgar/data/0000050863/000005086320000011/a12282019q4-10kdocument.htm" TargetMode="External"/><Relationship Id="rId136" Type="http://schemas.openxmlformats.org/officeDocument/2006/relationships/hyperlink" Target="https://www.sec.gov/ix?doc=/Archives/edgar/data/0000050863/000005086320000011/a12282019q4-10kdocument.htm" TargetMode="External"/><Relationship Id="rId157" Type="http://schemas.openxmlformats.org/officeDocument/2006/relationships/hyperlink" Target="https://www.sec.gov/ix?doc=/Archives/edgar/data/0000050863/000005086320000011/a12282019q4-10kdocument.htm" TargetMode="External"/><Relationship Id="rId178" Type="http://schemas.openxmlformats.org/officeDocument/2006/relationships/hyperlink" Target="https://www.sec.gov/ix?doc=/Archives/edgar/data/0000050863/000005086320000011/a12282019q4-10kdocument.htm" TargetMode="External"/><Relationship Id="rId61" Type="http://schemas.openxmlformats.org/officeDocument/2006/relationships/hyperlink" Target="https://www.sec.gov/ix?doc=/Archives/edgar/data/0000050863/000005086320000011/a12282019q4-10kdocument.htm" TargetMode="External"/><Relationship Id="rId82" Type="http://schemas.openxmlformats.org/officeDocument/2006/relationships/hyperlink" Target="https://www.sec.gov/ix?doc=/Archives/edgar/data/0000050863/000005086320000011/a12282019q4-10kdocument.htm" TargetMode="External"/><Relationship Id="rId199" Type="http://schemas.openxmlformats.org/officeDocument/2006/relationships/hyperlink" Target="http://www.sec.gov/Archives/edgar/data/50863/000005086319000023/a06292019ex101.htm" TargetMode="External"/><Relationship Id="rId203" Type="http://schemas.openxmlformats.org/officeDocument/2006/relationships/hyperlink" Target="http://www.sec.gov/Archives/edgar/data/50863/000005086319000013/a03302019ex103.htm" TargetMode="External"/><Relationship Id="rId19" Type="http://schemas.openxmlformats.org/officeDocument/2006/relationships/hyperlink" Target="https://www.sec.gov/ix?doc=/Archives/edgar/data/0000050863/000005086320000011/a12282019q4-10kdocument.htm" TargetMode="External"/><Relationship Id="rId224" Type="http://schemas.openxmlformats.org/officeDocument/2006/relationships/hyperlink" Target="http://www.sec.gov/Archives/edgar/data/50863/000089161807000111/f23627exv10w41.htm" TargetMode="External"/><Relationship Id="rId245" Type="http://schemas.openxmlformats.org/officeDocument/2006/relationships/hyperlink" Target="https://www.sec.gov/ix?doc=/Archives/edgar/data/0000050863/000005086320000011/a12282019q4-10kdocument.htm" TargetMode="External"/><Relationship Id="rId266" Type="http://schemas.openxmlformats.org/officeDocument/2006/relationships/hyperlink" Target="https://www.sec.gov/ix?doc=/Archives/edgar/data/0000050863/000005086320000011/a12282019q4-10kdocument.htm" TargetMode="External"/><Relationship Id="rId287" Type="http://schemas.openxmlformats.org/officeDocument/2006/relationships/hyperlink" Target="https://www.sec.gov/ix?doc=/Archives/edgar/data/0000050863/000005086320000011/a12282019q4-10kdocument.htm" TargetMode="External"/><Relationship Id="rId30" Type="http://schemas.openxmlformats.org/officeDocument/2006/relationships/hyperlink" Target="https://www.sec.gov/ix?doc=/Archives/edgar/data/0000050863/000005086320000011/a12282019q4-10kdocument.htm" TargetMode="External"/><Relationship Id="rId105" Type="http://schemas.openxmlformats.org/officeDocument/2006/relationships/hyperlink" Target="https://www.sec.gov/ix?doc=/Archives/edgar/data/0000050863/000005086320000011/a12282019q4-10kdocument.htm" TargetMode="External"/><Relationship Id="rId126" Type="http://schemas.openxmlformats.org/officeDocument/2006/relationships/hyperlink" Target="https://www.sec.gov/ix?doc=/Archives/edgar/data/0000050863/000005086320000011/a12282019q4-10kdocument.htm" TargetMode="External"/><Relationship Id="rId147" Type="http://schemas.openxmlformats.org/officeDocument/2006/relationships/hyperlink" Target="https://www.sec.gov/ix?doc=/Archives/edgar/data/0000050863/000005086320000011/a12282019q4-10kdocument.htm" TargetMode="External"/><Relationship Id="rId168" Type="http://schemas.openxmlformats.org/officeDocument/2006/relationships/hyperlink" Target="https://www.sec.gov/ix?doc=/Archives/edgar/data/0000050863/000005086320000011/a12282019q4-10kdocument.htm" TargetMode="External"/><Relationship Id="rId51" Type="http://schemas.openxmlformats.org/officeDocument/2006/relationships/hyperlink" Target="https://www.sec.gov/ix?doc=/Archives/edgar/data/0000050863/000005086320000011/a12282019q4-10kdocument.htm" TargetMode="External"/><Relationship Id="rId72" Type="http://schemas.openxmlformats.org/officeDocument/2006/relationships/hyperlink" Target="https://www.sec.gov/ix?doc=/Archives/edgar/data/0000050863/000005086320000011/a12282019q4-10kdocument.htm" TargetMode="External"/><Relationship Id="rId93" Type="http://schemas.openxmlformats.org/officeDocument/2006/relationships/hyperlink" Target="https://www.sec.gov/ix?doc=/Archives/edgar/data/0000050863/000005086320000011/a12282019q4-10kdocument.htm" TargetMode="External"/><Relationship Id="rId189" Type="http://schemas.openxmlformats.org/officeDocument/2006/relationships/hyperlink" Target="http://www.sec.gov/Archives/edgar/data/50863/000110465916121995/a16-11043_4ex4d1.htm" TargetMode="External"/><Relationship Id="rId3" Type="http://schemas.openxmlformats.org/officeDocument/2006/relationships/webSettings" Target="webSettings.xml"/><Relationship Id="rId214" Type="http://schemas.openxmlformats.org/officeDocument/2006/relationships/hyperlink" Target="http://www.sec.gov/Archives/edgar/data/50863/000005086319000013/a03302019ex1010.htm" TargetMode="External"/><Relationship Id="rId235" Type="http://schemas.openxmlformats.org/officeDocument/2006/relationships/hyperlink" Target="https://www.sec.gov/Archives/edgar/data/0000050863/000005086320000011/a12282019q4-ex311.htm" TargetMode="External"/><Relationship Id="rId256" Type="http://schemas.openxmlformats.org/officeDocument/2006/relationships/hyperlink" Target="https://www.sec.gov/ix?doc=/Archives/edgar/data/0000050863/000005086320000011/a12282019q4-10kdocument.htm" TargetMode="External"/><Relationship Id="rId277" Type="http://schemas.openxmlformats.org/officeDocument/2006/relationships/hyperlink" Target="https://www.sec.gov/ix?doc=/Archives/edgar/data/0000050863/000005086320000011/a12282019q4-10kdocument.htm" TargetMode="External"/><Relationship Id="rId116" Type="http://schemas.openxmlformats.org/officeDocument/2006/relationships/hyperlink" Target="https://www.sec.gov/ix?doc=/Archives/edgar/data/0000050863/000005086320000011/a12282019q4-10kdocument.htm" TargetMode="External"/><Relationship Id="rId137" Type="http://schemas.openxmlformats.org/officeDocument/2006/relationships/hyperlink" Target="https://www.sec.gov/ix?doc=/Archives/edgar/data/0000050863/000005086320000011/a12282019q4-10kdocument.htm" TargetMode="External"/><Relationship Id="rId158" Type="http://schemas.openxmlformats.org/officeDocument/2006/relationships/hyperlink" Target="https://www.sec.gov/ix?doc=/Archives/edgar/data/0000050863/000005086320000011/a12282019q4-10kdocument.htm" TargetMode="External"/><Relationship Id="rId20" Type="http://schemas.openxmlformats.org/officeDocument/2006/relationships/hyperlink" Target="https://www.sec.gov/ix?doc=/Archives/edgar/data/0000050863/000005086320000011/a12282019q4-10kdocument.htm" TargetMode="External"/><Relationship Id="rId41" Type="http://schemas.openxmlformats.org/officeDocument/2006/relationships/hyperlink" Target="https://www.sec.gov/ix?doc=/Archives/edgar/data/0000050863/000005086320000011/a12282019q4-10kdocument.htm" TargetMode="External"/><Relationship Id="rId62" Type="http://schemas.openxmlformats.org/officeDocument/2006/relationships/hyperlink" Target="https://www.sec.gov/ix?doc=/Archives/edgar/data/0000050863/000005086320000011/a12282019q4-10kdocument.htm" TargetMode="External"/><Relationship Id="rId83" Type="http://schemas.openxmlformats.org/officeDocument/2006/relationships/hyperlink" Target="https://www.sec.gov/ix?doc=/Archives/edgar/data/0000050863/000005086320000011/a12282019q4-10kdocument.htm" TargetMode="External"/><Relationship Id="rId179" Type="http://schemas.openxmlformats.org/officeDocument/2006/relationships/hyperlink" Target="http://www.sec.gov/Archives/edgar/data/50863/000119312517080542/d344928dex21.htm" TargetMode="External"/><Relationship Id="rId190" Type="http://schemas.openxmlformats.org/officeDocument/2006/relationships/hyperlink" Target="http://www.sec.gov/Archives/edgar/data/50863/000119312517167265/d357830dex41.htm" TargetMode="External"/><Relationship Id="rId204" Type="http://schemas.openxmlformats.org/officeDocument/2006/relationships/hyperlink" Target="http://www.sec.gov/Archives/edgar/data/50863/000005086319000013/a03302019ex104.htm" TargetMode="External"/><Relationship Id="rId225" Type="http://schemas.openxmlformats.org/officeDocument/2006/relationships/hyperlink" Target="http://www.sec.gov/Archives/edgar/data/50863/000005086309000213/exh101.htm" TargetMode="External"/><Relationship Id="rId246" Type="http://schemas.openxmlformats.org/officeDocument/2006/relationships/hyperlink" Target="https://www.sec.gov/ix?doc=/Archives/edgar/data/0000050863/000005086320000011/a12282019q4-10kdocument.htm" TargetMode="External"/><Relationship Id="rId267" Type="http://schemas.openxmlformats.org/officeDocument/2006/relationships/hyperlink" Target="https://www.sec.gov/ix?doc=/Archives/edgar/data/0000050863/000005086320000011/a12282019q4-10kdocument.htm" TargetMode="External"/><Relationship Id="rId288" Type="http://schemas.openxmlformats.org/officeDocument/2006/relationships/hyperlink" Target="https://www.sec.gov/ix?doc=/Archives/edgar/data/0000050863/000005086320000011/a12282019q4-10kdocument.htm" TargetMode="External"/><Relationship Id="rId106" Type="http://schemas.openxmlformats.org/officeDocument/2006/relationships/hyperlink" Target="https://www.sec.gov/ix?doc=/Archives/edgar/data/0000050863/000005086320000011/a12282019q4-10kdocument.htm" TargetMode="External"/><Relationship Id="rId127" Type="http://schemas.openxmlformats.org/officeDocument/2006/relationships/hyperlink" Target="https://www.sec.gov/ix?doc=/Archives/edgar/data/0000050863/000005086320000011/a12282019q4-10kdocument.htm" TargetMode="External"/><Relationship Id="rId10" Type="http://schemas.openxmlformats.org/officeDocument/2006/relationships/hyperlink" Target="https://www.sec.gov/ix?doc=/Archives/edgar/data/0000050863/000005086320000011/a12282019q4-10kdocument.htm" TargetMode="External"/><Relationship Id="rId31" Type="http://schemas.openxmlformats.org/officeDocument/2006/relationships/hyperlink" Target="https://www.sec.gov/ix?doc=/Archives/edgar/data/0000050863/000005086320000011/a12282019q4-10kdocument.htm" TargetMode="External"/><Relationship Id="rId52" Type="http://schemas.openxmlformats.org/officeDocument/2006/relationships/hyperlink" Target="https://www.sec.gov/ix?doc=/Archives/edgar/data/0000050863/000005086320000011/a12282019q4-10kdocument.htm" TargetMode="External"/><Relationship Id="rId73" Type="http://schemas.openxmlformats.org/officeDocument/2006/relationships/hyperlink" Target="https://www.sec.gov/ix?doc=/Archives/edgar/data/0000050863/000005086320000011/a12282019q4-10kdocument.htm" TargetMode="External"/><Relationship Id="rId94" Type="http://schemas.openxmlformats.org/officeDocument/2006/relationships/hyperlink" Target="https://www.sec.gov/ix?doc=/Archives/edgar/data/0000050863/000005086320000011/a12282019q4-10kdocument.htm" TargetMode="External"/><Relationship Id="rId148" Type="http://schemas.openxmlformats.org/officeDocument/2006/relationships/hyperlink" Target="https://www.sec.gov/ix?doc=/Archives/edgar/data/0000050863/000005086320000011/a12282019q4-10kdocument.htm" TargetMode="External"/><Relationship Id="rId169" Type="http://schemas.openxmlformats.org/officeDocument/2006/relationships/hyperlink" Target="https://www.sec.gov/ix?doc=/Archives/edgar/data/0000050863/000005086320000011/a12282019q4-10kdocument.htm" TargetMode="External"/><Relationship Id="rId180" Type="http://schemas.openxmlformats.org/officeDocument/2006/relationships/hyperlink" Target="http://www.sec.gov/Archives/edgar/data/50863/000005086306000102/edgar8kex3.txt" TargetMode="External"/><Relationship Id="rId215" Type="http://schemas.openxmlformats.org/officeDocument/2006/relationships/hyperlink" Target="http://www.sec.gov/Archives/edgar/data/50863/000005086319000013/a03302019ex107.htm" TargetMode="External"/><Relationship Id="rId236" Type="http://schemas.openxmlformats.org/officeDocument/2006/relationships/hyperlink" Target="https://www.sec.gov/Archives/edgar/data/0000050863/000005086320000011/a12282019q4-ex312.htm" TargetMode="External"/><Relationship Id="rId257" Type="http://schemas.openxmlformats.org/officeDocument/2006/relationships/hyperlink" Target="https://www.sec.gov/ix?doc=/Archives/edgar/data/0000050863/000005086320000011/a12282019q4-10kdocument.htm" TargetMode="External"/><Relationship Id="rId278" Type="http://schemas.openxmlformats.org/officeDocument/2006/relationships/hyperlink" Target="https://www.sec.gov/ix?doc=/Archives/edgar/data/0000050863/000005086320000011/a12282019q4-10kdocument.htm" TargetMode="External"/><Relationship Id="rId42" Type="http://schemas.openxmlformats.org/officeDocument/2006/relationships/hyperlink" Target="https://www.sec.gov/ix?doc=/Archives/edgar/data/0000050863/000005086320000011/a12282019q4-10kdocument.htm" TargetMode="External"/><Relationship Id="rId84" Type="http://schemas.openxmlformats.org/officeDocument/2006/relationships/hyperlink" Target="https://www.sec.gov/ix?doc=/Archives/edgar/data/0000050863/000005086320000011/a12282019q4-10kdocument.htm" TargetMode="External"/><Relationship Id="rId138" Type="http://schemas.openxmlformats.org/officeDocument/2006/relationships/hyperlink" Target="https://www.sec.gov/ix?doc=/Archives/edgar/data/0000050863/000005086320000011/a12282019q4-10kdocument.htm" TargetMode="External"/><Relationship Id="rId191" Type="http://schemas.openxmlformats.org/officeDocument/2006/relationships/hyperlink" Target="http://www.sec.gov/Archives/edgar/data/50863/000119312517205990/d390771dex41.htm" TargetMode="External"/><Relationship Id="rId205" Type="http://schemas.openxmlformats.org/officeDocument/2006/relationships/hyperlink" Target="http://www.sec.gov/Archives/edgar/data/50863/000005086318000007/a12302017q4-ex1016.htm" TargetMode="External"/><Relationship Id="rId247" Type="http://schemas.openxmlformats.org/officeDocument/2006/relationships/hyperlink" Target="https://www.sec.gov/ix?doc=/Archives/edgar/data/0000050863/000005086320000011/a12282019q4-10kdocument.htm" TargetMode="External"/><Relationship Id="rId107" Type="http://schemas.openxmlformats.org/officeDocument/2006/relationships/hyperlink" Target="https://www.sec.gov/ix?doc=/Archives/edgar/data/0000050863/000005086320000011/a12282019q4-10kdocument.htm" TargetMode="External"/><Relationship Id="rId289" Type="http://schemas.openxmlformats.org/officeDocument/2006/relationships/hyperlink" Target="https://www.sec.gov/ix?doc=/Archives/edgar/data/0000050863/000005086320000011/a12282019q4-10kdocument.htm" TargetMode="External"/><Relationship Id="rId11" Type="http://schemas.openxmlformats.org/officeDocument/2006/relationships/hyperlink" Target="https://www.sec.gov/ix?doc=/Archives/edgar/data/0000050863/000005086320000011/a12282019q4-10kdocument.htm" TargetMode="External"/><Relationship Id="rId53" Type="http://schemas.openxmlformats.org/officeDocument/2006/relationships/hyperlink" Target="https://www.sec.gov/ix?doc=/Archives/edgar/data/0000050863/000005086320000011/a12282019q4-10kdocument.htm" TargetMode="External"/><Relationship Id="rId149" Type="http://schemas.openxmlformats.org/officeDocument/2006/relationships/hyperlink" Target="https://www.sec.gov/ix?doc=/Archives/edgar/data/0000050863/000005086320000011/a12282019q4-10kdocument.htm" TargetMode="External"/><Relationship Id="rId95" Type="http://schemas.openxmlformats.org/officeDocument/2006/relationships/hyperlink" Target="https://www.sec.gov/ix?doc=/Archives/edgar/data/0000050863/000005086320000011/a12282019q4-10kdocument.htm" TargetMode="External"/><Relationship Id="rId160" Type="http://schemas.openxmlformats.org/officeDocument/2006/relationships/hyperlink" Target="https://www.sec.gov/ix?doc=/Archives/edgar/data/0000050863/000005086320000011/a12282019q4-10kdocument.htm" TargetMode="External"/><Relationship Id="rId216" Type="http://schemas.openxmlformats.org/officeDocument/2006/relationships/hyperlink" Target="http://www.sec.gov/Archives/edgar/data/50863/000005086315000028/intcex10110q3282015.htm" TargetMode="External"/><Relationship Id="rId258" Type="http://schemas.openxmlformats.org/officeDocument/2006/relationships/hyperlink" Target="https://www.sec.gov/ix?doc=/Archives/edgar/data/0000050863/000005086320000011/a12282019q4-10kdocument.htm" TargetMode="External"/><Relationship Id="rId22" Type="http://schemas.openxmlformats.org/officeDocument/2006/relationships/hyperlink" Target="https://www.sec.gov/ix?doc=/Archives/edgar/data/0000050863/000005086320000011/a12282019q4-10kdocument.htm" TargetMode="External"/><Relationship Id="rId64" Type="http://schemas.openxmlformats.org/officeDocument/2006/relationships/hyperlink" Target="https://www.sec.gov/ix?doc=/Archives/edgar/data/0000050863/000005086320000011/a12282019q4-10kdocument.htm" TargetMode="External"/><Relationship Id="rId118" Type="http://schemas.openxmlformats.org/officeDocument/2006/relationships/hyperlink" Target="https://www.sec.gov/ix?doc=/Archives/edgar/data/0000050863/000005086320000011/a12282019q4-10kdocument.htm" TargetMode="External"/><Relationship Id="rId171" Type="http://schemas.openxmlformats.org/officeDocument/2006/relationships/hyperlink" Target="https://www.sec.gov/ix?doc=/Archives/edgar/data/0000050863/000005086320000011/a12282019q4-10kdocument.htm" TargetMode="External"/><Relationship Id="rId227" Type="http://schemas.openxmlformats.org/officeDocument/2006/relationships/hyperlink" Target="http://www.sec.gov/Archives/edgar/data/50863/000005086316000105/ex101412262015q4.htm" TargetMode="External"/><Relationship Id="rId269" Type="http://schemas.openxmlformats.org/officeDocument/2006/relationships/hyperlink" Target="https://www.sec.gov/ix?doc=/Archives/edgar/data/0000050863/000005086320000011/a12282019q4-10kdocument.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151</Pages>
  <Words>75035</Words>
  <Characters>427700</Characters>
  <Application>Microsoft Office Word</Application>
  <DocSecurity>0</DocSecurity>
  <Lines>3564</Lines>
  <Paragraphs>1003</Paragraphs>
  <ScaleCrop>false</ScaleCrop>
  <Company/>
  <LinksUpToDate>false</LinksUpToDate>
  <CharactersWithSpaces>501732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2023-02-11T20:07:00Z</dcterms:created>
  <dcterms:modified xsi:type="dcterms:W3CDTF">2023-02-13T11:17:00Z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8B52EB48A5599C941385E7636CB9151A</vt:lpwstr>
  </property>
</Properties>
</file>